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rPr>
          <w:rFonts w:hint="eastAsia" w:ascii="黑体" w:hAnsi="黑体" w:eastAsia="黑体" w:cs="宋体"/>
          <w:b/>
          <w:color w:val="000000"/>
          <w:sz w:val="36"/>
          <w:szCs w:val="36"/>
          <w:lang w:eastAsia="zh-CN"/>
        </w:rPr>
      </w:pPr>
      <w:r>
        <w:rPr>
          <w:rFonts w:hint="eastAsia" w:ascii="黑体" w:hAnsi="黑体" w:eastAsia="黑体" w:cs="宋体"/>
          <w:b/>
          <w:color w:val="000000"/>
          <w:sz w:val="36"/>
          <w:szCs w:val="36"/>
        </w:rPr>
        <w:t>禹州市中心医院</w:t>
      </w:r>
      <w:r>
        <w:rPr>
          <w:rFonts w:hint="eastAsia" w:ascii="黑体" w:hAnsi="黑体" w:eastAsia="黑体" w:cs="宋体"/>
          <w:b/>
          <w:color w:val="000000"/>
          <w:sz w:val="36"/>
          <w:szCs w:val="36"/>
          <w:lang w:eastAsia="zh-CN"/>
        </w:rPr>
        <w:t>公共卫生医学中心电梯采购项目</w:t>
      </w:r>
    </w:p>
    <w:p>
      <w:pPr>
        <w:shd w:val="clear" w:color="auto" w:fill="FFFFFF"/>
        <w:spacing w:line="360" w:lineRule="auto"/>
        <w:jc w:val="center"/>
        <w:rPr>
          <w:rFonts w:ascii="黑体" w:hAnsi="黑体" w:eastAsia="黑体" w:cs="宋体"/>
          <w:b/>
          <w:color w:val="000000"/>
          <w:sz w:val="36"/>
          <w:szCs w:val="36"/>
        </w:rPr>
      </w:pPr>
      <w:r>
        <w:rPr>
          <w:rFonts w:hint="eastAsia" w:ascii="黑体" w:hAnsi="黑体" w:eastAsia="黑体" w:cs="宋体"/>
          <w:b/>
          <w:color w:val="000000"/>
          <w:sz w:val="36"/>
          <w:szCs w:val="36"/>
        </w:rPr>
        <w:t>（不见面开标）</w:t>
      </w:r>
    </w:p>
    <w:p>
      <w:pPr>
        <w:rPr>
          <w:rFonts w:cs="仿宋_GB2312" w:asciiTheme="minorEastAsia" w:hAnsiTheme="minorEastAsia"/>
          <w:color w:val="000000"/>
          <w:szCs w:val="21"/>
          <w:shd w:val="clear" w:color="auto" w:fill="FFFFFF"/>
        </w:rPr>
      </w:pPr>
    </w:p>
    <w:p>
      <w:pPr>
        <w:rPr>
          <w:rFonts w:ascii="华文隶书" w:eastAsia="华文隶书"/>
          <w:bCs/>
          <w:w w:val="90"/>
          <w:sz w:val="96"/>
        </w:rPr>
      </w:pPr>
    </w:p>
    <w:p>
      <w:pPr>
        <w:pStyle w:val="35"/>
        <w:ind w:firstLine="420"/>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rPr>
          <w:rFonts w:ascii="微软简隶书" w:eastAsia="微软简隶书"/>
        </w:rPr>
      </w:pPr>
    </w:p>
    <w:p>
      <w:pPr>
        <w:pStyle w:val="12"/>
      </w:pPr>
    </w:p>
    <w:p>
      <w:pPr>
        <w:rPr>
          <w:rFonts w:ascii="微软简隶书" w:eastAsia="微软简隶书"/>
        </w:rPr>
      </w:pPr>
    </w:p>
    <w:p>
      <w:pPr>
        <w:rPr>
          <w:rFonts w:ascii="微软简隶书" w:eastAsia="微软简隶书"/>
        </w:rPr>
      </w:pPr>
    </w:p>
    <w:p>
      <w:pPr>
        <w:pStyle w:val="32"/>
      </w:pPr>
    </w:p>
    <w:p>
      <w:pPr>
        <w:pStyle w:val="32"/>
      </w:pPr>
    </w:p>
    <w:p>
      <w:pPr>
        <w:pStyle w:val="32"/>
      </w:pPr>
    </w:p>
    <w:p>
      <w:pPr>
        <w:pStyle w:val="32"/>
      </w:pPr>
    </w:p>
    <w:p>
      <w:pPr>
        <w:rPr>
          <w:rFonts w:ascii="微软简隶书" w:eastAsia="微软简隶书"/>
        </w:rPr>
      </w:pPr>
    </w:p>
    <w:p>
      <w:pPr>
        <w:spacing w:line="600" w:lineRule="exact"/>
        <w:ind w:firstLine="1066" w:firstLineChars="295"/>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采购编号：YZCG-T20210</w:t>
      </w:r>
      <w:r>
        <w:rPr>
          <w:rFonts w:hint="eastAsia" w:asciiTheme="majorEastAsia" w:hAnsiTheme="majorEastAsia" w:eastAsiaTheme="majorEastAsia" w:cstheme="majorEastAsia"/>
          <w:b/>
          <w:bCs/>
          <w:sz w:val="36"/>
          <w:szCs w:val="36"/>
          <w:lang w:val="en-US" w:eastAsia="zh-CN"/>
        </w:rPr>
        <w:t>67</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采购单位：禹州市中心医院</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二〇二一年十</w:t>
      </w:r>
      <w:r>
        <w:rPr>
          <w:rFonts w:hint="eastAsia" w:asciiTheme="majorEastAsia" w:hAnsiTheme="majorEastAsia" w:eastAsiaTheme="majorEastAsia" w:cstheme="majorEastAsia"/>
          <w:b/>
          <w:bCs/>
          <w:sz w:val="36"/>
          <w:szCs w:val="36"/>
          <w:lang w:eastAsia="zh-CN"/>
        </w:rPr>
        <w:t>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拟签订合同文本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pStyle w:val="32"/>
      </w:pPr>
    </w:p>
    <w:p>
      <w:pPr>
        <w:pStyle w:val="32"/>
      </w:pPr>
    </w:p>
    <w:p>
      <w:pPr>
        <w:pStyle w:val="32"/>
        <w:ind w:firstLine="0" w:firstLineChars="0"/>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32"/>
      </w:pP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禹州市政府采购中心受禹州市中心医院的委托，就“禹州市中心医院</w:t>
      </w:r>
      <w:r>
        <w:rPr>
          <w:rFonts w:hint="eastAsia" w:cs="仿宋_GB2312" w:asciiTheme="minorEastAsia" w:hAnsiTheme="minorEastAsia"/>
          <w:color w:val="000000"/>
          <w:szCs w:val="21"/>
          <w:shd w:val="clear" w:color="auto" w:fill="FFFFFF"/>
          <w:lang w:eastAsia="zh-CN"/>
        </w:rPr>
        <w:t>公共卫生医学中心电梯采购项目</w:t>
      </w:r>
      <w:r>
        <w:rPr>
          <w:rFonts w:hint="eastAsia" w:cs="仿宋_GB2312" w:asciiTheme="minorEastAsia" w:hAnsiTheme="minorEastAsia"/>
          <w:color w:val="000000"/>
          <w:szCs w:val="21"/>
          <w:shd w:val="clear" w:color="auto" w:fill="FFFFFF"/>
        </w:rPr>
        <w:t>（不见面开标）”进行竞争性谈判，欢迎合格的投标人前来投标。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一、项目基本情况</w:t>
      </w:r>
    </w:p>
    <w:p>
      <w:pPr>
        <w:spacing w:line="500" w:lineRule="atLeast"/>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1、采购人：禹州市中心医院</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2、项目名称：禹州市中心医院</w:t>
      </w:r>
      <w:r>
        <w:rPr>
          <w:rFonts w:hint="eastAsia" w:cs="仿宋_GB2312" w:asciiTheme="minorEastAsia" w:hAnsiTheme="minorEastAsia"/>
          <w:color w:val="000000"/>
          <w:szCs w:val="21"/>
          <w:shd w:val="clear" w:color="auto" w:fill="FFFFFF"/>
          <w:lang w:eastAsia="zh-CN"/>
        </w:rPr>
        <w:t>公共卫生医学中心电梯采购项目</w:t>
      </w:r>
      <w:r>
        <w:rPr>
          <w:rFonts w:hint="eastAsia" w:cs="仿宋_GB2312" w:asciiTheme="minorEastAsia" w:hAnsiTheme="minorEastAsia"/>
          <w:color w:val="000000"/>
          <w:szCs w:val="21"/>
          <w:shd w:val="clear" w:color="auto" w:fill="FFFFFF"/>
        </w:rPr>
        <w:t>（不见面开标）</w:t>
      </w:r>
    </w:p>
    <w:p>
      <w:pPr>
        <w:spacing w:line="500" w:lineRule="atLeast"/>
        <w:ind w:firstLine="420" w:firstLineChars="200"/>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3、采购编号：YZCG-T20210</w:t>
      </w:r>
      <w:r>
        <w:rPr>
          <w:rFonts w:hint="eastAsia" w:cs="仿宋_GB2312" w:asciiTheme="minorEastAsia" w:hAnsiTheme="minorEastAsia"/>
          <w:color w:val="000000"/>
          <w:szCs w:val="21"/>
          <w:shd w:val="clear" w:color="auto" w:fill="FFFFFF"/>
          <w:lang w:val="en-US" w:eastAsia="zh-CN"/>
        </w:rPr>
        <w:t>67</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4、项目需求：禹州市中心医院</w:t>
      </w:r>
      <w:r>
        <w:rPr>
          <w:rFonts w:hint="eastAsia" w:cs="仿宋_GB2312" w:asciiTheme="minorEastAsia" w:hAnsiTheme="minorEastAsia"/>
          <w:color w:val="000000"/>
          <w:szCs w:val="21"/>
          <w:shd w:val="clear" w:color="auto" w:fill="FFFFFF"/>
          <w:lang w:eastAsia="zh-CN"/>
        </w:rPr>
        <w:t>公共卫生医学中心电梯</w:t>
      </w:r>
      <w:r>
        <w:rPr>
          <w:rFonts w:hint="eastAsia" w:cs="仿宋_GB2312" w:asciiTheme="minorEastAsia" w:hAnsiTheme="minorEastAsia"/>
          <w:color w:val="000000"/>
          <w:szCs w:val="21"/>
          <w:shd w:val="clear" w:color="auto" w:fill="FFFFFF"/>
          <w:lang w:val="en-US" w:eastAsia="zh-CN"/>
        </w:rPr>
        <w:t>2部</w:t>
      </w:r>
      <w:r>
        <w:rPr>
          <w:rFonts w:hint="eastAsia" w:cs="仿宋_GB2312" w:asciiTheme="minorEastAsia" w:hAnsiTheme="minorEastAsia"/>
          <w:color w:val="000000"/>
          <w:szCs w:val="21"/>
          <w:shd w:val="clear" w:color="auto" w:fill="FFFFFF"/>
        </w:rPr>
        <w:t>（详见谈判文件）</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5、合同履约期限：合同签订后</w:t>
      </w:r>
      <w:r>
        <w:rPr>
          <w:rFonts w:hint="eastAsia" w:cs="仿宋_GB2312" w:asciiTheme="minorEastAsia" w:hAnsiTheme="minorEastAsia"/>
          <w:color w:val="000000"/>
          <w:szCs w:val="21"/>
          <w:shd w:val="clear" w:color="auto" w:fill="FFFFFF"/>
          <w:lang w:val="en-US" w:eastAsia="zh-CN"/>
        </w:rPr>
        <w:t>50</w:t>
      </w:r>
      <w:r>
        <w:rPr>
          <w:rFonts w:hint="eastAsia" w:cs="仿宋_GB2312" w:asciiTheme="minorEastAsia" w:hAnsiTheme="minorEastAsia"/>
          <w:color w:val="000000"/>
          <w:szCs w:val="21"/>
          <w:shd w:val="clear" w:color="auto" w:fill="FFFFFF"/>
        </w:rPr>
        <w:t>日内</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48.4</w:t>
      </w:r>
      <w:r>
        <w:rPr>
          <w:rFonts w:hint="eastAsia" w:cs="仿宋_GB2312" w:asciiTheme="minorEastAsia" w:hAnsiTheme="minorEastAsia"/>
          <w:color w:val="000000"/>
          <w:szCs w:val="21"/>
          <w:shd w:val="clear" w:color="auto" w:fill="FFFFFF"/>
        </w:rPr>
        <w:t>万元</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本项目落实节约能源、保护环境、扶持不发达地区和少数民族地区、促进中小企业、监狱企业发展等政府采购政策。</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 xml:space="preserve">三、供应商资格要求 </w:t>
      </w:r>
    </w:p>
    <w:p>
      <w:pPr>
        <w:spacing w:line="500" w:lineRule="atLeast"/>
        <w:ind w:firstLine="420" w:firstLineChars="200"/>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1、符合《政府采购法》第二十二条之规定；</w:t>
      </w:r>
    </w:p>
    <w:p>
      <w:pPr>
        <w:spacing w:line="500" w:lineRule="atLeast"/>
        <w:ind w:firstLine="420" w:firstLineChars="200"/>
        <w:jc w:val="left"/>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lang w:val="en-US" w:eastAsia="zh-CN"/>
        </w:rPr>
        <w:t>2、</w:t>
      </w:r>
      <w:r>
        <w:rPr>
          <w:rFonts w:hint="eastAsia" w:cs="仿宋_GB2312" w:asciiTheme="minorEastAsia" w:hAnsiTheme="minorEastAsia"/>
          <w:color w:val="000000"/>
          <w:szCs w:val="21"/>
          <w:shd w:val="clear" w:color="auto" w:fill="FFFFFF"/>
        </w:rPr>
        <w:t>投标人为电梯制造商的须具有《中华人民共和国特种设备制造许可证》（电梯）客梯B级资质及以上和《中华人民共和国特种设备安装改造维修许可证》（电梯）B级及以上（新版本按二证合一）</w:t>
      </w:r>
      <w:r>
        <w:rPr>
          <w:rFonts w:hint="eastAsia" w:cs="仿宋_GB2312" w:asciiTheme="minorEastAsia" w:hAnsiTheme="minorEastAsia"/>
          <w:color w:val="000000"/>
          <w:szCs w:val="21"/>
          <w:shd w:val="clear" w:color="auto" w:fill="FFFFFF"/>
          <w:lang w:eastAsia="zh-CN"/>
        </w:rPr>
        <w:t>。</w:t>
      </w:r>
    </w:p>
    <w:p>
      <w:pPr>
        <w:spacing w:line="500" w:lineRule="atLeast"/>
        <w:ind w:firstLine="420" w:firstLineChars="200"/>
        <w:jc w:val="left"/>
        <w:rPr>
          <w:rFonts w:hint="eastAsia" w:eastAsiaTheme="minorEastAsia"/>
          <w:lang w:val="en-US" w:eastAsia="zh-CN"/>
        </w:rPr>
      </w:pP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投标人为代理商的须具有有电梯（品牌）原制造商的《中华人民共和国特种设备制造许可证》（电梯）客梯B级资质及以上资质证书原件或复印件（复印件须加盖原制造商公章）（新版本按二证合一）和质量和技术监督部门颁发的《中华人民共和国特种设备安装改造维修许可证》（电梯）B级及以上（复印件须加盖原制造商公章）</w:t>
      </w:r>
      <w:r>
        <w:rPr>
          <w:rFonts w:hint="eastAsia" w:cs="仿宋_GB2312" w:asciiTheme="minorEastAsia" w:hAnsiTheme="minorEastAsia"/>
          <w:color w:val="000000"/>
          <w:szCs w:val="21"/>
          <w:shd w:val="clear" w:color="auto" w:fill="FFFFFF"/>
          <w:lang w:eastAsia="zh-CN"/>
        </w:rPr>
        <w:t>。</w:t>
      </w:r>
    </w:p>
    <w:p>
      <w:pPr>
        <w:spacing w:line="500" w:lineRule="atLeast"/>
        <w:ind w:firstLine="420" w:firstLineChars="200"/>
        <w:jc w:val="left"/>
        <w:rPr>
          <w:rFonts w:hint="eastAsia" w:eastAsiaTheme="minorEastAsia"/>
          <w:lang w:val="en-US" w:eastAsia="zh-CN"/>
        </w:rPr>
      </w:pPr>
      <w:r>
        <w:rPr>
          <w:rFonts w:hint="eastAsia" w:cs="仿宋_GB2312" w:asciiTheme="minorEastAsia" w:hAnsiTheme="minorEastAsia"/>
          <w:color w:val="000000"/>
          <w:szCs w:val="21"/>
          <w:shd w:val="clear" w:color="auto" w:fill="FFFFFF"/>
          <w:lang w:val="en-US" w:eastAsia="zh-CN"/>
        </w:rPr>
        <w:t>4</w:t>
      </w:r>
      <w:r>
        <w:rPr>
          <w:rFonts w:hint="eastAsia" w:cs="仿宋_GB2312" w:asciiTheme="minorEastAsia" w:hAnsiTheme="minorEastAsia"/>
          <w:color w:val="000000"/>
          <w:szCs w:val="21"/>
          <w:shd w:val="clear" w:color="auto" w:fill="FFFFFF"/>
        </w:rPr>
        <w:t>、本项目不接受联合体投标。</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四、获取谈判文件的方式</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http://ggzy.xuchang.gov.cn:8088/ggzy/eps/public/RegistAllJcxx.html）</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进行免费注册登记（详见“常见问题解答-诚信库网上注册相关资料下载”）；</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自行免费下载竞争性谈判文件（详见“常见问题解答-交易系统操作手册”）。</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五、响应文件提交截止时间及谈判响应截止时间、谈判时间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w:t>
      </w:r>
      <w:r>
        <w:rPr>
          <w:rFonts w:hint="eastAsia" w:cs="仿宋_GB2312" w:asciiTheme="minorEastAsia" w:hAnsiTheme="minorEastAsia"/>
          <w:color w:val="000000"/>
          <w:szCs w:val="21"/>
          <w:shd w:val="clear" w:color="auto" w:fill="FFFFFF"/>
          <w:lang w:val="en-US" w:eastAsia="zh-CN"/>
        </w:rPr>
        <w:t>2</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 xml:space="preserve">  1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  5</w:t>
      </w:r>
      <w:r>
        <w:rPr>
          <w:rFonts w:hint="eastAsia" w:cs="仿宋_GB2312" w:asciiTheme="minorEastAsia" w:hAnsiTheme="minorEastAsia"/>
          <w:color w:val="000000"/>
          <w:szCs w:val="21"/>
          <w:shd w:val="clear" w:color="auto" w:fill="FFFFFF"/>
        </w:rPr>
        <w:t xml:space="preserve">  日 </w:t>
      </w:r>
      <w:r>
        <w:rPr>
          <w:rFonts w:hint="eastAsia" w:cs="仿宋_GB2312" w:asciiTheme="minorEastAsia" w:hAnsiTheme="minorEastAsia"/>
          <w:color w:val="000000"/>
          <w:szCs w:val="21"/>
          <w:shd w:val="clear" w:color="auto" w:fill="FFFFFF"/>
          <w:lang w:val="en-US" w:eastAsia="zh-CN"/>
        </w:rPr>
        <w:t xml:space="preserve"> 10:30 </w:t>
      </w:r>
      <w:r>
        <w:rPr>
          <w:rFonts w:hint="eastAsia" w:cs="仿宋_GB2312" w:asciiTheme="minorEastAsia" w:hAnsiTheme="minorEastAsia"/>
          <w:color w:val="000000"/>
          <w:szCs w:val="21"/>
          <w:shd w:val="clear" w:color="auto" w:fill="FFFFFF"/>
        </w:rPr>
        <w:t>（北京时间），逾期送达或不符合规定的响应文件恕不接受。</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六、谈判响应文件开启</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（一）谈判响应文件开启地点：禹州市公共资源交易中心九楼第二开标室。（本项目采用远程不见面谈判，供应商无须到达现场）。</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 本项目为全流程电子化交易项目，供应商须提交电子响应文件。</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——点击“项目信息——项目名称”——在系统操作导航栏点击“开标——不见面开标大厅”。</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spacing w:line="500" w:lineRule="atLeast"/>
        <w:ind w:firstLine="422" w:firstLineChars="200"/>
        <w:jc w:val="left"/>
        <w:rPr>
          <w:rFonts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w:t>
      </w:r>
      <w:r>
        <w:rPr>
          <w:rFonts w:hint="eastAsia" w:cs="仿宋_GB2312" w:asciiTheme="minorEastAsia" w:hAnsiTheme="minorEastAsia"/>
          <w:color w:val="000000"/>
          <w:szCs w:val="21"/>
          <w:shd w:val="clear" w:color="auto" w:fill="FFFFFF"/>
          <w:lang w:val="en-US" w:eastAsia="zh-CN"/>
        </w:rPr>
        <w:t>1</w:t>
      </w:r>
      <w:r>
        <w:rPr>
          <w:rFonts w:hint="eastAsia" w:cs="仿宋_GB2312" w:asciiTheme="minorEastAsia" w:hAnsiTheme="minorEastAsia"/>
          <w:color w:val="000000"/>
          <w:szCs w:val="21"/>
          <w:shd w:val="clear" w:color="auto" w:fill="FFFFFF"/>
        </w:rPr>
        <w:t>房间</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520" w:lineRule="exact"/>
        <w:ind w:firstLine="420" w:firstLineChars="200"/>
        <w:jc w:val="left"/>
        <w:rPr>
          <w:rFonts w:ascii="宋体" w:hAnsi="宋体" w:eastAsia="宋体" w:cs="宋体"/>
          <w:color w:val="000000"/>
          <w:kern w:val="0"/>
          <w:sz w:val="28"/>
          <w:szCs w:val="28"/>
        </w:rPr>
      </w:pPr>
      <w:r>
        <w:rPr>
          <w:rFonts w:hint="eastAsia" w:cs="仿宋_GB2312" w:asciiTheme="minorEastAsia" w:hAnsiTheme="minorEastAsia"/>
          <w:color w:val="000000"/>
          <w:szCs w:val="21"/>
          <w:shd w:val="clear" w:color="auto" w:fill="FFFFFF"/>
        </w:rPr>
        <w:t>(二)采购单位：禹州市中心医院</w:t>
      </w:r>
    </w:p>
    <w:p>
      <w:pPr>
        <w:spacing w:line="500" w:lineRule="atLeas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w:t>
      </w:r>
    </w:p>
    <w:p>
      <w:pPr>
        <w:spacing w:line="500" w:lineRule="atLeast"/>
        <w:ind w:firstLine="420" w:firstLineChars="200"/>
        <w:jc w:val="left"/>
        <w:rPr>
          <w:rFonts w:hAnsi="宋体"/>
          <w:b/>
          <w:color w:val="000000"/>
          <w:szCs w:val="21"/>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孙</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8226077</w:t>
      </w:r>
    </w:p>
    <w:p>
      <w:pPr>
        <w:spacing w:line="360" w:lineRule="auto"/>
        <w:rPr>
          <w:rFonts w:hint="eastAsia" w:hAnsi="宋体"/>
          <w:b/>
          <w:color w:val="000000"/>
          <w:szCs w:val="21"/>
        </w:rPr>
      </w:pPr>
    </w:p>
    <w:p>
      <w:pPr>
        <w:spacing w:line="360" w:lineRule="auto"/>
        <w:rPr>
          <w:rFonts w:hint="eastAsia" w:hAnsi="宋体"/>
          <w:b/>
          <w:color w:val="000000"/>
          <w:szCs w:val="21"/>
        </w:rPr>
      </w:pPr>
    </w:p>
    <w:p>
      <w:pPr>
        <w:spacing w:line="360" w:lineRule="auto"/>
        <w:rPr>
          <w:rFonts w:hint="eastAsia" w:hAnsi="宋体"/>
          <w:b/>
          <w:color w:val="000000"/>
          <w:szCs w:val="21"/>
        </w:rPr>
      </w:pPr>
    </w:p>
    <w:p>
      <w:pPr>
        <w:spacing w:line="360" w:lineRule="auto"/>
        <w:rPr>
          <w:rFonts w:hint="eastAsia" w:hAnsi="宋体"/>
          <w:b/>
          <w:color w:val="000000"/>
          <w:szCs w:val="21"/>
        </w:rPr>
      </w:pPr>
    </w:p>
    <w:p>
      <w:pPr>
        <w:spacing w:line="360" w:lineRule="auto"/>
        <w:rPr>
          <w:rFonts w:hAnsi="宋体"/>
          <w:b/>
          <w:color w:val="000000"/>
          <w:szCs w:val="21"/>
        </w:rPr>
      </w:pPr>
      <w:r>
        <w:rPr>
          <w:rFonts w:hint="eastAsia" w:hAnsi="宋体"/>
          <w:b/>
          <w:color w:val="000000"/>
          <w:szCs w:val="21"/>
        </w:rPr>
        <w:t>温馨提示：</w:t>
      </w:r>
    </w:p>
    <w:p>
      <w:pPr>
        <w:tabs>
          <w:tab w:val="left" w:pos="7095"/>
        </w:tabs>
        <w:spacing w:line="360" w:lineRule="auto"/>
        <w:ind w:firstLine="422" w:firstLineChars="200"/>
        <w:contextualSpacing/>
        <w:rPr>
          <w:rFonts w:hAnsi="宋体"/>
          <w:b/>
          <w:color w:val="000000"/>
          <w:szCs w:val="21"/>
        </w:rPr>
      </w:pPr>
      <w:r>
        <w:rPr>
          <w:rFonts w:hint="eastAsia" w:hAnsi="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numPr>
          <w:ilvl w:val="0"/>
          <w:numId w:val="5"/>
        </w:numPr>
        <w:tabs>
          <w:tab w:val="left" w:pos="7095"/>
        </w:tabs>
        <w:spacing w:line="360" w:lineRule="auto"/>
        <w:ind w:firstLine="420" w:firstLineChars="200"/>
        <w:contextualSpacing/>
        <w:rPr>
          <w:rFonts w:hint="eastAsia" w:asciiTheme="minorEastAsia" w:hAnsiTheme="minorEastAsia"/>
          <w:color w:val="000000"/>
          <w:szCs w:val="21"/>
        </w:rPr>
      </w:pPr>
      <w:r>
        <w:rPr>
          <w:rFonts w:hint="eastAsia" w:asciiTheme="minorEastAsia" w:hAnsiTheme="minorEastAsia"/>
          <w:color w:val="000000"/>
          <w:szCs w:val="21"/>
        </w:rPr>
        <w:t>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pStyle w:val="2"/>
        <w:widowControl w:val="0"/>
        <w:numPr>
          <w:ilvl w:val="0"/>
          <w:numId w:val="0"/>
        </w:numPr>
        <w:spacing w:before="120"/>
        <w:jc w:val="both"/>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32"/>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r>
        <w:rPr>
          <w:rFonts w:hint="eastAsia" w:cs="仿宋_GB2312" w:asciiTheme="minorEastAsia" w:hAnsiTheme="minorEastAsia"/>
          <w:szCs w:val="21"/>
          <w:lang w:val="zh-CN"/>
        </w:rPr>
        <w:t>：本项目采购无机房乘客电梯1部，无机房医用电梯1部。</w:t>
      </w:r>
      <w:r>
        <w:rPr>
          <w:rFonts w:cs="黑体" w:asciiTheme="minorEastAsia" w:hAnsiTheme="minorEastAsia"/>
          <w:b/>
          <w:bCs/>
          <w:color w:val="000000"/>
          <w:sz w:val="24"/>
          <w:szCs w:val="24"/>
          <w:shd w:val="clear" w:color="auto" w:fill="FFFFFF"/>
          <w:lang w:val="zh-CN"/>
        </w:rPr>
        <w:t xml:space="preserve"> </w:t>
      </w:r>
      <w:r>
        <w:rPr>
          <w:rFonts w:hint="eastAsia" w:cs="仿宋_GB2312" w:asciiTheme="minorEastAsia" w:hAnsiTheme="minorEastAsia"/>
          <w:szCs w:val="21"/>
          <w:lang w:val="zh-CN"/>
        </w:rPr>
        <w:t>顺利推进现代中心医院医疗系统建设，确保医疗系统创建效果。</w:t>
      </w:r>
    </w:p>
    <w:p>
      <w:pPr>
        <w:pStyle w:val="55"/>
        <w:widowControl/>
        <w:numPr>
          <w:ilvl w:val="0"/>
          <w:numId w:val="0"/>
        </w:numPr>
        <w:shd w:val="clear" w:color="auto" w:fill="FFFFFF"/>
        <w:spacing w:line="360" w:lineRule="auto"/>
        <w:ind w:leftChars="0"/>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eastAsia="zh-CN"/>
        </w:rPr>
        <w:t>二、</w:t>
      </w:r>
      <w:r>
        <w:rPr>
          <w:rFonts w:hint="eastAsia" w:cs="黑体" w:asciiTheme="minorEastAsia" w:hAnsiTheme="minorEastAsia"/>
          <w:b/>
          <w:bCs/>
          <w:color w:val="000000"/>
          <w:sz w:val="24"/>
          <w:szCs w:val="24"/>
          <w:shd w:val="clear" w:color="auto" w:fill="FFFFFF"/>
        </w:rPr>
        <w:t>采购清单：</w:t>
      </w:r>
    </w:p>
    <w:p>
      <w:pPr>
        <w:jc w:val="center"/>
        <w:rPr>
          <w:rFonts w:ascii="宋体" w:hAnsi="宋体"/>
          <w:b/>
          <w:sz w:val="28"/>
        </w:rPr>
      </w:pPr>
      <w:r>
        <w:rPr>
          <w:rFonts w:hint="eastAsia" w:ascii="宋体" w:hAnsi="宋体"/>
          <w:b/>
          <w:sz w:val="28"/>
        </w:rPr>
        <w:t>电梯产品相关参数及功能要求</w:t>
      </w:r>
    </w:p>
    <w:p>
      <w:pPr>
        <w:pStyle w:val="12"/>
        <w:rPr>
          <w:sz w:val="20"/>
        </w:rPr>
      </w:pPr>
    </w:p>
    <w:tbl>
      <w:tblPr>
        <w:tblStyle w:val="27"/>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08"/>
        <w:gridCol w:w="709"/>
        <w:gridCol w:w="567"/>
        <w:gridCol w:w="992"/>
        <w:gridCol w:w="1047"/>
        <w:gridCol w:w="723"/>
        <w:gridCol w:w="723"/>
        <w:gridCol w:w="871"/>
        <w:gridCol w:w="880"/>
        <w:gridCol w:w="105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jc w:val="center"/>
        </w:trPr>
        <w:tc>
          <w:tcPr>
            <w:tcW w:w="535" w:type="dxa"/>
            <w:vAlign w:val="center"/>
          </w:tcPr>
          <w:p>
            <w:pPr>
              <w:jc w:val="center"/>
              <w:rPr>
                <w:rFonts w:cs="Times New Roman" w:asciiTheme="minorEastAsia" w:hAnsiTheme="minorEastAsia"/>
                <w:szCs w:val="21"/>
              </w:rPr>
            </w:pPr>
            <w:r>
              <w:rPr>
                <w:rFonts w:hint="eastAsia" w:cs="Times New Roman" w:asciiTheme="minorEastAsia" w:hAnsiTheme="minorEastAsia"/>
                <w:szCs w:val="21"/>
                <w:lang w:eastAsia="zh-CN"/>
              </w:rPr>
              <w:t>序</w:t>
            </w:r>
            <w:r>
              <w:rPr>
                <w:rFonts w:hint="eastAsia" w:cs="Times New Roman" w:asciiTheme="minorEastAsia" w:hAnsiTheme="minorEastAsia"/>
                <w:szCs w:val="21"/>
              </w:rPr>
              <w:t>号</w:t>
            </w:r>
          </w:p>
        </w:tc>
        <w:tc>
          <w:tcPr>
            <w:tcW w:w="1108"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电梯名称</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载重</w:t>
            </w:r>
          </w:p>
        </w:tc>
        <w:tc>
          <w:tcPr>
            <w:tcW w:w="56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速度</w:t>
            </w:r>
          </w:p>
        </w:tc>
        <w:tc>
          <w:tcPr>
            <w:tcW w:w="992"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层/站/门</w:t>
            </w:r>
          </w:p>
        </w:tc>
        <w:tc>
          <w:tcPr>
            <w:tcW w:w="1047"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rPr>
              <w:t>提升高度(mm)</w:t>
            </w:r>
          </w:p>
        </w:tc>
        <w:tc>
          <w:tcPr>
            <w:tcW w:w="723"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rPr>
              <w:t>底坑深度(mm)</w:t>
            </w:r>
          </w:p>
        </w:tc>
        <w:tc>
          <w:tcPr>
            <w:tcW w:w="723"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rPr>
              <w:t>顶层净高(mm)</w:t>
            </w:r>
          </w:p>
        </w:tc>
        <w:tc>
          <w:tcPr>
            <w:tcW w:w="871"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rPr>
              <w:t>井道内净尺寸宽×深(mm)</w:t>
            </w:r>
          </w:p>
        </w:tc>
        <w:tc>
          <w:tcPr>
            <w:tcW w:w="880" w:type="dxa"/>
            <w:vAlign w:val="center"/>
          </w:tcPr>
          <w:p>
            <w:pPr>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eastAsia="zh-CN"/>
              </w:rPr>
              <w:t>净</w:t>
            </w:r>
            <w:r>
              <w:rPr>
                <w:rFonts w:hint="eastAsia" w:cs="Times New Roman" w:asciiTheme="minorEastAsia" w:hAnsiTheme="minorEastAsia"/>
                <w:szCs w:val="21"/>
              </w:rPr>
              <w:t>开门尺寸</w:t>
            </w:r>
            <w:r>
              <w:rPr>
                <w:rFonts w:hint="eastAsia" w:cs="Times New Roman" w:asciiTheme="minorEastAsia" w:hAnsiTheme="minorEastAsia"/>
                <w:szCs w:val="21"/>
                <w:lang w:eastAsia="zh-CN"/>
              </w:rPr>
              <w:t>宽</w:t>
            </w:r>
            <w:r>
              <w:rPr>
                <w:rFonts w:hint="eastAsia" w:cs="Arial" w:asciiTheme="minorEastAsia" w:hAnsiTheme="minorEastAsia"/>
                <w:color w:val="000000"/>
                <w:kern w:val="0"/>
                <w:szCs w:val="21"/>
              </w:rPr>
              <w:t>×</w:t>
            </w:r>
            <w:r>
              <w:rPr>
                <w:rFonts w:hint="eastAsia" w:cs="Times New Roman" w:asciiTheme="minorEastAsia" w:hAnsiTheme="minorEastAsia"/>
                <w:szCs w:val="21"/>
                <w:lang w:val="en-US" w:eastAsia="zh-CN"/>
              </w:rPr>
              <w:t>高</w:t>
            </w:r>
            <w:r>
              <w:rPr>
                <w:rFonts w:hint="eastAsia" w:cs="Arial" w:asciiTheme="minorEastAsia" w:hAnsiTheme="minorEastAsia"/>
                <w:color w:val="000000"/>
                <w:kern w:val="0"/>
                <w:szCs w:val="21"/>
              </w:rPr>
              <w:t>(mm)</w:t>
            </w:r>
          </w:p>
        </w:tc>
        <w:tc>
          <w:tcPr>
            <w:tcW w:w="105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开门方式</w:t>
            </w:r>
          </w:p>
        </w:tc>
        <w:tc>
          <w:tcPr>
            <w:tcW w:w="66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3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108"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无机房乘客电梯</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800</w:t>
            </w:r>
          </w:p>
        </w:tc>
        <w:tc>
          <w:tcPr>
            <w:tcW w:w="56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1.0</w:t>
            </w:r>
          </w:p>
        </w:tc>
        <w:tc>
          <w:tcPr>
            <w:tcW w:w="992" w:type="dxa"/>
            <w:vAlign w:val="center"/>
          </w:tcPr>
          <w:p>
            <w:pPr>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5</w:t>
            </w:r>
            <w:r>
              <w:rPr>
                <w:rFonts w:hint="eastAsia" w:cs="Times New Roman" w:asciiTheme="minorEastAsia" w:hAnsiTheme="minorEastAsia"/>
                <w:szCs w:val="21"/>
              </w:rPr>
              <w:t>/</w:t>
            </w:r>
            <w:r>
              <w:rPr>
                <w:rFonts w:hint="eastAsia" w:cs="Times New Roman" w:asciiTheme="minorEastAsia" w:hAnsiTheme="minorEastAsia"/>
                <w:szCs w:val="21"/>
                <w:lang w:val="en-US" w:eastAsia="zh-CN"/>
              </w:rPr>
              <w:t>5</w:t>
            </w:r>
            <w:r>
              <w:rPr>
                <w:rFonts w:hint="eastAsia" w:cs="Times New Roman" w:asciiTheme="minorEastAsia" w:hAnsiTheme="minorEastAsia"/>
                <w:szCs w:val="21"/>
              </w:rPr>
              <w:t>/</w:t>
            </w:r>
            <w:r>
              <w:rPr>
                <w:rFonts w:hint="eastAsia" w:cs="Times New Roman" w:asciiTheme="minorEastAsia" w:hAnsiTheme="minorEastAsia"/>
                <w:szCs w:val="21"/>
                <w:lang w:val="en-US" w:eastAsia="zh-CN"/>
              </w:rPr>
              <w:t>5</w:t>
            </w:r>
          </w:p>
        </w:tc>
        <w:tc>
          <w:tcPr>
            <w:tcW w:w="1047"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rPr>
              <w:t>1</w:t>
            </w:r>
            <w:r>
              <w:rPr>
                <w:rFonts w:hint="eastAsia" w:cs="Arial" w:asciiTheme="minorEastAsia" w:hAnsiTheme="minorEastAsia"/>
                <w:color w:val="000000"/>
                <w:kern w:val="0"/>
                <w:szCs w:val="21"/>
                <w:lang w:val="en-US" w:eastAsia="zh-CN"/>
              </w:rPr>
              <w:t>65</w:t>
            </w:r>
            <w:r>
              <w:rPr>
                <w:rFonts w:hint="eastAsia" w:cs="Arial" w:asciiTheme="minorEastAsia" w:hAnsiTheme="minorEastAsia"/>
                <w:color w:val="000000"/>
                <w:kern w:val="0"/>
                <w:szCs w:val="21"/>
              </w:rPr>
              <w:t>00</w:t>
            </w:r>
          </w:p>
        </w:tc>
        <w:tc>
          <w:tcPr>
            <w:tcW w:w="723"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rPr>
              <w:t>1</w:t>
            </w:r>
            <w:r>
              <w:rPr>
                <w:rFonts w:hint="eastAsia" w:cs="Arial" w:asciiTheme="minorEastAsia" w:hAnsiTheme="minorEastAsia"/>
                <w:color w:val="000000"/>
                <w:kern w:val="0"/>
                <w:szCs w:val="21"/>
                <w:lang w:val="en-US" w:eastAsia="zh-CN"/>
              </w:rPr>
              <w:t>50</w:t>
            </w:r>
            <w:r>
              <w:rPr>
                <w:rFonts w:hint="eastAsia" w:cs="Arial" w:asciiTheme="minorEastAsia" w:hAnsiTheme="minorEastAsia"/>
                <w:color w:val="000000"/>
                <w:kern w:val="0"/>
                <w:szCs w:val="21"/>
              </w:rPr>
              <w:t>0</w:t>
            </w:r>
          </w:p>
        </w:tc>
        <w:tc>
          <w:tcPr>
            <w:tcW w:w="723"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lang w:val="en-US" w:eastAsia="zh-CN"/>
              </w:rPr>
              <w:t>42</w:t>
            </w:r>
            <w:r>
              <w:rPr>
                <w:rFonts w:hint="eastAsia" w:cs="Arial" w:asciiTheme="minorEastAsia" w:hAnsiTheme="minorEastAsia"/>
                <w:color w:val="000000"/>
                <w:kern w:val="0"/>
                <w:szCs w:val="21"/>
              </w:rPr>
              <w:t>00</w:t>
            </w:r>
          </w:p>
        </w:tc>
        <w:tc>
          <w:tcPr>
            <w:tcW w:w="871"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lang w:val="en-US" w:eastAsia="zh-CN"/>
              </w:rPr>
              <w:t>178</w:t>
            </w:r>
            <w:r>
              <w:rPr>
                <w:rFonts w:hint="eastAsia" w:cs="Arial" w:asciiTheme="minorEastAsia" w:hAnsiTheme="minorEastAsia"/>
                <w:color w:val="000000"/>
                <w:kern w:val="0"/>
                <w:szCs w:val="21"/>
              </w:rPr>
              <w:t>0×</w:t>
            </w:r>
            <w:r>
              <w:rPr>
                <w:rFonts w:hint="eastAsia" w:cs="Arial" w:asciiTheme="minorEastAsia" w:hAnsiTheme="minorEastAsia"/>
                <w:color w:val="000000"/>
                <w:kern w:val="0"/>
                <w:szCs w:val="21"/>
                <w:lang w:val="en-US" w:eastAsia="zh-CN"/>
              </w:rPr>
              <w:t>197</w:t>
            </w:r>
            <w:r>
              <w:rPr>
                <w:rFonts w:hint="eastAsia" w:cs="Arial" w:asciiTheme="minorEastAsia" w:hAnsiTheme="minorEastAsia"/>
                <w:color w:val="000000"/>
                <w:kern w:val="0"/>
                <w:szCs w:val="21"/>
              </w:rPr>
              <w:t>0</w:t>
            </w:r>
          </w:p>
        </w:tc>
        <w:tc>
          <w:tcPr>
            <w:tcW w:w="880" w:type="dxa"/>
            <w:vAlign w:val="center"/>
          </w:tcPr>
          <w:p>
            <w:pPr>
              <w:jc w:val="center"/>
              <w:rPr>
                <w:rFonts w:cs="Times New Roman" w:asciiTheme="minorEastAsia" w:hAnsiTheme="minorEastAsia"/>
                <w:szCs w:val="21"/>
              </w:rPr>
            </w:pPr>
            <w:r>
              <w:rPr>
                <w:rFonts w:hint="eastAsia" w:cs="Times New Roman" w:asciiTheme="minorEastAsia" w:hAnsiTheme="minorEastAsia"/>
                <w:szCs w:val="21"/>
                <w:lang w:val="en-US" w:eastAsia="zh-CN"/>
              </w:rPr>
              <w:t>7</w:t>
            </w:r>
            <w:r>
              <w:rPr>
                <w:rFonts w:hint="eastAsia" w:cs="Times New Roman" w:asciiTheme="minorEastAsia" w:hAnsiTheme="minorEastAsia"/>
                <w:szCs w:val="21"/>
              </w:rPr>
              <w:t>00</w:t>
            </w:r>
            <w:r>
              <w:rPr>
                <w:rFonts w:hint="eastAsia" w:cs="Arial" w:asciiTheme="minorEastAsia" w:hAnsiTheme="minorEastAsia"/>
                <w:color w:val="000000"/>
                <w:kern w:val="0"/>
                <w:szCs w:val="21"/>
              </w:rPr>
              <w:t>×</w:t>
            </w:r>
            <w:r>
              <w:rPr>
                <w:rFonts w:hint="eastAsia" w:cs="Times New Roman" w:asciiTheme="minorEastAsia" w:hAnsiTheme="minorEastAsia"/>
                <w:szCs w:val="21"/>
              </w:rPr>
              <w:t>2100</w:t>
            </w:r>
          </w:p>
        </w:tc>
        <w:tc>
          <w:tcPr>
            <w:tcW w:w="1059" w:type="dxa"/>
            <w:vAlign w:val="center"/>
          </w:tcPr>
          <w:p>
            <w:pPr>
              <w:jc w:val="center"/>
              <w:rPr>
                <w:rFonts w:cs="Times New Roman" w:asciiTheme="minorEastAsia" w:hAnsiTheme="minorEastAsia"/>
                <w:color w:val="auto"/>
                <w:szCs w:val="21"/>
              </w:rPr>
            </w:pPr>
            <w:r>
              <w:rPr>
                <w:rFonts w:hint="eastAsia" w:cs="Times New Roman" w:asciiTheme="minorEastAsia" w:hAnsiTheme="minorEastAsia"/>
                <w:color w:val="auto"/>
                <w:szCs w:val="21"/>
              </w:rPr>
              <w:t>中分</w:t>
            </w:r>
          </w:p>
        </w:tc>
        <w:tc>
          <w:tcPr>
            <w:tcW w:w="66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3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1108"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无障碍功能/无机房医用电梯</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1600</w:t>
            </w:r>
          </w:p>
        </w:tc>
        <w:tc>
          <w:tcPr>
            <w:tcW w:w="56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1.0</w:t>
            </w:r>
          </w:p>
        </w:tc>
        <w:tc>
          <w:tcPr>
            <w:tcW w:w="992" w:type="dxa"/>
            <w:vAlign w:val="center"/>
          </w:tcPr>
          <w:p>
            <w:pPr>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5</w:t>
            </w:r>
            <w:r>
              <w:rPr>
                <w:rFonts w:hint="eastAsia" w:cs="Times New Roman" w:asciiTheme="minorEastAsia" w:hAnsiTheme="minorEastAsia"/>
                <w:szCs w:val="21"/>
              </w:rPr>
              <w:t>/</w:t>
            </w:r>
            <w:r>
              <w:rPr>
                <w:rFonts w:hint="eastAsia" w:cs="Times New Roman" w:asciiTheme="minorEastAsia" w:hAnsiTheme="minorEastAsia"/>
                <w:szCs w:val="21"/>
                <w:lang w:val="en-US" w:eastAsia="zh-CN"/>
              </w:rPr>
              <w:t>5</w:t>
            </w:r>
            <w:r>
              <w:rPr>
                <w:rFonts w:hint="eastAsia" w:cs="Times New Roman" w:asciiTheme="minorEastAsia" w:hAnsiTheme="minorEastAsia"/>
                <w:szCs w:val="21"/>
              </w:rPr>
              <w:t>/</w:t>
            </w:r>
            <w:r>
              <w:rPr>
                <w:rFonts w:hint="eastAsia" w:cs="Times New Roman" w:asciiTheme="minorEastAsia" w:hAnsiTheme="minorEastAsia"/>
                <w:szCs w:val="21"/>
                <w:lang w:val="en-US" w:eastAsia="zh-CN"/>
              </w:rPr>
              <w:t>5</w:t>
            </w:r>
          </w:p>
        </w:tc>
        <w:tc>
          <w:tcPr>
            <w:tcW w:w="1047"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rPr>
              <w:t>1</w:t>
            </w:r>
            <w:r>
              <w:rPr>
                <w:rFonts w:hint="eastAsia" w:cs="Arial" w:asciiTheme="minorEastAsia" w:hAnsiTheme="minorEastAsia"/>
                <w:color w:val="000000"/>
                <w:kern w:val="0"/>
                <w:szCs w:val="21"/>
                <w:lang w:val="en-US" w:eastAsia="zh-CN"/>
              </w:rPr>
              <w:t>65</w:t>
            </w:r>
            <w:r>
              <w:rPr>
                <w:rFonts w:hint="eastAsia" w:cs="Arial" w:asciiTheme="minorEastAsia" w:hAnsiTheme="minorEastAsia"/>
                <w:color w:val="000000"/>
                <w:kern w:val="0"/>
                <w:szCs w:val="21"/>
              </w:rPr>
              <w:t>00</w:t>
            </w:r>
          </w:p>
        </w:tc>
        <w:tc>
          <w:tcPr>
            <w:tcW w:w="723"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rPr>
              <w:t>1</w:t>
            </w:r>
            <w:r>
              <w:rPr>
                <w:rFonts w:hint="eastAsia" w:cs="Arial" w:asciiTheme="minorEastAsia" w:hAnsiTheme="minorEastAsia"/>
                <w:color w:val="000000"/>
                <w:kern w:val="0"/>
                <w:szCs w:val="21"/>
                <w:lang w:val="en-US" w:eastAsia="zh-CN"/>
              </w:rPr>
              <w:t>50</w:t>
            </w:r>
            <w:r>
              <w:rPr>
                <w:rFonts w:hint="eastAsia" w:cs="Arial" w:asciiTheme="minorEastAsia" w:hAnsiTheme="minorEastAsia"/>
                <w:color w:val="000000"/>
                <w:kern w:val="0"/>
                <w:szCs w:val="21"/>
              </w:rPr>
              <w:t>0</w:t>
            </w:r>
          </w:p>
        </w:tc>
        <w:tc>
          <w:tcPr>
            <w:tcW w:w="723"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lang w:val="en-US" w:eastAsia="zh-CN"/>
              </w:rPr>
              <w:t>45</w:t>
            </w:r>
            <w:r>
              <w:rPr>
                <w:rFonts w:hint="eastAsia" w:cs="Arial" w:asciiTheme="minorEastAsia" w:hAnsiTheme="minorEastAsia"/>
                <w:color w:val="000000"/>
                <w:kern w:val="0"/>
                <w:szCs w:val="21"/>
              </w:rPr>
              <w:t>00</w:t>
            </w:r>
          </w:p>
        </w:tc>
        <w:tc>
          <w:tcPr>
            <w:tcW w:w="871" w:type="dxa"/>
            <w:vAlign w:val="center"/>
          </w:tcPr>
          <w:p>
            <w:pPr>
              <w:widowControl/>
              <w:jc w:val="center"/>
              <w:rPr>
                <w:rFonts w:cs="Times New Roman" w:asciiTheme="minorEastAsia" w:hAnsiTheme="minorEastAsia"/>
                <w:szCs w:val="21"/>
              </w:rPr>
            </w:pPr>
            <w:r>
              <w:rPr>
                <w:rFonts w:hint="eastAsia" w:cs="Arial" w:asciiTheme="minorEastAsia" w:hAnsiTheme="minorEastAsia"/>
                <w:color w:val="000000"/>
                <w:kern w:val="0"/>
                <w:szCs w:val="21"/>
                <w:lang w:val="en-US" w:eastAsia="zh-CN"/>
              </w:rPr>
              <w:t>249</w:t>
            </w:r>
            <w:r>
              <w:rPr>
                <w:rFonts w:hint="eastAsia" w:cs="Arial" w:asciiTheme="minorEastAsia" w:hAnsiTheme="minorEastAsia"/>
                <w:color w:val="000000"/>
                <w:kern w:val="0"/>
                <w:szCs w:val="21"/>
              </w:rPr>
              <w:t>0×</w:t>
            </w:r>
            <w:r>
              <w:rPr>
                <w:rFonts w:hint="eastAsia" w:cs="Arial" w:asciiTheme="minorEastAsia" w:hAnsiTheme="minorEastAsia"/>
                <w:color w:val="000000"/>
                <w:kern w:val="0"/>
                <w:szCs w:val="21"/>
                <w:lang w:val="en-US" w:eastAsia="zh-CN"/>
              </w:rPr>
              <w:t>338</w:t>
            </w:r>
            <w:r>
              <w:rPr>
                <w:rFonts w:hint="eastAsia" w:cs="Arial" w:asciiTheme="minorEastAsia" w:hAnsiTheme="minorEastAsia"/>
                <w:color w:val="000000"/>
                <w:kern w:val="0"/>
                <w:szCs w:val="21"/>
              </w:rPr>
              <w:t>0</w:t>
            </w:r>
          </w:p>
        </w:tc>
        <w:tc>
          <w:tcPr>
            <w:tcW w:w="88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1100</w:t>
            </w:r>
            <w:r>
              <w:rPr>
                <w:rFonts w:hint="eastAsia" w:cs="Arial" w:asciiTheme="minorEastAsia" w:hAnsiTheme="minorEastAsia"/>
                <w:color w:val="000000"/>
                <w:kern w:val="0"/>
                <w:szCs w:val="21"/>
              </w:rPr>
              <w:t>×</w:t>
            </w:r>
            <w:r>
              <w:rPr>
                <w:rFonts w:hint="eastAsia" w:cs="Times New Roman" w:asciiTheme="minorEastAsia" w:hAnsiTheme="minorEastAsia"/>
                <w:szCs w:val="21"/>
              </w:rPr>
              <w:t>2100</w:t>
            </w:r>
          </w:p>
        </w:tc>
        <w:tc>
          <w:tcPr>
            <w:tcW w:w="1059" w:type="dxa"/>
            <w:vAlign w:val="center"/>
          </w:tcPr>
          <w:p>
            <w:pPr>
              <w:jc w:val="center"/>
              <w:rPr>
                <w:rFonts w:cs="Times New Roman" w:asciiTheme="minorEastAsia" w:hAnsiTheme="minorEastAsia"/>
                <w:color w:val="auto"/>
                <w:szCs w:val="21"/>
              </w:rPr>
            </w:pPr>
            <w:r>
              <w:rPr>
                <w:rFonts w:hint="eastAsia" w:cs="Times New Roman" w:asciiTheme="minorEastAsia" w:hAnsiTheme="minorEastAsia"/>
                <w:color w:val="auto"/>
                <w:szCs w:val="21"/>
              </w:rPr>
              <w:t>旁开</w:t>
            </w:r>
          </w:p>
        </w:tc>
        <w:tc>
          <w:tcPr>
            <w:tcW w:w="66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无</w:t>
            </w:r>
          </w:p>
        </w:tc>
      </w:tr>
    </w:tbl>
    <w:p>
      <w:pPr>
        <w:widowControl/>
        <w:shd w:val="clear" w:color="auto" w:fill="FFFFFF"/>
        <w:spacing w:line="360" w:lineRule="auto"/>
        <w:jc w:val="left"/>
        <w:rPr>
          <w:rFonts w:cs="宋体" w:asciiTheme="minorEastAsia" w:hAnsiTheme="minorEastAsia"/>
          <w:color w:val="000000"/>
          <w:kern w:val="0"/>
          <w:szCs w:val="21"/>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1</w:t>
      </w:r>
      <w:r>
        <w:rPr>
          <w:rFonts w:hint="eastAsia" w:cs="仿宋_GB2312" w:asciiTheme="minorEastAsia" w:hAnsiTheme="minorEastAsia"/>
          <w:b/>
          <w:bCs/>
          <w:szCs w:val="21"/>
          <w:lang w:val="en-US" w:eastAsia="zh-CN"/>
        </w:rPr>
        <w:t>.</w:t>
      </w:r>
      <w:r>
        <w:rPr>
          <w:rFonts w:hint="eastAsia" w:cs="仿宋_GB2312" w:asciiTheme="minorEastAsia" w:hAnsiTheme="minorEastAsia"/>
          <w:b/>
          <w:bCs/>
          <w:szCs w:val="21"/>
          <w:lang w:val="zh-CN"/>
        </w:rPr>
        <w:t xml:space="preserve">主要部件清单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1.1 </w:t>
      </w:r>
      <w:r>
        <w:rPr>
          <w:rFonts w:hint="eastAsia" w:cs="仿宋_GB2312" w:asciiTheme="minorEastAsia" w:hAnsiTheme="minorEastAsia"/>
          <w:szCs w:val="21"/>
          <w:lang w:val="zh-CN"/>
        </w:rPr>
        <w:t xml:space="preserve">控制柜：控制主板及变频器。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1.2 </w:t>
      </w:r>
      <w:r>
        <w:rPr>
          <w:rFonts w:hint="eastAsia" w:cs="仿宋_GB2312" w:asciiTheme="minorEastAsia" w:hAnsiTheme="minorEastAsia"/>
          <w:szCs w:val="21"/>
          <w:lang w:val="zh-CN"/>
        </w:rPr>
        <w:t xml:space="preserve">曳引机旋转编码器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1.3 </w:t>
      </w:r>
      <w:r>
        <w:rPr>
          <w:rFonts w:hint="eastAsia" w:cs="仿宋_GB2312" w:asciiTheme="minorEastAsia" w:hAnsiTheme="minorEastAsia"/>
          <w:szCs w:val="21"/>
          <w:lang w:val="zh-CN"/>
        </w:rPr>
        <w:t xml:space="preserve">门机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1.4 </w:t>
      </w:r>
      <w:r>
        <w:rPr>
          <w:rFonts w:hint="eastAsia" w:cs="仿宋_GB2312" w:asciiTheme="minorEastAsia" w:hAnsiTheme="minorEastAsia"/>
          <w:szCs w:val="21"/>
          <w:lang w:val="zh-CN"/>
        </w:rPr>
        <w:t xml:space="preserve">门光幕保护（足够光束）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1.5 </w:t>
      </w:r>
      <w:r>
        <w:rPr>
          <w:rFonts w:hint="eastAsia" w:cs="仿宋_GB2312" w:asciiTheme="minorEastAsia" w:hAnsiTheme="minorEastAsia"/>
          <w:szCs w:val="21"/>
          <w:lang w:val="zh-CN"/>
        </w:rPr>
        <w:t>轿厢称重装置</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1.6 </w:t>
      </w:r>
      <w:r>
        <w:rPr>
          <w:rFonts w:hint="eastAsia" w:cs="仿宋_GB2312" w:asciiTheme="minorEastAsia" w:hAnsiTheme="minorEastAsia"/>
          <w:szCs w:val="21"/>
          <w:lang w:val="zh-CN"/>
        </w:rPr>
        <w:t xml:space="preserve">限速器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1.7 </w:t>
      </w:r>
      <w:r>
        <w:rPr>
          <w:rFonts w:hint="eastAsia" w:cs="仿宋_GB2312" w:asciiTheme="minorEastAsia" w:hAnsiTheme="minorEastAsia"/>
          <w:szCs w:val="21"/>
          <w:lang w:val="zh-CN"/>
        </w:rPr>
        <w:t xml:space="preserve">缓冲器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1.8 </w:t>
      </w:r>
      <w:r>
        <w:rPr>
          <w:rFonts w:hint="eastAsia" w:cs="仿宋_GB2312" w:asciiTheme="minorEastAsia" w:hAnsiTheme="minorEastAsia"/>
          <w:szCs w:val="21"/>
          <w:lang w:val="zh-CN"/>
        </w:rPr>
        <w:t xml:space="preserve">钢丝绳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1.9 </w:t>
      </w:r>
      <w:r>
        <w:rPr>
          <w:rFonts w:hint="eastAsia" w:cs="仿宋_GB2312" w:asciiTheme="minorEastAsia" w:hAnsiTheme="minorEastAsia"/>
          <w:szCs w:val="21"/>
          <w:lang w:val="zh-CN"/>
        </w:rPr>
        <w:t xml:space="preserve">导靴及靴衬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1.10 </w:t>
      </w:r>
      <w:r>
        <w:rPr>
          <w:rFonts w:hint="eastAsia" w:cs="仿宋_GB2312" w:asciiTheme="minorEastAsia" w:hAnsiTheme="minorEastAsia"/>
          <w:szCs w:val="21"/>
          <w:lang w:val="zh-CN"/>
        </w:rPr>
        <w:t xml:space="preserve">外呼梯按钮盒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1.11 </w:t>
      </w:r>
      <w:r>
        <w:rPr>
          <w:rFonts w:hint="eastAsia" w:cs="仿宋_GB2312" w:asciiTheme="minorEastAsia" w:hAnsiTheme="minorEastAsia"/>
          <w:szCs w:val="21"/>
          <w:lang w:val="zh-CN"/>
        </w:rPr>
        <w:t xml:space="preserve">轿箱内控制操纵盘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2</w:t>
      </w:r>
      <w:r>
        <w:rPr>
          <w:rFonts w:hint="eastAsia" w:cs="仿宋_GB2312" w:asciiTheme="minorEastAsia" w:hAnsiTheme="minorEastAsia"/>
          <w:b/>
          <w:bCs/>
          <w:szCs w:val="21"/>
          <w:lang w:val="en-US" w:eastAsia="zh-CN"/>
        </w:rPr>
        <w:t>.</w:t>
      </w:r>
      <w:r>
        <w:rPr>
          <w:rFonts w:hint="eastAsia" w:cs="仿宋_GB2312" w:asciiTheme="minorEastAsia" w:hAnsiTheme="minorEastAsia"/>
          <w:b/>
          <w:bCs/>
          <w:szCs w:val="21"/>
          <w:lang w:val="zh-CN"/>
        </w:rPr>
        <w:t xml:space="preserve">电梯系统要求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要求提供独资或合资电梯制造企业生产的最新电梯产品，其质量上乘，采用最新全电脑数据网络化控制技术，使电梯具有高运行效率和舒适平稳的驱动性能，具有节能和便于维修保养的故障诊断等系统。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2.1 </w:t>
      </w:r>
      <w:r>
        <w:rPr>
          <w:rFonts w:hint="eastAsia" w:cs="仿宋_GB2312" w:asciiTheme="minorEastAsia" w:hAnsiTheme="minorEastAsia"/>
          <w:szCs w:val="21"/>
          <w:lang w:val="zh-CN"/>
        </w:rPr>
        <w:t xml:space="preserve">远程控制：投标人所提供电梯需具有远程控制接口，以便于招标人未来使用电梯增加此项功能。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2.2 </w:t>
      </w:r>
      <w:r>
        <w:rPr>
          <w:rFonts w:hint="eastAsia" w:cs="仿宋_GB2312" w:asciiTheme="minorEastAsia" w:hAnsiTheme="minorEastAsia"/>
          <w:szCs w:val="21"/>
          <w:lang w:val="zh-CN"/>
        </w:rPr>
        <w:t xml:space="preserve">型号规格：在满足技术规格及要求的条件下，各投标单位提供生产厂家所推出的最新技术产品。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2.3 </w:t>
      </w:r>
      <w:r>
        <w:rPr>
          <w:rFonts w:hint="eastAsia" w:cs="仿宋_GB2312" w:asciiTheme="minorEastAsia" w:hAnsiTheme="minorEastAsia"/>
          <w:szCs w:val="21"/>
          <w:lang w:val="zh-CN"/>
        </w:rPr>
        <w:t xml:space="preserve">供电电源：交流 380 伏，三相五线，50 赫兹；照明电源 220 伏，50 赫兹。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2.4 </w:t>
      </w:r>
      <w:r>
        <w:rPr>
          <w:rFonts w:hint="eastAsia" w:cs="仿宋_GB2312" w:asciiTheme="minorEastAsia" w:hAnsiTheme="minorEastAsia"/>
          <w:szCs w:val="21"/>
          <w:lang w:val="zh-CN"/>
        </w:rPr>
        <w:t xml:space="preserve">噪音水平：机房内平均噪声值≤80dB,运行轿箱内最大噪声值≤55dB,开关门过程中最大噪声值≤55dB。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2.5 </w:t>
      </w:r>
      <w:r>
        <w:rPr>
          <w:rFonts w:hint="eastAsia" w:cs="仿宋_GB2312" w:asciiTheme="minorEastAsia" w:hAnsiTheme="minorEastAsia"/>
          <w:szCs w:val="21"/>
          <w:lang w:val="zh-CN"/>
        </w:rPr>
        <w:t xml:space="preserve">控制系统：采用全电脑模块化串行分散控制系统，串行传输通讯应能满足抗干扰能力强、实时性高、通信容量大等要求。拖动部分要求采用 VVVF 变压变频调速的拖动技术。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2.6 </w:t>
      </w:r>
      <w:r>
        <w:rPr>
          <w:rFonts w:hint="eastAsia" w:cs="仿宋_GB2312" w:asciiTheme="minorEastAsia" w:hAnsiTheme="minorEastAsia"/>
          <w:szCs w:val="21"/>
          <w:lang w:val="zh-CN"/>
        </w:rPr>
        <w:t xml:space="preserve">楼宇控制接口：控制系统提供通用的串行通信接口和开放式协议。应提供完整的五方通话系统，满足验收要求。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2.7 </w:t>
      </w:r>
      <w:r>
        <w:rPr>
          <w:rFonts w:hint="eastAsia" w:cs="仿宋_GB2312" w:asciiTheme="minorEastAsia" w:hAnsiTheme="minorEastAsia"/>
          <w:szCs w:val="21"/>
          <w:lang w:val="zh-CN"/>
        </w:rPr>
        <w:t>曳引机：要求提供高效节能和具有良好动力特性的先进永磁同步无齿轮曳引机</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提供曳引式客梯及病床电梯整机型式试验报告原件扫描件或图片。</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2.8 </w:t>
      </w:r>
      <w:r>
        <w:rPr>
          <w:rFonts w:hint="eastAsia" w:cs="仿宋_GB2312" w:asciiTheme="minorEastAsia" w:hAnsiTheme="minorEastAsia"/>
          <w:szCs w:val="21"/>
          <w:lang w:val="zh-CN"/>
        </w:rPr>
        <w:t xml:space="preserve">电梯机房：无机房。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2.9 </w:t>
      </w:r>
      <w:r>
        <w:rPr>
          <w:rFonts w:hint="eastAsia" w:cs="仿宋_GB2312" w:asciiTheme="minorEastAsia" w:hAnsiTheme="minorEastAsia"/>
          <w:szCs w:val="21"/>
          <w:lang w:val="zh-CN"/>
        </w:rPr>
        <w:t xml:space="preserve">轿厢：304发纹不锈钢材质，在所提供的井道尺寸基础上，要求提供最大尺寸的标准轿厢。轿体要求制作精良，连接紧固，抗变形能力强，符合相关安全标准，要求采用滑动式导靴装置与渐进式安全钳；轿厢外顶部设置轿顶防护栏杆，装设语音报站功能；轿厢内照明和换气设备良好耐用，有断电应急照明、无噪音排风机，轿门边设置一体式发纹不锈钢操纵箱。投标品牌电梯控制系统（一体机）具备EMC检测报告。提供第三方出具的证明原件扫描件（或图片）。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2.10 </w:t>
      </w:r>
      <w:r>
        <w:rPr>
          <w:rFonts w:hint="eastAsia" w:cs="仿宋_GB2312" w:asciiTheme="minorEastAsia" w:hAnsiTheme="minorEastAsia"/>
          <w:szCs w:val="21"/>
          <w:lang w:val="zh-CN"/>
        </w:rPr>
        <w:t xml:space="preserve">轿厢内控制操纵盘：要求设有内层数显示器（具体要求与外层数显示器相同）、上下行运行方向、状态显示灯、对讲机和内呼叫按钮等，提供给乘客方便的操作和显示电梯的主要运行状态并注明厂家商标。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2.11 </w:t>
      </w:r>
      <w:r>
        <w:rPr>
          <w:rFonts w:hint="eastAsia" w:cs="仿宋_GB2312" w:asciiTheme="minorEastAsia" w:hAnsiTheme="minorEastAsia"/>
          <w:szCs w:val="21"/>
          <w:lang w:val="zh-CN"/>
        </w:rPr>
        <w:t xml:space="preserve">门机系统：要求采用不低于交流 VVVF 控制技术的变频门机，双门传动要求采用先进的传动机构，门保护装置采用光幕式。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2.12 </w:t>
      </w:r>
      <w:r>
        <w:rPr>
          <w:rFonts w:hint="eastAsia" w:cs="仿宋_GB2312" w:asciiTheme="minorEastAsia" w:hAnsiTheme="minorEastAsia"/>
          <w:szCs w:val="21"/>
          <w:lang w:val="zh-CN"/>
        </w:rPr>
        <w:t>轿门：304发纹不锈钢材质，序号</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要求提供中分自动门，序号</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要求双折旁开自动门</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 xml:space="preserve">灵活自如，安静快捷。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2.13 </w:t>
      </w:r>
      <w:r>
        <w:rPr>
          <w:rFonts w:hint="eastAsia" w:cs="仿宋_GB2312" w:asciiTheme="minorEastAsia" w:hAnsiTheme="minorEastAsia"/>
          <w:szCs w:val="21"/>
          <w:lang w:val="zh-CN"/>
        </w:rPr>
        <w:t xml:space="preserve">光幕门保护装置：要求该装置有足够光束数交叉形成保护光幕，光幕上下端满至门顶和门底。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2.14 </w:t>
      </w:r>
      <w:r>
        <w:rPr>
          <w:rFonts w:hint="eastAsia" w:cs="仿宋_GB2312" w:asciiTheme="minorEastAsia" w:hAnsiTheme="minorEastAsia"/>
          <w:szCs w:val="21"/>
          <w:lang w:val="zh-CN"/>
        </w:rPr>
        <w:t>层门：所有厅门为304发纹不锈钢材质且耐火</w:t>
      </w:r>
      <w:r>
        <w:rPr>
          <w:rFonts w:hint="eastAsia" w:cs="仿宋_GB2312" w:asciiTheme="minorEastAsia" w:hAnsiTheme="minorEastAsia"/>
          <w:szCs w:val="21"/>
          <w:lang w:val="en-US" w:eastAsia="zh-CN"/>
        </w:rPr>
        <w:t>不低于</w:t>
      </w:r>
      <w:r>
        <w:rPr>
          <w:rFonts w:hint="eastAsia" w:cs="仿宋_GB2312" w:asciiTheme="minorEastAsia" w:hAnsiTheme="minorEastAsia"/>
          <w:szCs w:val="21"/>
          <w:lang w:val="zh-CN"/>
        </w:rPr>
        <w:t xml:space="preserve">1h,层门门套均选用304发纹不锈钢大门套。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2.15 </w:t>
      </w:r>
      <w:r>
        <w:rPr>
          <w:rFonts w:hint="eastAsia" w:cs="仿宋_GB2312" w:asciiTheme="minorEastAsia" w:hAnsiTheme="minorEastAsia"/>
          <w:szCs w:val="21"/>
          <w:lang w:val="zh-CN"/>
        </w:rPr>
        <w:t xml:space="preserve">外呼梯按钮盒及外层站显示器：要求美观大方，结实耐用，电梯分别采用楼层显示、按钮一体型外呼梯按钮盒，能够显示层数和电梯运行方向。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2.16 </w:t>
      </w:r>
      <w:r>
        <w:rPr>
          <w:rFonts w:hint="eastAsia" w:cs="仿宋_GB2312" w:asciiTheme="minorEastAsia" w:hAnsiTheme="minorEastAsia"/>
          <w:szCs w:val="21"/>
          <w:lang w:val="zh-CN"/>
        </w:rPr>
        <w:t xml:space="preserve">导轨（轿厢导轨）：T 型耐磨导轨，抗变形能力强。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2.17 </w:t>
      </w:r>
      <w:r>
        <w:rPr>
          <w:rFonts w:hint="eastAsia" w:cs="仿宋_GB2312" w:asciiTheme="minorEastAsia" w:hAnsiTheme="minorEastAsia"/>
          <w:szCs w:val="21"/>
          <w:lang w:val="zh-CN"/>
        </w:rPr>
        <w:t xml:space="preserve">对重装置：本电梯为对重后置型或对重测置型，对重架要求制作精细，抗变形能力强， 符合相关安全标准。要求采用滑动式导靴。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2.18 </w:t>
      </w:r>
      <w:r>
        <w:rPr>
          <w:rFonts w:hint="eastAsia" w:cs="仿宋_GB2312" w:asciiTheme="minorEastAsia" w:hAnsiTheme="minorEastAsia"/>
          <w:szCs w:val="21"/>
          <w:lang w:val="zh-CN"/>
        </w:rPr>
        <w:t xml:space="preserve">补偿装置：要求采用带胶套的无声补偿链。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2.19 </w:t>
      </w:r>
      <w:r>
        <w:rPr>
          <w:rFonts w:hint="eastAsia" w:cs="仿宋_GB2312" w:asciiTheme="minorEastAsia" w:hAnsiTheme="minorEastAsia"/>
          <w:szCs w:val="21"/>
          <w:lang w:val="zh-CN"/>
        </w:rPr>
        <w:t xml:space="preserve">钢丝绳：要求采用电梯专用的复绕式钢丝绳，其安全储备系数≥12，并提供使用寿命。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2.20 </w:t>
      </w:r>
      <w:r>
        <w:rPr>
          <w:rFonts w:hint="eastAsia" w:cs="仿宋_GB2312" w:asciiTheme="minorEastAsia" w:hAnsiTheme="minorEastAsia"/>
          <w:szCs w:val="21"/>
          <w:lang w:val="zh-CN"/>
        </w:rPr>
        <w:t xml:space="preserve">随行电缆：要求采用电梯专用电缆，防火性能与大楼的耐火等级相匹配(大楼耐火等级一级)。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2.21 </w:t>
      </w:r>
      <w:r>
        <w:rPr>
          <w:rFonts w:hint="eastAsia" w:cs="仿宋_GB2312" w:asciiTheme="minorEastAsia" w:hAnsiTheme="minorEastAsia"/>
          <w:szCs w:val="21"/>
          <w:lang w:val="zh-CN"/>
        </w:rPr>
        <w:t xml:space="preserve">井道内固定件：要求其零部件结构合理，牢固耐用，抗锈蚀能力强。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2.22 </w:t>
      </w:r>
      <w:r>
        <w:rPr>
          <w:rFonts w:hint="eastAsia" w:cs="仿宋_GB2312" w:asciiTheme="minorEastAsia" w:hAnsiTheme="minorEastAsia"/>
          <w:szCs w:val="21"/>
          <w:lang w:val="zh-CN"/>
        </w:rPr>
        <w:t xml:space="preserve">井道照明：按规范要求每部电梯每层安装一组井道照明装置，并符合国家规定。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2.23 </w:t>
      </w:r>
      <w:r>
        <w:rPr>
          <w:rFonts w:hint="eastAsia" w:cs="仿宋_GB2312" w:asciiTheme="minorEastAsia" w:hAnsiTheme="minorEastAsia"/>
          <w:szCs w:val="21"/>
          <w:lang w:val="zh-CN"/>
        </w:rPr>
        <w:t xml:space="preserve">缓冲器：要求采用耗能型缓冲器。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2.24 </w:t>
      </w:r>
      <w:r>
        <w:rPr>
          <w:rFonts w:hint="eastAsia" w:cs="仿宋_GB2312" w:asciiTheme="minorEastAsia" w:hAnsiTheme="minorEastAsia"/>
          <w:szCs w:val="21"/>
          <w:lang w:val="zh-CN"/>
        </w:rPr>
        <w:t xml:space="preserve">限速器：要求采用双向离心式限速器。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2.25 </w:t>
      </w:r>
      <w:r>
        <w:rPr>
          <w:rFonts w:hint="eastAsia" w:cs="仿宋_GB2312" w:asciiTheme="minorEastAsia" w:hAnsiTheme="minorEastAsia"/>
          <w:szCs w:val="21"/>
          <w:lang w:val="zh-CN"/>
        </w:rPr>
        <w:t xml:space="preserve">安全钳：要求采用渐进式安全钳。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2.26 </w:t>
      </w:r>
      <w:r>
        <w:rPr>
          <w:rFonts w:hint="eastAsia" w:cs="仿宋_GB2312" w:asciiTheme="minorEastAsia" w:hAnsiTheme="minorEastAsia"/>
          <w:szCs w:val="21"/>
          <w:lang w:val="zh-CN"/>
        </w:rPr>
        <w:t xml:space="preserve">门锁装置：采用电梯专用门锁，基站锁设在首层。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2.27 </w:t>
      </w:r>
      <w:r>
        <w:rPr>
          <w:rFonts w:hint="eastAsia" w:cs="仿宋_GB2312" w:asciiTheme="minorEastAsia" w:hAnsiTheme="minorEastAsia"/>
          <w:szCs w:val="21"/>
          <w:lang w:val="zh-CN"/>
        </w:rPr>
        <w:t>电梯运行过程对电压波动的范围要求：厂家提供</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2.28 </w:t>
      </w:r>
      <w:r>
        <w:rPr>
          <w:rFonts w:hint="eastAsia" w:cs="仿宋_GB2312" w:asciiTheme="minorEastAsia" w:hAnsiTheme="minorEastAsia"/>
          <w:szCs w:val="21"/>
          <w:lang w:val="zh-CN"/>
        </w:rPr>
        <w:t>上行超速保护装置</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2.29 </w:t>
      </w:r>
      <w:r>
        <w:rPr>
          <w:rFonts w:hint="eastAsia" w:cs="仿宋_GB2312" w:asciiTheme="minorEastAsia" w:hAnsiTheme="minorEastAsia"/>
          <w:szCs w:val="21"/>
          <w:lang w:val="zh-CN"/>
        </w:rPr>
        <w:t>电梯功能设置（不限于此）</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2.30 </w:t>
      </w:r>
      <w:r>
        <w:rPr>
          <w:rFonts w:hint="eastAsia" w:cs="仿宋_GB2312" w:asciiTheme="minorEastAsia" w:hAnsiTheme="minorEastAsia"/>
          <w:szCs w:val="21"/>
          <w:lang w:val="zh-CN"/>
        </w:rPr>
        <w:t>乘客电梯基本功能</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2.31 </w:t>
      </w:r>
      <w:r>
        <w:rPr>
          <w:rFonts w:hint="eastAsia" w:cs="仿宋_GB2312" w:asciiTheme="minorEastAsia" w:hAnsiTheme="minorEastAsia"/>
          <w:szCs w:val="21"/>
          <w:lang w:val="zh-CN"/>
        </w:rPr>
        <w:t>全集选</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3.</w:t>
      </w:r>
      <w:r>
        <w:rPr>
          <w:rFonts w:hint="eastAsia" w:cs="仿宋_GB2312" w:asciiTheme="minorEastAsia" w:hAnsiTheme="minorEastAsia"/>
          <w:b/>
          <w:bCs/>
          <w:szCs w:val="21"/>
          <w:lang w:val="en-US" w:eastAsia="zh-CN"/>
        </w:rPr>
        <w:t xml:space="preserve">1 </w:t>
      </w:r>
      <w:r>
        <w:rPr>
          <w:rFonts w:hint="eastAsia" w:cs="仿宋_GB2312" w:asciiTheme="minorEastAsia" w:hAnsiTheme="minorEastAsia"/>
          <w:b/>
          <w:bCs/>
          <w:szCs w:val="21"/>
          <w:lang w:val="zh-CN"/>
        </w:rPr>
        <w:t>保护装置要求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3.1.1 </w:t>
      </w:r>
      <w:r>
        <w:rPr>
          <w:rFonts w:hint="eastAsia" w:cs="仿宋_GB2312" w:asciiTheme="minorEastAsia" w:hAnsiTheme="minorEastAsia"/>
          <w:szCs w:val="21"/>
          <w:lang w:val="zh-CN"/>
        </w:rPr>
        <w:t xml:space="preserve">门光幕保护；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3.1.2 </w:t>
      </w:r>
      <w:r>
        <w:rPr>
          <w:rFonts w:hint="eastAsia" w:cs="仿宋_GB2312" w:asciiTheme="minorEastAsia" w:hAnsiTheme="minorEastAsia"/>
          <w:szCs w:val="21"/>
          <w:lang w:val="zh-CN"/>
        </w:rPr>
        <w:t xml:space="preserve">轿顶及机房检修；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3.1.3 </w:t>
      </w:r>
      <w:r>
        <w:rPr>
          <w:rFonts w:hint="eastAsia" w:cs="仿宋_GB2312" w:asciiTheme="minorEastAsia" w:hAnsiTheme="minorEastAsia"/>
          <w:szCs w:val="21"/>
          <w:lang w:val="zh-CN"/>
        </w:rPr>
        <w:t>风扇自动控制：电梯停止运行一段时间后，自动停止轿厢风扇</w:t>
      </w:r>
      <w:r>
        <w:rPr>
          <w:rFonts w:hint="eastAsia" w:cs="仿宋_GB2312" w:asciiTheme="minorEastAsia" w:hAnsiTheme="minorEastAsia"/>
          <w:szCs w:val="21"/>
          <w:lang w:val="zh-CN" w:eastAsia="zh-CN"/>
        </w:rPr>
        <w:t>，</w:t>
      </w:r>
      <w:r>
        <w:rPr>
          <w:rFonts w:hint="eastAsia" w:cs="仿宋_GB2312" w:asciiTheme="minorEastAsia" w:hAnsiTheme="minorEastAsia"/>
          <w:szCs w:val="21"/>
          <w:lang w:val="zh-CN"/>
        </w:rPr>
        <w:t xml:space="preserve">当电梯开始运行时即恢复；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3.1.4 </w:t>
      </w:r>
      <w:r>
        <w:rPr>
          <w:rFonts w:hint="eastAsia" w:cs="仿宋_GB2312" w:asciiTheme="minorEastAsia" w:hAnsiTheme="minorEastAsia"/>
          <w:szCs w:val="21"/>
          <w:lang w:val="zh-CN"/>
        </w:rPr>
        <w:t xml:space="preserve">断电时轿厢应急照明；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3.1.5 </w:t>
      </w:r>
      <w:r>
        <w:rPr>
          <w:rFonts w:hint="eastAsia" w:cs="仿宋_GB2312" w:asciiTheme="minorEastAsia" w:hAnsiTheme="minorEastAsia"/>
          <w:szCs w:val="21"/>
          <w:lang w:val="zh-CN"/>
        </w:rPr>
        <w:t xml:space="preserve">超载保护功能；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3.1.6 </w:t>
      </w:r>
      <w:r>
        <w:rPr>
          <w:rFonts w:hint="eastAsia" w:cs="仿宋_GB2312" w:asciiTheme="minorEastAsia" w:hAnsiTheme="minorEastAsia"/>
          <w:szCs w:val="21"/>
          <w:lang w:val="zh-CN"/>
        </w:rPr>
        <w:t xml:space="preserve">开、关门按钮；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3.1.7 </w:t>
      </w:r>
      <w:r>
        <w:rPr>
          <w:rFonts w:hint="eastAsia" w:cs="仿宋_GB2312" w:asciiTheme="minorEastAsia" w:hAnsiTheme="minorEastAsia"/>
          <w:szCs w:val="21"/>
          <w:lang w:val="zh-CN"/>
        </w:rPr>
        <w:t xml:space="preserve">轿厢警铃；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3.1.8 </w:t>
      </w:r>
      <w:r>
        <w:rPr>
          <w:rFonts w:hint="eastAsia" w:cs="仿宋_GB2312" w:asciiTheme="minorEastAsia" w:hAnsiTheme="minorEastAsia"/>
          <w:szCs w:val="21"/>
          <w:lang w:val="zh-CN"/>
        </w:rPr>
        <w:t xml:space="preserve">厅门及轿厢方向显示与数字式位置显示；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3.1.9 </w:t>
      </w:r>
      <w:r>
        <w:rPr>
          <w:rFonts w:hint="eastAsia" w:cs="仿宋_GB2312" w:asciiTheme="minorEastAsia" w:hAnsiTheme="minorEastAsia"/>
          <w:szCs w:val="21"/>
          <w:lang w:val="zh-CN"/>
        </w:rPr>
        <w:t xml:space="preserve">厅门和轿厢呼梯登记；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3.1.10 </w:t>
      </w:r>
      <w:r>
        <w:rPr>
          <w:rFonts w:hint="eastAsia" w:cs="仿宋_GB2312" w:asciiTheme="minorEastAsia" w:hAnsiTheme="minorEastAsia"/>
          <w:szCs w:val="21"/>
          <w:lang w:val="zh-CN"/>
        </w:rPr>
        <w:t>满载直驶；</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3.1.11 </w:t>
      </w:r>
      <w:r>
        <w:rPr>
          <w:rFonts w:hint="eastAsia" w:cs="仿宋_GB2312" w:asciiTheme="minorEastAsia" w:hAnsiTheme="minorEastAsia"/>
          <w:szCs w:val="21"/>
          <w:lang w:val="zh-CN"/>
        </w:rPr>
        <w:t>内选优先服务；</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3.1.12 </w:t>
      </w:r>
      <w:r>
        <w:rPr>
          <w:rFonts w:hint="eastAsia" w:cs="仿宋_GB2312" w:asciiTheme="minorEastAsia" w:hAnsiTheme="minorEastAsia"/>
          <w:szCs w:val="21"/>
          <w:lang w:val="zh-CN"/>
        </w:rPr>
        <w:t>独立服务；</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3.1.13 </w:t>
      </w:r>
      <w:r>
        <w:rPr>
          <w:rFonts w:hint="eastAsia" w:cs="仿宋_GB2312" w:asciiTheme="minorEastAsia" w:hAnsiTheme="minorEastAsia"/>
          <w:szCs w:val="21"/>
          <w:lang w:val="zh-CN"/>
        </w:rPr>
        <w:t>五方通话；</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3.1.14 </w:t>
      </w:r>
      <w:r>
        <w:rPr>
          <w:rFonts w:hint="eastAsia" w:cs="仿宋_GB2312" w:asciiTheme="minorEastAsia" w:hAnsiTheme="minorEastAsia"/>
          <w:szCs w:val="21"/>
          <w:lang w:val="zh-CN"/>
        </w:rPr>
        <w:t>自动基站；</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3.1.15 </w:t>
      </w:r>
      <w:r>
        <w:rPr>
          <w:rFonts w:hint="eastAsia" w:cs="仿宋_GB2312" w:asciiTheme="minorEastAsia" w:hAnsiTheme="minorEastAsia"/>
          <w:szCs w:val="21"/>
          <w:lang w:val="zh-CN"/>
        </w:rPr>
        <w:t>自动关门功能；</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3.1.16 </w:t>
      </w:r>
      <w:r>
        <w:rPr>
          <w:rFonts w:hint="eastAsia" w:cs="仿宋_GB2312" w:asciiTheme="minorEastAsia" w:hAnsiTheme="minorEastAsia"/>
          <w:szCs w:val="21"/>
          <w:lang w:val="zh-CN"/>
        </w:rPr>
        <w:t>门异常检查装置及门机保护装置；</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3.1.17 </w:t>
      </w:r>
      <w:r>
        <w:rPr>
          <w:rFonts w:hint="eastAsia" w:cs="仿宋_GB2312" w:asciiTheme="minorEastAsia" w:hAnsiTheme="minorEastAsia"/>
          <w:szCs w:val="21"/>
          <w:lang w:val="zh-CN"/>
        </w:rPr>
        <w:t>消防服务功能；</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3.1.18 </w:t>
      </w:r>
      <w:r>
        <w:rPr>
          <w:rFonts w:hint="eastAsia" w:cs="仿宋_GB2312" w:asciiTheme="minorEastAsia" w:hAnsiTheme="minorEastAsia"/>
          <w:szCs w:val="21"/>
          <w:lang w:val="zh-CN"/>
        </w:rPr>
        <w:t>基准层待机；</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3.1.19 </w:t>
      </w:r>
      <w:r>
        <w:rPr>
          <w:rFonts w:hint="eastAsia" w:cs="仿宋_GB2312" w:asciiTheme="minorEastAsia" w:hAnsiTheme="minorEastAsia"/>
          <w:szCs w:val="21"/>
          <w:lang w:val="zh-CN"/>
        </w:rPr>
        <w:t xml:space="preserve">运行小时及运行次数累计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3.1.20 </w:t>
      </w:r>
      <w:r>
        <w:rPr>
          <w:rFonts w:hint="eastAsia" w:cs="仿宋_GB2312" w:asciiTheme="minorEastAsia" w:hAnsiTheme="minorEastAsia"/>
          <w:szCs w:val="21"/>
          <w:lang w:val="zh-CN"/>
        </w:rPr>
        <w:t xml:space="preserve">照明与风扇自动节能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3.1.21 </w:t>
      </w:r>
      <w:r>
        <w:rPr>
          <w:rFonts w:hint="eastAsia" w:cs="仿宋_GB2312" w:asciiTheme="minorEastAsia" w:hAnsiTheme="minorEastAsia"/>
          <w:szCs w:val="21"/>
          <w:lang w:val="zh-CN"/>
        </w:rPr>
        <w:t xml:space="preserve">厢内摄像头监控接口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3.1.22 </w:t>
      </w:r>
      <w:r>
        <w:rPr>
          <w:rFonts w:hint="eastAsia" w:cs="仿宋_GB2312" w:asciiTheme="minorEastAsia" w:hAnsiTheme="minorEastAsia"/>
          <w:szCs w:val="21"/>
          <w:lang w:val="zh-CN"/>
        </w:rPr>
        <w:t xml:space="preserve">视频监控电缆接至轿内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 </w:t>
      </w:r>
      <w:r>
        <w:rPr>
          <w:rFonts w:hint="eastAsia" w:cs="仿宋_GB2312" w:asciiTheme="minorEastAsia" w:hAnsiTheme="minorEastAsia"/>
          <w:szCs w:val="21"/>
          <w:lang w:val="zh-CN"/>
        </w:rPr>
        <w:t xml:space="preserve">乘客舒适性功能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3.2.1 </w:t>
      </w:r>
      <w:r>
        <w:rPr>
          <w:rFonts w:hint="eastAsia" w:cs="仿宋_GB2312" w:asciiTheme="minorEastAsia" w:hAnsiTheme="minorEastAsia"/>
          <w:szCs w:val="21"/>
          <w:lang w:val="zh-CN"/>
        </w:rPr>
        <w:t xml:space="preserve">呼叫登记显示灯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3.2.2 </w:t>
      </w:r>
      <w:r>
        <w:rPr>
          <w:rFonts w:hint="eastAsia" w:cs="仿宋_GB2312" w:asciiTheme="minorEastAsia" w:hAnsiTheme="minorEastAsia"/>
          <w:szCs w:val="21"/>
          <w:lang w:val="zh-CN"/>
        </w:rPr>
        <w:t xml:space="preserve">轿厢位置指示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3.2.3 </w:t>
      </w:r>
      <w:r>
        <w:rPr>
          <w:rFonts w:hint="eastAsia" w:cs="仿宋_GB2312" w:asciiTheme="minorEastAsia" w:hAnsiTheme="minorEastAsia"/>
          <w:szCs w:val="21"/>
          <w:lang w:val="zh-CN"/>
        </w:rPr>
        <w:t xml:space="preserve">轿厢运行方向指示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3.2.4 </w:t>
      </w:r>
      <w:r>
        <w:rPr>
          <w:rFonts w:hint="eastAsia" w:cs="仿宋_GB2312" w:asciiTheme="minorEastAsia" w:hAnsiTheme="minorEastAsia"/>
          <w:szCs w:val="21"/>
          <w:lang w:val="zh-CN"/>
        </w:rPr>
        <w:t xml:space="preserve">轿厢到站指示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3.2.5 </w:t>
      </w:r>
      <w:r>
        <w:rPr>
          <w:rFonts w:hint="eastAsia" w:cs="仿宋_GB2312" w:asciiTheme="minorEastAsia" w:hAnsiTheme="minorEastAsia"/>
          <w:szCs w:val="21"/>
          <w:lang w:val="zh-CN"/>
        </w:rPr>
        <w:t xml:space="preserve">延长开门时间按钮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3.2.6 </w:t>
      </w:r>
      <w:r>
        <w:rPr>
          <w:rFonts w:hint="eastAsia" w:cs="仿宋_GB2312" w:asciiTheme="minorEastAsia" w:hAnsiTheme="minorEastAsia"/>
          <w:szCs w:val="21"/>
          <w:lang w:val="zh-CN"/>
        </w:rPr>
        <w:t xml:space="preserve">开关门时间自动调整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3.2.7 </w:t>
      </w:r>
      <w:r>
        <w:rPr>
          <w:rFonts w:hint="eastAsia" w:cs="仿宋_GB2312" w:asciiTheme="minorEastAsia" w:hAnsiTheme="minorEastAsia"/>
          <w:szCs w:val="21"/>
          <w:lang w:val="zh-CN"/>
        </w:rPr>
        <w:t xml:space="preserve">光幕式安全门边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3.2.8 </w:t>
      </w:r>
      <w:r>
        <w:rPr>
          <w:rFonts w:hint="eastAsia" w:cs="仿宋_GB2312" w:asciiTheme="minorEastAsia" w:hAnsiTheme="minorEastAsia"/>
          <w:szCs w:val="21"/>
          <w:lang w:val="zh-CN"/>
        </w:rPr>
        <w:t xml:space="preserve">满载直驶功能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3.2.9 </w:t>
      </w:r>
      <w:r>
        <w:rPr>
          <w:rFonts w:hint="eastAsia" w:cs="仿宋_GB2312" w:asciiTheme="minorEastAsia" w:hAnsiTheme="minorEastAsia"/>
          <w:szCs w:val="21"/>
          <w:lang w:val="zh-CN"/>
        </w:rPr>
        <w:t xml:space="preserve">防捣乱保护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3.2.10 </w:t>
      </w:r>
      <w:r>
        <w:rPr>
          <w:rFonts w:hint="eastAsia" w:cs="仿宋_GB2312" w:asciiTheme="minorEastAsia" w:hAnsiTheme="minorEastAsia"/>
          <w:szCs w:val="21"/>
          <w:lang w:val="zh-CN"/>
        </w:rPr>
        <w:t xml:space="preserve">轿厢内通话功能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3.2.11 </w:t>
      </w:r>
      <w:r>
        <w:rPr>
          <w:rFonts w:hint="eastAsia" w:cs="仿宋_GB2312" w:asciiTheme="minorEastAsia" w:hAnsiTheme="minorEastAsia"/>
          <w:szCs w:val="21"/>
          <w:lang w:val="zh-CN"/>
        </w:rPr>
        <w:t xml:space="preserve">轿厢的平层准确度在±10 ㎜范围内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3.2.12 </w:t>
      </w:r>
      <w:r>
        <w:rPr>
          <w:rFonts w:hint="eastAsia" w:cs="仿宋_GB2312" w:asciiTheme="minorEastAsia" w:hAnsiTheme="minorEastAsia"/>
          <w:szCs w:val="21"/>
          <w:lang w:val="zh-CN"/>
        </w:rPr>
        <w:t xml:space="preserve">轿厢的平层保持精度在±20 ㎜范围内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3.3 安全功能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3.3.1 </w:t>
      </w:r>
      <w:r>
        <w:rPr>
          <w:rFonts w:hint="eastAsia" w:cs="仿宋_GB2312" w:asciiTheme="minorEastAsia" w:hAnsiTheme="minorEastAsia"/>
          <w:szCs w:val="21"/>
          <w:lang w:val="zh-CN"/>
        </w:rPr>
        <w:t xml:space="preserve">消防员操作运行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3.3.2 </w:t>
      </w:r>
      <w:r>
        <w:rPr>
          <w:rFonts w:hint="eastAsia" w:cs="仿宋_GB2312" w:asciiTheme="minorEastAsia" w:hAnsiTheme="minorEastAsia"/>
          <w:szCs w:val="21"/>
          <w:lang w:val="zh-CN"/>
        </w:rPr>
        <w:t xml:space="preserve">电梯检修运行方式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3.3.3 </w:t>
      </w:r>
      <w:r>
        <w:rPr>
          <w:rFonts w:hint="eastAsia" w:cs="仿宋_GB2312" w:asciiTheme="minorEastAsia" w:hAnsiTheme="minorEastAsia"/>
          <w:szCs w:val="21"/>
          <w:lang w:val="zh-CN"/>
        </w:rPr>
        <w:t>轿厢带应急照明及报警按钮</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3.3.4 </w:t>
      </w:r>
      <w:r>
        <w:rPr>
          <w:rFonts w:hint="eastAsia" w:cs="仿宋_GB2312" w:asciiTheme="minorEastAsia" w:hAnsiTheme="minorEastAsia"/>
          <w:szCs w:val="21"/>
          <w:lang w:val="zh-CN"/>
        </w:rPr>
        <w:t xml:space="preserve">超载指示及报警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3.3.5 </w:t>
      </w:r>
      <w:r>
        <w:rPr>
          <w:rFonts w:hint="eastAsia" w:cs="仿宋_GB2312" w:asciiTheme="minorEastAsia" w:hAnsiTheme="minorEastAsia"/>
          <w:szCs w:val="21"/>
          <w:lang w:val="zh-CN"/>
        </w:rPr>
        <w:t>轿厢自动称重装置</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3.3.6 </w:t>
      </w:r>
      <w:r>
        <w:rPr>
          <w:rFonts w:hint="eastAsia" w:cs="仿宋_GB2312" w:asciiTheme="minorEastAsia" w:hAnsiTheme="minorEastAsia"/>
          <w:szCs w:val="21"/>
          <w:lang w:val="zh-CN"/>
        </w:rPr>
        <w:t>超速保护</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3.3.7 </w:t>
      </w:r>
      <w:r>
        <w:rPr>
          <w:rFonts w:hint="eastAsia" w:cs="仿宋_GB2312" w:asciiTheme="minorEastAsia" w:hAnsiTheme="minorEastAsia"/>
          <w:szCs w:val="21"/>
          <w:lang w:val="zh-CN"/>
        </w:rPr>
        <w:t>紧急消防操作</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3.3.8 </w:t>
      </w:r>
      <w:r>
        <w:rPr>
          <w:rFonts w:hint="eastAsia" w:cs="仿宋_GB2312" w:asciiTheme="minorEastAsia" w:hAnsiTheme="minorEastAsia"/>
          <w:szCs w:val="21"/>
          <w:lang w:val="zh-CN"/>
        </w:rPr>
        <w:t>门防扒开装置</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3.3.9 </w:t>
      </w:r>
      <w:r>
        <w:rPr>
          <w:rFonts w:hint="eastAsia" w:cs="仿宋_GB2312" w:asciiTheme="minorEastAsia" w:hAnsiTheme="minorEastAsia"/>
          <w:szCs w:val="21"/>
          <w:lang w:val="zh-CN"/>
        </w:rPr>
        <w:t>停电应急</w:t>
      </w:r>
      <w:r>
        <w:rPr>
          <w:rFonts w:hint="eastAsia" w:cs="仿宋_GB2312" w:asciiTheme="minorEastAsia" w:hAnsiTheme="minorEastAsia"/>
          <w:szCs w:val="21"/>
          <w:lang w:val="en-US" w:eastAsia="zh-CN"/>
        </w:rPr>
        <w:t>平层</w:t>
      </w:r>
      <w:r>
        <w:rPr>
          <w:rFonts w:hint="eastAsia" w:cs="仿宋_GB2312" w:asciiTheme="minorEastAsia" w:hAnsiTheme="minorEastAsia"/>
          <w:szCs w:val="21"/>
          <w:lang w:val="zh-CN"/>
        </w:rPr>
        <w:t>功能</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3.3.10 </w:t>
      </w:r>
      <w:r>
        <w:rPr>
          <w:rFonts w:hint="eastAsia" w:cs="仿宋_GB2312" w:asciiTheme="minorEastAsia" w:hAnsiTheme="minorEastAsia"/>
          <w:szCs w:val="21"/>
          <w:lang w:val="zh-CN"/>
        </w:rPr>
        <w:t xml:space="preserve">故障自动平层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b/>
          <w:bCs/>
          <w:szCs w:val="21"/>
          <w:lang w:val="zh-CN"/>
        </w:rPr>
        <w:t>4</w:t>
      </w:r>
      <w:r>
        <w:rPr>
          <w:rFonts w:hint="eastAsia" w:cs="仿宋_GB2312" w:asciiTheme="minorEastAsia" w:hAnsiTheme="minorEastAsia"/>
          <w:b/>
          <w:bCs/>
          <w:szCs w:val="21"/>
          <w:lang w:val="en-US" w:eastAsia="zh-CN"/>
        </w:rPr>
        <w:t>.</w:t>
      </w:r>
      <w:r>
        <w:rPr>
          <w:rFonts w:hint="eastAsia" w:cs="仿宋_GB2312" w:asciiTheme="minorEastAsia" w:hAnsiTheme="minorEastAsia"/>
          <w:b/>
          <w:bCs/>
          <w:szCs w:val="21"/>
          <w:lang w:val="zh-CN"/>
        </w:rPr>
        <w:t>乘客电梯轿厢装饰：</w:t>
      </w:r>
      <w:r>
        <w:rPr>
          <w:rFonts w:hint="eastAsia" w:cs="仿宋_GB2312" w:asciiTheme="minorEastAsia" w:hAnsiTheme="minorEastAsia"/>
          <w:szCs w:val="21"/>
          <w:lang w:val="en-US" w:eastAsia="zh-CN"/>
        </w:rPr>
        <w:t>304</w:t>
      </w:r>
      <w:r>
        <w:rPr>
          <w:rFonts w:hint="eastAsia" w:cs="仿宋_GB2312" w:asciiTheme="minorEastAsia" w:hAnsiTheme="minorEastAsia"/>
          <w:szCs w:val="21"/>
          <w:lang w:val="zh-CN"/>
        </w:rPr>
        <w:t>发纹不锈钢壁，PVC 耐磨阻燃地板,轿厢顶部 LED 灯， 吊顶均为标准型，轿箱内壁后置单根扁钢扶手，序号</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净高不小于 2300 ㎜（轿厢）,序号</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 xml:space="preserve">净高不小于 2500 ㎜（轿厢）。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5</w:t>
      </w:r>
      <w:r>
        <w:rPr>
          <w:rFonts w:hint="eastAsia" w:cs="仿宋_GB2312" w:asciiTheme="minorEastAsia" w:hAnsiTheme="minorEastAsia"/>
          <w:b/>
          <w:bCs/>
          <w:szCs w:val="21"/>
          <w:lang w:val="en-US" w:eastAsia="zh-CN"/>
        </w:rPr>
        <w:t>.</w:t>
      </w:r>
      <w:r>
        <w:rPr>
          <w:rFonts w:hint="eastAsia" w:cs="仿宋_GB2312" w:asciiTheme="minorEastAsia" w:hAnsiTheme="minorEastAsia"/>
          <w:b/>
          <w:bCs/>
          <w:szCs w:val="21"/>
          <w:lang w:val="zh-CN"/>
        </w:rPr>
        <w:t xml:space="preserve">乘客电梯信号装置：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5.1 </w:t>
      </w:r>
      <w:r>
        <w:rPr>
          <w:rFonts w:hint="eastAsia" w:cs="仿宋_GB2312" w:asciiTheme="minorEastAsia" w:hAnsiTheme="minorEastAsia"/>
          <w:szCs w:val="21"/>
          <w:lang w:val="zh-CN"/>
        </w:rPr>
        <w:t xml:space="preserve">轿厢内：一体式操纵箱操作面板为发纹不锈钢式样，不锈钢按钮、呼唤记录灯、楼层显示运行方向箭头。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5.2 </w:t>
      </w:r>
      <w:r>
        <w:rPr>
          <w:rFonts w:hint="eastAsia" w:cs="仿宋_GB2312" w:asciiTheme="minorEastAsia" w:hAnsiTheme="minorEastAsia"/>
          <w:szCs w:val="21"/>
          <w:lang w:val="zh-CN"/>
        </w:rPr>
        <w:t xml:space="preserve">厅门外：壁挂式安装操作面板，配微触式 LED 发光不锈钢按钮、呼唤记录灯、楼层显示运行方向箭头。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b/>
          <w:bCs/>
          <w:szCs w:val="21"/>
          <w:lang w:val="zh-CN"/>
        </w:rPr>
      </w:pPr>
      <w:r>
        <w:rPr>
          <w:rFonts w:hint="eastAsia" w:cs="仿宋_GB2312" w:asciiTheme="minorEastAsia" w:hAnsiTheme="minorEastAsia"/>
          <w:b/>
          <w:bCs/>
          <w:szCs w:val="21"/>
          <w:lang w:val="zh-CN"/>
        </w:rPr>
        <w:t>6</w:t>
      </w:r>
      <w:r>
        <w:rPr>
          <w:rFonts w:hint="eastAsia" w:cs="仿宋_GB2312" w:asciiTheme="minorEastAsia" w:hAnsiTheme="minorEastAsia"/>
          <w:b/>
          <w:bCs/>
          <w:szCs w:val="21"/>
          <w:lang w:val="en-US" w:eastAsia="zh-CN"/>
        </w:rPr>
        <w:t>.</w:t>
      </w:r>
      <w:r>
        <w:rPr>
          <w:rFonts w:hint="eastAsia" w:cs="仿宋_GB2312" w:asciiTheme="minorEastAsia" w:hAnsiTheme="minorEastAsia"/>
          <w:b/>
          <w:bCs/>
          <w:szCs w:val="21"/>
          <w:lang w:val="zh-CN"/>
        </w:rPr>
        <w:t xml:space="preserve">乘客电梯层门及门套：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6.1 </w:t>
      </w:r>
      <w:r>
        <w:rPr>
          <w:rFonts w:hint="eastAsia" w:cs="仿宋_GB2312" w:asciiTheme="minorEastAsia" w:hAnsiTheme="minorEastAsia"/>
          <w:szCs w:val="21"/>
          <w:lang w:val="zh-CN"/>
        </w:rPr>
        <w:t>层门：所有楼层为304发纹不锈钢，且耐火</w:t>
      </w:r>
      <w:r>
        <w:rPr>
          <w:rFonts w:hint="eastAsia" w:cs="仿宋_GB2312" w:asciiTheme="minorEastAsia" w:hAnsiTheme="minorEastAsia"/>
          <w:szCs w:val="21"/>
          <w:lang w:val="en-US" w:eastAsia="zh-CN"/>
        </w:rPr>
        <w:t>不低于</w:t>
      </w:r>
      <w:r>
        <w:rPr>
          <w:rFonts w:hint="eastAsia" w:cs="仿宋_GB2312" w:asciiTheme="minorEastAsia" w:hAnsiTheme="minorEastAsia"/>
          <w:szCs w:val="21"/>
          <w:lang w:val="zh-CN"/>
        </w:rPr>
        <w:t xml:space="preserve">1小时。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6.2 </w:t>
      </w:r>
      <w:r>
        <w:rPr>
          <w:rFonts w:hint="eastAsia" w:cs="仿宋_GB2312" w:asciiTheme="minorEastAsia" w:hAnsiTheme="minorEastAsia"/>
          <w:szCs w:val="21"/>
          <w:lang w:val="zh-CN"/>
        </w:rPr>
        <w:t xml:space="preserve">门套：所有楼层为304发纹不锈钢，均为大门套。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6.3 </w:t>
      </w:r>
      <w:r>
        <w:rPr>
          <w:rFonts w:hint="eastAsia" w:cs="仿宋_GB2312" w:asciiTheme="minorEastAsia" w:hAnsiTheme="minorEastAsia"/>
          <w:szCs w:val="21"/>
          <w:lang w:val="zh-CN"/>
        </w:rPr>
        <w:t xml:space="preserve">门槛：硬质铝合金。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 xml:space="preserve">6.4 </w:t>
      </w:r>
      <w:r>
        <w:rPr>
          <w:rFonts w:hint="eastAsia" w:cs="仿宋_GB2312" w:asciiTheme="minorEastAsia" w:hAnsiTheme="minorEastAsia"/>
          <w:szCs w:val="21"/>
          <w:lang w:val="zh-CN"/>
        </w:rPr>
        <w:t>基站锁：装设在首层，合并到外呼梯按钮盒上。</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b/>
          <w:bCs/>
          <w:szCs w:val="21"/>
          <w:lang w:val="zh-CN"/>
        </w:rPr>
      </w:pPr>
      <w:r>
        <w:rPr>
          <w:rFonts w:hint="eastAsia" w:cs="仿宋_GB2312" w:asciiTheme="minorEastAsia" w:hAnsiTheme="minorEastAsia"/>
          <w:b/>
          <w:bCs/>
          <w:szCs w:val="21"/>
          <w:lang w:val="en-US" w:eastAsia="zh-CN"/>
        </w:rPr>
        <w:t>7.</w:t>
      </w:r>
      <w:r>
        <w:rPr>
          <w:rFonts w:hint="eastAsia" w:cs="仿宋_GB2312" w:asciiTheme="minorEastAsia" w:hAnsiTheme="minorEastAsia"/>
          <w:b/>
          <w:bCs/>
          <w:szCs w:val="21"/>
          <w:lang w:val="zh-CN"/>
        </w:rPr>
        <w:t xml:space="preserve">消防控制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首层电梯门边设有打碎玻璃消防按钮和钥匙开关，以便消防人员紧急救火时使用，钥匙开关具有优先权。 </w:t>
      </w:r>
    </w:p>
    <w:p>
      <w:pPr>
        <w:pStyle w:val="32"/>
        <w:ind w:left="510" w:firstLine="0" w:firstLineChars="0"/>
        <w:rPr>
          <w:rFonts w:cs="仿宋_GB2312" w:asciiTheme="minorEastAsia" w:hAnsiTheme="minorEastAsia"/>
          <w:szCs w:val="21"/>
          <w:lang w:val="zh-CN"/>
        </w:rPr>
      </w:pPr>
    </w:p>
    <w:p>
      <w:pPr>
        <w:pStyle w:val="76"/>
        <w:ind w:firstLine="0"/>
        <w:jc w:val="left"/>
        <w:rPr>
          <w:rFonts w:cs="微软雅黑" w:asciiTheme="minorEastAsia" w:hAnsiTheme="minorEastAsia"/>
          <w:b/>
          <w:color w:val="FF0000"/>
          <w:szCs w:val="24"/>
        </w:rPr>
      </w:pPr>
      <w:r>
        <w:rPr>
          <w:rFonts w:hint="eastAsia" w:cs="微软雅黑" w:asciiTheme="minorEastAsia" w:hAnsiTheme="minorEastAsia"/>
          <w:b/>
          <w:color w:val="FF0000"/>
          <w:szCs w:val="24"/>
        </w:rPr>
        <w:t>注：以上中所列技术规格或主要参数为最低要求，不允许负偏离，否则为无效响应。</w:t>
      </w:r>
    </w:p>
    <w:p>
      <w:pPr>
        <w:spacing w:line="360" w:lineRule="auto"/>
        <w:contextualSpacing/>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GB10050-93《电梯安全验收规范》</w:t>
      </w:r>
      <w:r>
        <w:rPr>
          <w:rFonts w:hint="eastAsia" w:ascii="新宋体" w:hAnsi="新宋体" w:eastAsia="新宋体" w:cs="新宋体"/>
          <w:szCs w:val="21"/>
          <w:lang w:val="zh-CN" w:eastAsia="zh-CN"/>
        </w:rPr>
        <w:t>。</w:t>
      </w:r>
      <w:r>
        <w:rPr>
          <w:rFonts w:hint="eastAsia" w:ascii="新宋体" w:hAnsi="新宋体" w:eastAsia="新宋体" w:cs="新宋体"/>
          <w:szCs w:val="21"/>
          <w:lang w:val="zh-CN"/>
        </w:rPr>
        <w:t xml:space="preserve">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GB5018-93《电气装置安装工程电梯电气装置施工验收规范》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GB7025-1997《电梯主参数及轿厢、井道、机房的形状与尺寸》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GB10059-1997《电梯试验方法》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GB50310-2002《电梯工程施工质量验收规法》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GB7588-2003《电梯制造与安装安全规范》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GB8903-2005《电梯用钢丝绳》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GB10058-2009《电梯技术条件》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GB/T25575-2009《电梯乘运质量测量》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GB/T25577-2009《适用于残障人员的电梯附加要求》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GB/T25578-2009《电梯曳引机》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GB/T25579-2009《火灾情况下的电梯特性》 </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且应不低于上述国家及地方现行标准及有关规定的最新要求。</w:t>
      </w:r>
    </w:p>
    <w:p>
      <w:pPr>
        <w:wordWrap w:val="0"/>
        <w:spacing w:line="420" w:lineRule="exact"/>
        <w:contextualSpacing/>
        <w:rPr>
          <w:rFonts w:cs="仿宋_GB2312" w:asciiTheme="minorEastAsia" w:hAnsiTheme="minorEastAsia"/>
          <w:szCs w:val="21"/>
          <w:lang w:val="zh-CN"/>
        </w:rPr>
      </w:pPr>
      <w:r>
        <w:rPr>
          <w:rFonts w:hint="eastAsia" w:cs="仿宋_GB2312" w:asciiTheme="minorEastAsia" w:hAnsiTheme="minorEastAsia"/>
          <w:b/>
          <w:szCs w:val="21"/>
          <w:lang w:val="zh-CN"/>
        </w:rPr>
        <w:t>四、服务标准、期限、效率等要求</w:t>
      </w:r>
      <w:r>
        <w:rPr>
          <w:rFonts w:hint="eastAsia" w:cs="仿宋_GB2312" w:asciiTheme="minorEastAsia" w:hAnsiTheme="minorEastAsia"/>
          <w:szCs w:val="21"/>
          <w:lang w:val="zh-CN"/>
        </w:rPr>
        <w:t>：</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本工程项目的材料、设备、施工必须达到现行中华人民共和国及省、市、行业的有关法规、规范的要求。</w:t>
      </w:r>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1、供应商须明确响应产品的厂家</w:t>
      </w:r>
      <w:r>
        <w:rPr>
          <w:rFonts w:hint="eastAsia" w:ascii="新宋体" w:hAnsi="新宋体" w:eastAsia="新宋体" w:cs="新宋体"/>
          <w:szCs w:val="21"/>
          <w:lang w:val="zh-CN" w:eastAsia="zh-CN"/>
        </w:rPr>
        <w:t>、产地</w:t>
      </w:r>
      <w:r>
        <w:rPr>
          <w:rFonts w:hint="eastAsia" w:ascii="新宋体" w:hAnsi="新宋体" w:eastAsia="新宋体" w:cs="新宋体"/>
          <w:szCs w:val="21"/>
          <w:lang w:val="zh-CN"/>
        </w:rPr>
        <w:t>、品牌、型号、详细参数，</w:t>
      </w:r>
      <w:r>
        <w:rPr>
          <w:rFonts w:hint="eastAsia" w:ascii="新宋体" w:hAnsi="新宋体" w:eastAsia="新宋体" w:cs="新宋体"/>
          <w:b/>
          <w:bCs/>
          <w:szCs w:val="21"/>
          <w:lang w:val="zh-CN"/>
        </w:rPr>
        <w:t>否则为无效响应文件。</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2、供应商应就本项目完整响应（报价含运输、安装调试、专业培训、税费等一切费用），</w:t>
      </w:r>
      <w:r>
        <w:rPr>
          <w:rFonts w:hint="eastAsia" w:ascii="新宋体" w:hAnsi="新宋体" w:eastAsia="新宋体" w:cs="新宋体"/>
          <w:b/>
          <w:bCs/>
          <w:szCs w:val="21"/>
          <w:lang w:val="zh-CN"/>
        </w:rPr>
        <w:t>否则为无效响应文件。</w:t>
      </w:r>
    </w:p>
    <w:p>
      <w:pPr>
        <w:wordWrap w:val="0"/>
        <w:spacing w:line="420" w:lineRule="exact"/>
        <w:ind w:firstLine="420" w:firstLineChars="200"/>
        <w:contextualSpacing/>
        <w:rPr>
          <w:rFonts w:hint="eastAsia" w:ascii="新宋体" w:hAnsi="新宋体" w:eastAsia="新宋体" w:cs="新宋体"/>
          <w:b/>
          <w:bCs/>
          <w:szCs w:val="21"/>
          <w:lang w:val="zh-CN"/>
        </w:rPr>
      </w:pPr>
      <w:r>
        <w:rPr>
          <w:rFonts w:hint="eastAsia" w:ascii="新宋体" w:hAnsi="新宋体" w:eastAsia="新宋体" w:cs="新宋体"/>
          <w:szCs w:val="21"/>
          <w:lang w:val="zh-CN"/>
        </w:rPr>
        <w:t>3、所响应产品必须符合国家质量检测标准和本招标文件规定标准的全新正品现货，</w:t>
      </w:r>
      <w:r>
        <w:rPr>
          <w:rFonts w:hint="eastAsia" w:ascii="新宋体" w:hAnsi="新宋体" w:eastAsia="新宋体" w:cs="新宋体"/>
          <w:b/>
          <w:bCs/>
          <w:szCs w:val="21"/>
          <w:lang w:val="zh-CN"/>
        </w:rPr>
        <w:t>否则为无效响应文件。</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4、投标文件中须有详细的实施（技术）方案，</w:t>
      </w:r>
      <w:r>
        <w:rPr>
          <w:rFonts w:hint="eastAsia" w:ascii="新宋体" w:hAnsi="新宋体" w:eastAsia="新宋体" w:cs="新宋体"/>
          <w:b/>
          <w:bCs/>
          <w:szCs w:val="21"/>
          <w:lang w:val="zh-CN"/>
        </w:rPr>
        <w:t>否则为无效响应文件。</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5、投标人须明确免费质保期，在免费质保期内，同一质量问题连续两次维修仍无法正常使用，投标人必须予以更换同品牌、同型号的全新产品。</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6、投标人须明确维修点地址、负责人、联系人和联系电话。</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7、本项目为交钥匙工程（包括运输、安装调试、专业培训等一切费用）。</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8、质保期：免费质保期12个月，提供终身有偿维修。质保期自质量技术监督部门颁发安全检验合格证之日起计算。</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9、免费保修期内，投标人负责对其提供的设备进行维修，不收取任何额外费用。质保期满之后供应商应终身提供优质服务，并在之基础上双方可进一步协商收取适当零配件费和维修费。</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10、</w:t>
      </w:r>
      <w:r>
        <w:rPr>
          <w:rFonts w:hint="eastAsia" w:ascii="新宋体" w:hAnsi="新宋体" w:eastAsia="新宋体" w:cs="新宋体"/>
          <w:szCs w:val="21"/>
          <w:lang w:val="en-US" w:eastAsia="zh-CN"/>
        </w:rPr>
        <w:t>在设备运行中若出现故障，</w:t>
      </w:r>
      <w:r>
        <w:rPr>
          <w:rFonts w:hint="eastAsia" w:ascii="新宋体" w:hAnsi="新宋体" w:eastAsia="新宋体" w:cs="新宋体"/>
          <w:szCs w:val="21"/>
          <w:lang w:val="zh-CN"/>
        </w:rPr>
        <w:t>投标人必须在</w:t>
      </w:r>
      <w:r>
        <w:rPr>
          <w:rFonts w:hint="eastAsia" w:ascii="新宋体" w:hAnsi="新宋体" w:eastAsia="新宋体" w:cs="新宋体"/>
          <w:szCs w:val="21"/>
          <w:lang w:val="en-US" w:eastAsia="zh-CN"/>
        </w:rPr>
        <w:t>1</w:t>
      </w:r>
      <w:r>
        <w:rPr>
          <w:rFonts w:hint="eastAsia" w:ascii="新宋体" w:hAnsi="新宋体" w:eastAsia="新宋体" w:cs="新宋体"/>
          <w:szCs w:val="21"/>
          <w:lang w:val="zh-CN"/>
        </w:rPr>
        <w:t>小时内对采购人所提出的维修要求作出实质性反应，必须在</w:t>
      </w:r>
      <w:r>
        <w:rPr>
          <w:rFonts w:hint="eastAsia" w:ascii="新宋体" w:hAnsi="新宋体" w:eastAsia="新宋体" w:cs="新宋体"/>
          <w:szCs w:val="21"/>
          <w:lang w:val="en-US" w:eastAsia="zh-CN"/>
        </w:rPr>
        <w:t>48</w:t>
      </w:r>
      <w:r>
        <w:rPr>
          <w:rFonts w:hint="eastAsia" w:ascii="新宋体" w:hAnsi="新宋体" w:eastAsia="新宋体" w:cs="新宋体"/>
          <w:szCs w:val="21"/>
          <w:lang w:val="zh-CN"/>
        </w:rPr>
        <w:t>小时内提供应急策略并应以优良的服务态度，便利、快捷的方式到达用户现场进行维修。</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11、设备/系统运行过程中如果出现技术故障（如软件故障、配置丢失等），投标人应保证：在48小时内解决此类问题，恢复故障设备正常运行。</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12、</w:t>
      </w:r>
      <w:r>
        <w:rPr>
          <w:rFonts w:hint="eastAsia" w:ascii="新宋体" w:hAnsi="新宋体" w:eastAsia="新宋体" w:cs="新宋体"/>
          <w:szCs w:val="21"/>
          <w:lang w:val="zh-CN" w:eastAsia="zh-CN"/>
        </w:rPr>
        <w:t>投标人</w:t>
      </w:r>
      <w:r>
        <w:rPr>
          <w:rFonts w:hint="eastAsia" w:ascii="新宋体" w:hAnsi="新宋体" w:eastAsia="新宋体" w:cs="新宋体"/>
          <w:szCs w:val="21"/>
          <w:lang w:val="zh-CN"/>
        </w:rPr>
        <w:t>所投电梯曳引机、控制柜（含调速装置、控制器装置）、安全钳、限速器、缓冲器、上行超速保护装置、轿厢意外移动保护装置、安全电路为原厂原品牌生产，提供整机型式试验报告原件扫描件（或图片）</w:t>
      </w:r>
      <w:r>
        <w:rPr>
          <w:rFonts w:hint="eastAsia" w:ascii="新宋体" w:hAnsi="新宋体" w:eastAsia="新宋体" w:cs="新宋体"/>
          <w:szCs w:val="21"/>
          <w:lang w:val="zh-CN" w:eastAsia="zh-CN"/>
        </w:rPr>
        <w:t>，</w:t>
      </w:r>
      <w:r>
        <w:rPr>
          <w:rFonts w:hint="eastAsia" w:ascii="新宋体" w:hAnsi="新宋体" w:eastAsia="新宋体" w:cs="新宋体"/>
          <w:szCs w:val="21"/>
          <w:lang w:val="zh-CN"/>
        </w:rPr>
        <w:t>否则为无效响应文件。</w:t>
      </w:r>
    </w:p>
    <w:p>
      <w:pPr>
        <w:wordWrap w:val="0"/>
        <w:spacing w:line="420" w:lineRule="exact"/>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en-US" w:eastAsia="zh-CN"/>
        </w:rPr>
        <w:t>13、中标后第二日上午9:00需向采购人提供投标文件中所有资质原件以供查验，满足要求后方可签订供货合同。不符合或不能提供的，取消其中标资格并列入不良记录及信用中国。</w:t>
      </w:r>
    </w:p>
    <w:p>
      <w:pPr>
        <w:wordWrap w:val="0"/>
        <w:spacing w:line="420" w:lineRule="exact"/>
        <w:contextualSpacing/>
        <w:rPr>
          <w:rFonts w:hint="eastAsia" w:ascii="新宋体" w:hAnsi="新宋体" w:eastAsia="新宋体" w:cs="新宋体"/>
          <w:szCs w:val="21"/>
          <w:lang w:val="zh-CN"/>
        </w:rPr>
      </w:pPr>
    </w:p>
    <w:p>
      <w:pPr>
        <w:topLinePunct/>
        <w:spacing w:line="360" w:lineRule="auto"/>
        <w:ind w:firstLine="42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六、验收标准</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1、按照国家相关标准、行业标准、地方标准或其他标准、规范验收。</w:t>
      </w:r>
    </w:p>
    <w:p>
      <w:pPr>
        <w:pStyle w:val="24"/>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2、按照招标文件要求、投标文件响应和承诺验收。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1、支付方式：</w:t>
      </w:r>
      <w:r>
        <w:rPr>
          <w:rFonts w:hint="eastAsia" w:cs="宋体" w:asciiTheme="minorEastAsia" w:hAnsiTheme="minorEastAsia"/>
          <w:color w:val="000000"/>
          <w:kern w:val="0"/>
          <w:szCs w:val="21"/>
          <w:lang w:val="zh-CN" w:eastAsia="zh-CN"/>
        </w:rPr>
        <w:t>按照合同约定，经验收合格后申请支付。</w:t>
      </w:r>
    </w:p>
    <w:p>
      <w:pPr>
        <w:widowControl/>
        <w:shd w:val="clear" w:color="auto" w:fill="FFFFFF"/>
        <w:spacing w:line="600" w:lineRule="exact"/>
        <w:ind w:firstLine="420" w:firstLineChars="200"/>
        <w:jc w:val="left"/>
        <w:rPr>
          <w:szCs w:val="21"/>
        </w:rPr>
      </w:pPr>
      <w:r>
        <w:rPr>
          <w:rFonts w:hint="eastAsia" w:cs="宋体" w:asciiTheme="minorEastAsia" w:hAnsiTheme="minorEastAsia"/>
          <w:color w:val="000000"/>
          <w:kern w:val="0"/>
          <w:szCs w:val="21"/>
          <w:lang w:val="zh-CN"/>
        </w:rPr>
        <w:t>2、支付时间及条件：以签订合同为准。</w:t>
      </w: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
      <w:pPr>
        <w:autoSpaceDE w:val="0"/>
        <w:autoSpaceDN w:val="0"/>
        <w:adjustRightInd w:val="0"/>
        <w:ind w:firstLine="2891" w:firstLineChars="900"/>
        <w:rPr>
          <w:rFonts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p>
    <w:p>
      <w:pPr>
        <w:pStyle w:val="32"/>
        <w:ind w:firstLine="0" w:firstLineChars="0"/>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rPr>
              <w:t>禹州市中心医院</w:t>
            </w:r>
            <w:r>
              <w:rPr>
                <w:rFonts w:hint="eastAsia" w:cs="仿宋_GB2312" w:asciiTheme="minorEastAsia" w:hAnsiTheme="minorEastAsia"/>
                <w:color w:val="000000"/>
                <w:szCs w:val="21"/>
                <w:shd w:val="clear" w:color="auto" w:fill="FFFFFF"/>
                <w:lang w:eastAsia="zh-CN"/>
              </w:rPr>
              <w:t>公共卫生医学中心电梯采购项目</w:t>
            </w:r>
            <w:r>
              <w:rPr>
                <w:rFonts w:hint="eastAsia" w:cs="仿宋_GB2312" w:asciiTheme="minorEastAsia" w:hAnsiTheme="minorEastAsia"/>
                <w:szCs w:val="21"/>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采购编号：YZCG-T20210</w:t>
            </w:r>
            <w:r>
              <w:rPr>
                <w:rFonts w:hint="eastAsia" w:cs="仿宋_GB2312" w:asciiTheme="minorEastAsia" w:hAnsiTheme="minorEastAsia"/>
                <w:szCs w:val="21"/>
                <w:lang w:val="en-US" w:eastAsia="zh-CN"/>
              </w:rPr>
              <w:t>67</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交付（服务、完工）时间：签订合同后</w:t>
            </w:r>
            <w:r>
              <w:rPr>
                <w:rFonts w:hint="eastAsia" w:cs="仿宋_GB2312" w:asciiTheme="minorEastAsia" w:hAnsiTheme="minorEastAsia"/>
                <w:szCs w:val="21"/>
                <w:lang w:val="en-US" w:eastAsia="zh-CN"/>
              </w:rPr>
              <w:t>50</w:t>
            </w:r>
            <w:r>
              <w:rPr>
                <w:rFonts w:hint="eastAsia" w:cs="仿宋_GB2312" w:asciiTheme="minorEastAsia" w:hAnsiTheme="minorEastAsia"/>
                <w:szCs w:val="21"/>
                <w:lang w:eastAsia="zh-CN"/>
              </w:rPr>
              <w:t>日历天</w:t>
            </w:r>
            <w:r>
              <w:rPr>
                <w:rFonts w:hint="eastAsia" w:cs="仿宋_GB2312" w:asciiTheme="minorEastAsia" w:hAnsiTheme="minorEastAsia"/>
                <w:szCs w:val="21"/>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采购单位：禹州市中心医院</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w:t>
            </w:r>
          </w:p>
          <w:p>
            <w:pPr>
              <w:spacing w:line="500" w:lineRule="atLeas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eastAsia="zh-CN"/>
              </w:rPr>
              <w:t>孙</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8226077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①2019年度或者2020年度经审计的财务报告，包括资产负债表、利润表、现金流量表、所有者权益变动表及其附注；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spacing w:line="500" w:lineRule="atLeast"/>
              <w:jc w:val="left"/>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lang w:val="en-US" w:eastAsia="zh-CN"/>
              </w:rPr>
              <w:t>6、</w:t>
            </w:r>
            <w:r>
              <w:rPr>
                <w:rFonts w:hint="eastAsia" w:cs="仿宋_GB2312" w:asciiTheme="minorEastAsia" w:hAnsiTheme="minorEastAsia"/>
                <w:color w:val="000000"/>
                <w:szCs w:val="21"/>
                <w:shd w:val="clear" w:color="auto" w:fill="FFFFFF"/>
              </w:rPr>
              <w:t>投标人为电梯制造商的须具有《中华人民共和国特种设备制造许可证》（电梯）客梯B级资质及以上和《中华人民共和国特种设备安装改造维修许可证》（电梯）B级及以上（新版本按二证合一）</w:t>
            </w:r>
            <w:r>
              <w:rPr>
                <w:rFonts w:hint="eastAsia" w:cs="仿宋_GB2312" w:asciiTheme="minorEastAsia" w:hAnsiTheme="minorEastAsia"/>
                <w:color w:val="000000"/>
                <w:szCs w:val="21"/>
                <w:shd w:val="clear" w:color="auto" w:fill="FFFFFF"/>
                <w:lang w:eastAsia="zh-CN"/>
              </w:rPr>
              <w:t>。</w:t>
            </w:r>
          </w:p>
          <w:p>
            <w:pPr>
              <w:spacing w:line="500" w:lineRule="atLeast"/>
              <w:jc w:val="left"/>
            </w:pP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投标人为代理商的须具有有电梯（品牌）原制造商的《中华人民共和国特种设备制造许可证》（电梯）客梯B级资质及以上资质证书原件或复印件（复印件须加盖原制造商公章）（新版本按二证合一）和质量和技术监督部门颁发的《中华人民共和国特种设备安装改造维修许可证》（电梯）B级及以上（复印件须加盖原制造商公章）</w:t>
            </w:r>
            <w:r>
              <w:rPr>
                <w:rFonts w:hint="eastAsia" w:cs="仿宋_GB2312" w:asciiTheme="minorEastAsia" w:hAnsiTheme="minorEastAsia"/>
                <w:color w:val="00000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Cs w:val="21"/>
              </w:rPr>
            </w:pPr>
            <w:r>
              <w:rPr>
                <w:rFonts w:hint="eastAsia" w:cs="仿宋_GB2312" w:asciiTheme="minorEastAsia" w:hAnsiTheme="minorEastAsia"/>
                <w:b/>
                <w:bCs/>
                <w:color w:val="000000"/>
                <w:szCs w:val="21"/>
                <w:shd w:val="clear" w:color="auto" w:fill="FFFFFF"/>
                <w:lang w:val="en-US" w:eastAsia="zh-CN"/>
              </w:rPr>
              <w:t xml:space="preserve">48.4 </w:t>
            </w:r>
            <w:r>
              <w:rPr>
                <w:rFonts w:hint="eastAsia" w:cs="仿宋_GB2312" w:asciiTheme="minorEastAsia" w:hAnsiTheme="minorEastAsia"/>
                <w:b/>
                <w:bCs/>
                <w:color w:val="000000"/>
                <w:szCs w:val="21"/>
                <w:shd w:val="clear" w:color="auto" w:fill="FFFFFF"/>
              </w:rPr>
              <w:t>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 xml:space="preserve">2 </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 5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10</w:t>
            </w:r>
            <w:bookmarkStart w:id="7" w:name="_GoBack"/>
            <w:bookmarkEnd w:id="7"/>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rPr>
            </w:pPr>
            <w:r>
              <w:rPr>
                <w:rFonts w:hint="eastAsia" w:ascii="ˎ̥" w:hAnsi="ˎ̥"/>
              </w:rPr>
              <w:t>2、项目编号以本谈判文件中的采购编号为准。</w:t>
            </w:r>
          </w:p>
          <w:p>
            <w:pPr>
              <w:autoSpaceDE w:val="0"/>
              <w:autoSpaceDN w:val="0"/>
              <w:adjustRightInd w:val="0"/>
              <w:spacing w:line="360" w:lineRule="auto"/>
              <w:contextualSpacing/>
            </w:pPr>
            <w:r>
              <w:rPr>
                <w:rFonts w:hint="eastAsia" w:ascii="ˎ̥" w:hAnsi="ˎ̥"/>
              </w:rPr>
              <w:t>3、谈判文件第八章  响应文件有关格式的先后顺序不做无效响应。</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32"/>
        <w:ind w:firstLine="723"/>
        <w:rPr>
          <w:rFonts w:cs="宋体" w:asciiTheme="majorEastAsia" w:hAnsiTheme="majorEastAsia" w:eastAsiaTheme="majorEastAsia"/>
          <w:b/>
          <w:kern w:val="0"/>
          <w:sz w:val="36"/>
          <w:szCs w:val="36"/>
        </w:rPr>
      </w:pPr>
    </w:p>
    <w:p>
      <w:pPr>
        <w:pStyle w:val="32"/>
        <w:ind w:firstLine="723"/>
        <w:rPr>
          <w:rFonts w:cs="宋体" w:asciiTheme="majorEastAsia" w:hAnsiTheme="majorEastAsia" w:eastAsiaTheme="majorEastAsia"/>
          <w:b/>
          <w:kern w:val="0"/>
          <w:sz w:val="36"/>
          <w:szCs w:val="36"/>
        </w:rPr>
      </w:pPr>
    </w:p>
    <w:p>
      <w:pPr>
        <w:pStyle w:val="32"/>
        <w:ind w:firstLine="723"/>
        <w:rPr>
          <w:rFonts w:cs="宋体" w:asciiTheme="majorEastAsia" w:hAnsiTheme="majorEastAsia" w:eastAsiaTheme="majorEastAsia"/>
          <w:b/>
          <w:kern w:val="0"/>
          <w:sz w:val="36"/>
          <w:szCs w:val="36"/>
        </w:rPr>
      </w:pPr>
    </w:p>
    <w:p>
      <w:pPr>
        <w:pStyle w:val="32"/>
        <w:ind w:firstLine="723"/>
        <w:rPr>
          <w:rFonts w:cs="宋体" w:asciiTheme="majorEastAsia" w:hAnsiTheme="majorEastAsia" w:eastAsiaTheme="majorEastAsia"/>
          <w:b/>
          <w:kern w:val="0"/>
          <w:sz w:val="36"/>
          <w:szCs w:val="36"/>
        </w:rPr>
      </w:pPr>
    </w:p>
    <w:p>
      <w:pPr>
        <w:pStyle w:val="32"/>
        <w:ind w:firstLine="723"/>
        <w:rPr>
          <w:rFonts w:cs="宋体" w:asciiTheme="majorEastAsia" w:hAnsiTheme="majorEastAsia" w:eastAsiaTheme="majorEastAsia"/>
          <w:b/>
          <w:kern w:val="0"/>
          <w:sz w:val="36"/>
          <w:szCs w:val="36"/>
        </w:rPr>
      </w:pPr>
    </w:p>
    <w:p>
      <w:pPr>
        <w:pStyle w:val="32"/>
        <w:ind w:firstLine="723"/>
        <w:rPr>
          <w:rFonts w:cs="宋体" w:asciiTheme="majorEastAsia" w:hAnsiTheme="majorEastAsia" w:eastAsiaTheme="majorEastAsia"/>
          <w:b/>
          <w:kern w:val="0"/>
          <w:sz w:val="36"/>
          <w:szCs w:val="36"/>
        </w:rPr>
      </w:pPr>
    </w:p>
    <w:p>
      <w:pPr>
        <w:pStyle w:val="32"/>
        <w:ind w:firstLine="723"/>
        <w:rPr>
          <w:rFonts w:cs="宋体" w:asciiTheme="majorEastAsia" w:hAnsiTheme="majorEastAsia" w:eastAsiaTheme="majorEastAsia"/>
          <w:b/>
          <w:kern w:val="0"/>
          <w:sz w:val="36"/>
          <w:szCs w:val="36"/>
        </w:rPr>
      </w:pPr>
    </w:p>
    <w:p>
      <w:pPr>
        <w:pStyle w:val="32"/>
        <w:ind w:firstLine="723"/>
        <w:rPr>
          <w:rFonts w:cs="宋体" w:asciiTheme="majorEastAsia" w:hAnsiTheme="majorEastAsia" w:eastAsiaTheme="majorEastAsia"/>
          <w:b/>
          <w:kern w:val="0"/>
          <w:sz w:val="36"/>
          <w:szCs w:val="36"/>
        </w:rPr>
      </w:pPr>
    </w:p>
    <w:p>
      <w:pPr>
        <w:pStyle w:val="32"/>
        <w:ind w:firstLine="723"/>
        <w:rPr>
          <w:rFonts w:cs="宋体" w:asciiTheme="majorEastAsia" w:hAnsiTheme="majorEastAsia" w:eastAsiaTheme="majorEastAsia"/>
          <w:b/>
          <w:kern w:val="0"/>
          <w:sz w:val="36"/>
          <w:szCs w:val="36"/>
        </w:rPr>
      </w:pPr>
    </w:p>
    <w:p>
      <w:pPr>
        <w:pStyle w:val="32"/>
        <w:ind w:left="0" w:leftChars="0" w:firstLine="0" w:firstLineChars="0"/>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5"/>
        <w:numPr>
          <w:ilvl w:val="0"/>
          <w:numId w:val="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5"/>
        <w:numPr>
          <w:ilvl w:val="0"/>
          <w:numId w:val="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5"/>
        <w:autoSpaceDE w:val="0"/>
        <w:autoSpaceDN w:val="0"/>
        <w:spacing w:line="360" w:lineRule="auto"/>
        <w:ind w:left="780" w:firstLine="0" w:firstLineChars="0"/>
        <w:contextualSpacing/>
        <w:rPr>
          <w:rFonts w:cs="宋体" w:asciiTheme="minorEastAsia" w:hAnsiTheme="minorEastAsia"/>
          <w:kern w:val="0"/>
          <w:szCs w:val="21"/>
        </w:rPr>
      </w:pPr>
    </w:p>
    <w:p>
      <w:pPr>
        <w:pStyle w:val="55"/>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5"/>
        <w:numPr>
          <w:ilvl w:val="0"/>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5"/>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5"/>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5"/>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5"/>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55"/>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5"/>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5"/>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5"/>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5"/>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5"/>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1"/>
          <w:rFonts w:cs="宋体" w:asciiTheme="minorEastAsia" w:hAnsiTheme="minorEastAsia"/>
          <w:kern w:val="0"/>
          <w:szCs w:val="21"/>
        </w:rPr>
        <w:t>www.chinanpo.gov.cn</w:t>
      </w:r>
      <w:r>
        <w:rPr>
          <w:rStyle w:val="31"/>
          <w:rFonts w:cs="宋体" w:asciiTheme="minorEastAsia" w:hAnsiTheme="minorEastAsia"/>
          <w:kern w:val="0"/>
          <w:szCs w:val="21"/>
        </w:rPr>
        <w:fldChar w:fldCharType="end"/>
      </w:r>
      <w:r>
        <w:rPr>
          <w:rFonts w:hint="eastAsia" w:cs="宋体" w:asciiTheme="minorEastAsia" w:hAnsiTheme="minorEastAsia"/>
          <w:kern w:val="0"/>
          <w:szCs w:val="21"/>
        </w:rPr>
        <w:t>）；</w:t>
      </w:r>
    </w:p>
    <w:p>
      <w:pPr>
        <w:pStyle w:val="55"/>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5"/>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5"/>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5"/>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5"/>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5"/>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5"/>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5"/>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5"/>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5"/>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5"/>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5"/>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5"/>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5"/>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5"/>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5"/>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5"/>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5"/>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autoSpaceDE w:val="0"/>
        <w:autoSpaceDN w:val="0"/>
        <w:spacing w:line="360" w:lineRule="auto"/>
        <w:ind w:firstLine="315" w:firstLineChars="150"/>
        <w:contextualSpacing/>
        <w:rPr>
          <w:rFonts w:cs="宋体" w:asciiTheme="minorEastAsia" w:hAnsiTheme="minorEastAsia"/>
          <w:kern w:val="0"/>
          <w:szCs w:val="21"/>
        </w:rPr>
      </w:pPr>
      <w:r>
        <w:rPr>
          <w:rFonts w:hint="eastAsia" w:cs="微软雅黑"/>
          <w:color w:val="000000"/>
        </w:rPr>
        <w:t>不收取费用</w:t>
      </w:r>
      <w:r>
        <w:rPr>
          <w:rFonts w:hint="eastAsia" w:cs="宋体" w:asciiTheme="minorEastAsia" w:hAnsiTheme="minorEastAsia"/>
          <w:kern w:val="0"/>
          <w:szCs w:val="21"/>
        </w:rPr>
        <w:t>。</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5"/>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5"/>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5"/>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供应商名称等字样。</w:t>
      </w:r>
    </w:p>
    <w:p>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55"/>
        <w:numPr>
          <w:ilvl w:val="0"/>
          <w:numId w:val="11"/>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5"/>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5"/>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5"/>
        <w:numPr>
          <w:ilvl w:val="0"/>
          <w:numId w:val="2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5"/>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5"/>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5"/>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55"/>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55"/>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5"/>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5"/>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55"/>
        <w:autoSpaceDE w:val="0"/>
        <w:autoSpaceDN w:val="0"/>
        <w:spacing w:line="360" w:lineRule="auto"/>
        <w:ind w:left="420" w:firstLine="0" w:firstLineChars="0"/>
        <w:contextualSpacing/>
        <w:rPr>
          <w:rFonts w:cs="宋体" w:asciiTheme="minorEastAsia" w:hAnsiTheme="minorEastAsia"/>
          <w:kern w:val="0"/>
          <w:szCs w:val="21"/>
        </w:rPr>
      </w:pP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5"/>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5"/>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5"/>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5"/>
        <w:numPr>
          <w:ilvl w:val="1"/>
          <w:numId w:val="31"/>
        </w:numPr>
        <w:autoSpaceDE w:val="0"/>
        <w:autoSpaceDN w:val="0"/>
        <w:spacing w:line="360" w:lineRule="auto"/>
        <w:ind w:firstLineChars="0"/>
        <w:contextualSpacing/>
        <w:rPr>
          <w:rFonts w:ascii="ˎ̥" w:hAnsi="ˎ̥"/>
          <w:vanish/>
        </w:rPr>
      </w:pPr>
    </w:p>
    <w:p>
      <w:pPr>
        <w:pStyle w:val="55"/>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5"/>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5"/>
        <w:numPr>
          <w:ilvl w:val="0"/>
          <w:numId w:val="34"/>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5"/>
        <w:numPr>
          <w:ilvl w:val="0"/>
          <w:numId w:val="34"/>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5"/>
        <w:numPr>
          <w:ilvl w:val="0"/>
          <w:numId w:val="34"/>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5"/>
        <w:numPr>
          <w:ilvl w:val="0"/>
          <w:numId w:val="35"/>
        </w:numPr>
        <w:autoSpaceDE w:val="0"/>
        <w:autoSpaceDN w:val="0"/>
        <w:spacing w:line="360" w:lineRule="auto"/>
        <w:ind w:firstLineChars="0"/>
        <w:contextualSpacing/>
        <w:rPr>
          <w:rFonts w:cs="宋体" w:asciiTheme="minorEastAsia" w:hAnsiTheme="minorEastAsia"/>
          <w:vanish/>
          <w:kern w:val="0"/>
          <w:szCs w:val="21"/>
        </w:rPr>
      </w:pPr>
    </w:p>
    <w:p>
      <w:pPr>
        <w:pStyle w:val="55"/>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5"/>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5"/>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5"/>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5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5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55"/>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5"/>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5"/>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5"/>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5"/>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5"/>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5"/>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5"/>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5"/>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55"/>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5"/>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5"/>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55"/>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5"/>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55"/>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5"/>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5"/>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5"/>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5"/>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5"/>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5"/>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5"/>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5"/>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5"/>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5"/>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5"/>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55"/>
        <w:numPr>
          <w:ilvl w:val="0"/>
          <w:numId w:val="43"/>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55"/>
        <w:numPr>
          <w:ilvl w:val="0"/>
          <w:numId w:val="43"/>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5"/>
        <w:numPr>
          <w:ilvl w:val="0"/>
          <w:numId w:val="43"/>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5"/>
        <w:numPr>
          <w:ilvl w:val="0"/>
          <w:numId w:val="43"/>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5"/>
        <w:numPr>
          <w:ilvl w:val="0"/>
          <w:numId w:val="43"/>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5"/>
        <w:numPr>
          <w:ilvl w:val="0"/>
          <w:numId w:val="43"/>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55"/>
        <w:autoSpaceDE w:val="0"/>
        <w:autoSpaceDN w:val="0"/>
        <w:spacing w:line="360" w:lineRule="auto"/>
        <w:ind w:left="964" w:firstLine="0" w:firstLineChars="0"/>
        <w:contextualSpacing/>
        <w:rPr>
          <w:rFonts w:ascii="ˎ̥" w:hAnsi="ˎ̥"/>
        </w:rPr>
      </w:pPr>
    </w:p>
    <w:p>
      <w:pPr>
        <w:pStyle w:val="55"/>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5"/>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5"/>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55"/>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5"/>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55"/>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5"/>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5"/>
        <w:numPr>
          <w:ilvl w:val="0"/>
          <w:numId w:val="45"/>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5"/>
        <w:autoSpaceDE w:val="0"/>
        <w:autoSpaceDN w:val="0"/>
        <w:spacing w:line="360" w:lineRule="auto"/>
        <w:ind w:left="964" w:firstLine="0" w:firstLineChars="0"/>
        <w:contextualSpacing/>
        <w:rPr>
          <w:rFonts w:ascii="ˎ̥" w:hAnsi="ˎ̥"/>
        </w:rPr>
      </w:pPr>
    </w:p>
    <w:p>
      <w:pPr>
        <w:pStyle w:val="55"/>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5"/>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55"/>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5"/>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5"/>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通过《全国公共资源交易平台（河南省·许昌市）》一次性提出，提出后电话联系本项目谈判公告中集采机构联系人查看，如未提出视为全面接受。</w:t>
      </w:r>
    </w:p>
    <w:p>
      <w:pPr>
        <w:pStyle w:val="55"/>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55"/>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55"/>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5"/>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5"/>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5"/>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55"/>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5"/>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5"/>
        <w:autoSpaceDE w:val="0"/>
        <w:autoSpaceDN w:val="0"/>
        <w:spacing w:line="360" w:lineRule="auto"/>
        <w:ind w:left="964" w:firstLine="0" w:firstLineChars="0"/>
        <w:contextualSpacing/>
        <w:rPr>
          <w:rFonts w:cs="宋体" w:asciiTheme="minorEastAsia" w:hAnsiTheme="minorEastAsia"/>
          <w:kern w:val="0"/>
          <w:szCs w:val="21"/>
        </w:rPr>
      </w:pPr>
    </w:p>
    <w:p>
      <w:pPr>
        <w:pStyle w:val="55"/>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32"/>
      </w:pPr>
    </w:p>
    <w:p>
      <w:pPr>
        <w:pStyle w:val="55"/>
        <w:numPr>
          <w:ilvl w:val="0"/>
          <w:numId w:val="48"/>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55"/>
        <w:numPr>
          <w:ilvl w:val="1"/>
          <w:numId w:val="54"/>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rPr>
          <w:rFonts w:hint="eastAsia" w:ascii="宋体" w:hAnsi="宋体" w:eastAsia="宋体" w:cs="宋体"/>
          <w:color w:val="333333"/>
          <w:sz w:val="24"/>
          <w:szCs w:val="24"/>
        </w:rPr>
      </w:pPr>
      <w:r>
        <w:rPr>
          <w:rFonts w:hint="eastAsia" w:ascii="宋体" w:hAnsi="宋体" w:eastAsia="宋体" w:cs="宋体"/>
          <w:color w:val="333333"/>
          <w:sz w:val="24"/>
          <w:szCs w:val="24"/>
        </w:rPr>
        <w:br w:type="textWrapping"/>
      </w:r>
    </w:p>
    <w:p>
      <w:pPr>
        <w:pStyle w:val="2"/>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3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2"/>
        <w:rPr>
          <w:rFonts w:hint="eastAsia" w:cs="仿宋_GB2312" w:asciiTheme="minorEastAsia" w:hAnsiTheme="minorEastAsia"/>
          <w:szCs w:val="21"/>
          <w:lang w:val="zh-CN"/>
        </w:rPr>
      </w:pPr>
    </w:p>
    <w:p>
      <w:pPr>
        <w:rPr>
          <w:rFonts w:hint="eastAsia" w:cs="仿宋_GB2312" w:asciiTheme="minorEastAsia" w:hAnsiTheme="minorEastAsia"/>
          <w:szCs w:val="21"/>
          <w:lang w:val="zh-CN"/>
        </w:rPr>
      </w:pPr>
    </w:p>
    <w:p>
      <w:pPr>
        <w:pStyle w:val="2"/>
        <w:rPr>
          <w:lang w:val="zh-CN"/>
        </w:rPr>
      </w:pPr>
    </w:p>
    <w:p>
      <w:pPr>
        <w:tabs>
          <w:tab w:val="left" w:pos="1260"/>
        </w:tabs>
        <w:autoSpaceDE w:val="0"/>
        <w:autoSpaceDN w:val="0"/>
        <w:adjustRightInd w:val="0"/>
        <w:spacing w:line="360" w:lineRule="auto"/>
        <w:ind w:firstLine="1590" w:firstLineChars="495"/>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响应文件审查与评审</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szCs w:val="21"/>
              </w:rPr>
              <w:t>www.creditchina.gov.cn</w:t>
            </w:r>
            <w:r>
              <w:rPr>
                <w:rStyle w:val="31"/>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500" w:lineRule="atLeast"/>
              <w:jc w:val="left"/>
              <w:rPr>
                <w:rFonts w:hint="eastAsia" w:cs="仿宋_GB2312" w:asciiTheme="minorEastAsia" w:hAnsiTheme="minorEastAsia"/>
                <w:color w:val="000000"/>
                <w:szCs w:val="21"/>
                <w:shd w:val="clear" w:color="auto" w:fill="FFFFFF"/>
                <w:lang w:eastAsia="zh-CN"/>
              </w:rPr>
            </w:pPr>
            <w:r>
              <w:rPr>
                <w:rFonts w:hint="eastAsia" w:cs="仿宋_GB2312" w:asciiTheme="minorEastAsia" w:hAnsiTheme="minorEastAsia"/>
                <w:color w:val="000000"/>
                <w:szCs w:val="21"/>
                <w:shd w:val="clear" w:color="auto" w:fill="FFFFFF"/>
                <w:lang w:val="en-US" w:eastAsia="zh-CN"/>
              </w:rPr>
              <w:t>1、</w:t>
            </w:r>
            <w:r>
              <w:rPr>
                <w:rFonts w:hint="eastAsia" w:cs="仿宋_GB2312" w:asciiTheme="minorEastAsia" w:hAnsiTheme="minorEastAsia"/>
                <w:color w:val="000000"/>
                <w:szCs w:val="21"/>
                <w:shd w:val="clear" w:color="auto" w:fill="FFFFFF"/>
              </w:rPr>
              <w:t>投标人为电梯制造商的须具有《中华人民共和国特种设备制造许可证》（电梯）客梯B级资质及以上和《中华人民共和国特种设备安装改造维修许可证》（电梯）B级及以上（新版本按二证合一）</w:t>
            </w:r>
            <w:r>
              <w:rPr>
                <w:rFonts w:hint="eastAsia" w:cs="仿宋_GB2312" w:asciiTheme="minorEastAsia" w:hAnsiTheme="minorEastAsia"/>
                <w:color w:val="000000"/>
                <w:szCs w:val="21"/>
                <w:shd w:val="clear" w:color="auto" w:fill="FFFFFF"/>
                <w:lang w:eastAsia="zh-CN"/>
              </w:rPr>
              <w:t>。</w:t>
            </w:r>
          </w:p>
          <w:p>
            <w:pPr>
              <w:spacing w:line="500" w:lineRule="atLeast"/>
              <w:jc w:val="left"/>
              <w:rPr>
                <w:rFonts w:asciiTheme="minorEastAsia" w:hAnsiTheme="minorEastAsia"/>
                <w:b/>
                <w:bCs/>
                <w:szCs w:val="21"/>
              </w:rPr>
            </w:pPr>
            <w:r>
              <w:rPr>
                <w:rFonts w:hint="eastAsia" w:cs="仿宋_GB2312" w:asciiTheme="minorEastAsia" w:hAnsiTheme="minorEastAsia"/>
                <w:color w:val="000000"/>
                <w:szCs w:val="21"/>
                <w:shd w:val="clear" w:color="auto" w:fill="FFFFFF"/>
                <w:lang w:val="en-US" w:eastAsia="zh-CN"/>
              </w:rPr>
              <w:t>2、</w:t>
            </w:r>
            <w:r>
              <w:rPr>
                <w:rFonts w:hint="eastAsia" w:cs="仿宋_GB2312" w:asciiTheme="minorEastAsia" w:hAnsiTheme="minorEastAsia"/>
                <w:color w:val="000000"/>
                <w:szCs w:val="21"/>
                <w:shd w:val="clear" w:color="auto" w:fill="FFFFFF"/>
              </w:rPr>
              <w:t>投标人为代理商的须具有有电梯（品牌）原制造商的《中华人民共和国特种设备制造许可证》（电梯）客梯B级资质及以上资质证书原件或复印件（复印件须加盖原制造商公章）（新版本按二证合一）和质量和技术监督部门颁发的《中华人民共和国特种设备安装改造维修许可证》（电梯）B级及以上（复印件须加盖原制造商公章）</w:t>
            </w:r>
            <w:r>
              <w:rPr>
                <w:rFonts w:hint="eastAsia" w:cs="仿宋_GB2312" w:asciiTheme="minorEastAsia" w:hAnsiTheme="minorEastAsia"/>
                <w:color w:val="00000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82" w:firstLineChars="200"/>
        <w:contextualSpacing/>
        <w:rPr>
          <w:rFonts w:cs="仿宋_GB2312" w:asciiTheme="minorEastAsia" w:hAnsiTheme="minorEastAsia" w:eastAsiaTheme="minorEastAsia"/>
          <w:b/>
          <w:szCs w:val="24"/>
          <w:lang w:val="zh-CN"/>
        </w:rPr>
      </w:pP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7"/>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7"/>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7"/>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693"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693"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7"/>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24"/>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ind w:firstLine="723"/>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32"/>
      </w:pPr>
    </w:p>
    <w:p>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7"/>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p>
    <w:p>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7"/>
        <w:spacing w:line="360" w:lineRule="auto"/>
        <w:jc w:val="center"/>
        <w:rPr>
          <w:rFonts w:asciiTheme="majorEastAsia" w:hAnsiTheme="majorEastAsia" w:eastAsiaTheme="majorEastAsia"/>
          <w:b/>
          <w:snapToGrid w:val="0"/>
          <w:kern w:val="0"/>
          <w:szCs w:val="24"/>
        </w:rPr>
      </w:pPr>
    </w:p>
    <w:p>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我方确认收到贵方提供的（项目名称、采购编号）谈判文件的全部内容。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谈判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已完全理解并接受招标文件的各项规定和要求及资金支付规定，对谈判文件的合理性、合法性不再有异议，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我方同意在本项目谈判文件中规定的开标日起90天内遵守本投标文件中的承诺且在此期限期满之前均具有约束力。我方同意并遵守本谈判文件“投标人须知”中第十四条第三款关于延长投标有效期的规定。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7"/>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57"/>
        <w:spacing w:line="480" w:lineRule="auto"/>
        <w:ind w:firstLine="472" w:firstLineChars="225"/>
        <w:jc w:val="left"/>
        <w:rPr>
          <w:rFonts w:asciiTheme="minorEastAsia" w:hAnsiTheme="minorEastAsia"/>
          <w:color w:val="000000"/>
          <w:sz w:val="21"/>
          <w:szCs w:val="21"/>
        </w:rPr>
      </w:pPr>
    </w:p>
    <w:p>
      <w:pPr>
        <w:pStyle w:val="5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6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5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2" w:name="_资格证明文件"/>
            <w:bookmarkEnd w:id="2"/>
            <w:bookmarkStart w:id="3"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3"/>
          </w:p>
        </w:tc>
        <w:tc>
          <w:tcPr>
            <w:tcW w:w="4492" w:type="dxa"/>
            <w:gridSpan w:val="2"/>
            <w:vAlign w:val="center"/>
          </w:tcPr>
          <w:p>
            <w:pPr>
              <w:jc w:val="center"/>
              <w:rPr>
                <w:rFonts w:asciiTheme="minorEastAsia" w:hAnsiTheme="minorEastAsia"/>
                <w:szCs w:val="21"/>
              </w:rPr>
            </w:pPr>
            <w:bookmarkStart w:id="4"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4"/>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5" w:name="OLE_LINK13"/>
      <w:bookmarkStart w:id="6" w:name="OLE_LINK14"/>
      <w:r>
        <w:rPr>
          <w:rFonts w:hint="eastAsia" w:ascii="宋体" w:hAnsi="宋体"/>
          <w:b/>
          <w:bCs/>
          <w:color w:val="000000"/>
          <w:sz w:val="24"/>
          <w:szCs w:val="24"/>
        </w:rPr>
        <w:t>4.10 残疾人福利性单位声明函</w:t>
      </w:r>
    </w:p>
    <w:bookmarkEnd w:id="5"/>
    <w:bookmarkEnd w:id="6"/>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7"/>
        <w:spacing w:line="360" w:lineRule="auto"/>
        <w:ind w:firstLine="723"/>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28"/>
          <w:szCs w:val="28"/>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3">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C7A7622"/>
    <w:multiLevelType w:val="singleLevel"/>
    <w:tmpl w:val="2C7A7622"/>
    <w:lvl w:ilvl="0" w:tentative="0">
      <w:start w:val="1"/>
      <w:numFmt w:val="chineseCounting"/>
      <w:suff w:val="space"/>
      <w:lvlText w:val="第%1章"/>
      <w:lvlJc w:val="left"/>
      <w:rPr>
        <w:rFonts w:hint="eastAsia"/>
      </w:rPr>
    </w:lvl>
  </w:abstractNum>
  <w:abstractNum w:abstractNumId="23">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9">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7D3A91D"/>
    <w:multiLevelType w:val="singleLevel"/>
    <w:tmpl w:val="57D3A91D"/>
    <w:lvl w:ilvl="0" w:tentative="0">
      <w:start w:val="2"/>
      <w:numFmt w:val="decimal"/>
      <w:suff w:val="nothing"/>
      <w:lvlText w:val="（%1）"/>
      <w:lvlJc w:val="left"/>
    </w:lvl>
  </w:abstractNum>
  <w:abstractNum w:abstractNumId="38">
    <w:nsid w:val="59F817E8"/>
    <w:multiLevelType w:val="singleLevel"/>
    <w:tmpl w:val="59F817E8"/>
    <w:lvl w:ilvl="0" w:tentative="0">
      <w:start w:val="1"/>
      <w:numFmt w:val="chineseCounting"/>
      <w:pStyle w:val="65"/>
      <w:suff w:val="nothing"/>
      <w:lvlText w:val="%1、"/>
      <w:lvlJc w:val="left"/>
    </w:lvl>
  </w:abstractNum>
  <w:abstractNum w:abstractNumId="3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8"/>
  </w:num>
  <w:num w:numId="4">
    <w:abstractNumId w:val="22"/>
  </w:num>
  <w:num w:numId="5">
    <w:abstractNumId w:val="37"/>
  </w:num>
  <w:num w:numId="6">
    <w:abstractNumId w:val="14"/>
  </w:num>
  <w:num w:numId="7">
    <w:abstractNumId w:val="15"/>
  </w:num>
  <w:num w:numId="8">
    <w:abstractNumId w:val="43"/>
  </w:num>
  <w:num w:numId="9">
    <w:abstractNumId w:val="52"/>
  </w:num>
  <w:num w:numId="10">
    <w:abstractNumId w:val="51"/>
  </w:num>
  <w:num w:numId="11">
    <w:abstractNumId w:val="42"/>
  </w:num>
  <w:num w:numId="12">
    <w:abstractNumId w:val="21"/>
  </w:num>
  <w:num w:numId="13">
    <w:abstractNumId w:val="16"/>
  </w:num>
  <w:num w:numId="14">
    <w:abstractNumId w:val="45"/>
  </w:num>
  <w:num w:numId="15">
    <w:abstractNumId w:val="40"/>
  </w:num>
  <w:num w:numId="16">
    <w:abstractNumId w:val="50"/>
  </w:num>
  <w:num w:numId="17">
    <w:abstractNumId w:val="33"/>
  </w:num>
  <w:num w:numId="18">
    <w:abstractNumId w:val="11"/>
  </w:num>
  <w:num w:numId="19">
    <w:abstractNumId w:val="36"/>
  </w:num>
  <w:num w:numId="20">
    <w:abstractNumId w:val="4"/>
  </w:num>
  <w:num w:numId="21">
    <w:abstractNumId w:val="20"/>
  </w:num>
  <w:num w:numId="22">
    <w:abstractNumId w:val="34"/>
  </w:num>
  <w:num w:numId="23">
    <w:abstractNumId w:val="3"/>
  </w:num>
  <w:num w:numId="24">
    <w:abstractNumId w:val="47"/>
  </w:num>
  <w:num w:numId="25">
    <w:abstractNumId w:val="10"/>
  </w:num>
  <w:num w:numId="26">
    <w:abstractNumId w:val="25"/>
  </w:num>
  <w:num w:numId="27">
    <w:abstractNumId w:val="29"/>
  </w:num>
  <w:num w:numId="28">
    <w:abstractNumId w:val="17"/>
  </w:num>
  <w:num w:numId="29">
    <w:abstractNumId w:val="39"/>
  </w:num>
  <w:num w:numId="30">
    <w:abstractNumId w:val="23"/>
  </w:num>
  <w:num w:numId="31">
    <w:abstractNumId w:val="46"/>
  </w:num>
  <w:num w:numId="32">
    <w:abstractNumId w:val="30"/>
  </w:num>
  <w:num w:numId="33">
    <w:abstractNumId w:val="49"/>
  </w:num>
  <w:num w:numId="34">
    <w:abstractNumId w:val="12"/>
  </w:num>
  <w:num w:numId="35">
    <w:abstractNumId w:val="2"/>
  </w:num>
  <w:num w:numId="36">
    <w:abstractNumId w:val="8"/>
  </w:num>
  <w:num w:numId="37">
    <w:abstractNumId w:val="5"/>
  </w:num>
  <w:num w:numId="38">
    <w:abstractNumId w:val="27"/>
  </w:num>
  <w:num w:numId="39">
    <w:abstractNumId w:val="13"/>
  </w:num>
  <w:num w:numId="40">
    <w:abstractNumId w:val="44"/>
  </w:num>
  <w:num w:numId="41">
    <w:abstractNumId w:val="28"/>
  </w:num>
  <w:num w:numId="42">
    <w:abstractNumId w:val="53"/>
  </w:num>
  <w:num w:numId="43">
    <w:abstractNumId w:val="26"/>
  </w:num>
  <w:num w:numId="44">
    <w:abstractNumId w:val="48"/>
  </w:num>
  <w:num w:numId="45">
    <w:abstractNumId w:val="35"/>
  </w:num>
  <w:num w:numId="46">
    <w:abstractNumId w:val="18"/>
  </w:num>
  <w:num w:numId="47">
    <w:abstractNumId w:val="24"/>
  </w:num>
  <w:num w:numId="48">
    <w:abstractNumId w:val="31"/>
  </w:num>
  <w:num w:numId="49">
    <w:abstractNumId w:val="41"/>
  </w:num>
  <w:num w:numId="50">
    <w:abstractNumId w:val="54"/>
  </w:num>
  <w:num w:numId="51">
    <w:abstractNumId w:val="9"/>
  </w:num>
  <w:num w:numId="52">
    <w:abstractNumId w:val="32"/>
  </w:num>
  <w:num w:numId="53">
    <w:abstractNumId w:val="6"/>
  </w:num>
  <w:num w:numId="54">
    <w:abstractNumId w:val="19"/>
  </w:num>
  <w:num w:numId="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418F9"/>
    <w:rsid w:val="00046E42"/>
    <w:rsid w:val="0005454B"/>
    <w:rsid w:val="0007027E"/>
    <w:rsid w:val="00072339"/>
    <w:rsid w:val="00074D05"/>
    <w:rsid w:val="000800D2"/>
    <w:rsid w:val="00080389"/>
    <w:rsid w:val="00083387"/>
    <w:rsid w:val="0008414A"/>
    <w:rsid w:val="00091C9C"/>
    <w:rsid w:val="00095387"/>
    <w:rsid w:val="00096224"/>
    <w:rsid w:val="0009640F"/>
    <w:rsid w:val="000A02BB"/>
    <w:rsid w:val="000A73BC"/>
    <w:rsid w:val="000B3383"/>
    <w:rsid w:val="000B36D7"/>
    <w:rsid w:val="000B4057"/>
    <w:rsid w:val="000B4BAC"/>
    <w:rsid w:val="000B56C6"/>
    <w:rsid w:val="000B6819"/>
    <w:rsid w:val="000B7263"/>
    <w:rsid w:val="000C0D70"/>
    <w:rsid w:val="000C2A7B"/>
    <w:rsid w:val="000D1CF1"/>
    <w:rsid w:val="000D30B8"/>
    <w:rsid w:val="000D6633"/>
    <w:rsid w:val="000D798A"/>
    <w:rsid w:val="000E2FFC"/>
    <w:rsid w:val="000E57E7"/>
    <w:rsid w:val="000F1E89"/>
    <w:rsid w:val="0010014D"/>
    <w:rsid w:val="00111550"/>
    <w:rsid w:val="001145D4"/>
    <w:rsid w:val="001223EF"/>
    <w:rsid w:val="001236A3"/>
    <w:rsid w:val="00125A07"/>
    <w:rsid w:val="00134A7E"/>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A76A7"/>
    <w:rsid w:val="001B0DF5"/>
    <w:rsid w:val="001B0E59"/>
    <w:rsid w:val="001C04D2"/>
    <w:rsid w:val="001C0A13"/>
    <w:rsid w:val="001C26CD"/>
    <w:rsid w:val="001C2B6A"/>
    <w:rsid w:val="001C761E"/>
    <w:rsid w:val="001D06FF"/>
    <w:rsid w:val="001D1CBB"/>
    <w:rsid w:val="001D33AD"/>
    <w:rsid w:val="001D33DA"/>
    <w:rsid w:val="001D4C00"/>
    <w:rsid w:val="001E25D9"/>
    <w:rsid w:val="001E52A3"/>
    <w:rsid w:val="001E592F"/>
    <w:rsid w:val="001E76C9"/>
    <w:rsid w:val="001F7199"/>
    <w:rsid w:val="00206982"/>
    <w:rsid w:val="002078AE"/>
    <w:rsid w:val="00210B90"/>
    <w:rsid w:val="00213F11"/>
    <w:rsid w:val="00214892"/>
    <w:rsid w:val="00224D01"/>
    <w:rsid w:val="00231307"/>
    <w:rsid w:val="00234627"/>
    <w:rsid w:val="002426C4"/>
    <w:rsid w:val="002436B4"/>
    <w:rsid w:val="00246A17"/>
    <w:rsid w:val="00252623"/>
    <w:rsid w:val="00254EC4"/>
    <w:rsid w:val="00255732"/>
    <w:rsid w:val="00257206"/>
    <w:rsid w:val="002615C0"/>
    <w:rsid w:val="00262B6F"/>
    <w:rsid w:val="00264014"/>
    <w:rsid w:val="002659C7"/>
    <w:rsid w:val="00266F45"/>
    <w:rsid w:val="00267EE6"/>
    <w:rsid w:val="002709BD"/>
    <w:rsid w:val="002732E0"/>
    <w:rsid w:val="00276150"/>
    <w:rsid w:val="002847E1"/>
    <w:rsid w:val="002871DE"/>
    <w:rsid w:val="002872FE"/>
    <w:rsid w:val="0029125D"/>
    <w:rsid w:val="00293C9D"/>
    <w:rsid w:val="0029513F"/>
    <w:rsid w:val="002A2748"/>
    <w:rsid w:val="002A625E"/>
    <w:rsid w:val="002A62EC"/>
    <w:rsid w:val="002A66C8"/>
    <w:rsid w:val="002B1CC1"/>
    <w:rsid w:val="002B63D8"/>
    <w:rsid w:val="002C0F73"/>
    <w:rsid w:val="002C3B0D"/>
    <w:rsid w:val="002C6520"/>
    <w:rsid w:val="002D082A"/>
    <w:rsid w:val="002D1053"/>
    <w:rsid w:val="002D38B2"/>
    <w:rsid w:val="002D7C23"/>
    <w:rsid w:val="002E0D3B"/>
    <w:rsid w:val="002E18BD"/>
    <w:rsid w:val="002E3D0E"/>
    <w:rsid w:val="002E4CED"/>
    <w:rsid w:val="002E58B7"/>
    <w:rsid w:val="002E6378"/>
    <w:rsid w:val="002F11CE"/>
    <w:rsid w:val="002F23BC"/>
    <w:rsid w:val="002F2D13"/>
    <w:rsid w:val="002F37EB"/>
    <w:rsid w:val="002F3BDA"/>
    <w:rsid w:val="002F3FEE"/>
    <w:rsid w:val="002F4580"/>
    <w:rsid w:val="003011BE"/>
    <w:rsid w:val="00303972"/>
    <w:rsid w:val="00303F10"/>
    <w:rsid w:val="0030443F"/>
    <w:rsid w:val="003074C9"/>
    <w:rsid w:val="00307D84"/>
    <w:rsid w:val="0031002E"/>
    <w:rsid w:val="003155E9"/>
    <w:rsid w:val="003158D3"/>
    <w:rsid w:val="003169BF"/>
    <w:rsid w:val="00320D6C"/>
    <w:rsid w:val="00324B7E"/>
    <w:rsid w:val="0032784A"/>
    <w:rsid w:val="00330D3D"/>
    <w:rsid w:val="0033421C"/>
    <w:rsid w:val="003347F9"/>
    <w:rsid w:val="00336F5A"/>
    <w:rsid w:val="00337A0F"/>
    <w:rsid w:val="003509A7"/>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3F4D82"/>
    <w:rsid w:val="003F6A90"/>
    <w:rsid w:val="00410B19"/>
    <w:rsid w:val="00416591"/>
    <w:rsid w:val="00421F3E"/>
    <w:rsid w:val="00425386"/>
    <w:rsid w:val="004274D7"/>
    <w:rsid w:val="00435E0B"/>
    <w:rsid w:val="00440D16"/>
    <w:rsid w:val="0044232F"/>
    <w:rsid w:val="00444482"/>
    <w:rsid w:val="004464C2"/>
    <w:rsid w:val="0044739E"/>
    <w:rsid w:val="00460A24"/>
    <w:rsid w:val="00463754"/>
    <w:rsid w:val="00464D64"/>
    <w:rsid w:val="0047231A"/>
    <w:rsid w:val="0047378F"/>
    <w:rsid w:val="00480C9E"/>
    <w:rsid w:val="00482B1A"/>
    <w:rsid w:val="00485804"/>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0187"/>
    <w:rsid w:val="00500E5C"/>
    <w:rsid w:val="00501F13"/>
    <w:rsid w:val="00506193"/>
    <w:rsid w:val="0051114C"/>
    <w:rsid w:val="00513C0A"/>
    <w:rsid w:val="00520164"/>
    <w:rsid w:val="005222C3"/>
    <w:rsid w:val="005254AD"/>
    <w:rsid w:val="00527604"/>
    <w:rsid w:val="00532D1B"/>
    <w:rsid w:val="00535B8D"/>
    <w:rsid w:val="00536DD2"/>
    <w:rsid w:val="005411DE"/>
    <w:rsid w:val="00546251"/>
    <w:rsid w:val="005462AC"/>
    <w:rsid w:val="0055332A"/>
    <w:rsid w:val="00555EDE"/>
    <w:rsid w:val="0056657E"/>
    <w:rsid w:val="005701A3"/>
    <w:rsid w:val="00570515"/>
    <w:rsid w:val="005711DE"/>
    <w:rsid w:val="005730CA"/>
    <w:rsid w:val="00573241"/>
    <w:rsid w:val="00575C9D"/>
    <w:rsid w:val="005779B2"/>
    <w:rsid w:val="00581F58"/>
    <w:rsid w:val="00586CD2"/>
    <w:rsid w:val="00592785"/>
    <w:rsid w:val="005940FF"/>
    <w:rsid w:val="00596914"/>
    <w:rsid w:val="005A0C27"/>
    <w:rsid w:val="005A33DA"/>
    <w:rsid w:val="005A49BE"/>
    <w:rsid w:val="005A7E7E"/>
    <w:rsid w:val="005B1144"/>
    <w:rsid w:val="005B14F6"/>
    <w:rsid w:val="005B180E"/>
    <w:rsid w:val="005B4048"/>
    <w:rsid w:val="005B7E03"/>
    <w:rsid w:val="005C09F8"/>
    <w:rsid w:val="005C21AE"/>
    <w:rsid w:val="005D1597"/>
    <w:rsid w:val="005D4EBE"/>
    <w:rsid w:val="005D51C3"/>
    <w:rsid w:val="005D6674"/>
    <w:rsid w:val="005E5AED"/>
    <w:rsid w:val="005F38F8"/>
    <w:rsid w:val="005F4274"/>
    <w:rsid w:val="00600324"/>
    <w:rsid w:val="00605FD5"/>
    <w:rsid w:val="00612130"/>
    <w:rsid w:val="00614C74"/>
    <w:rsid w:val="00622142"/>
    <w:rsid w:val="00630932"/>
    <w:rsid w:val="00631795"/>
    <w:rsid w:val="0063252A"/>
    <w:rsid w:val="00636AAD"/>
    <w:rsid w:val="00637A19"/>
    <w:rsid w:val="0064175E"/>
    <w:rsid w:val="00650176"/>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0150"/>
    <w:rsid w:val="0069574E"/>
    <w:rsid w:val="00695B12"/>
    <w:rsid w:val="006A1483"/>
    <w:rsid w:val="006A3953"/>
    <w:rsid w:val="006A4956"/>
    <w:rsid w:val="006A6187"/>
    <w:rsid w:val="006A6E3E"/>
    <w:rsid w:val="006A7F05"/>
    <w:rsid w:val="006B1138"/>
    <w:rsid w:val="006B25F5"/>
    <w:rsid w:val="006B34C4"/>
    <w:rsid w:val="006B7283"/>
    <w:rsid w:val="006C4E06"/>
    <w:rsid w:val="006C6F1B"/>
    <w:rsid w:val="006D0369"/>
    <w:rsid w:val="006D2CF0"/>
    <w:rsid w:val="006D2D95"/>
    <w:rsid w:val="006D71B0"/>
    <w:rsid w:val="006D71DF"/>
    <w:rsid w:val="006E21C6"/>
    <w:rsid w:val="006F1019"/>
    <w:rsid w:val="006F15D2"/>
    <w:rsid w:val="006F7C4F"/>
    <w:rsid w:val="007050C8"/>
    <w:rsid w:val="00714D78"/>
    <w:rsid w:val="007150BE"/>
    <w:rsid w:val="007229FC"/>
    <w:rsid w:val="00724498"/>
    <w:rsid w:val="007303E5"/>
    <w:rsid w:val="00733E11"/>
    <w:rsid w:val="00736C7C"/>
    <w:rsid w:val="0075258E"/>
    <w:rsid w:val="00752DA3"/>
    <w:rsid w:val="007579F7"/>
    <w:rsid w:val="00763CD2"/>
    <w:rsid w:val="0076522A"/>
    <w:rsid w:val="007707E3"/>
    <w:rsid w:val="00772353"/>
    <w:rsid w:val="0077399E"/>
    <w:rsid w:val="00775E81"/>
    <w:rsid w:val="0078097A"/>
    <w:rsid w:val="00783715"/>
    <w:rsid w:val="007873DE"/>
    <w:rsid w:val="0078798E"/>
    <w:rsid w:val="00791B7A"/>
    <w:rsid w:val="007A1051"/>
    <w:rsid w:val="007A5A56"/>
    <w:rsid w:val="007A7C26"/>
    <w:rsid w:val="007B7FCE"/>
    <w:rsid w:val="007C0625"/>
    <w:rsid w:val="007C1E03"/>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74EE6"/>
    <w:rsid w:val="008814AB"/>
    <w:rsid w:val="00883016"/>
    <w:rsid w:val="00887377"/>
    <w:rsid w:val="00890942"/>
    <w:rsid w:val="008953C5"/>
    <w:rsid w:val="008A6416"/>
    <w:rsid w:val="008B110D"/>
    <w:rsid w:val="008B4548"/>
    <w:rsid w:val="008B618F"/>
    <w:rsid w:val="008C64CC"/>
    <w:rsid w:val="008D05C1"/>
    <w:rsid w:val="008D2E1A"/>
    <w:rsid w:val="008E16F1"/>
    <w:rsid w:val="008E5B73"/>
    <w:rsid w:val="008E7FBF"/>
    <w:rsid w:val="008F040E"/>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786"/>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135A"/>
    <w:rsid w:val="009E2327"/>
    <w:rsid w:val="009E2A41"/>
    <w:rsid w:val="009E3AD6"/>
    <w:rsid w:val="009E53E2"/>
    <w:rsid w:val="009F2898"/>
    <w:rsid w:val="009F3688"/>
    <w:rsid w:val="009F5E75"/>
    <w:rsid w:val="00A02881"/>
    <w:rsid w:val="00A04DD5"/>
    <w:rsid w:val="00A10F0B"/>
    <w:rsid w:val="00A1438F"/>
    <w:rsid w:val="00A153DA"/>
    <w:rsid w:val="00A205AF"/>
    <w:rsid w:val="00A2333F"/>
    <w:rsid w:val="00A256F1"/>
    <w:rsid w:val="00A27CE4"/>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80516"/>
    <w:rsid w:val="00A84578"/>
    <w:rsid w:val="00A94D7E"/>
    <w:rsid w:val="00A95C8D"/>
    <w:rsid w:val="00A95EA0"/>
    <w:rsid w:val="00A96F5A"/>
    <w:rsid w:val="00AA0B3A"/>
    <w:rsid w:val="00AA23BA"/>
    <w:rsid w:val="00AA4A92"/>
    <w:rsid w:val="00AA6F4A"/>
    <w:rsid w:val="00AB37ED"/>
    <w:rsid w:val="00AC081D"/>
    <w:rsid w:val="00AC5A33"/>
    <w:rsid w:val="00AC766D"/>
    <w:rsid w:val="00AC7F46"/>
    <w:rsid w:val="00AD067C"/>
    <w:rsid w:val="00AD442D"/>
    <w:rsid w:val="00AD77A9"/>
    <w:rsid w:val="00AE3026"/>
    <w:rsid w:val="00AE3F48"/>
    <w:rsid w:val="00AE5476"/>
    <w:rsid w:val="00AE585D"/>
    <w:rsid w:val="00AF6E1F"/>
    <w:rsid w:val="00B007A9"/>
    <w:rsid w:val="00B010D9"/>
    <w:rsid w:val="00B01786"/>
    <w:rsid w:val="00B02D99"/>
    <w:rsid w:val="00B03A96"/>
    <w:rsid w:val="00B03AE3"/>
    <w:rsid w:val="00B05B6E"/>
    <w:rsid w:val="00B060ED"/>
    <w:rsid w:val="00B06B6D"/>
    <w:rsid w:val="00B12972"/>
    <w:rsid w:val="00B17A0C"/>
    <w:rsid w:val="00B22360"/>
    <w:rsid w:val="00B22DAC"/>
    <w:rsid w:val="00B2470B"/>
    <w:rsid w:val="00B26927"/>
    <w:rsid w:val="00B3585D"/>
    <w:rsid w:val="00B35F15"/>
    <w:rsid w:val="00B3774D"/>
    <w:rsid w:val="00B44C64"/>
    <w:rsid w:val="00B44FF5"/>
    <w:rsid w:val="00B51CBD"/>
    <w:rsid w:val="00B52793"/>
    <w:rsid w:val="00B5412E"/>
    <w:rsid w:val="00B6230B"/>
    <w:rsid w:val="00B62649"/>
    <w:rsid w:val="00B62715"/>
    <w:rsid w:val="00B662F7"/>
    <w:rsid w:val="00B72ABF"/>
    <w:rsid w:val="00B734DD"/>
    <w:rsid w:val="00B7472A"/>
    <w:rsid w:val="00B80BDE"/>
    <w:rsid w:val="00B81DDB"/>
    <w:rsid w:val="00B87403"/>
    <w:rsid w:val="00B923F6"/>
    <w:rsid w:val="00B94DFB"/>
    <w:rsid w:val="00BA59A5"/>
    <w:rsid w:val="00BA6F2D"/>
    <w:rsid w:val="00BA703E"/>
    <w:rsid w:val="00BB0837"/>
    <w:rsid w:val="00BB0BAC"/>
    <w:rsid w:val="00BB1626"/>
    <w:rsid w:val="00BB60EF"/>
    <w:rsid w:val="00BB6478"/>
    <w:rsid w:val="00BB6D0A"/>
    <w:rsid w:val="00BC4519"/>
    <w:rsid w:val="00BC6C68"/>
    <w:rsid w:val="00BD35E0"/>
    <w:rsid w:val="00BE0803"/>
    <w:rsid w:val="00BF6206"/>
    <w:rsid w:val="00BF6B3B"/>
    <w:rsid w:val="00C02173"/>
    <w:rsid w:val="00C0537F"/>
    <w:rsid w:val="00C13A29"/>
    <w:rsid w:val="00C14BFB"/>
    <w:rsid w:val="00C21F92"/>
    <w:rsid w:val="00C24F01"/>
    <w:rsid w:val="00C25F2B"/>
    <w:rsid w:val="00C27457"/>
    <w:rsid w:val="00C32265"/>
    <w:rsid w:val="00C32DA0"/>
    <w:rsid w:val="00C3471E"/>
    <w:rsid w:val="00C3589C"/>
    <w:rsid w:val="00C43592"/>
    <w:rsid w:val="00C44F98"/>
    <w:rsid w:val="00C46F35"/>
    <w:rsid w:val="00C513E0"/>
    <w:rsid w:val="00C51450"/>
    <w:rsid w:val="00C52D91"/>
    <w:rsid w:val="00C53C71"/>
    <w:rsid w:val="00C54034"/>
    <w:rsid w:val="00C54556"/>
    <w:rsid w:val="00C56D2B"/>
    <w:rsid w:val="00C57617"/>
    <w:rsid w:val="00C60B8E"/>
    <w:rsid w:val="00C61679"/>
    <w:rsid w:val="00C653A8"/>
    <w:rsid w:val="00C67918"/>
    <w:rsid w:val="00C73C00"/>
    <w:rsid w:val="00C73DB4"/>
    <w:rsid w:val="00C75839"/>
    <w:rsid w:val="00C80C5C"/>
    <w:rsid w:val="00C81686"/>
    <w:rsid w:val="00C83353"/>
    <w:rsid w:val="00C8359A"/>
    <w:rsid w:val="00C84321"/>
    <w:rsid w:val="00C87D15"/>
    <w:rsid w:val="00C968BF"/>
    <w:rsid w:val="00CA3DC9"/>
    <w:rsid w:val="00CB1679"/>
    <w:rsid w:val="00CC1F2F"/>
    <w:rsid w:val="00CD433D"/>
    <w:rsid w:val="00CD4B44"/>
    <w:rsid w:val="00CE47BA"/>
    <w:rsid w:val="00CE67CF"/>
    <w:rsid w:val="00CF1B6F"/>
    <w:rsid w:val="00CF35E8"/>
    <w:rsid w:val="00D02114"/>
    <w:rsid w:val="00D03A94"/>
    <w:rsid w:val="00D16DEC"/>
    <w:rsid w:val="00D17F85"/>
    <w:rsid w:val="00D2175A"/>
    <w:rsid w:val="00D23C5E"/>
    <w:rsid w:val="00D26DE5"/>
    <w:rsid w:val="00D26F0F"/>
    <w:rsid w:val="00D30AC2"/>
    <w:rsid w:val="00D30CA6"/>
    <w:rsid w:val="00D31AF4"/>
    <w:rsid w:val="00D47B48"/>
    <w:rsid w:val="00D51569"/>
    <w:rsid w:val="00D51C46"/>
    <w:rsid w:val="00D62770"/>
    <w:rsid w:val="00D70A72"/>
    <w:rsid w:val="00D725A0"/>
    <w:rsid w:val="00D75B1F"/>
    <w:rsid w:val="00D75FD1"/>
    <w:rsid w:val="00D82300"/>
    <w:rsid w:val="00D82E65"/>
    <w:rsid w:val="00D955CB"/>
    <w:rsid w:val="00D96B66"/>
    <w:rsid w:val="00DA2DBB"/>
    <w:rsid w:val="00DA604D"/>
    <w:rsid w:val="00DB0E94"/>
    <w:rsid w:val="00DB3D3C"/>
    <w:rsid w:val="00DB6873"/>
    <w:rsid w:val="00DC1A17"/>
    <w:rsid w:val="00DC2D6F"/>
    <w:rsid w:val="00DD192C"/>
    <w:rsid w:val="00DD2316"/>
    <w:rsid w:val="00DD3761"/>
    <w:rsid w:val="00DD3EB1"/>
    <w:rsid w:val="00DD4CFA"/>
    <w:rsid w:val="00DD5E68"/>
    <w:rsid w:val="00DE3D5A"/>
    <w:rsid w:val="00DE4081"/>
    <w:rsid w:val="00DE518C"/>
    <w:rsid w:val="00DE5717"/>
    <w:rsid w:val="00DE7EB2"/>
    <w:rsid w:val="00DF0659"/>
    <w:rsid w:val="00E07755"/>
    <w:rsid w:val="00E13097"/>
    <w:rsid w:val="00E218F5"/>
    <w:rsid w:val="00E225D8"/>
    <w:rsid w:val="00E33652"/>
    <w:rsid w:val="00E34CB3"/>
    <w:rsid w:val="00E410FF"/>
    <w:rsid w:val="00E47083"/>
    <w:rsid w:val="00E52555"/>
    <w:rsid w:val="00E52CC2"/>
    <w:rsid w:val="00E5529D"/>
    <w:rsid w:val="00E635CF"/>
    <w:rsid w:val="00E63DAA"/>
    <w:rsid w:val="00E7064E"/>
    <w:rsid w:val="00E7195A"/>
    <w:rsid w:val="00E722B7"/>
    <w:rsid w:val="00E73C1D"/>
    <w:rsid w:val="00E77ABE"/>
    <w:rsid w:val="00E909DB"/>
    <w:rsid w:val="00E923D8"/>
    <w:rsid w:val="00E971A0"/>
    <w:rsid w:val="00EA0AC6"/>
    <w:rsid w:val="00EA2482"/>
    <w:rsid w:val="00EA2C50"/>
    <w:rsid w:val="00EA7A5F"/>
    <w:rsid w:val="00EB129D"/>
    <w:rsid w:val="00EB28B0"/>
    <w:rsid w:val="00EC3E3D"/>
    <w:rsid w:val="00EC484B"/>
    <w:rsid w:val="00EC4B87"/>
    <w:rsid w:val="00EC5194"/>
    <w:rsid w:val="00EC600B"/>
    <w:rsid w:val="00ED5C44"/>
    <w:rsid w:val="00ED72AF"/>
    <w:rsid w:val="00ED7B22"/>
    <w:rsid w:val="00EE03C4"/>
    <w:rsid w:val="00EE07D8"/>
    <w:rsid w:val="00EE2C71"/>
    <w:rsid w:val="00EE74E8"/>
    <w:rsid w:val="00EF7F8C"/>
    <w:rsid w:val="00F02D15"/>
    <w:rsid w:val="00F03E1C"/>
    <w:rsid w:val="00F16292"/>
    <w:rsid w:val="00F25F89"/>
    <w:rsid w:val="00F262A0"/>
    <w:rsid w:val="00F266A9"/>
    <w:rsid w:val="00F2770F"/>
    <w:rsid w:val="00F363B0"/>
    <w:rsid w:val="00F37ED1"/>
    <w:rsid w:val="00F42763"/>
    <w:rsid w:val="00F445E6"/>
    <w:rsid w:val="00F44C16"/>
    <w:rsid w:val="00F44CDC"/>
    <w:rsid w:val="00F45E08"/>
    <w:rsid w:val="00F509A1"/>
    <w:rsid w:val="00F544D0"/>
    <w:rsid w:val="00F546D3"/>
    <w:rsid w:val="00F55770"/>
    <w:rsid w:val="00F64A3F"/>
    <w:rsid w:val="00F66AF5"/>
    <w:rsid w:val="00F67C47"/>
    <w:rsid w:val="00F77BE2"/>
    <w:rsid w:val="00F80181"/>
    <w:rsid w:val="00F80C67"/>
    <w:rsid w:val="00F82BA2"/>
    <w:rsid w:val="00F9441A"/>
    <w:rsid w:val="00FA44E8"/>
    <w:rsid w:val="00FA6EDD"/>
    <w:rsid w:val="00FA70DD"/>
    <w:rsid w:val="00FB2E22"/>
    <w:rsid w:val="00FB5348"/>
    <w:rsid w:val="00FB5796"/>
    <w:rsid w:val="00FB6F1A"/>
    <w:rsid w:val="00FC04EC"/>
    <w:rsid w:val="00FC302B"/>
    <w:rsid w:val="00FC5DCD"/>
    <w:rsid w:val="00FD37A3"/>
    <w:rsid w:val="00FE5AD6"/>
    <w:rsid w:val="00FF04A6"/>
    <w:rsid w:val="015E675E"/>
    <w:rsid w:val="01CD2E9D"/>
    <w:rsid w:val="02257485"/>
    <w:rsid w:val="03642F3A"/>
    <w:rsid w:val="0652201E"/>
    <w:rsid w:val="07733ED3"/>
    <w:rsid w:val="07832261"/>
    <w:rsid w:val="079A26F9"/>
    <w:rsid w:val="0804293C"/>
    <w:rsid w:val="082803DC"/>
    <w:rsid w:val="092A37C5"/>
    <w:rsid w:val="09C37472"/>
    <w:rsid w:val="0AFF60DE"/>
    <w:rsid w:val="0C981A08"/>
    <w:rsid w:val="0E3F21C2"/>
    <w:rsid w:val="0EE97B8E"/>
    <w:rsid w:val="0EED42F1"/>
    <w:rsid w:val="0F0F0F63"/>
    <w:rsid w:val="0F181F31"/>
    <w:rsid w:val="0FDD7B3F"/>
    <w:rsid w:val="109630D4"/>
    <w:rsid w:val="11A93813"/>
    <w:rsid w:val="12F9459F"/>
    <w:rsid w:val="13706DBD"/>
    <w:rsid w:val="13D604FC"/>
    <w:rsid w:val="144362BE"/>
    <w:rsid w:val="14737324"/>
    <w:rsid w:val="148D6DCE"/>
    <w:rsid w:val="14A37090"/>
    <w:rsid w:val="14C2463B"/>
    <w:rsid w:val="151C440A"/>
    <w:rsid w:val="176C0575"/>
    <w:rsid w:val="17B30CC5"/>
    <w:rsid w:val="17CD65DD"/>
    <w:rsid w:val="183210B7"/>
    <w:rsid w:val="1A464258"/>
    <w:rsid w:val="1BAE1FE0"/>
    <w:rsid w:val="1BFD3750"/>
    <w:rsid w:val="1C0D0E22"/>
    <w:rsid w:val="1CA75985"/>
    <w:rsid w:val="1CB23AAB"/>
    <w:rsid w:val="1D3D2567"/>
    <w:rsid w:val="1DD64980"/>
    <w:rsid w:val="1DE978C4"/>
    <w:rsid w:val="1ED878F4"/>
    <w:rsid w:val="236E5C0C"/>
    <w:rsid w:val="24B72FF5"/>
    <w:rsid w:val="24E915BF"/>
    <w:rsid w:val="276E7B7C"/>
    <w:rsid w:val="27821D05"/>
    <w:rsid w:val="27FE437C"/>
    <w:rsid w:val="284941DC"/>
    <w:rsid w:val="29EE6A3C"/>
    <w:rsid w:val="2A9B65A1"/>
    <w:rsid w:val="2AA71F8F"/>
    <w:rsid w:val="2E5C09FD"/>
    <w:rsid w:val="2EC8588E"/>
    <w:rsid w:val="2F0F4330"/>
    <w:rsid w:val="2F9D4845"/>
    <w:rsid w:val="30033BF1"/>
    <w:rsid w:val="301A7EDF"/>
    <w:rsid w:val="32493792"/>
    <w:rsid w:val="32AB72CC"/>
    <w:rsid w:val="32C0162F"/>
    <w:rsid w:val="32C07350"/>
    <w:rsid w:val="34AE374B"/>
    <w:rsid w:val="35AD3EF5"/>
    <w:rsid w:val="35B07A97"/>
    <w:rsid w:val="35B53B02"/>
    <w:rsid w:val="36DC44A4"/>
    <w:rsid w:val="371619FA"/>
    <w:rsid w:val="39537D75"/>
    <w:rsid w:val="398F18A7"/>
    <w:rsid w:val="3AB0548E"/>
    <w:rsid w:val="3ACC7ED7"/>
    <w:rsid w:val="3C99413F"/>
    <w:rsid w:val="3E0D4F54"/>
    <w:rsid w:val="3FB66E29"/>
    <w:rsid w:val="40E9662B"/>
    <w:rsid w:val="417325FA"/>
    <w:rsid w:val="41E424CB"/>
    <w:rsid w:val="42745016"/>
    <w:rsid w:val="42747AC2"/>
    <w:rsid w:val="44F220C2"/>
    <w:rsid w:val="454D157F"/>
    <w:rsid w:val="45516293"/>
    <w:rsid w:val="45AA691E"/>
    <w:rsid w:val="46D14E02"/>
    <w:rsid w:val="483327C3"/>
    <w:rsid w:val="484A2A04"/>
    <w:rsid w:val="4918629F"/>
    <w:rsid w:val="4B4635F5"/>
    <w:rsid w:val="4D6F2CBC"/>
    <w:rsid w:val="4E6F2656"/>
    <w:rsid w:val="4EC04089"/>
    <w:rsid w:val="50BE7D72"/>
    <w:rsid w:val="50C40376"/>
    <w:rsid w:val="51211CBF"/>
    <w:rsid w:val="535D761C"/>
    <w:rsid w:val="552C60AE"/>
    <w:rsid w:val="55765394"/>
    <w:rsid w:val="559346D9"/>
    <w:rsid w:val="55CD5ACF"/>
    <w:rsid w:val="5927426C"/>
    <w:rsid w:val="59B06C06"/>
    <w:rsid w:val="59F249DA"/>
    <w:rsid w:val="5B394BC5"/>
    <w:rsid w:val="5BAB69DB"/>
    <w:rsid w:val="5BDD4BC2"/>
    <w:rsid w:val="5C727A2A"/>
    <w:rsid w:val="5CD379FF"/>
    <w:rsid w:val="5D520EA4"/>
    <w:rsid w:val="5DB53F06"/>
    <w:rsid w:val="5DF24378"/>
    <w:rsid w:val="5DFB2CE6"/>
    <w:rsid w:val="5FCA2E7D"/>
    <w:rsid w:val="60755A9B"/>
    <w:rsid w:val="609303FD"/>
    <w:rsid w:val="614A4B79"/>
    <w:rsid w:val="62256567"/>
    <w:rsid w:val="6292525E"/>
    <w:rsid w:val="62CD7249"/>
    <w:rsid w:val="640038EE"/>
    <w:rsid w:val="656D5A41"/>
    <w:rsid w:val="663D12E2"/>
    <w:rsid w:val="66A36C22"/>
    <w:rsid w:val="67630035"/>
    <w:rsid w:val="682A2C53"/>
    <w:rsid w:val="69DB7ED9"/>
    <w:rsid w:val="6B1322D3"/>
    <w:rsid w:val="6BC54C0A"/>
    <w:rsid w:val="6CBD0715"/>
    <w:rsid w:val="6DA76189"/>
    <w:rsid w:val="707A1AB0"/>
    <w:rsid w:val="708E3211"/>
    <w:rsid w:val="70A46938"/>
    <w:rsid w:val="710E28B4"/>
    <w:rsid w:val="71570483"/>
    <w:rsid w:val="725310CC"/>
    <w:rsid w:val="72827E86"/>
    <w:rsid w:val="74234056"/>
    <w:rsid w:val="755440B2"/>
    <w:rsid w:val="75BC2C57"/>
    <w:rsid w:val="776E4D1A"/>
    <w:rsid w:val="7A3A3C5D"/>
    <w:rsid w:val="7A5423D9"/>
    <w:rsid w:val="7B40242B"/>
    <w:rsid w:val="7C433F8A"/>
    <w:rsid w:val="7C9A726F"/>
    <w:rsid w:val="7E76666C"/>
    <w:rsid w:val="7E891AB3"/>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qFormat/>
    <w:uiPriority w:val="1"/>
    <w:pPr>
      <w:autoSpaceDE w:val="0"/>
      <w:autoSpaceDN w:val="0"/>
      <w:adjustRightInd w:val="0"/>
      <w:ind w:left="521"/>
      <w:jc w:val="left"/>
      <w:outlineLvl w:val="4"/>
    </w:pPr>
    <w:rPr>
      <w:rFonts w:hint="eastAsia" w:ascii="微软雅黑" w:hAnsi="微软雅黑" w:eastAsia="微软雅黑" w:cs="微软雅黑"/>
      <w:b/>
      <w:bCs/>
      <w:kern w:val="0"/>
      <w:szCs w:val="21"/>
      <w:lang w:val="zh-CN" w:bidi="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sz w:val="24"/>
      <w:szCs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index 5"/>
    <w:basedOn w:val="1"/>
    <w:next w:val="1"/>
    <w:qFormat/>
    <w:uiPriority w:val="0"/>
    <w:pPr>
      <w:ind w:left="1680"/>
    </w:pPr>
    <w:rPr>
      <w:rFonts w:ascii="Calibri" w:hAnsi="Calibri" w:eastAsia="宋体" w:cs="Times New Roman"/>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Body Text"/>
    <w:basedOn w:val="1"/>
    <w:next w:val="1"/>
    <w:link w:val="41"/>
    <w:semiHidden/>
    <w:unhideWhenUsed/>
    <w:qFormat/>
    <w:uiPriority w:val="99"/>
    <w:pPr>
      <w:spacing w:after="120"/>
    </w:pPr>
  </w:style>
  <w:style w:type="paragraph" w:styleId="13">
    <w:name w:val="Body Text Indent"/>
    <w:basedOn w:val="1"/>
    <w:next w:val="14"/>
    <w:link w:val="43"/>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link w:val="66"/>
    <w:semiHidden/>
    <w:unhideWhenUsed/>
    <w:qFormat/>
    <w:uiPriority w:val="99"/>
    <w:pPr>
      <w:adjustRightInd/>
      <w:spacing w:line="240" w:lineRule="auto"/>
      <w:ind w:firstLine="420" w:firstLineChars="200"/>
      <w:jc w:val="both"/>
      <w:textAlignment w:val="auto"/>
    </w:pPr>
    <w:rPr>
      <w:kern w:val="2"/>
      <w:sz w:val="21"/>
      <w:szCs w:val="22"/>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4"/>
    <w:qFormat/>
    <w:uiPriority w:val="0"/>
    <w:rPr>
      <w:rFonts w:eastAsia="宋体"/>
      <w:sz w:val="24"/>
    </w:rPr>
  </w:style>
  <w:style w:type="paragraph" w:styleId="18">
    <w:name w:val="Date"/>
    <w:basedOn w:val="1"/>
    <w:next w:val="1"/>
    <w:link w:val="45"/>
    <w:unhideWhenUsed/>
    <w:qFormat/>
    <w:uiPriority w:val="99"/>
    <w:pPr>
      <w:ind w:left="100" w:leftChars="2500"/>
    </w:pPr>
  </w:style>
  <w:style w:type="paragraph" w:styleId="19">
    <w:name w:val="Balloon Text"/>
    <w:basedOn w:val="1"/>
    <w:link w:val="47"/>
    <w:semiHidden/>
    <w:unhideWhenUsed/>
    <w:qFormat/>
    <w:uiPriority w:val="99"/>
    <w:rPr>
      <w:sz w:val="18"/>
      <w:szCs w:val="18"/>
    </w:rPr>
  </w:style>
  <w:style w:type="paragraph" w:styleId="20">
    <w:name w:val="footer"/>
    <w:basedOn w:val="1"/>
    <w:link w:val="48"/>
    <w:unhideWhenUsed/>
    <w:qFormat/>
    <w:uiPriority w:val="99"/>
    <w:pPr>
      <w:tabs>
        <w:tab w:val="center" w:pos="4153"/>
        <w:tab w:val="right" w:pos="8306"/>
      </w:tabs>
      <w:snapToGrid w:val="0"/>
      <w:jc w:val="left"/>
    </w:pPr>
    <w:rPr>
      <w:sz w:val="18"/>
      <w:szCs w:val="18"/>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12"/>
    <w:next w:val="1"/>
    <w:link w:val="52"/>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列出段落1"/>
    <w:basedOn w:val="1"/>
    <w:next w:val="10"/>
    <w:qFormat/>
    <w:uiPriority w:val="99"/>
    <w:pPr>
      <w:ind w:firstLine="420" w:firstLineChars="200"/>
    </w:pPr>
  </w:style>
  <w:style w:type="paragraph" w:customStyle="1" w:styleId="33">
    <w:name w:val="style4"/>
    <w:basedOn w:val="1"/>
    <w:next w:val="34"/>
    <w:qFormat/>
    <w:uiPriority w:val="0"/>
    <w:pPr>
      <w:widowControl/>
      <w:spacing w:before="280" w:after="280"/>
    </w:pPr>
    <w:rPr>
      <w:rFonts w:ascii="宋体" w:hAnsi="Times New Roman" w:eastAsia="宋体" w:cs="Times New Roman"/>
      <w:sz w:val="18"/>
    </w:rPr>
  </w:style>
  <w:style w:type="paragraph" w:customStyle="1" w:styleId="3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5">
    <w:name w:val="*正文"/>
    <w:basedOn w:val="1"/>
    <w:qFormat/>
    <w:uiPriority w:val="0"/>
    <w:pPr>
      <w:keepNext/>
      <w:keepLines/>
      <w:spacing w:line="360" w:lineRule="auto"/>
      <w:ind w:firstLine="200" w:firstLineChars="200"/>
    </w:pPr>
    <w:rPr>
      <w:rFonts w:ascii="宋体" w:hAnsi="宋体"/>
    </w:rPr>
  </w:style>
  <w:style w:type="character" w:customStyle="1" w:styleId="36">
    <w:name w:val="标题 1 Char"/>
    <w:basedOn w:val="28"/>
    <w:link w:val="3"/>
    <w:qFormat/>
    <w:uiPriority w:val="0"/>
    <w:rPr>
      <w:rFonts w:ascii="Calibri" w:hAnsi="Calibri"/>
      <w:b/>
      <w:bCs/>
      <w:kern w:val="44"/>
      <w:sz w:val="44"/>
      <w:szCs w:val="44"/>
    </w:rPr>
  </w:style>
  <w:style w:type="character" w:customStyle="1" w:styleId="37">
    <w:name w:val="标题 2 Char"/>
    <w:basedOn w:val="28"/>
    <w:link w:val="4"/>
    <w:qFormat/>
    <w:uiPriority w:val="0"/>
    <w:rPr>
      <w:rFonts w:ascii="Arial" w:hAnsi="Arial" w:eastAsia="黑体"/>
      <w:b/>
      <w:bCs/>
      <w:sz w:val="32"/>
      <w:szCs w:val="32"/>
    </w:rPr>
  </w:style>
  <w:style w:type="character" w:customStyle="1" w:styleId="38">
    <w:name w:val="标题 3 Char"/>
    <w:basedOn w:val="28"/>
    <w:link w:val="5"/>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6"/>
    <w:qFormat/>
    <w:uiPriority w:val="0"/>
    <w:rPr>
      <w:rFonts w:ascii="Arial" w:hAnsi="Arial" w:eastAsia="黑体"/>
      <w:b/>
      <w:bCs/>
      <w:sz w:val="28"/>
      <w:szCs w:val="28"/>
    </w:rPr>
  </w:style>
  <w:style w:type="character" w:customStyle="1" w:styleId="40">
    <w:name w:val="正文文本 3 Char"/>
    <w:basedOn w:val="28"/>
    <w:link w:val="11"/>
    <w:qFormat/>
    <w:uiPriority w:val="0"/>
    <w:rPr>
      <w:rFonts w:ascii="Times New Roman" w:hAnsi="Times New Roman" w:eastAsia="宋体" w:cs="Times New Roman"/>
      <w:color w:val="FF0000"/>
      <w:sz w:val="24"/>
      <w:szCs w:val="24"/>
    </w:rPr>
  </w:style>
  <w:style w:type="character" w:customStyle="1" w:styleId="41">
    <w:name w:val="正文文本 Char"/>
    <w:basedOn w:val="28"/>
    <w:link w:val="12"/>
    <w:semiHidden/>
    <w:qFormat/>
    <w:uiPriority w:val="99"/>
  </w:style>
  <w:style w:type="character" w:customStyle="1" w:styleId="42">
    <w:name w:val="正文文本缩进 Char"/>
    <w:basedOn w:val="28"/>
    <w:link w:val="13"/>
    <w:qFormat/>
    <w:uiPriority w:val="0"/>
  </w:style>
  <w:style w:type="character" w:customStyle="1" w:styleId="43">
    <w:name w:val="正文文本缩进 Char1"/>
    <w:basedOn w:val="28"/>
    <w:link w:val="13"/>
    <w:qFormat/>
    <w:uiPriority w:val="0"/>
    <w:rPr>
      <w:kern w:val="0"/>
      <w:sz w:val="24"/>
      <w:szCs w:val="20"/>
    </w:rPr>
  </w:style>
  <w:style w:type="character" w:customStyle="1" w:styleId="44">
    <w:name w:val="纯文本 Char"/>
    <w:basedOn w:val="28"/>
    <w:link w:val="17"/>
    <w:qFormat/>
    <w:uiPriority w:val="0"/>
    <w:rPr>
      <w:rFonts w:eastAsia="宋体"/>
      <w:sz w:val="24"/>
    </w:rPr>
  </w:style>
  <w:style w:type="character" w:customStyle="1" w:styleId="45">
    <w:name w:val="日期 Char"/>
    <w:basedOn w:val="28"/>
    <w:link w:val="18"/>
    <w:qFormat/>
    <w:uiPriority w:val="99"/>
  </w:style>
  <w:style w:type="character" w:customStyle="1" w:styleId="46">
    <w:name w:val="批注框文本 Char"/>
    <w:basedOn w:val="28"/>
    <w:link w:val="19"/>
    <w:semiHidden/>
    <w:qFormat/>
    <w:uiPriority w:val="99"/>
    <w:rPr>
      <w:sz w:val="18"/>
      <w:szCs w:val="18"/>
    </w:rPr>
  </w:style>
  <w:style w:type="character" w:customStyle="1" w:styleId="47">
    <w:name w:val="批注框文本 Char1"/>
    <w:basedOn w:val="28"/>
    <w:link w:val="19"/>
    <w:semiHidden/>
    <w:qFormat/>
    <w:uiPriority w:val="99"/>
    <w:rPr>
      <w:sz w:val="18"/>
      <w:szCs w:val="18"/>
    </w:rPr>
  </w:style>
  <w:style w:type="character" w:customStyle="1" w:styleId="48">
    <w:name w:val="页脚 Char"/>
    <w:basedOn w:val="28"/>
    <w:link w:val="20"/>
    <w:qFormat/>
    <w:uiPriority w:val="99"/>
    <w:rPr>
      <w:sz w:val="18"/>
      <w:szCs w:val="18"/>
    </w:rPr>
  </w:style>
  <w:style w:type="character" w:customStyle="1" w:styleId="49">
    <w:name w:val="页眉 Char"/>
    <w:basedOn w:val="28"/>
    <w:link w:val="21"/>
    <w:qFormat/>
    <w:uiPriority w:val="99"/>
    <w:rPr>
      <w:sz w:val="18"/>
      <w:szCs w:val="18"/>
    </w:rPr>
  </w:style>
  <w:style w:type="character" w:customStyle="1" w:styleId="50">
    <w:name w:val="HTML 预设格式 Char"/>
    <w:basedOn w:val="28"/>
    <w:link w:val="23"/>
    <w:semiHidden/>
    <w:qFormat/>
    <w:uiPriority w:val="99"/>
    <w:rPr>
      <w:rFonts w:ascii="宋体" w:hAnsi="宋体" w:eastAsia="宋体" w:cs="宋体"/>
      <w:kern w:val="0"/>
      <w:sz w:val="24"/>
      <w:szCs w:val="24"/>
    </w:rPr>
  </w:style>
  <w:style w:type="character" w:customStyle="1" w:styleId="51">
    <w:name w:val="HTML 预设格式 Char1"/>
    <w:basedOn w:val="28"/>
    <w:link w:val="23"/>
    <w:semiHidden/>
    <w:qFormat/>
    <w:uiPriority w:val="99"/>
    <w:rPr>
      <w:rFonts w:ascii="Courier New" w:hAnsi="Courier New" w:cs="Courier New"/>
      <w:sz w:val="20"/>
      <w:szCs w:val="20"/>
    </w:rPr>
  </w:style>
  <w:style w:type="character" w:customStyle="1" w:styleId="52">
    <w:name w:val="正文首行缩进 Char"/>
    <w:basedOn w:val="41"/>
    <w:link w:val="25"/>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99"/>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首行缩进 2 Char"/>
    <w:basedOn w:val="43"/>
    <w:link w:val="14"/>
    <w:semiHidden/>
    <w:qFormat/>
    <w:uiPriority w:val="99"/>
    <w:rPr>
      <w:kern w:val="2"/>
      <w:sz w:val="21"/>
      <w:szCs w:val="22"/>
    </w:rPr>
  </w:style>
  <w:style w:type="paragraph" w:customStyle="1" w:styleId="67">
    <w:name w:val="List Paragraph1"/>
    <w:basedOn w:val="1"/>
    <w:qFormat/>
    <w:uiPriority w:val="0"/>
    <w:pPr>
      <w:ind w:firstLine="420" w:firstLineChars="200"/>
    </w:pPr>
    <w:rPr>
      <w:rFonts w:ascii="Calibri" w:hAnsi="Calibri" w:cs="宋体"/>
    </w:rPr>
  </w:style>
  <w:style w:type="character" w:customStyle="1" w:styleId="68">
    <w:name w:val="font01"/>
    <w:basedOn w:val="28"/>
    <w:qFormat/>
    <w:uiPriority w:val="0"/>
    <w:rPr>
      <w:rFonts w:hint="eastAsia" w:ascii="宋体" w:hAnsi="宋体" w:eastAsia="宋体" w:cs="宋体"/>
      <w:color w:val="000000"/>
      <w:sz w:val="22"/>
      <w:szCs w:val="22"/>
      <w:u w:val="none"/>
    </w:rPr>
  </w:style>
  <w:style w:type="character" w:customStyle="1" w:styleId="69">
    <w:name w:val="font31"/>
    <w:basedOn w:val="28"/>
    <w:qFormat/>
    <w:uiPriority w:val="0"/>
    <w:rPr>
      <w:rFonts w:ascii="Calibri" w:hAnsi="Calibri" w:cs="Calibri"/>
      <w:b/>
      <w:color w:val="000000"/>
      <w:sz w:val="18"/>
      <w:szCs w:val="18"/>
      <w:u w:val="none"/>
    </w:rPr>
  </w:style>
  <w:style w:type="character" w:customStyle="1" w:styleId="70">
    <w:name w:val="font121"/>
    <w:basedOn w:val="28"/>
    <w:qFormat/>
    <w:uiPriority w:val="0"/>
    <w:rPr>
      <w:rFonts w:hint="eastAsia" w:ascii="宋体" w:hAnsi="宋体" w:eastAsia="宋体" w:cs="宋体"/>
      <w:color w:val="000000"/>
      <w:sz w:val="18"/>
      <w:szCs w:val="18"/>
      <w:u w:val="none"/>
    </w:rPr>
  </w:style>
  <w:style w:type="character" w:customStyle="1" w:styleId="71">
    <w:name w:val="font91"/>
    <w:basedOn w:val="28"/>
    <w:qFormat/>
    <w:uiPriority w:val="0"/>
    <w:rPr>
      <w:rFonts w:hint="eastAsia" w:ascii="宋体" w:hAnsi="宋体" w:eastAsia="宋体" w:cs="宋体"/>
      <w:color w:val="000000"/>
      <w:sz w:val="18"/>
      <w:szCs w:val="18"/>
      <w:u w:val="none"/>
    </w:rPr>
  </w:style>
  <w:style w:type="character" w:customStyle="1" w:styleId="72">
    <w:name w:val="font112"/>
    <w:basedOn w:val="28"/>
    <w:qFormat/>
    <w:uiPriority w:val="0"/>
    <w:rPr>
      <w:rFonts w:hint="eastAsia" w:ascii="宋体" w:hAnsi="宋体" w:eastAsia="宋体" w:cs="宋体"/>
      <w:color w:val="FF0000"/>
      <w:sz w:val="18"/>
      <w:szCs w:val="18"/>
      <w:u w:val="none"/>
    </w:rPr>
  </w:style>
  <w:style w:type="character" w:customStyle="1" w:styleId="73">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74">
    <w:name w:val="UserStyle_1"/>
    <w:basedOn w:val="73"/>
    <w:qFormat/>
    <w:uiPriority w:val="0"/>
    <w:rPr>
      <w:rFonts w:ascii="宋体" w:hAnsi="宋体" w:eastAsia="宋体"/>
      <w:color w:val="000000"/>
      <w:sz w:val="24"/>
      <w:szCs w:val="24"/>
    </w:rPr>
  </w:style>
  <w:style w:type="character" w:customStyle="1" w:styleId="75">
    <w:name w:val="UserStyle_0"/>
    <w:basedOn w:val="73"/>
    <w:qFormat/>
    <w:uiPriority w:val="0"/>
    <w:rPr>
      <w:rFonts w:ascii="MS Gothic" w:hAnsi="MS Gothic" w:eastAsia="MS Gothic"/>
      <w:color w:val="000000"/>
      <w:sz w:val="24"/>
      <w:szCs w:val="24"/>
    </w:rPr>
  </w:style>
  <w:style w:type="paragraph" w:customStyle="1" w:styleId="76">
    <w:name w:val="1.正文"/>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2"/>
      <w:lang w:val="en-US" w:eastAsia="zh-CN" w:bidi="ar-SA"/>
    </w:rPr>
  </w:style>
  <w:style w:type="paragraph" w:customStyle="1" w:styleId="77">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78">
    <w:name w:val="正文1"/>
    <w:qFormat/>
    <w:uiPriority w:val="0"/>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79">
    <w:name w:val="表格样式 2"/>
    <w:qFormat/>
    <w:uiPriority w:val="0"/>
    <w:rPr>
      <w:rFonts w:hint="eastAsia" w:ascii="Arial Unicode MS" w:hAnsi="Arial Unicode MS" w:eastAsia="Helvetica Neue" w:cs="Arial Unicode MS"/>
      <w:color w:val="000000"/>
      <w:lang w:val="zh-CN" w:eastAsia="zh-CN" w:bidi="ar-SA"/>
    </w:rPr>
  </w:style>
  <w:style w:type="paragraph" w:customStyle="1" w:styleId="80">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81">
    <w:name w:val="*正文_1"/>
    <w:basedOn w:val="1"/>
    <w:next w:val="1"/>
    <w:qFormat/>
    <w:uiPriority w:val="0"/>
    <w:pPr>
      <w:widowControl/>
      <w:ind w:firstLine="482"/>
    </w:pPr>
    <w:rPr>
      <w:rFonts w:ascii="微软雅黑" w:hAnsi="微软雅黑" w:eastAsia="微软雅黑" w:cs="Times New Roman"/>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75</Pages>
  <Words>5880</Words>
  <Characters>33520</Characters>
  <Lines>279</Lines>
  <Paragraphs>78</Paragraphs>
  <TotalTime>10</TotalTime>
  <ScaleCrop>false</ScaleCrop>
  <LinksUpToDate>false</LinksUpToDate>
  <CharactersWithSpaces>39322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2021-03-25T01:14:00Z</dcterms:created>
  <dc:creator>许昌市公共资源交易中心:孟莉</dc:creator>
  <cp:lastModifiedBy>Administrator</cp:lastModifiedBy>
  <dcterms:modified xsi:type="dcterms:W3CDTF">2021-12-29T02:27:24Z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051091EB99A4474ABD99145219203627</vt:lpwstr>
  </property>
</Properties>
</file>