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drawing>
          <wp:inline distT="0" distB="0" distL="114300" distR="114300">
            <wp:extent cx="5831840" cy="8082915"/>
            <wp:effectExtent l="0" t="0" r="5080" b="9525"/>
            <wp:docPr id="1" name="图片 1"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面"/>
                    <pic:cNvPicPr>
                      <a:picLocks noChangeAspect="1"/>
                    </pic:cNvPicPr>
                  </pic:nvPicPr>
                  <pic:blipFill>
                    <a:blip r:embed="rId7"/>
                    <a:stretch>
                      <a:fillRect/>
                    </a:stretch>
                  </pic:blipFill>
                  <pic:spPr>
                    <a:xfrm>
                      <a:off x="0" y="0"/>
                      <a:ext cx="5831840" cy="8082915"/>
                    </a:xfrm>
                    <a:prstGeom prst="rect">
                      <a:avLst/>
                    </a:prstGeom>
                  </pic:spPr>
                </pic:pic>
              </a:graphicData>
            </a:graphic>
          </wp:inline>
        </w:drawing>
      </w:r>
    </w:p>
    <w:p>
      <w:pPr>
        <w:bidi w:val="0"/>
        <w:rPr>
          <w:rFonts w:hint="eastAsia"/>
          <w:lang w:eastAsia="zh-CN"/>
        </w:rPr>
      </w:pPr>
    </w:p>
    <w:p>
      <w:pPr>
        <w:rPr>
          <w:rFonts w:hint="eastAsia" w:asciiTheme="majorEastAsia" w:hAnsiTheme="majorEastAsia" w:eastAsiaTheme="majorEastAsia" w:cstheme="majorEastAsia"/>
          <w:b/>
          <w:bCs/>
          <w:sz w:val="44"/>
          <w:szCs w:val="44"/>
          <w:lang w:eastAsia="zh-CN"/>
        </w:rPr>
      </w:pPr>
    </w:p>
    <w:p>
      <w:pPr>
        <w:bidi w:val="0"/>
        <w:rPr>
          <w:rFonts w:hint="eastAsia"/>
          <w:lang w:eastAsia="zh-CN"/>
        </w:rPr>
      </w:pPr>
    </w:p>
    <w:p>
      <w:pPr>
        <w:jc w:val="center"/>
        <w:rPr>
          <w:rFonts w:hint="eastAsia" w:asciiTheme="majorEastAsia" w:hAnsiTheme="majorEastAsia" w:eastAsiaTheme="majorEastAsia" w:cstheme="majorEastAsia"/>
          <w:b/>
          <w:bCs/>
          <w:color w:val="000000"/>
          <w:sz w:val="36"/>
          <w:szCs w:val="36"/>
        </w:rPr>
      </w:pPr>
    </w:p>
    <w:p>
      <w:pPr>
        <w:jc w:val="center"/>
        <w:rPr>
          <w:rFonts w:ascii="微软简隶书" w:eastAsia="微软简隶书"/>
          <w:color w:val="000000"/>
          <w:sz w:val="18"/>
          <w:szCs w:val="20"/>
        </w:rPr>
      </w:pPr>
      <w:r>
        <w:rPr>
          <w:rFonts w:hint="eastAsia" w:asciiTheme="majorEastAsia" w:hAnsiTheme="majorEastAsia" w:eastAsiaTheme="majorEastAsia" w:cstheme="majorEastAsia"/>
          <w:b/>
          <w:bCs/>
          <w:color w:val="000000"/>
          <w:sz w:val="36"/>
          <w:szCs w:val="36"/>
        </w:rPr>
        <w:t>鄢陵县发展和改革委员会鄢陵县农村低温空气源热风机、电暖气等“清洁取暖提质”工程项目（不见面开标）</w:t>
      </w:r>
    </w:p>
    <w:p>
      <w:pPr>
        <w:rPr>
          <w:rFonts w:ascii="微软简隶书" w:eastAsia="微软简隶书"/>
          <w:color w:val="000000"/>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spacing w:line="600" w:lineRule="auto"/>
        <w:ind w:firstLine="2891" w:firstLineChars="900"/>
        <w:rPr>
          <w:rFonts w:hint="default" w:asciiTheme="majorEastAsia" w:hAnsiTheme="majorEastAsia" w:eastAsiaTheme="majorEastAsia" w:cstheme="majorEastAsia"/>
          <w:b/>
          <w:bCs/>
          <w:color w:val="000000" w:themeColor="text1"/>
          <w:sz w:val="32"/>
          <w:szCs w:val="32"/>
          <w:lang w:val="en-US" w:eastAsia="zh-CN"/>
        </w:rPr>
      </w:pPr>
      <w:r>
        <w:rPr>
          <w:rFonts w:hint="eastAsia" w:asciiTheme="majorEastAsia" w:hAnsiTheme="majorEastAsia" w:eastAsiaTheme="majorEastAsia" w:cstheme="majorEastAsia"/>
          <w:b/>
          <w:bCs/>
          <w:color w:val="000000" w:themeColor="text1"/>
          <w:sz w:val="32"/>
          <w:szCs w:val="32"/>
        </w:rPr>
        <w:t>项目编号：</w:t>
      </w:r>
      <w:r>
        <w:rPr>
          <w:rFonts w:hint="eastAsia" w:asciiTheme="majorEastAsia" w:hAnsiTheme="majorEastAsia" w:eastAsiaTheme="majorEastAsia" w:cstheme="majorEastAsia"/>
          <w:b/>
          <w:bCs/>
          <w:color w:val="000000" w:themeColor="text1"/>
          <w:sz w:val="32"/>
          <w:szCs w:val="32"/>
          <w:lang w:val="en-US" w:eastAsia="zh-CN"/>
        </w:rPr>
        <w:t>Y2021HZ215</w:t>
      </w:r>
    </w:p>
    <w:p>
      <w:pPr>
        <w:spacing w:line="600" w:lineRule="auto"/>
        <w:ind w:firstLine="2891" w:firstLineChars="900"/>
        <w:rPr>
          <w:rFonts w:hint="default" w:asciiTheme="majorEastAsia" w:hAnsiTheme="majorEastAsia" w:eastAsiaTheme="majorEastAsia" w:cstheme="majorEastAsia"/>
          <w:b/>
          <w:bCs/>
          <w:color w:val="000000" w:themeColor="text1"/>
          <w:sz w:val="32"/>
          <w:szCs w:val="32"/>
          <w:lang w:val="en-US" w:eastAsia="zh-CN"/>
        </w:rPr>
      </w:pPr>
      <w:r>
        <w:rPr>
          <w:rFonts w:hint="eastAsia" w:asciiTheme="majorEastAsia" w:hAnsiTheme="majorEastAsia" w:eastAsiaTheme="majorEastAsia" w:cstheme="majorEastAsia"/>
          <w:b/>
          <w:bCs/>
          <w:color w:val="000000" w:themeColor="text1"/>
          <w:sz w:val="32"/>
          <w:szCs w:val="32"/>
        </w:rPr>
        <w:t>采购编号：2021-11-</w:t>
      </w:r>
      <w:r>
        <w:rPr>
          <w:rFonts w:hint="eastAsia" w:asciiTheme="majorEastAsia" w:hAnsiTheme="majorEastAsia" w:eastAsiaTheme="majorEastAsia" w:cstheme="majorEastAsia"/>
          <w:b/>
          <w:bCs/>
          <w:color w:val="000000" w:themeColor="text1"/>
          <w:sz w:val="32"/>
          <w:szCs w:val="32"/>
          <w:lang w:val="en-US" w:eastAsia="zh-CN"/>
        </w:rPr>
        <w:t>10</w:t>
      </w:r>
    </w:p>
    <w:p>
      <w:pPr>
        <w:spacing w:line="600" w:lineRule="auto"/>
        <w:rPr>
          <w:rFonts w:asciiTheme="majorEastAsia" w:hAnsiTheme="majorEastAsia" w:eastAsiaTheme="majorEastAsia" w:cstheme="majorEastAsia"/>
          <w:b/>
          <w:bCs/>
          <w:color w:val="000000" w:themeColor="text1"/>
          <w:sz w:val="32"/>
          <w:szCs w:val="32"/>
        </w:rPr>
      </w:pPr>
    </w:p>
    <w:p>
      <w:pPr>
        <w:spacing w:line="600" w:lineRule="auto"/>
        <w:rPr>
          <w:rFonts w:asciiTheme="majorEastAsia" w:hAnsiTheme="majorEastAsia" w:eastAsiaTheme="majorEastAsia" w:cstheme="majorEastAsia"/>
          <w:b/>
          <w:bCs/>
          <w:color w:val="000000" w:themeColor="text1"/>
          <w:sz w:val="32"/>
          <w:szCs w:val="32"/>
        </w:rPr>
      </w:pPr>
    </w:p>
    <w:p>
      <w:pPr>
        <w:spacing w:line="600" w:lineRule="auto"/>
        <w:rPr>
          <w:rFonts w:asciiTheme="majorEastAsia" w:hAnsiTheme="majorEastAsia" w:eastAsiaTheme="majorEastAsia" w:cstheme="majorEastAsia"/>
          <w:b/>
          <w:bCs/>
          <w:color w:val="000000" w:themeColor="text1"/>
          <w:sz w:val="32"/>
          <w:szCs w:val="32"/>
        </w:rPr>
      </w:pPr>
    </w:p>
    <w:p>
      <w:pPr>
        <w:spacing w:line="600" w:lineRule="auto"/>
        <w:rPr>
          <w:rFonts w:asciiTheme="majorEastAsia" w:hAnsiTheme="majorEastAsia" w:eastAsiaTheme="majorEastAsia" w:cstheme="majorEastAsia"/>
          <w:b/>
          <w:bCs/>
          <w:color w:val="000000" w:themeColor="text1"/>
          <w:sz w:val="32"/>
          <w:szCs w:val="32"/>
        </w:rPr>
      </w:pPr>
    </w:p>
    <w:p>
      <w:pPr>
        <w:spacing w:line="600" w:lineRule="auto"/>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 xml:space="preserve">       采购人：鄢陵县发展和改革委员会</w:t>
      </w:r>
    </w:p>
    <w:p>
      <w:pPr>
        <w:spacing w:line="600" w:lineRule="auto"/>
        <w:ind w:firstLine="964" w:firstLineChars="300"/>
        <w:jc w:val="both"/>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代理机构：河南昊之伟建设工程管理有限公司</w:t>
      </w:r>
    </w:p>
    <w:p>
      <w:pPr>
        <w:spacing w:line="720" w:lineRule="auto"/>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二〇二一年十一月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5"/>
        <w:widowControl/>
        <w:spacing w:line="360" w:lineRule="auto"/>
        <w:ind w:firstLine="480" w:firstLineChars="200"/>
        <w:contextualSpacing/>
        <w:jc w:val="left"/>
        <w:rPr>
          <w:rFonts w:asciiTheme="minorEastAsia" w:hAnsiTheme="minorEastAsia" w:eastAsiaTheme="minorEastAsia"/>
        </w:rPr>
      </w:pPr>
      <w:r>
        <w:rPr>
          <w:rFonts w:hint="eastAsia" w:asciiTheme="minorEastAsia" w:hAnsiTheme="minorEastAsia" w:eastAsiaTheme="minorEastAsia"/>
        </w:rPr>
        <w:t>河南昊之伟建设工程管理有限公司受</w:t>
      </w:r>
      <w:r>
        <w:rPr>
          <w:rFonts w:hint="eastAsia" w:cs="仿宋_GB2312" w:asciiTheme="minorEastAsia" w:hAnsiTheme="minorEastAsia"/>
          <w:shd w:val="clear" w:color="auto" w:fill="FFFFFF"/>
        </w:rPr>
        <w:t>鄢陵县发展和改革委员会</w:t>
      </w:r>
      <w:r>
        <w:rPr>
          <w:rFonts w:hint="eastAsia" w:asciiTheme="minorEastAsia" w:hAnsiTheme="minorEastAsia" w:eastAsiaTheme="minorEastAsia"/>
        </w:rPr>
        <w:t>的委托，对</w:t>
      </w:r>
      <w:r>
        <w:rPr>
          <w:rFonts w:hint="eastAsia" w:cs="仿宋_GB2312" w:asciiTheme="minorEastAsia" w:hAnsiTheme="minorEastAsia"/>
          <w:shd w:val="clear" w:color="auto" w:fill="FFFFFF"/>
        </w:rPr>
        <w:t>鄢陵县农村低温空气源热风机、电暖气等“清洁取暖提质”工程项目</w:t>
      </w:r>
      <w:r>
        <w:rPr>
          <w:rFonts w:hint="eastAsia" w:asciiTheme="minorEastAsia" w:hAnsiTheme="minorEastAsia" w:eastAsiaTheme="minorEastAsia"/>
        </w:rPr>
        <w:t>的相关货物和服务进行国内公开招标。现邀请合格投标人前来投标。</w:t>
      </w:r>
    </w:p>
    <w:p>
      <w:pPr>
        <w:pStyle w:val="25"/>
        <w:widowControl/>
        <w:spacing w:line="360" w:lineRule="auto"/>
        <w:ind w:firstLine="472" w:firstLineChars="196"/>
        <w:jc w:val="left"/>
        <w:rPr>
          <w:rFonts w:hint="default" w:cs="仿宋_GB2312" w:asciiTheme="minorEastAsia" w:hAnsiTheme="minorEastAsia"/>
          <w:shd w:val="clear" w:color="auto" w:fill="FFFFFF"/>
          <w:lang w:val="en-US" w:eastAsia="zh-CN"/>
        </w:rPr>
      </w:pPr>
      <w:r>
        <w:rPr>
          <w:rFonts w:hint="eastAsia" w:cs="黑体" w:asciiTheme="minorEastAsia" w:hAnsiTheme="minorEastAsia" w:eastAsiaTheme="minorEastAsia"/>
          <w:b/>
          <w:bCs/>
        </w:rPr>
        <w:t>一、项目编号</w:t>
      </w:r>
      <w:r>
        <w:rPr>
          <w:rFonts w:hint="eastAsia" w:cs="黑体" w:asciiTheme="minorEastAsia" w:hAnsiTheme="minorEastAsia" w:eastAsiaTheme="minorEastAsia"/>
          <w:b/>
          <w:bCs/>
          <w:color w:val="000000" w:themeColor="text1"/>
        </w:rPr>
        <w:t>：</w:t>
      </w:r>
      <w:r>
        <w:rPr>
          <w:rFonts w:hint="eastAsia" w:cs="仿宋_GB2312" w:asciiTheme="minorEastAsia" w:hAnsiTheme="minorEastAsia"/>
          <w:shd w:val="clear" w:color="auto" w:fill="FFFFFF"/>
          <w:lang w:val="en-US" w:eastAsia="zh-CN"/>
        </w:rPr>
        <w:t>Y2021HZ215</w:t>
      </w:r>
    </w:p>
    <w:p>
      <w:pPr>
        <w:pStyle w:val="25"/>
        <w:widowControl/>
        <w:spacing w:line="360" w:lineRule="auto"/>
        <w:ind w:firstLine="472" w:firstLineChars="196"/>
        <w:jc w:val="left"/>
        <w:rPr>
          <w:rFonts w:cs="仿宋_GB2312" w:asciiTheme="minorEastAsia" w:hAnsiTheme="minorEastAsia" w:eastAsiaTheme="minorEastAsia"/>
          <w:b/>
        </w:rPr>
      </w:pPr>
      <w:r>
        <w:rPr>
          <w:rFonts w:hint="eastAsia" w:cs="仿宋_GB2312" w:asciiTheme="minorEastAsia" w:hAnsiTheme="minorEastAsia" w:eastAsiaTheme="minorEastAsia"/>
          <w:b/>
        </w:rPr>
        <w:t>二、项目名称：</w:t>
      </w:r>
      <w:r>
        <w:rPr>
          <w:rFonts w:hint="eastAsia" w:cs="仿宋_GB2312" w:asciiTheme="minorEastAsia" w:hAnsiTheme="minorEastAsia"/>
          <w:shd w:val="clear" w:color="auto" w:fill="FFFFFF"/>
        </w:rPr>
        <w:t>鄢陵县农村低温空气源热风机、电暖气等“清洁取暖提质”工程（不见面开标）</w:t>
      </w:r>
    </w:p>
    <w:p>
      <w:pPr>
        <w:pStyle w:val="25"/>
        <w:widowControl/>
        <w:spacing w:line="360" w:lineRule="auto"/>
        <w:ind w:firstLine="472" w:firstLineChars="196"/>
        <w:jc w:val="left"/>
        <w:rPr>
          <w:rFonts w:cs="仿宋_GB2312" w:asciiTheme="minorEastAsia" w:hAnsiTheme="minorEastAsia" w:eastAsiaTheme="minorEastAsia"/>
        </w:rPr>
      </w:pPr>
      <w:r>
        <w:rPr>
          <w:rFonts w:hint="eastAsia" w:cs="仿宋_GB2312" w:asciiTheme="minorEastAsia" w:hAnsiTheme="minorEastAsia" w:eastAsiaTheme="minorEastAsia"/>
          <w:b/>
        </w:rPr>
        <w:t>三、采购方式：</w:t>
      </w:r>
      <w:r>
        <w:rPr>
          <w:rFonts w:hint="eastAsia" w:cs="仿宋_GB2312" w:asciiTheme="minorEastAsia" w:hAnsiTheme="minorEastAsia" w:eastAsiaTheme="minorEastAsia"/>
        </w:rPr>
        <w:t xml:space="preserve">公开招标 </w:t>
      </w:r>
    </w:p>
    <w:p>
      <w:pPr>
        <w:pStyle w:val="25"/>
        <w:widowControl/>
        <w:spacing w:line="360" w:lineRule="auto"/>
        <w:ind w:firstLine="472" w:firstLineChars="196"/>
        <w:jc w:val="left"/>
        <w:rPr>
          <w:rFonts w:cs="仿宋_GB2312" w:asciiTheme="minorEastAsia" w:hAnsiTheme="minorEastAsia" w:eastAsiaTheme="minorEastAsia"/>
          <w:b/>
        </w:rPr>
      </w:pPr>
      <w:r>
        <w:rPr>
          <w:rFonts w:hint="eastAsia" w:cs="仿宋_GB2312" w:asciiTheme="minorEastAsia" w:hAnsiTheme="minorEastAsia" w:eastAsiaTheme="minorEastAsia"/>
          <w:b/>
        </w:rPr>
        <w:t>四、招标内容</w:t>
      </w:r>
    </w:p>
    <w:p>
      <w:pPr>
        <w:pStyle w:val="25"/>
        <w:widowControl/>
        <w:numPr>
          <w:ilvl w:val="0"/>
          <w:numId w:val="4"/>
        </w:numPr>
        <w:spacing w:line="360" w:lineRule="auto"/>
        <w:contextualSpacing/>
        <w:jc w:val="left"/>
        <w:rPr>
          <w:rFonts w:ascii="宋体" w:hAnsi="宋体" w:cs="宋体"/>
          <w:shd w:val="clear" w:color="auto" w:fill="FFFFFF"/>
        </w:rPr>
      </w:pPr>
      <w:r>
        <w:rPr>
          <w:rFonts w:hint="eastAsia" w:cs="仿宋_GB2312" w:asciiTheme="minorEastAsia" w:hAnsiTheme="minorEastAsia" w:eastAsiaTheme="minorEastAsia"/>
        </w:rPr>
        <w:t>采购内容：</w:t>
      </w:r>
      <w:r>
        <w:rPr>
          <w:rFonts w:hint="eastAsia" w:ascii="宋体" w:hAnsi="宋体" w:cs="宋体"/>
          <w:shd w:val="clear" w:color="auto" w:fill="FFFFFF"/>
        </w:rPr>
        <w:t>鄢陵县辖区相关乡镇（社区）等村庄实施热源清洁替代6000户</w:t>
      </w:r>
      <w:r>
        <w:rPr>
          <w:rFonts w:hint="eastAsia" w:ascii="宋体" w:hAnsi="宋体" w:cs="宋体"/>
          <w:shd w:val="clear" w:color="auto" w:fill="FFFFFF"/>
          <w:lang w:val="en-US" w:eastAsia="zh-CN"/>
        </w:rPr>
        <w:t>；</w:t>
      </w:r>
    </w:p>
    <w:p>
      <w:pPr>
        <w:pStyle w:val="25"/>
        <w:widowControl/>
        <w:numPr>
          <w:ilvl w:val="0"/>
          <w:numId w:val="4"/>
        </w:numPr>
        <w:spacing w:line="360" w:lineRule="auto"/>
        <w:contextualSpacing/>
        <w:jc w:val="left"/>
        <w:rPr>
          <w:rFonts w:ascii="宋体" w:hAnsi="宋体" w:cs="宋体"/>
          <w:shd w:val="clear" w:color="auto" w:fill="FFFFFF"/>
        </w:rPr>
      </w:pPr>
      <w:r>
        <w:rPr>
          <w:rFonts w:hint="eastAsia" w:ascii="宋体" w:hAnsi="宋体" w:cs="宋体"/>
          <w:shd w:val="clear" w:color="auto" w:fill="FFFFFF"/>
        </w:rPr>
        <w:t>预算金额：25800000元</w:t>
      </w:r>
      <w:r>
        <w:rPr>
          <w:rFonts w:hint="eastAsia" w:ascii="宋体" w:hAnsi="宋体" w:cs="宋体"/>
          <w:shd w:val="clear" w:color="auto" w:fill="FFFFFF"/>
          <w:lang w:eastAsia="zh-CN"/>
        </w:rPr>
        <w:t>。</w:t>
      </w:r>
    </w:p>
    <w:p>
      <w:pPr>
        <w:pStyle w:val="25"/>
        <w:widowControl/>
        <w:numPr>
          <w:ilvl w:val="0"/>
          <w:numId w:val="4"/>
        </w:numPr>
        <w:spacing w:line="360" w:lineRule="auto"/>
        <w:contextualSpacing/>
        <w:jc w:val="left"/>
        <w:rPr>
          <w:rFonts w:ascii="宋体" w:hAnsi="宋体" w:cs="宋体"/>
          <w:shd w:val="clear" w:color="auto" w:fill="FFFFFF"/>
        </w:rPr>
      </w:pPr>
      <w:r>
        <w:rPr>
          <w:rFonts w:hint="eastAsia" w:ascii="宋体" w:hAnsi="宋体" w:cs="宋体"/>
          <w:shd w:val="clear" w:color="auto" w:fill="FFFFFF"/>
        </w:rPr>
        <w:t>最高限价：25800000元</w:t>
      </w:r>
      <w:r>
        <w:rPr>
          <w:rFonts w:hint="eastAsia" w:ascii="宋体" w:hAnsi="宋体" w:cs="宋体"/>
          <w:shd w:val="clear" w:color="auto" w:fill="FFFFFF"/>
          <w:lang w:eastAsia="zh-CN"/>
        </w:rPr>
        <w:t>。</w:t>
      </w:r>
    </w:p>
    <w:p>
      <w:pPr>
        <w:pStyle w:val="25"/>
        <w:numPr>
          <w:ilvl w:val="0"/>
          <w:numId w:val="4"/>
        </w:numPr>
        <w:spacing w:line="360" w:lineRule="auto"/>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lang w:val="en-US" w:eastAsia="zh-CN"/>
        </w:rPr>
        <w:t>履约</w:t>
      </w:r>
      <w:r>
        <w:rPr>
          <w:rFonts w:hint="eastAsia" w:ascii="宋体" w:hAnsi="宋体" w:cs="宋体"/>
          <w:color w:val="000000" w:themeColor="text1"/>
          <w:shd w:val="clear" w:color="auto" w:fill="FFFFFF"/>
        </w:rPr>
        <w:t>时间：自签订合同之日起30日历天内交货安装调试完毕</w:t>
      </w:r>
      <w:r>
        <w:rPr>
          <w:rFonts w:hint="eastAsia" w:ascii="宋体" w:hAnsi="宋体" w:cs="宋体"/>
          <w:color w:val="000000" w:themeColor="text1"/>
          <w:shd w:val="clear" w:color="auto" w:fill="FFFFFF"/>
          <w:lang w:eastAsia="zh-CN"/>
        </w:rPr>
        <w:t>。</w:t>
      </w:r>
    </w:p>
    <w:p>
      <w:pPr>
        <w:pStyle w:val="25"/>
        <w:numPr>
          <w:ilvl w:val="0"/>
          <w:numId w:val="4"/>
        </w:numPr>
        <w:spacing w:line="360" w:lineRule="auto"/>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lang w:val="en-US" w:eastAsia="zh-CN"/>
        </w:rPr>
        <w:t>履约</w:t>
      </w:r>
      <w:r>
        <w:rPr>
          <w:rFonts w:hint="eastAsia" w:ascii="宋体" w:hAnsi="宋体" w:cs="宋体"/>
          <w:color w:val="000000" w:themeColor="text1"/>
          <w:shd w:val="clear" w:color="auto" w:fill="FFFFFF"/>
        </w:rPr>
        <w:t>地点：采购人指定地点</w:t>
      </w:r>
      <w:r>
        <w:rPr>
          <w:rFonts w:hint="eastAsia" w:ascii="宋体" w:hAnsi="宋体" w:cs="宋体"/>
          <w:color w:val="000000" w:themeColor="text1"/>
          <w:shd w:val="clear" w:color="auto" w:fill="FFFFFF"/>
          <w:lang w:eastAsia="zh-CN"/>
        </w:rPr>
        <w:t>。</w:t>
      </w:r>
    </w:p>
    <w:p>
      <w:pPr>
        <w:pStyle w:val="25"/>
        <w:widowControl/>
        <w:adjustRightInd w:val="0"/>
        <w:snapToGrid w:val="0"/>
        <w:spacing w:line="480" w:lineRule="auto"/>
        <w:ind w:firstLine="482" w:firstLineChars="200"/>
        <w:jc w:val="left"/>
        <w:rPr>
          <w:rFonts w:cs="仿宋_GB2312" w:asciiTheme="minorEastAsia" w:hAnsiTheme="minorEastAsia" w:eastAsiaTheme="minorEastAsia"/>
          <w:b/>
          <w:color w:val="000000" w:themeColor="text1"/>
        </w:rPr>
      </w:pPr>
      <w:r>
        <w:rPr>
          <w:rFonts w:hint="eastAsia" w:cs="仿宋_GB2312" w:asciiTheme="minorEastAsia" w:hAnsiTheme="minorEastAsia" w:eastAsiaTheme="minorEastAsia"/>
          <w:b/>
          <w:color w:val="000000" w:themeColor="text1"/>
        </w:rPr>
        <w:t>五、投标人</w:t>
      </w:r>
      <w:r>
        <w:rPr>
          <w:rFonts w:hint="eastAsia" w:cs="仿宋_GB2312" w:asciiTheme="minorEastAsia" w:hAnsiTheme="minorEastAsia" w:eastAsiaTheme="minorEastAsia"/>
          <w:b/>
          <w:color w:val="000000" w:themeColor="text1"/>
          <w:lang w:val="en-US" w:eastAsia="zh-CN"/>
        </w:rPr>
        <w:t>应具备的特殊要求</w:t>
      </w:r>
      <w:r>
        <w:rPr>
          <w:rFonts w:hint="eastAsia" w:cs="仿宋_GB2312" w:asciiTheme="minorEastAsia" w:hAnsiTheme="minorEastAsia" w:eastAsiaTheme="minorEastAsia"/>
          <w:b/>
          <w:color w:val="000000" w:themeColor="text1"/>
        </w:rPr>
        <w:t>：无</w:t>
      </w:r>
    </w:p>
    <w:p>
      <w:pPr>
        <w:pStyle w:val="25"/>
        <w:widowControl/>
        <w:adjustRightInd w:val="0"/>
        <w:snapToGrid w:val="0"/>
        <w:spacing w:line="480" w:lineRule="auto"/>
        <w:ind w:firstLine="482" w:firstLineChars="200"/>
        <w:jc w:val="left"/>
        <w:rPr>
          <w:rFonts w:cs="黑体" w:asciiTheme="minorEastAsia" w:hAnsiTheme="minorEastAsia" w:eastAsiaTheme="minorEastAsia"/>
          <w:b/>
          <w:bCs/>
        </w:rPr>
      </w:pPr>
      <w:r>
        <w:rPr>
          <w:rFonts w:hint="eastAsia" w:cs="黑体" w:asciiTheme="minorEastAsia" w:hAnsiTheme="minorEastAsia" w:eastAsiaTheme="minorEastAsia"/>
          <w:b/>
          <w:bCs/>
        </w:rPr>
        <w:t>六、招标文件的获取</w:t>
      </w:r>
    </w:p>
    <w:p>
      <w:pPr>
        <w:pStyle w:val="25"/>
        <w:widowControl/>
        <w:adjustRightInd w:val="0"/>
        <w:snapToGrid w:val="0"/>
        <w:spacing w:line="480" w:lineRule="auto"/>
        <w:ind w:left="424" w:leftChars="202" w:firstLine="484" w:firstLineChars="202"/>
        <w:jc w:val="left"/>
        <w:rPr>
          <w:rFonts w:asciiTheme="minorEastAsia" w:hAnsiTheme="minorEastAsia" w:eastAsiaTheme="minorEastAsia"/>
        </w:rPr>
      </w:pPr>
      <w:r>
        <w:rPr>
          <w:rFonts w:hint="eastAsia" w:asciiTheme="minorEastAsia" w:hAnsiTheme="minorEastAsia" w:eastAsiaTheme="minorEastAsia"/>
        </w:rPr>
        <w:t>即日起至投标截止时间，登录《全国公共资源交易平台（河南省·许昌市）》“投标人/供应商登录”入口（</w:t>
      </w:r>
      <w:r>
        <w:rPr>
          <w:rFonts w:asciiTheme="minorEastAsia" w:hAnsiTheme="minorEastAsia" w:eastAsiaTheme="minorEastAsia"/>
        </w:rPr>
        <w:t>http://ggzy.xuchang.gov.cn:8088/ggzy/</w:t>
      </w:r>
      <w:r>
        <w:rPr>
          <w:rFonts w:hint="eastAsia" w:asciiTheme="minorEastAsia" w:hAnsiTheme="minorEastAsia" w:eastAsiaTheme="minorEastAsia"/>
        </w:rPr>
        <w:t>）自行免费下载招标文件。</w:t>
      </w:r>
    </w:p>
    <w:p>
      <w:pPr>
        <w:pStyle w:val="25"/>
        <w:widowControl/>
        <w:adjustRightInd w:val="0"/>
        <w:snapToGrid w:val="0"/>
        <w:spacing w:line="360" w:lineRule="auto"/>
        <w:ind w:left="420"/>
        <w:jc w:val="left"/>
        <w:rPr>
          <w:rFonts w:cs="仿宋_GB2312" w:asciiTheme="minorEastAsia" w:hAnsiTheme="minorEastAsia" w:eastAsiaTheme="minorEastAsia"/>
          <w:b/>
        </w:rPr>
      </w:pPr>
      <w:r>
        <w:rPr>
          <w:rFonts w:hint="eastAsia" w:cs="仿宋_GB2312" w:asciiTheme="minorEastAsia" w:hAnsiTheme="minorEastAsia" w:eastAsiaTheme="minorEastAsia"/>
          <w:b/>
        </w:rPr>
        <w:t>七、投标文件的提交方式及注意事项</w:t>
      </w:r>
    </w:p>
    <w:p>
      <w:pPr>
        <w:pStyle w:val="25"/>
        <w:widowControl/>
        <w:adjustRightInd w:val="0"/>
        <w:snapToGrid w:val="0"/>
        <w:spacing w:line="360" w:lineRule="auto"/>
        <w:ind w:firstLine="480" w:firstLineChars="200"/>
        <w:jc w:val="left"/>
        <w:rPr>
          <w:rFonts w:asciiTheme="minorEastAsia" w:hAnsiTheme="minorEastAsia" w:eastAsiaTheme="minorEastAsia"/>
        </w:rPr>
      </w:pPr>
      <w:r>
        <w:rPr>
          <w:rFonts w:hint="eastAsia" w:asciiTheme="minorEastAsia" w:hAnsiTheme="minorEastAsia" w:eastAsiaTheme="minorEastAsia"/>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25"/>
        <w:widowControl/>
        <w:adjustRightInd w:val="0"/>
        <w:snapToGrid w:val="0"/>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八、投标截止时间、开标时间及地点</w:t>
      </w:r>
    </w:p>
    <w:p>
      <w:pPr>
        <w:pStyle w:val="25"/>
        <w:widowControl/>
        <w:adjustRightInd w:val="0"/>
        <w:snapToGrid w:val="0"/>
        <w:spacing w:line="360" w:lineRule="auto"/>
        <w:ind w:firstLine="480" w:firstLineChars="200"/>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1. 投标截止及开标时间：2021年</w:t>
      </w:r>
      <w:r>
        <w:rPr>
          <w:rFonts w:hint="eastAsia" w:cs="仿宋_GB2312" w:asciiTheme="minorEastAsia" w:hAnsiTheme="minorEastAsia" w:eastAsiaTheme="minorEastAsia"/>
          <w:color w:val="000000" w:themeColor="text1"/>
          <w:lang w:val="en-US" w:eastAsia="zh-CN"/>
        </w:rPr>
        <w:t>12</w:t>
      </w:r>
      <w:r>
        <w:rPr>
          <w:rFonts w:hint="eastAsia" w:cs="仿宋_GB2312" w:asciiTheme="minorEastAsia" w:hAnsiTheme="minorEastAsia" w:eastAsiaTheme="minorEastAsia"/>
          <w:color w:val="000000" w:themeColor="text1"/>
        </w:rPr>
        <w:t>月</w:t>
      </w:r>
      <w:r>
        <w:rPr>
          <w:rFonts w:hint="eastAsia" w:cs="仿宋_GB2312" w:asciiTheme="minorEastAsia" w:hAnsiTheme="minorEastAsia" w:eastAsiaTheme="minorEastAsia"/>
          <w:color w:val="000000" w:themeColor="text1"/>
          <w:lang w:val="en-US" w:eastAsia="zh-CN"/>
        </w:rPr>
        <w:t>09</w:t>
      </w:r>
      <w:r>
        <w:rPr>
          <w:rFonts w:hint="eastAsia" w:cs="仿宋_GB2312" w:asciiTheme="minorEastAsia" w:hAnsiTheme="minorEastAsia" w:eastAsiaTheme="minorEastAsia"/>
          <w:color w:val="000000" w:themeColor="text1"/>
        </w:rPr>
        <w:t xml:space="preserve"> 日</w:t>
      </w:r>
      <w:r>
        <w:rPr>
          <w:rFonts w:hint="eastAsia" w:cs="仿宋_GB2312" w:asciiTheme="minorEastAsia" w:hAnsiTheme="minorEastAsia" w:eastAsiaTheme="minorEastAsia"/>
          <w:color w:val="000000" w:themeColor="text1"/>
          <w:lang w:val="en-US" w:eastAsia="zh-CN"/>
        </w:rPr>
        <w:t>8</w:t>
      </w:r>
      <w:r>
        <w:rPr>
          <w:rFonts w:hint="eastAsia" w:cs="仿宋_GB2312" w:asciiTheme="minorEastAsia" w:hAnsiTheme="minorEastAsia" w:eastAsiaTheme="minorEastAsia"/>
          <w:color w:val="000000" w:themeColor="text1"/>
        </w:rPr>
        <w:t xml:space="preserve"> 时</w:t>
      </w:r>
      <w:r>
        <w:rPr>
          <w:rFonts w:hint="eastAsia" w:cs="仿宋_GB2312" w:asciiTheme="minorEastAsia" w:hAnsiTheme="minorEastAsia" w:eastAsiaTheme="minorEastAsia"/>
          <w:color w:val="000000" w:themeColor="text1"/>
          <w:lang w:val="en-US" w:eastAsia="zh-CN"/>
        </w:rPr>
        <w:t>30</w:t>
      </w:r>
      <w:r>
        <w:rPr>
          <w:rFonts w:hint="eastAsia" w:cs="仿宋_GB2312" w:asciiTheme="minorEastAsia" w:hAnsiTheme="minorEastAsia" w:eastAsiaTheme="minorEastAsia"/>
          <w:color w:val="000000" w:themeColor="text1"/>
        </w:rPr>
        <w:t>分（北京时间），逾期提交或不符合规定的投标文件不予接受。</w:t>
      </w:r>
    </w:p>
    <w:p>
      <w:pPr>
        <w:pStyle w:val="25"/>
        <w:widowControl/>
        <w:adjustRightInd w:val="0"/>
        <w:snapToGrid w:val="0"/>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color w:val="000000" w:themeColor="text1"/>
        </w:rPr>
        <w:t>2. 开标地点：鄢陵县公共资源交易中心四楼开标</w:t>
      </w:r>
      <w:r>
        <w:rPr>
          <w:rFonts w:hint="eastAsia" w:cs="仿宋_GB2312" w:asciiTheme="minorEastAsia" w:hAnsiTheme="minorEastAsia" w:eastAsiaTheme="minorEastAsia"/>
          <w:color w:val="000000" w:themeColor="text1"/>
          <w:lang w:val="en-US" w:eastAsia="zh-CN"/>
        </w:rPr>
        <w:t>二</w:t>
      </w:r>
      <w:r>
        <w:rPr>
          <w:rFonts w:hint="eastAsia" w:cs="仿宋_GB2312" w:asciiTheme="minorEastAsia" w:hAnsiTheme="minorEastAsia" w:eastAsiaTheme="minorEastAsia"/>
          <w:color w:val="000000" w:themeColor="text1"/>
        </w:rPr>
        <w:t>室。（</w:t>
      </w:r>
      <w:r>
        <w:rPr>
          <w:rFonts w:hint="eastAsia" w:cs="Arial" w:asciiTheme="minorEastAsia" w:hAnsiTheme="minorEastAsia" w:eastAsiaTheme="minorEastAsia"/>
          <w:color w:val="000000" w:themeColor="text1"/>
        </w:rPr>
        <w:t>本项目采</w:t>
      </w:r>
      <w:r>
        <w:rPr>
          <w:rFonts w:hint="eastAsia" w:cs="Arial" w:asciiTheme="minorEastAsia" w:hAnsiTheme="minorEastAsia" w:eastAsiaTheme="minorEastAsia"/>
        </w:rPr>
        <w:t>用远程不见面开标方式，投标人无须到现场）</w:t>
      </w:r>
      <w:r>
        <w:rPr>
          <w:rFonts w:hint="eastAsia" w:cs="仿宋_GB2312" w:asciiTheme="minorEastAsia" w:hAnsiTheme="minorEastAsia" w:eastAsiaTheme="minorEastAsia"/>
        </w:rPr>
        <w:t>。</w:t>
      </w:r>
    </w:p>
    <w:p>
      <w:pPr>
        <w:pStyle w:val="25"/>
        <w:widowControl/>
        <w:adjustRightInd w:val="0"/>
        <w:snapToGrid w:val="0"/>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九、开标注意事项</w:t>
      </w:r>
    </w:p>
    <w:p>
      <w:pPr>
        <w:pStyle w:val="25"/>
        <w:widowControl/>
        <w:adjustRightInd w:val="0"/>
        <w:snapToGrid w:val="0"/>
        <w:spacing w:line="480" w:lineRule="auto"/>
        <w:ind w:firstLine="480" w:firstLineChars="200"/>
        <w:jc w:val="left"/>
        <w:rPr>
          <w:rFonts w:asciiTheme="minorEastAsia" w:hAnsiTheme="minorEastAsia" w:eastAsiaTheme="minorEastAsia"/>
        </w:rPr>
      </w:pPr>
      <w:r>
        <w:rPr>
          <w:rFonts w:hint="eastAsia" w:asciiTheme="minorEastAsia" w:hAnsiTheme="minorEastAsia" w:eastAsiaTheme="minorEastAsia"/>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25"/>
        <w:widowControl/>
        <w:adjustRightInd w:val="0"/>
        <w:snapToGrid w:val="0"/>
        <w:spacing w:line="48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十、本次招标公告同时在《中国政府采购网》、《河南省政府采购网》、《许昌市政府采购网》、《全国公共资源交易平台（河南省·许昌市）》发布。</w:t>
      </w:r>
    </w:p>
    <w:p>
      <w:pPr>
        <w:pStyle w:val="25"/>
        <w:widowControl/>
        <w:snapToGrid w:val="0"/>
        <w:spacing w:line="48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十一、联系方式</w:t>
      </w:r>
    </w:p>
    <w:p>
      <w:pPr>
        <w:snapToGrid w:val="0"/>
        <w:spacing w:line="480" w:lineRule="auto"/>
        <w:ind w:firstLine="482" w:firstLineChars="200"/>
        <w:jc w:val="left"/>
        <w:rPr>
          <w:rFonts w:asciiTheme="minorEastAsia" w:hAnsiTheme="minorEastAsia"/>
          <w:sz w:val="24"/>
          <w:szCs w:val="24"/>
        </w:rPr>
      </w:pPr>
      <w:r>
        <w:rPr>
          <w:rFonts w:hint="eastAsia" w:asciiTheme="minorEastAsia" w:hAnsiTheme="minorEastAsia"/>
          <w:b/>
          <w:sz w:val="24"/>
          <w:szCs w:val="24"/>
        </w:rPr>
        <w:t>采购人名称：</w:t>
      </w:r>
      <w:r>
        <w:rPr>
          <w:rFonts w:hint="eastAsia" w:cs="仿宋_GB2312" w:asciiTheme="minorEastAsia" w:hAnsiTheme="minorEastAsia"/>
          <w:sz w:val="24"/>
          <w:szCs w:val="24"/>
          <w:shd w:val="clear" w:color="auto" w:fill="FFFFFF"/>
        </w:rPr>
        <w:t>鄢陵县发展和改革委员会</w:t>
      </w:r>
    </w:p>
    <w:p>
      <w:pPr>
        <w:snapToGrid w:val="0"/>
        <w:spacing w:line="480" w:lineRule="auto"/>
        <w:ind w:firstLine="480" w:firstLineChars="200"/>
        <w:jc w:val="left"/>
        <w:rPr>
          <w:rFonts w:asciiTheme="minorEastAsia" w:hAnsiTheme="minorEastAsia"/>
          <w:sz w:val="24"/>
          <w:szCs w:val="24"/>
        </w:rPr>
      </w:pPr>
      <w:r>
        <w:rPr>
          <w:rFonts w:hint="eastAsia" w:asciiTheme="minorEastAsia" w:hAnsiTheme="minorEastAsia"/>
          <w:sz w:val="24"/>
          <w:szCs w:val="24"/>
        </w:rPr>
        <w:t>地  址：鄢陵县人民路816号</w:t>
      </w:r>
    </w:p>
    <w:p>
      <w:pPr>
        <w:snapToGrid w:val="0"/>
        <w:spacing w:line="48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联系人：苏先生       联系电话：0374-77577</w:t>
      </w:r>
      <w:r>
        <w:rPr>
          <w:rFonts w:hint="eastAsia" w:asciiTheme="minorEastAsia" w:hAnsiTheme="minorEastAsia"/>
          <w:sz w:val="24"/>
          <w:szCs w:val="24"/>
          <w:lang w:val="en-US" w:eastAsia="zh-CN"/>
        </w:rPr>
        <w:t>16</w:t>
      </w:r>
    </w:p>
    <w:p>
      <w:pPr>
        <w:adjustRightInd w:val="0"/>
        <w:snapToGrid w:val="0"/>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代理机构名称：</w:t>
      </w:r>
      <w:r>
        <w:rPr>
          <w:rFonts w:hint="eastAsia" w:asciiTheme="minorEastAsia" w:hAnsiTheme="minorEastAsia"/>
          <w:sz w:val="24"/>
          <w:szCs w:val="24"/>
        </w:rPr>
        <w:t>河南昊之伟建设工程管理有限公司</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地    址：</w:t>
      </w:r>
      <w:r>
        <w:rPr>
          <w:rFonts w:hint="eastAsia" w:ascii="宋体" w:hAnsi="宋体" w:eastAsia="宋体" w:cs="宋体"/>
          <w:szCs w:val="21"/>
        </w:rPr>
        <w:t>郑州市郑东新区博学路277号正商学府广场B座13层1303室</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联 系 人：马女士       联系电话：15638797579</w:t>
      </w:r>
    </w:p>
    <w:p>
      <w:pPr>
        <w:tabs>
          <w:tab w:val="left" w:pos="7095"/>
        </w:tabs>
        <w:spacing w:line="360" w:lineRule="auto"/>
        <w:contextualSpacing/>
        <w:rPr>
          <w:rFonts w:hAnsi="宋体"/>
          <w:b/>
          <w:sz w:val="24"/>
          <w:szCs w:val="24"/>
        </w:rPr>
      </w:pPr>
    </w:p>
    <w:p>
      <w:pPr>
        <w:tabs>
          <w:tab w:val="left" w:pos="7095"/>
        </w:tabs>
        <w:spacing w:line="360" w:lineRule="auto"/>
        <w:contextualSpacing/>
        <w:rPr>
          <w:rFonts w:hAnsi="宋体"/>
          <w:bCs/>
          <w:sz w:val="24"/>
          <w:szCs w:val="24"/>
        </w:rPr>
      </w:pPr>
      <w:r>
        <w:rPr>
          <w:rFonts w:hint="eastAsia" w:hAnsi="宋体"/>
          <w:b/>
          <w:sz w:val="24"/>
          <w:szCs w:val="24"/>
        </w:rPr>
        <w:t>温馨提示：</w:t>
      </w:r>
      <w:r>
        <w:rPr>
          <w:rFonts w:hint="eastAsia" w:hAnsi="宋体"/>
          <w:bCs/>
          <w:sz w:val="24"/>
          <w:szCs w:val="24"/>
        </w:rPr>
        <w:t>本项目为全流程电子化交易项目，请注意以下事项。</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1.供应商参加本项目投标，需提前自行联系CA服务机构办理数字认证证书并进行电子签章。</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2.招标文件下载、投标文件制作、提交、远程不见面开标（电子投标文件的解密）环节，投标人须使用同一个CA数字证书（证书须在有效期内并可正常使用）。</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3.电子投标文件的制作</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3.1 投标人登录《全国公共资源交易平台(河南省▪许昌市)》公共资源交易系统（http://ggzy.xuchang.gov.cn:8088/ggzy/）下载“许昌投标文件制作系统SEARUN 最新版本”，制作投标文件。</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3.2投标人对同一项目多个标段进行投标的，应分别下载所投标段的招标文件，按标段制作投标文件。一个标段对应生成一个文件夹（xxxx项目xx标段）,其中后缀名为“.file”的文件用于投标。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4.加密电子投标文件的提交</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4.1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5.远程不见面开标（电子投标文件的解密）</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5.1 本项目采用远程“不见面”开标方式，投标前请详细阅读全国公共资源交易平台（河南省·许昌市）首页“资料下载”栏目的《许昌市不见面操作手册》。</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5.2 投标人提前设置不见面开标浏览器，并于开标时间前登录本项目不见面开标大厅，按照规定的开标时间准时参加网上开标。</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5.4 开标活动结束时，投标人应在《开标记录表》上进行电子签章。投标人未签章的，视同认可开标结果。</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5.5 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6.评标依据</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6.1 全流程电子化交易（不见面开标）项目，评标委员会以成功上传、解密的电子投标文件为依据评审。</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6.3 投标人通过电子邮件提供的书面说明或相关证明材料应加盖公章，或者由法定代表人（单位负责人）或其授权的代表签字。</w:t>
      </w:r>
    </w:p>
    <w:p>
      <w:pPr>
        <w:adjustRightInd w:val="0"/>
        <w:snapToGrid w:val="0"/>
        <w:spacing w:line="360" w:lineRule="auto"/>
        <w:ind w:firstLine="960" w:firstLineChars="400"/>
        <w:jc w:val="left"/>
        <w:rPr>
          <w:rFonts w:asciiTheme="minorEastAsia" w:hAnsiTheme="minorEastAsia"/>
          <w:sz w:val="24"/>
          <w:szCs w:val="24"/>
        </w:rPr>
      </w:pPr>
    </w:p>
    <w:p>
      <w:pPr>
        <w:tabs>
          <w:tab w:val="left" w:pos="7095"/>
        </w:tabs>
        <w:spacing w:line="360" w:lineRule="auto"/>
        <w:ind w:firstLine="480" w:firstLineChars="200"/>
        <w:contextualSpacing/>
        <w:rPr>
          <w:rFonts w:asciiTheme="minorEastAsia" w:hAnsiTheme="minorEastAsia"/>
          <w:sz w:val="24"/>
          <w:szCs w:val="24"/>
        </w:rPr>
      </w:pPr>
    </w:p>
    <w:p>
      <w:pPr>
        <w:widowControl/>
        <w:jc w:val="left"/>
        <w:rPr>
          <w:rFonts w:cs="宋体" w:asciiTheme="minorEastAsia" w:hAnsiTheme="minorEastAsia"/>
          <w:b/>
          <w:kern w:val="0"/>
          <w:sz w:val="24"/>
          <w:szCs w:val="24"/>
        </w:rPr>
      </w:pPr>
      <w:r>
        <w:rPr>
          <w:rFonts w:cs="宋体" w:asciiTheme="minorEastAsia" w:hAnsiTheme="minorEastAsia"/>
          <w:b/>
          <w:kern w:val="0"/>
          <w:sz w:val="24"/>
          <w:szCs w:val="24"/>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line="360" w:lineRule="auto"/>
        <w:ind w:firstLine="482" w:firstLineChars="200"/>
        <w:rPr>
          <w:rStyle w:val="244"/>
          <w:rFonts w:asciiTheme="minorEastAsia" w:hAnsiTheme="minorEastAsia"/>
          <w:b/>
          <w:bCs/>
          <w:sz w:val="24"/>
          <w:szCs w:val="24"/>
          <w:lang w:val="zh-CN"/>
        </w:rPr>
      </w:pPr>
      <w:r>
        <w:rPr>
          <w:rStyle w:val="244"/>
          <w:rFonts w:hint="eastAsia" w:asciiTheme="minorEastAsia" w:hAnsiTheme="minorEastAsia"/>
          <w:b/>
          <w:bCs/>
          <w:sz w:val="24"/>
          <w:szCs w:val="24"/>
          <w:lang w:val="zh-CN"/>
        </w:rPr>
        <w:t>一、本项目需实现的功能或者目标</w:t>
      </w:r>
    </w:p>
    <w:p>
      <w:pPr>
        <w:spacing w:line="360" w:lineRule="auto"/>
        <w:ind w:firstLine="480" w:firstLineChars="200"/>
        <w:rPr>
          <w:rFonts w:hint="eastAsia" w:ascii="宋体" w:hAnsi="宋体" w:eastAsia="宋体" w:cs="宋体"/>
          <w:color w:val="000000" w:themeColor="text1"/>
          <w:shd w:val="clear" w:color="auto" w:fill="FFFFFF"/>
          <w:lang w:eastAsia="zh-CN"/>
        </w:rPr>
      </w:pPr>
      <w:r>
        <w:rPr>
          <w:rFonts w:hint="eastAsia" w:ascii="宋体" w:hAnsi="宋体" w:eastAsia="宋体" w:cs="宋体"/>
          <w:sz w:val="24"/>
          <w:szCs w:val="24"/>
          <w:shd w:val="clear" w:color="auto" w:fill="FFFFFF"/>
        </w:rPr>
        <w:t>鄢陵县辖区相关乡镇（社区）等村庄实施热源清洁替代6000户</w:t>
      </w:r>
      <w:r>
        <w:rPr>
          <w:rFonts w:hint="eastAsia" w:ascii="宋体" w:hAnsi="宋体" w:eastAsia="宋体" w:cs="宋体"/>
          <w:color w:val="000000" w:themeColor="text1"/>
          <w:sz w:val="24"/>
          <w:szCs w:val="24"/>
          <w:shd w:val="clear" w:color="auto" w:fill="FFFFFF"/>
          <w:lang w:eastAsia="zh-CN"/>
        </w:rPr>
        <w:t>。</w:t>
      </w:r>
    </w:p>
    <w:p>
      <w:pPr>
        <w:pStyle w:val="25"/>
        <w:widowControl/>
        <w:shd w:val="clear" w:color="auto" w:fill="FFFFFF"/>
        <w:spacing w:line="360" w:lineRule="auto"/>
        <w:ind w:firstLine="482" w:firstLineChars="200"/>
        <w:contextualSpacing/>
        <w:rPr>
          <w:rFonts w:hint="eastAsia" w:ascii="宋体" w:hAnsi="宋体" w:cs="宋体"/>
          <w:b/>
        </w:rPr>
      </w:pPr>
    </w:p>
    <w:p>
      <w:pPr>
        <w:pStyle w:val="25"/>
        <w:widowControl/>
        <w:shd w:val="clear" w:color="auto" w:fill="FFFFFF"/>
        <w:spacing w:line="360" w:lineRule="auto"/>
        <w:ind w:firstLine="482" w:firstLineChars="200"/>
        <w:contextualSpacing/>
        <w:rPr>
          <w:rFonts w:ascii="宋体" w:hAnsi="宋体" w:cs="宋体"/>
          <w:shd w:val="clear" w:color="auto" w:fill="FFFFFF"/>
        </w:rPr>
      </w:pPr>
      <w:r>
        <w:rPr>
          <w:rFonts w:hint="eastAsia" w:ascii="宋体" w:hAnsi="宋体" w:cs="宋体"/>
          <w:b/>
        </w:rPr>
        <w:t>★二、</w:t>
      </w:r>
      <w:r>
        <w:rPr>
          <w:rFonts w:hint="eastAsia" w:ascii="宋体" w:hAnsi="宋体" w:cs="宋体"/>
          <w:b/>
          <w:bCs/>
          <w:sz w:val="21"/>
          <w:szCs w:val="21"/>
        </w:rPr>
        <w:t>采购清单</w:t>
      </w:r>
    </w:p>
    <w:tbl>
      <w:tblPr>
        <w:tblStyle w:val="29"/>
        <w:tblW w:w="9334" w:type="dxa"/>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2"/>
        <w:gridCol w:w="1182"/>
        <w:gridCol w:w="2550"/>
        <w:gridCol w:w="855"/>
        <w:gridCol w:w="975"/>
        <w:gridCol w:w="675"/>
        <w:gridCol w:w="70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592" w:type="dxa"/>
            <w:tcBorders>
              <w:right w:val="single" w:color="auto" w:sz="4" w:space="0"/>
            </w:tcBorders>
            <w:vAlign w:val="center"/>
          </w:tcPr>
          <w:p>
            <w:pPr>
              <w:jc w:val="center"/>
            </w:pPr>
            <w:r>
              <w:rPr>
                <w:rFonts w:hint="eastAsia"/>
              </w:rPr>
              <w:t>序号</w:t>
            </w:r>
          </w:p>
        </w:tc>
        <w:tc>
          <w:tcPr>
            <w:tcW w:w="1182" w:type="dxa"/>
            <w:tcBorders>
              <w:left w:val="single" w:color="auto" w:sz="4" w:space="0"/>
              <w:right w:val="single" w:color="auto" w:sz="4" w:space="0"/>
            </w:tcBorders>
            <w:vAlign w:val="center"/>
          </w:tcPr>
          <w:p>
            <w:pPr>
              <w:jc w:val="center"/>
            </w:pPr>
            <w:r>
              <w:rPr>
                <w:rFonts w:hint="eastAsia"/>
              </w:rPr>
              <w:t>设备名称</w:t>
            </w:r>
          </w:p>
        </w:tc>
        <w:tc>
          <w:tcPr>
            <w:tcW w:w="2550" w:type="dxa"/>
            <w:tcBorders>
              <w:left w:val="single" w:color="auto" w:sz="4" w:space="0"/>
              <w:right w:val="single" w:color="auto" w:sz="4" w:space="0"/>
            </w:tcBorders>
            <w:vAlign w:val="center"/>
          </w:tcPr>
          <w:p>
            <w:pPr>
              <w:jc w:val="center"/>
            </w:pPr>
            <w:r>
              <w:rPr>
                <w:rFonts w:hint="eastAsia"/>
              </w:rPr>
              <w:t>标准要求</w:t>
            </w:r>
          </w:p>
        </w:tc>
        <w:tc>
          <w:tcPr>
            <w:tcW w:w="855" w:type="dxa"/>
            <w:tcBorders>
              <w:left w:val="single" w:color="auto" w:sz="4" w:space="0"/>
            </w:tcBorders>
            <w:vAlign w:val="center"/>
          </w:tcPr>
          <w:p>
            <w:r>
              <w:rPr>
                <w:rFonts w:hint="eastAsia"/>
              </w:rPr>
              <w:t>适用</w:t>
            </w:r>
          </w:p>
          <w:p>
            <w:r>
              <w:rPr>
                <w:rFonts w:hint="eastAsia"/>
              </w:rPr>
              <w:t>场所</w:t>
            </w:r>
          </w:p>
        </w:tc>
        <w:tc>
          <w:tcPr>
            <w:tcW w:w="975" w:type="dxa"/>
            <w:tcBorders>
              <w:right w:val="single" w:color="auto" w:sz="4" w:space="0"/>
            </w:tcBorders>
            <w:vAlign w:val="center"/>
          </w:tcPr>
          <w:p>
            <w:pPr>
              <w:jc w:val="center"/>
            </w:pPr>
            <w:r>
              <w:rPr>
                <w:rFonts w:hint="eastAsia"/>
              </w:rPr>
              <w:t>能效指标要求</w:t>
            </w:r>
          </w:p>
        </w:tc>
        <w:tc>
          <w:tcPr>
            <w:tcW w:w="675" w:type="dxa"/>
            <w:tcBorders>
              <w:left w:val="single" w:color="auto" w:sz="4" w:space="0"/>
              <w:right w:val="single" w:color="auto" w:sz="4" w:space="0"/>
            </w:tcBorders>
            <w:vAlign w:val="center"/>
          </w:tcPr>
          <w:p>
            <w:pPr>
              <w:jc w:val="center"/>
            </w:pPr>
            <w:r>
              <w:rPr>
                <w:rFonts w:hint="eastAsia"/>
              </w:rPr>
              <w:t>设备功率要求</w:t>
            </w:r>
          </w:p>
        </w:tc>
        <w:tc>
          <w:tcPr>
            <w:tcW w:w="705" w:type="dxa"/>
            <w:tcBorders>
              <w:left w:val="single" w:color="auto" w:sz="4" w:space="0"/>
            </w:tcBorders>
            <w:vAlign w:val="center"/>
          </w:tcPr>
          <w:p>
            <w:pPr>
              <w:jc w:val="center"/>
            </w:pPr>
            <w:r>
              <w:rPr>
                <w:rFonts w:hint="eastAsia"/>
              </w:rPr>
              <w:t>数量</w:t>
            </w:r>
          </w:p>
        </w:tc>
        <w:tc>
          <w:tcPr>
            <w:tcW w:w="1800" w:type="dxa"/>
            <w:tcBorders>
              <w:left w:val="single" w:color="auto" w:sz="4" w:space="0"/>
            </w:tcBorders>
            <w:vAlign w:val="center"/>
          </w:tcPr>
          <w:p>
            <w:pP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592" w:type="dxa"/>
            <w:tcBorders>
              <w:right w:val="single" w:color="auto" w:sz="4" w:space="0"/>
            </w:tcBorders>
            <w:vAlign w:val="center"/>
          </w:tcPr>
          <w:p>
            <w:pPr>
              <w:jc w:val="center"/>
            </w:pPr>
            <w:r>
              <w:rPr>
                <w:rFonts w:hint="eastAsia"/>
              </w:rPr>
              <w:t>1</w:t>
            </w:r>
          </w:p>
        </w:tc>
        <w:tc>
          <w:tcPr>
            <w:tcW w:w="1182" w:type="dxa"/>
            <w:tcBorders>
              <w:left w:val="single" w:color="auto" w:sz="4" w:space="0"/>
            </w:tcBorders>
            <w:vAlign w:val="center"/>
          </w:tcPr>
          <w:p>
            <w:pPr>
              <w:jc w:val="center"/>
            </w:pPr>
            <w:r>
              <w:rPr>
                <w:rFonts w:hint="eastAsia"/>
              </w:rPr>
              <w:t>空气源热泵热风机</w:t>
            </w:r>
          </w:p>
        </w:tc>
        <w:tc>
          <w:tcPr>
            <w:tcW w:w="2550" w:type="dxa"/>
            <w:tcBorders>
              <w:right w:val="single" w:color="auto" w:sz="4" w:space="0"/>
            </w:tcBorders>
            <w:vAlign w:val="center"/>
          </w:tcPr>
          <w:p>
            <w:pPr>
              <w:jc w:val="center"/>
            </w:pPr>
            <w:r>
              <w:rPr>
                <w:rFonts w:hint="eastAsia"/>
              </w:rPr>
              <w:t>达到《低环境温度空气源热泵热风机》JB/T 13573-2018、《户式空气源热泵系统应用技术规程》（DB11／T 1382-2016）、《多联机空调系统工程技术规程》JGJ 174-2010、《空气源热泵供暖工程技术规程》T/CECS 564-2018等标准要求。</w:t>
            </w:r>
          </w:p>
        </w:tc>
        <w:tc>
          <w:tcPr>
            <w:tcW w:w="855" w:type="dxa"/>
            <w:tcBorders>
              <w:left w:val="single" w:color="auto" w:sz="4" w:space="0"/>
            </w:tcBorders>
            <w:vAlign w:val="center"/>
          </w:tcPr>
          <w:p>
            <w:pPr>
              <w:jc w:val="center"/>
            </w:pPr>
            <w:r>
              <w:rPr>
                <w:rFonts w:hint="eastAsia"/>
              </w:rPr>
              <w:t>户用</w:t>
            </w:r>
          </w:p>
        </w:tc>
        <w:tc>
          <w:tcPr>
            <w:tcW w:w="975" w:type="dxa"/>
            <w:tcBorders>
              <w:right w:val="single" w:color="auto" w:sz="4" w:space="0"/>
            </w:tcBorders>
            <w:vAlign w:val="center"/>
          </w:tcPr>
          <w:p>
            <w:pPr>
              <w:jc w:val="center"/>
            </w:pPr>
            <w:r>
              <w:rPr>
                <w:rFonts w:hint="eastAsia"/>
              </w:rPr>
              <w:t>不低于三级</w:t>
            </w:r>
          </w:p>
        </w:tc>
        <w:tc>
          <w:tcPr>
            <w:tcW w:w="675" w:type="dxa"/>
            <w:tcBorders>
              <w:left w:val="single" w:color="auto" w:sz="4" w:space="0"/>
              <w:right w:val="single" w:color="auto" w:sz="4" w:space="0"/>
            </w:tcBorders>
            <w:vAlign w:val="center"/>
          </w:tcPr>
          <w:p>
            <w:pPr>
              <w:jc w:val="center"/>
            </w:pPr>
            <w:r>
              <w:rPr>
                <w:rFonts w:hint="eastAsia"/>
              </w:rPr>
              <w:t>每户不低于4KW</w:t>
            </w:r>
          </w:p>
        </w:tc>
        <w:tc>
          <w:tcPr>
            <w:tcW w:w="705" w:type="dxa"/>
            <w:tcBorders>
              <w:left w:val="single" w:color="auto" w:sz="4" w:space="0"/>
            </w:tcBorders>
            <w:vAlign w:val="center"/>
          </w:tcPr>
          <w:p>
            <w:pPr>
              <w:jc w:val="center"/>
            </w:pPr>
            <w:r>
              <w:rPr>
                <w:rFonts w:hint="eastAsia"/>
              </w:rPr>
              <w:t>6000台</w:t>
            </w:r>
          </w:p>
        </w:tc>
        <w:tc>
          <w:tcPr>
            <w:tcW w:w="1800" w:type="dxa"/>
            <w:tcBorders>
              <w:left w:val="single" w:color="auto" w:sz="4" w:space="0"/>
            </w:tcBorders>
            <w:vAlign w:val="center"/>
          </w:tcPr>
          <w:p>
            <w:pPr>
              <w:jc w:val="center"/>
            </w:pPr>
            <w:r>
              <w:rPr>
                <w:rFonts w:hint="eastAsia"/>
              </w:rPr>
              <w:t>必须为冷暖两用，具备用户智能化监测模块，具备定位、启停状态、温度、用电量等智能化数据采集和网络上传功能。</w:t>
            </w:r>
          </w:p>
        </w:tc>
      </w:tr>
    </w:tbl>
    <w:p>
      <w:pPr>
        <w:autoSpaceDE w:val="0"/>
        <w:autoSpaceDN w:val="0"/>
        <w:spacing w:line="360" w:lineRule="auto"/>
        <w:ind w:left="105" w:leftChars="50" w:right="105" w:rightChars="50"/>
        <w:jc w:val="center"/>
        <w:rPr>
          <w:rFonts w:ascii="宋体" w:hAnsi="宋体" w:eastAsia="宋体" w:cs="宋体"/>
          <w:sz w:val="24"/>
          <w:szCs w:val="24"/>
        </w:rPr>
      </w:pPr>
      <w:r>
        <w:rPr>
          <w:rFonts w:ascii="宋体" w:hAnsi="宋体" w:eastAsia="宋体" w:cs="宋体"/>
          <w:b/>
          <w:kern w:val="0"/>
          <w:sz w:val="24"/>
          <w:szCs w:val="24"/>
          <w:lang w:val="zh-CN" w:bidi="zh-CN"/>
        </w:rPr>
        <w:t>空气源热泵热风机技术参数</w:t>
      </w:r>
    </w:p>
    <w:tbl>
      <w:tblPr>
        <w:tblStyle w:val="262"/>
        <w:tblW w:w="89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2840"/>
        <w:gridCol w:w="1935"/>
        <w:gridCol w:w="3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序号 </w:t>
            </w:r>
          </w:p>
        </w:tc>
        <w:tc>
          <w:tcPr>
            <w:tcW w:w="2840"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参数名称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环境范围 </w:t>
            </w:r>
          </w:p>
        </w:tc>
        <w:tc>
          <w:tcPr>
            <w:tcW w:w="3040"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数值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 </w:t>
            </w:r>
          </w:p>
        </w:tc>
        <w:tc>
          <w:tcPr>
            <w:tcW w:w="2840" w:type="dxa"/>
            <w:vMerge w:val="restart"/>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制热量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额定(-12℃)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≥4000W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2 </w:t>
            </w:r>
          </w:p>
        </w:tc>
        <w:tc>
          <w:tcPr>
            <w:tcW w:w="2840" w:type="dxa"/>
            <w:vMerge w:val="continue"/>
            <w:tcBorders>
              <w:top w:val="nil"/>
            </w:tcBorders>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高温(7℃)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≥4000W(400W-7500W)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3 </w:t>
            </w:r>
          </w:p>
        </w:tc>
        <w:tc>
          <w:tcPr>
            <w:tcW w:w="2840" w:type="dxa"/>
            <w:vMerge w:val="continue"/>
            <w:tcBorders>
              <w:top w:val="nil"/>
            </w:tcBorders>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低温(-20℃)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≥4000W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4 </w:t>
            </w:r>
          </w:p>
        </w:tc>
        <w:tc>
          <w:tcPr>
            <w:tcW w:w="2840" w:type="dxa"/>
            <w:vAlign w:val="center"/>
          </w:tcPr>
          <w:p>
            <w:pPr>
              <w:widowControl/>
              <w:tabs>
                <w:tab w:val="left" w:pos="9750"/>
                <w:tab w:val="left" w:pos="10065"/>
              </w:tabs>
              <w:spacing w:before="116"/>
              <w:ind w:right="105" w:rightChars="5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COP(-12℃/7℃/-20℃)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≥2.20/3.60/2.00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23" w:type="dxa"/>
            <w:vAlign w:val="center"/>
          </w:tcPr>
          <w:p>
            <w:pPr>
              <w:widowControl/>
              <w:tabs>
                <w:tab w:val="left" w:pos="9750"/>
                <w:tab w:val="left" w:pos="10065"/>
              </w:tabs>
              <w:spacing w:before="119"/>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5 </w:t>
            </w:r>
          </w:p>
        </w:tc>
        <w:tc>
          <w:tcPr>
            <w:tcW w:w="2840" w:type="dxa"/>
            <w:vAlign w:val="center"/>
          </w:tcPr>
          <w:p>
            <w:pPr>
              <w:widowControl/>
              <w:tabs>
                <w:tab w:val="left" w:pos="9750"/>
                <w:tab w:val="left" w:pos="10065"/>
              </w:tabs>
              <w:spacing w:before="119"/>
              <w:ind w:right="105" w:rightChars="5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制热季节性能系数(HSPF) </w:t>
            </w:r>
          </w:p>
        </w:tc>
        <w:tc>
          <w:tcPr>
            <w:tcW w:w="1935" w:type="dxa"/>
            <w:vAlign w:val="center"/>
          </w:tcPr>
          <w:p>
            <w:pPr>
              <w:widowControl/>
              <w:tabs>
                <w:tab w:val="left" w:pos="9750"/>
                <w:tab w:val="left" w:pos="10065"/>
              </w:tabs>
              <w:spacing w:before="119"/>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23" w:type="dxa"/>
            <w:vAlign w:val="center"/>
          </w:tcPr>
          <w:p>
            <w:pPr>
              <w:widowControl/>
              <w:tabs>
                <w:tab w:val="left" w:pos="9750"/>
                <w:tab w:val="left" w:pos="10065"/>
              </w:tabs>
              <w:spacing w:before="118"/>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6 </w:t>
            </w:r>
          </w:p>
        </w:tc>
        <w:tc>
          <w:tcPr>
            <w:tcW w:w="2840" w:type="dxa"/>
            <w:vAlign w:val="center"/>
          </w:tcPr>
          <w:p>
            <w:pPr>
              <w:widowControl/>
              <w:tabs>
                <w:tab w:val="left" w:pos="9750"/>
                <w:tab w:val="left" w:pos="10065"/>
              </w:tabs>
              <w:spacing w:before="118"/>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循环风量 </w:t>
            </w:r>
          </w:p>
        </w:tc>
        <w:tc>
          <w:tcPr>
            <w:tcW w:w="1935" w:type="dxa"/>
            <w:vAlign w:val="center"/>
          </w:tcPr>
          <w:p>
            <w:pPr>
              <w:widowControl/>
              <w:tabs>
                <w:tab w:val="left" w:pos="9750"/>
                <w:tab w:val="left" w:pos="10065"/>
              </w:tabs>
              <w:spacing w:before="118"/>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≥630m³/h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7 </w:t>
            </w:r>
          </w:p>
        </w:tc>
        <w:tc>
          <w:tcPr>
            <w:tcW w:w="2840" w:type="dxa"/>
            <w:vMerge w:val="restart"/>
            <w:vAlign w:val="center"/>
          </w:tcPr>
          <w:p>
            <w:pPr>
              <w:widowControl/>
              <w:tabs>
                <w:tab w:val="left" w:pos="9750"/>
                <w:tab w:val="left" w:pos="10065"/>
              </w:tabs>
              <w:spacing w:before="1"/>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噪 音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室内机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≤45dB(A)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8 </w:t>
            </w:r>
          </w:p>
        </w:tc>
        <w:tc>
          <w:tcPr>
            <w:tcW w:w="2840" w:type="dxa"/>
            <w:vMerge w:val="continue"/>
            <w:tcBorders>
              <w:top w:val="nil"/>
            </w:tcBorders>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室外机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≤55dB(A)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9 </w:t>
            </w:r>
          </w:p>
        </w:tc>
        <w:tc>
          <w:tcPr>
            <w:tcW w:w="2840" w:type="dxa"/>
            <w:vMerge w:val="restart"/>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制热输入功率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额定(-12℃)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≤1740W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10 </w:t>
            </w:r>
          </w:p>
        </w:tc>
        <w:tc>
          <w:tcPr>
            <w:tcW w:w="2840" w:type="dxa"/>
            <w:vMerge w:val="continue"/>
            <w:tcBorders>
              <w:top w:val="nil"/>
            </w:tcBorders>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高温(7℃)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≤1080W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11 </w:t>
            </w:r>
          </w:p>
        </w:tc>
        <w:tc>
          <w:tcPr>
            <w:tcW w:w="2840" w:type="dxa"/>
            <w:vMerge w:val="continue"/>
            <w:tcBorders>
              <w:top w:val="nil"/>
            </w:tcBorders>
            <w:vAlign w:val="center"/>
          </w:tcPr>
          <w:p>
            <w:pPr>
              <w:widowControl/>
              <w:tabs>
                <w:tab w:val="left" w:pos="9750"/>
                <w:tab w:val="left" w:pos="10065"/>
              </w:tabs>
              <w:ind w:left="105" w:leftChars="50" w:right="105" w:rightChars="50" w:firstLine="480"/>
              <w:rPr>
                <w:rFonts w:ascii="宋体" w:hAnsi="宋体" w:eastAsia="宋体" w:cs="宋体"/>
                <w:kern w:val="0"/>
                <w:sz w:val="24"/>
                <w:szCs w:val="24"/>
                <w:lang w:val="zh-CN" w:bidi="zh-CN"/>
              </w:rPr>
            </w:pP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低温(-20℃) </w:t>
            </w: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≤1990W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12 </w:t>
            </w:r>
          </w:p>
        </w:tc>
        <w:tc>
          <w:tcPr>
            <w:tcW w:w="2840"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防水等级(室外机)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IPX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13 </w:t>
            </w:r>
          </w:p>
        </w:tc>
        <w:tc>
          <w:tcPr>
            <w:tcW w:w="2840"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防触电保护类型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I 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14 </w:t>
            </w:r>
          </w:p>
        </w:tc>
        <w:tc>
          <w:tcPr>
            <w:tcW w:w="2840"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额定电压/额定频率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220V/50Hz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15 </w:t>
            </w:r>
          </w:p>
        </w:tc>
        <w:tc>
          <w:tcPr>
            <w:tcW w:w="2840"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制冷剂 </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R32，R410A等环保冷媒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3"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16 </w:t>
            </w:r>
          </w:p>
        </w:tc>
        <w:tc>
          <w:tcPr>
            <w:tcW w:w="2840" w:type="dxa"/>
            <w:vAlign w:val="center"/>
          </w:tcPr>
          <w:p>
            <w:pPr>
              <w:widowControl/>
              <w:tabs>
                <w:tab w:val="left" w:pos="9750"/>
                <w:tab w:val="left" w:pos="10065"/>
              </w:tabs>
              <w:spacing w:before="116"/>
              <w:ind w:right="105" w:rightChars="50"/>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室外机最大输入电流</w:t>
            </w:r>
          </w:p>
        </w:tc>
        <w:tc>
          <w:tcPr>
            <w:tcW w:w="1935" w:type="dxa"/>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≤15A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23" w:type="dxa"/>
            <w:vAlign w:val="center"/>
          </w:tcPr>
          <w:p>
            <w:pPr>
              <w:widowControl/>
              <w:tabs>
                <w:tab w:val="left" w:pos="9750"/>
                <w:tab w:val="left" w:pos="10065"/>
              </w:tabs>
              <w:spacing w:before="118"/>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17 </w:t>
            </w:r>
          </w:p>
        </w:tc>
        <w:tc>
          <w:tcPr>
            <w:tcW w:w="2840" w:type="dxa"/>
            <w:vAlign w:val="center"/>
          </w:tcPr>
          <w:p>
            <w:pPr>
              <w:widowControl/>
              <w:tabs>
                <w:tab w:val="left" w:pos="9750"/>
                <w:tab w:val="left" w:pos="10065"/>
              </w:tabs>
              <w:spacing w:before="118"/>
              <w:ind w:right="105" w:rightChars="50"/>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室外机最大输入功率</w:t>
            </w:r>
          </w:p>
        </w:tc>
        <w:tc>
          <w:tcPr>
            <w:tcW w:w="1935" w:type="dxa"/>
            <w:vAlign w:val="center"/>
          </w:tcPr>
          <w:p>
            <w:pPr>
              <w:widowControl/>
              <w:tabs>
                <w:tab w:val="left" w:pos="9750"/>
                <w:tab w:val="left" w:pos="10065"/>
              </w:tabs>
              <w:spacing w:before="118"/>
              <w:ind w:left="105" w:leftChars="50" w:right="105" w:rightChars="50" w:firstLine="480"/>
              <w:rPr>
                <w:rFonts w:ascii="宋体" w:hAnsi="宋体" w:eastAsia="宋体" w:cs="宋体"/>
                <w:kern w:val="0"/>
                <w:sz w:val="24"/>
                <w:szCs w:val="24"/>
                <w:lang w:val="zh-CN" w:bidi="zh-CN"/>
              </w:rPr>
            </w:pPr>
          </w:p>
        </w:tc>
        <w:tc>
          <w:tcPr>
            <w:tcW w:w="3040" w:type="dxa"/>
            <w:shd w:val="clear" w:color="auto" w:fill="CCE8CF"/>
            <w:vAlign w:val="center"/>
          </w:tcPr>
          <w:p>
            <w:pPr>
              <w:widowControl/>
              <w:tabs>
                <w:tab w:val="left" w:pos="9750"/>
                <w:tab w:val="left" w:pos="10065"/>
              </w:tabs>
              <w:spacing w:before="116"/>
              <w:ind w:left="105" w:leftChars="50" w:right="105" w:rightChars="50"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 xml:space="preserve">≤2700W </w:t>
            </w:r>
          </w:p>
        </w:tc>
      </w:tr>
    </w:tbl>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ascii="宋体" w:hAnsi="宋体" w:cs="宋体"/>
          <w:color w:val="000000" w:themeColor="text1"/>
          <w:shd w:val="clear" w:color="auto" w:fill="FFFFFF"/>
        </w:rPr>
        <w:t>本采购清单中所列</w:t>
      </w:r>
      <w:r>
        <w:rPr>
          <w:rFonts w:hint="eastAsia" w:ascii="宋体" w:hAnsi="宋体" w:cs="宋体"/>
          <w:color w:val="000000" w:themeColor="text1"/>
          <w:shd w:val="clear" w:color="auto" w:fill="FFFFFF"/>
        </w:rPr>
        <w:t>要求为</w:t>
      </w:r>
      <w:r>
        <w:rPr>
          <w:rFonts w:ascii="宋体" w:hAnsi="宋体" w:cs="宋体"/>
          <w:color w:val="000000" w:themeColor="text1"/>
          <w:shd w:val="clear" w:color="auto" w:fill="FFFFFF"/>
        </w:rPr>
        <w:t>最低要求，不允许负偏离， 否则将承担 其投标被视为非实质性响应投标的风险。</w:t>
      </w:r>
    </w:p>
    <w:p>
      <w:pPr>
        <w:widowControl/>
        <w:shd w:val="clear" w:color="auto" w:fill="FFFFFF"/>
        <w:spacing w:line="360" w:lineRule="auto"/>
        <w:ind w:firstLine="482" w:firstLineChars="200"/>
        <w:contextualSpacing/>
        <w:jc w:val="left"/>
        <w:rPr>
          <w:rFonts w:ascii="宋体" w:hAnsi="宋体" w:eastAsia="宋体" w:cs="宋体"/>
          <w:b/>
          <w:color w:val="000000" w:themeColor="text1"/>
          <w:kern w:val="0"/>
          <w:sz w:val="24"/>
        </w:rPr>
      </w:pPr>
      <w:r>
        <w:rPr>
          <w:rFonts w:hint="eastAsia" w:ascii="宋体" w:hAnsi="宋体" w:eastAsia="宋体" w:cs="宋体"/>
          <w:b/>
          <w:color w:val="000000" w:themeColor="text1"/>
          <w:sz w:val="24"/>
        </w:rPr>
        <w:t>★三、</w:t>
      </w:r>
      <w:r>
        <w:rPr>
          <w:rFonts w:hint="eastAsia" w:ascii="宋体" w:hAnsi="宋体" w:cs="宋体"/>
          <w:b/>
          <w:color w:val="000000" w:themeColor="text1"/>
          <w:kern w:val="0"/>
          <w:sz w:val="24"/>
        </w:rPr>
        <w:t>服务标准、期限、效率等要求</w:t>
      </w:r>
    </w:p>
    <w:p>
      <w:pPr>
        <w:pStyle w:val="25"/>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 xml:space="preserve">    1、</w:t>
      </w:r>
      <w:r>
        <w:rPr>
          <w:rFonts w:hint="eastAsia" w:ascii="宋体" w:hAnsi="宋体" w:cs="宋体"/>
          <w:color w:val="000000" w:themeColor="text1"/>
          <w:shd w:val="clear" w:color="auto" w:fill="FFFFFF"/>
          <w:lang w:val="en-US" w:eastAsia="zh-CN"/>
        </w:rPr>
        <w:t>履约</w:t>
      </w:r>
      <w:r>
        <w:rPr>
          <w:rFonts w:hint="eastAsia" w:ascii="宋体" w:hAnsi="宋体" w:cs="宋体"/>
          <w:color w:val="000000" w:themeColor="text1"/>
          <w:shd w:val="clear" w:color="auto" w:fill="FFFFFF"/>
        </w:rPr>
        <w:t>时间：自签订合同之日起30日历天内交货安装调试完毕；</w:t>
      </w:r>
    </w:p>
    <w:p>
      <w:pPr>
        <w:pStyle w:val="25"/>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 xml:space="preserve">    2 、交付（服务、完工）地点：采购人指定地点</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3、分包：不允许</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4、</w:t>
      </w:r>
      <w:r>
        <w:rPr>
          <w:rFonts w:ascii="宋体" w:hAnsi="宋体" w:cs="宋体"/>
          <w:color w:val="000000" w:themeColor="text1"/>
          <w:shd w:val="clear" w:color="auto" w:fill="FFFFFF"/>
        </w:rPr>
        <w:t>投标人须明确投标产品的厂家、产地、品牌、型号、详细参数，否则为无效投标。</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5、质量保证期：质保期自验收合格之日起不低于六年,国家主管部门或者行业标准对货物本身有更高要求的,从其规定并在合同中约定,投标人亦可提报更长的质保</w:t>
      </w:r>
    </w:p>
    <w:p>
      <w:pPr>
        <w:pStyle w:val="25"/>
        <w:widowControl/>
        <w:shd w:val="clear" w:color="auto" w:fill="FFFFFF"/>
        <w:spacing w:line="360" w:lineRule="auto"/>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期；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招标人可自行采取必要的补救措施,但风险和费用由中标人承担,招标人同时保留通过法律途径进行索赔的权利。</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6、</w:t>
      </w:r>
      <w:r>
        <w:rPr>
          <w:rFonts w:ascii="宋体" w:hAnsi="宋体" w:cs="宋体"/>
          <w:color w:val="000000" w:themeColor="text1"/>
          <w:shd w:val="clear" w:color="auto" w:fill="FFFFFF"/>
        </w:rPr>
        <w:t>投标人应就本项目（每包或者标段）完整投标，否则为无效投标。</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7、</w:t>
      </w:r>
      <w:r>
        <w:rPr>
          <w:rFonts w:ascii="宋体" w:hAnsi="宋体" w:cs="宋体"/>
          <w:color w:val="000000" w:themeColor="text1"/>
          <w:shd w:val="clear" w:color="auto" w:fill="FFFFFF"/>
        </w:rPr>
        <w:t>所投产品必须符合国家质量检测标准和本招标文件规定标准的全新正品现货。</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8、</w:t>
      </w:r>
      <w:r>
        <w:rPr>
          <w:rFonts w:ascii="宋体" w:hAnsi="宋体" w:cs="宋体"/>
          <w:color w:val="000000" w:themeColor="text1"/>
          <w:shd w:val="clear" w:color="auto" w:fill="FFFFFF"/>
        </w:rPr>
        <w:t>本项目为交钥匙工程。</w:t>
      </w:r>
    </w:p>
    <w:p>
      <w:pPr>
        <w:pStyle w:val="25"/>
        <w:widowControl/>
        <w:shd w:val="clear" w:color="auto" w:fill="FFFFFF"/>
        <w:spacing w:line="360" w:lineRule="auto"/>
        <w:ind w:firstLine="482" w:firstLineChars="200"/>
        <w:contextualSpacing/>
        <w:rPr>
          <w:rFonts w:ascii="宋体" w:hAnsi="宋体" w:cs="宋体"/>
          <w:color w:val="000000" w:themeColor="text1"/>
          <w:shd w:val="clear" w:color="auto" w:fill="FFFFFF"/>
        </w:rPr>
      </w:pPr>
      <w:r>
        <w:rPr>
          <w:rFonts w:hint="eastAsia" w:ascii="宋体" w:hAnsi="宋体" w:cs="宋体"/>
          <w:b/>
          <w:color w:val="000000" w:themeColor="text1"/>
        </w:rPr>
        <w:t>★</w:t>
      </w:r>
      <w:r>
        <w:rPr>
          <w:rFonts w:hint="eastAsia" w:ascii="宋体" w:hAnsi="宋体" w:cs="宋体"/>
          <w:color w:val="000000" w:themeColor="text1"/>
          <w:shd w:val="clear" w:color="auto" w:fill="FFFFFF"/>
        </w:rPr>
        <w:t>四、售后服务</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1、中标人应提供及时周到的售后服务,应保证每年至少一次回访检修。</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2、中标人在接招标人通知一小时做出响应,2小时内到达现场,24小时内维修完毕,不能在规定时间内修好的要免费提供备品(机)备件。</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3、中标人免费为招标人提供中文操作手册并培训操作人员,其中包括讲解产品的结构以及原理、产品的使用以及维护保养,直至操作人员能够独立的操作使用。</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4、负责上门安装、调试、维修和技术支持。</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5、现场技术操作培训,保证使用人员正规操作设备的各种功能。</w:t>
      </w:r>
    </w:p>
    <w:p>
      <w:pPr>
        <w:pStyle w:val="25"/>
        <w:widowControl/>
        <w:shd w:val="clear" w:color="auto" w:fill="FFFFFF"/>
        <w:spacing w:line="360" w:lineRule="auto"/>
        <w:ind w:firstLine="480" w:firstLineChars="20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五、验收标准</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5.1 本项目完成后，招标人在收到供应商项目验收建议之日起 7 个工作日内，由招标人成立验收小组,按照合同的约定对中标人履约情况进行验收。验收时,按照合同的约定对每一项技术、服务、安全标准的履约情况进行确认。验收结束后,出具验收书,列明各项标准的验收情况及项目总体评价,由验收双方共同签署。 </w:t>
      </w:r>
    </w:p>
    <w:p>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5.2 按照招标文件要求、投标文件响应和承诺验收。</w:t>
      </w:r>
    </w:p>
    <w:p>
      <w:pPr>
        <w:autoSpaceDE w:val="0"/>
        <w:autoSpaceDN w:val="0"/>
        <w:spacing w:line="360" w:lineRule="auto"/>
        <w:ind w:firstLine="482" w:firstLineChars="200"/>
        <w:rPr>
          <w:rFonts w:ascii="宋体" w:hAnsi="宋体" w:eastAsia="宋体" w:cs="宋体"/>
          <w:b/>
          <w:color w:val="000000" w:themeColor="text1"/>
          <w:kern w:val="0"/>
          <w:sz w:val="24"/>
          <w:lang w:val="zh-CN"/>
        </w:rPr>
      </w:pPr>
      <w:r>
        <w:rPr>
          <w:rFonts w:hint="eastAsia" w:ascii="宋体" w:hAnsi="宋体" w:eastAsia="宋体" w:cs="宋体"/>
          <w:b/>
          <w:color w:val="000000" w:themeColor="text1"/>
          <w:kern w:val="0"/>
          <w:sz w:val="24"/>
        </w:rPr>
        <w:t>五、费用</w:t>
      </w:r>
      <w:r>
        <w:rPr>
          <w:rFonts w:hint="eastAsia" w:ascii="宋体" w:hAnsi="宋体" w:eastAsia="宋体" w:cs="宋体"/>
          <w:b/>
          <w:color w:val="000000" w:themeColor="text1"/>
          <w:kern w:val="0"/>
          <w:sz w:val="24"/>
          <w:lang w:val="zh-CN"/>
        </w:rPr>
        <w:t>支付</w:t>
      </w:r>
    </w:p>
    <w:p>
      <w:pPr>
        <w:autoSpaceDE w:val="0"/>
        <w:autoSpaceDN w:val="0"/>
        <w:spacing w:line="360" w:lineRule="auto"/>
        <w:ind w:firstLine="480" w:firstLineChars="200"/>
        <w:rPr>
          <w:rFonts w:ascii="宋体" w:hAnsi="宋体" w:eastAsia="宋体" w:cs="宋体"/>
          <w:bCs/>
          <w:color w:val="000000" w:themeColor="text1"/>
          <w:kern w:val="0"/>
          <w:sz w:val="24"/>
        </w:rPr>
      </w:pPr>
      <w:r>
        <w:rPr>
          <w:rFonts w:hint="eastAsia" w:ascii="宋体" w:hAnsi="宋体" w:eastAsia="宋体" w:cs="宋体"/>
          <w:bCs/>
          <w:color w:val="000000" w:themeColor="text1"/>
          <w:kern w:val="0"/>
          <w:sz w:val="24"/>
        </w:rPr>
        <w:t>（一）支付方式：银行转账</w:t>
      </w:r>
    </w:p>
    <w:p>
      <w:pPr>
        <w:autoSpaceDE w:val="0"/>
        <w:autoSpaceDN w:val="0"/>
        <w:spacing w:line="360" w:lineRule="auto"/>
        <w:ind w:firstLine="480" w:firstLineChars="200"/>
        <w:rPr>
          <w:rFonts w:ascii="宋体" w:hAnsi="宋体" w:eastAsia="宋体" w:cs="宋体"/>
          <w:bCs/>
          <w:color w:val="000000" w:themeColor="text1"/>
          <w:kern w:val="0"/>
          <w:sz w:val="24"/>
        </w:rPr>
      </w:pPr>
      <w:r>
        <w:rPr>
          <w:rFonts w:hint="eastAsia" w:ascii="宋体" w:hAnsi="宋体" w:eastAsia="宋体" w:cs="宋体"/>
          <w:bCs/>
          <w:color w:val="000000" w:themeColor="text1"/>
          <w:kern w:val="0"/>
          <w:sz w:val="24"/>
        </w:rPr>
        <w:t>（二）支付时间及条件：</w:t>
      </w:r>
    </w:p>
    <w:p>
      <w:pPr>
        <w:autoSpaceDE w:val="0"/>
        <w:autoSpaceDN w:val="0"/>
        <w:spacing w:line="360" w:lineRule="auto"/>
        <w:ind w:firstLine="480" w:firstLineChars="200"/>
        <w:rPr>
          <w:rFonts w:hint="eastAsia" w:ascii="宋体" w:hAnsi="宋体" w:eastAsia="宋体" w:cs="宋体"/>
          <w:bCs/>
          <w:color w:val="000000" w:themeColor="text1"/>
          <w:kern w:val="0"/>
          <w:sz w:val="24"/>
        </w:rPr>
      </w:pPr>
      <w:r>
        <w:rPr>
          <w:rFonts w:hint="eastAsia" w:ascii="宋体" w:hAnsi="宋体" w:eastAsia="宋体" w:cs="宋体"/>
          <w:bCs/>
          <w:color w:val="000000" w:themeColor="text1"/>
          <w:kern w:val="0"/>
          <w:sz w:val="24"/>
        </w:rPr>
        <w:t>1、双方签订合同后，中标方设备材料全部到达施工现场，经招标方确认后开始施工，招标方支付至工程总价款的30%。2、中标方完成合同工程量的80%后，招标方支付至工程总价款的80%。3、工程施工完毕，调试验收合格后两周内，招标方付至工程总价款的97%，剩余3%的工程总价款于质保期满后无质量问题一月内付清。</w:t>
      </w:r>
    </w:p>
    <w:p>
      <w:pPr>
        <w:pStyle w:val="2"/>
        <w:numPr>
          <w:ilvl w:val="3"/>
          <w:numId w:val="0"/>
        </w:numPr>
        <w:ind w:leftChars="0"/>
        <w:rPr>
          <w:rFonts w:hint="eastAsia"/>
        </w:rPr>
      </w:pPr>
    </w:p>
    <w:p>
      <w:pPr>
        <w:rPr>
          <w:rFonts w:hint="eastAsia" w:ascii="宋体" w:hAnsi="宋体" w:eastAsia="宋体" w:cs="宋体"/>
          <w:bCs/>
          <w:color w:val="000000" w:themeColor="text1"/>
          <w:kern w:val="0"/>
          <w:sz w:val="24"/>
        </w:rPr>
      </w:pPr>
    </w:p>
    <w:p>
      <w:pPr>
        <w:pStyle w:val="2"/>
        <w:numPr>
          <w:ilvl w:val="3"/>
          <w:numId w:val="0"/>
        </w:numPr>
        <w:ind w:leftChars="0"/>
        <w:rPr>
          <w:rFonts w:hint="eastAsia"/>
        </w:rPr>
      </w:pPr>
    </w:p>
    <w:p>
      <w:pPr>
        <w:rPr>
          <w:rFonts w:hint="eastAsia" w:ascii="宋体" w:hAnsi="宋体" w:eastAsia="宋体" w:cs="宋体"/>
          <w:bCs/>
          <w:color w:val="000000" w:themeColor="text1"/>
          <w:kern w:val="0"/>
          <w:sz w:val="24"/>
        </w:rPr>
      </w:pPr>
    </w:p>
    <w:p>
      <w:pPr>
        <w:pStyle w:val="2"/>
        <w:numPr>
          <w:ilvl w:val="3"/>
          <w:numId w:val="0"/>
        </w:numPr>
        <w:ind w:leftChars="0"/>
        <w:rPr>
          <w:rFonts w:hint="eastAsia"/>
        </w:rPr>
      </w:pPr>
    </w:p>
    <w:p>
      <w:pPr>
        <w:rPr>
          <w:rFonts w:hint="eastAsia" w:ascii="宋体" w:hAnsi="宋体" w:eastAsia="宋体" w:cs="宋体"/>
          <w:bCs/>
          <w:color w:val="000000" w:themeColor="text1"/>
          <w:kern w:val="0"/>
          <w:sz w:val="24"/>
        </w:rPr>
      </w:pPr>
    </w:p>
    <w:p>
      <w:pPr>
        <w:pStyle w:val="2"/>
        <w:numPr>
          <w:ilvl w:val="3"/>
          <w:numId w:val="0"/>
        </w:numPr>
        <w:ind w:leftChars="0"/>
        <w:rPr>
          <w:rFonts w:hint="eastAsia"/>
        </w:rPr>
      </w:pPr>
    </w:p>
    <w:p>
      <w:pPr>
        <w:rPr>
          <w:rFonts w:hint="eastAsia" w:ascii="宋体" w:hAnsi="宋体" w:eastAsia="宋体" w:cs="宋体"/>
          <w:bCs/>
          <w:color w:val="000000" w:themeColor="text1"/>
          <w:kern w:val="0"/>
          <w:sz w:val="24"/>
        </w:rPr>
      </w:pPr>
    </w:p>
    <w:p>
      <w:pPr>
        <w:pStyle w:val="2"/>
        <w:numPr>
          <w:ilvl w:val="3"/>
          <w:numId w:val="0"/>
        </w:numPr>
        <w:ind w:leftChars="0"/>
        <w:rPr>
          <w:rFonts w:hint="eastAsia"/>
        </w:rPr>
      </w:pPr>
    </w:p>
    <w:p>
      <w:pPr>
        <w:pStyle w:val="2"/>
        <w:numPr>
          <w:ilvl w:val="3"/>
          <w:numId w:val="0"/>
        </w:numPr>
        <w:ind w:leftChars="0"/>
      </w:pP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5"/>
              <w:widowControl/>
              <w:spacing w:line="360" w:lineRule="auto"/>
              <w:jc w:val="left"/>
              <w:rPr>
                <w:rFonts w:asciiTheme="minorEastAsia" w:hAnsiTheme="minorEastAsia" w:eastAsiaTheme="minorEastAsia"/>
              </w:rPr>
            </w:pPr>
            <w:r>
              <w:rPr>
                <w:rFonts w:hint="eastAsia" w:cs="仿宋_GB2312" w:asciiTheme="minorEastAsia" w:hAnsiTheme="minorEastAsia"/>
                <w:szCs w:val="21"/>
              </w:rPr>
              <w:t>项目名称：</w:t>
            </w:r>
            <w:r>
              <w:rPr>
                <w:rFonts w:hint="eastAsia" w:cs="仿宋_GB2312" w:asciiTheme="minorEastAsia" w:hAnsiTheme="minorEastAsia"/>
                <w:shd w:val="clear" w:color="auto" w:fill="FFFFFF"/>
              </w:rPr>
              <w:t>鄢陵县农村低温空气源热风机、电暖气等“清洁取暖提质”工程（不见面开标）</w:t>
            </w:r>
          </w:p>
          <w:p>
            <w:pPr>
              <w:autoSpaceDE w:val="0"/>
              <w:autoSpaceDN w:val="0"/>
              <w:adjustRightInd w:val="0"/>
              <w:spacing w:line="360" w:lineRule="auto"/>
              <w:jc w:val="left"/>
              <w:rPr>
                <w:rFonts w:hint="eastAsia" w:eastAsia="宋体" w:cs="仿宋_GB2312" w:asciiTheme="minorEastAsia" w:hAnsiTheme="minorEastAsia"/>
                <w:kern w:val="2"/>
                <w:sz w:val="24"/>
                <w:szCs w:val="24"/>
                <w:shd w:val="clear" w:color="auto" w:fill="FFFFFF"/>
                <w:lang w:val="en-US" w:eastAsia="zh-CN" w:bidi="ar-SA"/>
              </w:rPr>
            </w:pPr>
            <w:r>
              <w:rPr>
                <w:rFonts w:hint="eastAsia" w:eastAsia="宋体" w:cs="仿宋_GB2312" w:asciiTheme="minorEastAsia" w:hAnsiTheme="minorEastAsia"/>
                <w:kern w:val="2"/>
                <w:sz w:val="24"/>
                <w:szCs w:val="24"/>
                <w:shd w:val="clear" w:color="auto" w:fill="FFFFFF"/>
                <w:lang w:val="en-US" w:eastAsia="zh-CN" w:bidi="ar-SA"/>
              </w:rPr>
              <w:t>项目编号：Y2021HZ215</w:t>
            </w:r>
          </w:p>
          <w:p>
            <w:pPr>
              <w:spacing w:line="360" w:lineRule="auto"/>
              <w:rPr>
                <w:rFonts w:hint="eastAsia" w:ascii="宋体" w:hAnsi="宋体" w:eastAsia="宋体" w:cs="宋体"/>
                <w:shd w:val="clear" w:color="auto" w:fill="FFFFFF"/>
                <w:lang w:eastAsia="zh-CN"/>
              </w:rPr>
            </w:pPr>
            <w:r>
              <w:rPr>
                <w:rFonts w:hint="eastAsia" w:cs="仿宋_GB2312" w:asciiTheme="minorEastAsia" w:hAnsiTheme="minorEastAsia"/>
                <w:sz w:val="24"/>
                <w:szCs w:val="24"/>
                <w:shd w:val="clear" w:color="auto" w:fill="FFFFFF"/>
              </w:rPr>
              <w:t>项目内容</w:t>
            </w:r>
            <w:r>
              <w:rPr>
                <w:rFonts w:hint="eastAsia" w:eastAsia="宋体" w:cs="仿宋_GB2312" w:asciiTheme="minorEastAsia" w:hAnsiTheme="minorEastAsia"/>
                <w:sz w:val="24"/>
                <w:szCs w:val="24"/>
                <w:shd w:val="clear" w:color="auto" w:fill="FFFFFF"/>
              </w:rPr>
              <w:t>：</w:t>
            </w:r>
            <w:r>
              <w:rPr>
                <w:rFonts w:hint="eastAsia" w:ascii="宋体" w:hAnsi="宋体" w:eastAsia="宋体" w:cs="宋体"/>
                <w:sz w:val="24"/>
                <w:szCs w:val="24"/>
                <w:shd w:val="clear" w:color="auto" w:fill="FFFFFF"/>
              </w:rPr>
              <w:t>鄢陵县辖区相关乡镇（社区）等村庄实施热源清洁替代6000</w:t>
            </w:r>
            <w:r>
              <w:rPr>
                <w:rFonts w:hint="eastAsia" w:ascii="宋体" w:hAnsi="宋体" w:eastAsia="宋体" w:cs="宋体"/>
                <w:b w:val="0"/>
                <w:bCs w:val="0"/>
                <w:color w:val="000000" w:themeColor="text1"/>
                <w:sz w:val="24"/>
                <w:szCs w:val="24"/>
                <w:shd w:val="clear" w:color="auto" w:fill="FFFFFF"/>
              </w:rPr>
              <w:t>户</w:t>
            </w:r>
            <w:r>
              <w:rPr>
                <w:rFonts w:hint="eastAsia" w:ascii="宋体" w:hAnsi="宋体" w:eastAsia="宋体" w:cs="宋体"/>
                <w:b w:val="0"/>
                <w:bCs w:val="0"/>
                <w:color w:val="000000" w:themeColor="text1"/>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名称：鄢陵县发展和改革委员会</w:t>
            </w:r>
          </w:p>
          <w:p>
            <w:pPr>
              <w:autoSpaceDE w:val="0"/>
              <w:autoSpaceDN w:val="0"/>
              <w:adjustRightInd w:val="0"/>
              <w:spacing w:line="360" w:lineRule="auto"/>
              <w:jc w:val="left"/>
              <w:rPr>
                <w:rFonts w:ascii="宋体" w:hAnsi="宋体" w:eastAsia="宋体" w:cs="宋体"/>
                <w:szCs w:val="21"/>
              </w:rPr>
            </w:pPr>
            <w:r>
              <w:rPr>
                <w:rFonts w:hint="eastAsia" w:cs="仿宋_GB2312" w:asciiTheme="minorEastAsia" w:hAnsiTheme="minorEastAsia"/>
                <w:szCs w:val="21"/>
              </w:rPr>
              <w:t>地址：</w:t>
            </w:r>
            <w:r>
              <w:rPr>
                <w:rFonts w:hint="eastAsia" w:ascii="宋体" w:hAnsi="宋体" w:eastAsia="宋体" w:cs="宋体"/>
                <w:szCs w:val="21"/>
              </w:rPr>
              <w:t>鄢陵县人民路816号</w:t>
            </w:r>
          </w:p>
          <w:p>
            <w:pPr>
              <w:autoSpaceDE w:val="0"/>
              <w:autoSpaceDN w:val="0"/>
              <w:adjustRightInd w:val="0"/>
              <w:spacing w:line="360" w:lineRule="auto"/>
              <w:jc w:val="left"/>
              <w:rPr>
                <w:rFonts w:cs="仿宋_GB2312" w:asciiTheme="minorEastAsia" w:hAnsiTheme="minorEastAsia"/>
                <w:color w:val="252525" w:themeColor="text1" w:themeTint="D9"/>
                <w:szCs w:val="21"/>
              </w:rPr>
            </w:pPr>
            <w:r>
              <w:rPr>
                <w:rFonts w:hint="eastAsia" w:cs="仿宋_GB2312" w:asciiTheme="minorEastAsia" w:hAnsiTheme="minorEastAsia"/>
                <w:color w:val="252525" w:themeColor="text1" w:themeTint="D9"/>
                <w:szCs w:val="21"/>
              </w:rPr>
              <w:t xml:space="preserve">联系人：苏先生        </w:t>
            </w:r>
            <w:r>
              <w:rPr>
                <w:rFonts w:cs="仿宋_GB2312" w:asciiTheme="minorEastAsia" w:hAnsiTheme="minorEastAsia"/>
                <w:color w:val="252525" w:themeColor="text1" w:themeTint="D9"/>
                <w:szCs w:val="21"/>
              </w:rPr>
              <w:t>联系电话：</w:t>
            </w:r>
            <w:r>
              <w:rPr>
                <w:rFonts w:hint="eastAsia" w:cs="仿宋_GB2312" w:asciiTheme="minorEastAsia" w:hAnsiTheme="minorEastAsia"/>
                <w:color w:val="252525" w:themeColor="text1" w:themeTint="D9"/>
                <w:szCs w:val="21"/>
              </w:rPr>
              <w:t>0374-7757716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名称：河南昊之伟建设工程管理有限公司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地址：郑州市郑东新区博学路277号正商学府广场B座13层1303室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联系人：马女士      联系电话：15638797579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000000" w:themeColor="text1"/>
                <w:szCs w:val="21"/>
                <w:lang w:val="zh-CN"/>
              </w:rPr>
            </w:pPr>
            <w:r>
              <w:rPr>
                <w:rFonts w:hint="eastAsia" w:cs="宋体" w:asciiTheme="minorEastAsia" w:hAnsiTheme="minorEastAsia"/>
                <w:b/>
                <w:bCs/>
                <w:color w:val="000000" w:themeColor="text1"/>
                <w:szCs w:val="21"/>
                <w:lang w:val="zh-CN"/>
              </w:rPr>
              <w:t>一、</w:t>
            </w:r>
            <w:r>
              <w:rPr>
                <w:rFonts w:cs="宋体" w:asciiTheme="minorEastAsia" w:hAnsiTheme="minorEastAsia"/>
                <w:b/>
                <w:bCs/>
                <w:color w:val="000000" w:themeColor="text1"/>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二、财务状况报告相关材料</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1、投标人是法人（法人包括企业法人、机关法人、事业单位法人和社会团体法人），提供本单位：</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①2020年度经审计的财务报告，包括资产负债表、利润表、现金流量表及其附注；</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②基本开户银行出具的资信证明；</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rPr>
            </w:pPr>
            <w:r>
              <w:rPr>
                <w:rFonts w:hint="eastAsia" w:cs="仿宋_GB2312" w:asciiTheme="minorEastAsia" w:hAnsiTheme="minorEastAsia"/>
                <w:color w:val="000000" w:themeColor="text1"/>
                <w:szCs w:val="21"/>
                <w:lang w:val="zh-CN"/>
              </w:rPr>
              <w:t>注：仅需提供序号</w:t>
            </w:r>
            <w:r>
              <w:rPr>
                <w:rFonts w:hint="eastAsia" w:asciiTheme="minorEastAsia" w:hAnsiTheme="minorEastAsia"/>
                <w:color w:val="000000" w:themeColor="text1"/>
                <w:szCs w:val="21"/>
              </w:rPr>
              <w:t>①～③其中之一即可。</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2、投标人（其他组织和自然人）提供本单位：</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①2020年度经审计的财务报告，包括资产负债表、利润表、现金流量表及其附注；</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②银行出具的资信证明；</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lang w:val="zh-CN"/>
              </w:rPr>
              <w:t>注：仅需提供序号</w:t>
            </w:r>
            <w:r>
              <w:rPr>
                <w:rFonts w:hint="eastAsia" w:asciiTheme="minorEastAsia" w:hAnsiTheme="minorEastAsia"/>
                <w:color w:val="000000" w:themeColor="text1"/>
                <w:szCs w:val="21"/>
              </w:rPr>
              <w:t>①～③其中之一即可。</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仿宋_GB2312" w:asciiTheme="minorEastAsia" w:hAnsiTheme="minorEastAsia"/>
                <w:b/>
                <w:color w:val="000000" w:themeColor="text1"/>
                <w:szCs w:val="21"/>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000000" w:themeColor="text1"/>
                <w:szCs w:val="21"/>
                <w:lang w:val="zh-CN"/>
              </w:rPr>
            </w:pPr>
            <w:r>
              <w:rPr>
                <w:rFonts w:hint="eastAsia" w:cs="宋体" w:asciiTheme="minorEastAsia" w:hAnsiTheme="minorEastAsia"/>
                <w:b/>
                <w:bCs/>
                <w:color w:val="000000" w:themeColor="text1"/>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Cs w:val="21"/>
                <w:lang w:val="zh-CN"/>
              </w:rPr>
            </w:pPr>
            <w:r>
              <w:rPr>
                <w:rFonts w:hint="eastAsia" w:cs="宋体" w:asciiTheme="minorEastAsia" w:hAnsiTheme="minorEastAsia"/>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1、相关设备的购置发票、专业技术人员职称证书、用工合同等；</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2、投标人具备履行合同所必须的设备和专业技术能力承诺函或声明（承诺函或声明格式自拟）。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color w:val="000000" w:themeColor="text1"/>
                <w:szCs w:val="21"/>
              </w:rPr>
            </w:pPr>
            <w:r>
              <w:rPr>
                <w:rFonts w:hint="eastAsia" w:cs="仿宋_GB2312" w:asciiTheme="minorEastAsia" w:hAnsiTheme="minorEastAsia"/>
                <w:color w:val="000000" w:themeColor="text1"/>
                <w:szCs w:val="21"/>
                <w:lang w:val="zh-CN"/>
              </w:rPr>
              <w:t>注：仅需提供序号</w:t>
            </w:r>
            <w:r>
              <w:rPr>
                <w:rFonts w:hint="eastAsia" w:asciiTheme="minorEastAsia" w:hAnsiTheme="minorEastAsia"/>
                <w:color w:val="000000" w:themeColor="text1"/>
                <w:szCs w:val="21"/>
              </w:rPr>
              <w:t>1～2其中之一即可。</w:t>
            </w:r>
          </w:p>
          <w:p>
            <w:pPr>
              <w:autoSpaceDE w:val="0"/>
              <w:autoSpaceDN w:val="0"/>
              <w:adjustRightInd w:val="0"/>
              <w:spacing w:line="360" w:lineRule="auto"/>
              <w:ind w:right="-11"/>
              <w:rPr>
                <w:rFonts w:cs="宋体" w:asciiTheme="minorEastAsia" w:hAnsiTheme="minorEastAsia"/>
                <w:b/>
                <w:bCs/>
                <w:color w:val="000000" w:themeColor="text1"/>
                <w:szCs w:val="21"/>
                <w:lang w:val="zh-CN"/>
              </w:rPr>
            </w:pPr>
            <w:r>
              <w:rPr>
                <w:rFonts w:hint="eastAsia" w:cs="宋体" w:asciiTheme="minorEastAsia" w:hAnsiTheme="minorEastAsia"/>
                <w:b/>
                <w:color w:val="000000" w:themeColor="text1"/>
                <w:kern w:val="0"/>
                <w:szCs w:val="21"/>
              </w:rPr>
              <w:t>六、</w:t>
            </w:r>
            <w:r>
              <w:rPr>
                <w:rFonts w:cs="宋体" w:asciiTheme="minorEastAsia" w:hAnsiTheme="minorEastAsia"/>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投标人“</w:t>
            </w:r>
            <w:r>
              <w:rPr>
                <w:rFonts w:cs="宋体" w:asciiTheme="minorEastAsia" w:hAnsiTheme="minorEastAsia"/>
                <w:bCs/>
                <w:color w:val="000000" w:themeColor="text1"/>
                <w:szCs w:val="21"/>
                <w:lang w:val="zh-CN"/>
              </w:rPr>
              <w:t>参加政府采购活动前3年内在经营活动中没有重大违法记录的书面声明</w:t>
            </w:r>
            <w:r>
              <w:rPr>
                <w:rFonts w:hint="eastAsia" w:cs="宋体" w:asciiTheme="minorEastAsia" w:hAnsiTheme="minorEastAsia"/>
                <w:bCs/>
                <w:color w:val="000000" w:themeColor="text1"/>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000000" w:themeColor="text1"/>
                <w:kern w:val="0"/>
                <w:szCs w:val="21"/>
              </w:rPr>
            </w:pPr>
            <w:r>
              <w:rPr>
                <w:rFonts w:hint="eastAsia" w:cs="宋体" w:asciiTheme="minorEastAsia" w:hAnsiTheme="minorEastAsia"/>
                <w:b/>
                <w:bCs/>
                <w:color w:val="000000" w:themeColor="text1"/>
                <w:szCs w:val="21"/>
                <w:lang w:val="zh-CN"/>
              </w:rPr>
              <w:t>七、</w:t>
            </w:r>
            <w:r>
              <w:rPr>
                <w:rFonts w:cs="仿宋_GB2312" w:asciiTheme="minorEastAsia" w:hAnsiTheme="minorEastAsia"/>
                <w:b/>
                <w:color w:val="000000" w:themeColor="text1"/>
                <w:szCs w:val="21"/>
              </w:rPr>
              <w:t>未被列入“信用中国”网站(www.creditchina.gov.cn)失信被执行人、重大税收违法案件当事人名单的投标人；</w:t>
            </w:r>
            <w:r>
              <w:rPr>
                <w:rFonts w:hint="eastAsia" w:cs="仿宋_GB2312" w:asciiTheme="minorEastAsia" w:hAnsiTheme="minorEastAsia"/>
                <w:b/>
                <w:color w:val="000000" w:themeColor="text1"/>
                <w:szCs w:val="21"/>
              </w:rPr>
              <w:t>“</w:t>
            </w:r>
            <w:r>
              <w:rPr>
                <w:rFonts w:cs="仿宋_GB2312" w:asciiTheme="minorEastAsia" w:hAnsiTheme="minorEastAsia"/>
                <w:b/>
                <w:color w:val="000000" w:themeColor="text1"/>
                <w:szCs w:val="21"/>
              </w:rPr>
              <w:t>中国政府采购网</w:t>
            </w:r>
            <w:r>
              <w:rPr>
                <w:rFonts w:hint="eastAsia" w:cs="仿宋_GB2312" w:asciiTheme="minorEastAsia" w:hAnsiTheme="minorEastAsia"/>
                <w:b/>
                <w:color w:val="000000" w:themeColor="text1"/>
                <w:szCs w:val="21"/>
              </w:rPr>
              <w:t>”</w:t>
            </w:r>
            <w:r>
              <w:rPr>
                <w:rFonts w:cs="仿宋_GB2312" w:asciiTheme="minorEastAsia" w:hAnsiTheme="minorEastAsia"/>
                <w:b/>
                <w:color w:val="000000" w:themeColor="text1"/>
                <w:szCs w:val="21"/>
              </w:rPr>
              <w:t xml:space="preserve"> (www.ccgp.gov.cn)政府采购严重违法失信行为记录名单的投标人</w:t>
            </w:r>
            <w:r>
              <w:rPr>
                <w:rFonts w:hint="eastAsia" w:cs="宋体" w:asciiTheme="minorEastAsia" w:hAnsiTheme="minorEastAsia"/>
                <w:b/>
                <w:bCs/>
                <w:color w:val="000000" w:themeColor="text1"/>
                <w:szCs w:val="21"/>
                <w:lang w:val="zh-CN"/>
              </w:rPr>
              <w:t>；</w:t>
            </w:r>
            <w:r>
              <w:rPr>
                <w:rFonts w:hint="eastAsia" w:cs="仿宋_GB2312" w:asciiTheme="minorEastAsia" w:hAnsiTheme="minorEastAsia"/>
                <w:b/>
                <w:color w:val="000000" w:themeColor="text1"/>
                <w:szCs w:val="21"/>
              </w:rPr>
              <w:t xml:space="preserve"> “中国社会组织公共服务平台”网站（</w:t>
            </w:r>
            <w:r>
              <w:rPr>
                <w:rFonts w:cs="仿宋_GB2312" w:asciiTheme="minorEastAsia" w:hAnsiTheme="minorEastAsia"/>
                <w:b/>
                <w:color w:val="000000" w:themeColor="text1"/>
                <w:szCs w:val="21"/>
              </w:rPr>
              <w:t>www.chinanpo.gov.cn</w:t>
            </w:r>
            <w:r>
              <w:rPr>
                <w:rFonts w:hint="eastAsia" w:cs="仿宋_GB2312" w:asciiTheme="minorEastAsia" w:hAnsiTheme="minorEastAsia"/>
                <w:b/>
                <w:color w:val="000000" w:themeColor="text1"/>
                <w:szCs w:val="21"/>
              </w:rPr>
              <w:t>）严重违法失信社会组织（</w:t>
            </w:r>
            <w:r>
              <w:rPr>
                <w:rFonts w:hint="eastAsia" w:cs="宋体" w:asciiTheme="minorEastAsia" w:hAnsiTheme="minorEastAsia"/>
                <w:color w:val="000000" w:themeColor="text1"/>
                <w:kern w:val="0"/>
                <w:szCs w:val="21"/>
              </w:rPr>
              <w:t>联合体形式投标的，联合体成员存在不良信用记录，视同联合体存在不良信用记录）。</w:t>
            </w:r>
          </w:p>
          <w:p>
            <w:pPr>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1、查询渠道：</w:t>
            </w:r>
          </w:p>
          <w:p>
            <w:pPr>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①“信用中国”网站（</w:t>
            </w:r>
            <w:r>
              <w:rPr>
                <w:color w:val="000000" w:themeColor="text1"/>
              </w:rPr>
              <w:fldChar w:fldCharType="begin"/>
            </w:r>
            <w:r>
              <w:rPr>
                <w:color w:val="000000" w:themeColor="text1"/>
              </w:rPr>
              <w:instrText xml:space="preserve"> HYPERLINK "http://www.creditchina.gov.cn" </w:instrText>
            </w:r>
            <w:r>
              <w:rPr>
                <w:color w:val="000000" w:themeColor="text1"/>
              </w:rPr>
              <w:fldChar w:fldCharType="separate"/>
            </w:r>
            <w:r>
              <w:rPr>
                <w:rFonts w:hint="eastAsia" w:cs="宋体" w:asciiTheme="minorEastAsia" w:hAnsiTheme="minorEastAsia"/>
                <w:color w:val="000000" w:themeColor="text1"/>
                <w:kern w:val="0"/>
                <w:szCs w:val="21"/>
              </w:rPr>
              <w:t>www.creditchina.gov.cn</w:t>
            </w:r>
            <w:r>
              <w:rPr>
                <w:rFonts w:hint="eastAsia" w:cs="宋体" w:asciiTheme="minorEastAsia" w:hAnsiTheme="minorEastAsia"/>
                <w:color w:val="000000" w:themeColor="text1"/>
                <w:kern w:val="0"/>
                <w:szCs w:val="21"/>
              </w:rPr>
              <w:fldChar w:fldCharType="end"/>
            </w:r>
            <w:r>
              <w:rPr>
                <w:rFonts w:hint="eastAsia" w:cs="宋体" w:asciiTheme="minorEastAsia" w:hAnsiTheme="minorEastAsia"/>
                <w:color w:val="000000" w:themeColor="text1"/>
                <w:kern w:val="0"/>
                <w:szCs w:val="21"/>
              </w:rPr>
              <w:t>）</w:t>
            </w:r>
          </w:p>
          <w:p>
            <w:pPr>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②“中国政府采购网”（www.ccgp.gov.cn）</w:t>
            </w:r>
          </w:p>
          <w:p>
            <w:pPr>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③“中国社会组织公共服务平台”网站（</w:t>
            </w:r>
            <w:r>
              <w:rPr>
                <w:rFonts w:cs="宋体" w:asciiTheme="minorEastAsia" w:hAnsiTheme="minorEastAsia"/>
                <w:color w:val="000000" w:themeColor="text1"/>
                <w:kern w:val="0"/>
                <w:szCs w:val="21"/>
              </w:rPr>
              <w:t>www.chinanpo.gov.cn</w:t>
            </w:r>
            <w:r>
              <w:rPr>
                <w:rFonts w:hint="eastAsia" w:cs="宋体" w:asciiTheme="minorEastAsia" w:hAnsiTheme="minorEastAsia"/>
                <w:color w:val="000000" w:themeColor="text1"/>
                <w:kern w:val="0"/>
                <w:szCs w:val="21"/>
              </w:rPr>
              <w:t>）（仅查询社会组织）；</w:t>
            </w:r>
          </w:p>
          <w:p>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2、截止时间：同投标截止时间；</w:t>
            </w:r>
          </w:p>
          <w:p>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4、信用信息的使用原则：经采购人认定的被列入失信被执行人、重大税收违法案件当事人名单、</w:t>
            </w:r>
            <w:r>
              <w:rPr>
                <w:rFonts w:cs="仿宋_GB2312" w:asciiTheme="minorEastAsia" w:hAnsiTheme="minorEastAsia"/>
                <w:color w:val="000000" w:themeColor="text1"/>
                <w:szCs w:val="21"/>
              </w:rPr>
              <w:t>政府采购严重违法失信行为记录名单</w:t>
            </w:r>
            <w:r>
              <w:rPr>
                <w:rFonts w:hint="eastAsia" w:cs="仿宋_GB2312" w:asciiTheme="minorEastAsia" w:hAnsiTheme="minorEastAsia"/>
                <w:color w:val="000000" w:themeColor="text1"/>
                <w:szCs w:val="21"/>
              </w:rPr>
              <w:t>的投标人、</w:t>
            </w:r>
            <w:r>
              <w:rPr>
                <w:rFonts w:hint="eastAsia" w:cs="宋体" w:asciiTheme="minorEastAsia" w:hAnsiTheme="minorEastAsia"/>
                <w:color w:val="000000" w:themeColor="text1"/>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5、投标人无须提供</w:t>
            </w:r>
            <w:r>
              <w:rPr>
                <w:rFonts w:hint="eastAsia" w:cs="微软雅黑" w:asciiTheme="minorEastAsia" w:hAnsiTheme="minorEastAsia"/>
                <w:bCs/>
                <w:color w:val="000000" w:themeColor="text1"/>
                <w:szCs w:val="21"/>
              </w:rPr>
              <w:t>信用记录查询结果网页截屏。</w:t>
            </w:r>
            <w:r>
              <w:rPr>
                <w:rFonts w:hint="eastAsia" w:cs="宋体" w:asciiTheme="minorEastAsia" w:hAnsiTheme="minorEastAsia"/>
                <w:color w:val="000000" w:themeColor="text1"/>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lang w:val="zh-CN"/>
              </w:rPr>
              <w:t>最高限价</w:t>
            </w:r>
          </w:p>
        </w:tc>
        <w:tc>
          <w:tcPr>
            <w:tcW w:w="6813" w:type="dxa"/>
            <w:vAlign w:val="center"/>
          </w:tcPr>
          <w:p>
            <w:pPr>
              <w:autoSpaceDE w:val="0"/>
              <w:autoSpaceDN w:val="0"/>
              <w:adjustRightInd w:val="0"/>
              <w:spacing w:line="276" w:lineRule="auto"/>
              <w:jc w:val="center"/>
              <w:rPr>
                <w:rFonts w:cs="微软雅黑" w:asciiTheme="minorEastAsia" w:hAnsiTheme="minorEastAsia"/>
                <w:b/>
                <w:color w:val="000000" w:themeColor="text1"/>
                <w:sz w:val="24"/>
              </w:rPr>
            </w:pPr>
          </w:p>
          <w:p>
            <w:pPr>
              <w:autoSpaceDE w:val="0"/>
              <w:autoSpaceDN w:val="0"/>
              <w:adjustRightInd w:val="0"/>
              <w:spacing w:line="276" w:lineRule="auto"/>
              <w:jc w:val="center"/>
              <w:rPr>
                <w:rFonts w:cs="宋体" w:asciiTheme="minorEastAsia" w:hAnsiTheme="minorEastAsia"/>
                <w:b/>
                <w:bCs/>
                <w:color w:val="000000" w:themeColor="text1"/>
                <w:szCs w:val="21"/>
                <w:lang w:val="zh-CN"/>
              </w:rPr>
            </w:pPr>
            <w:r>
              <w:rPr>
                <w:rFonts w:hint="eastAsia" w:cs="宋体" w:asciiTheme="minorEastAsia" w:hAnsiTheme="minorEastAsia"/>
                <w:b/>
                <w:bCs/>
                <w:color w:val="000000" w:themeColor="text1"/>
                <w:szCs w:val="21"/>
                <w:lang w:val="zh-CN"/>
              </w:rPr>
              <w:t>25800000.00元，超出最高限价的投标无效。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不组织</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不召开</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000000" w:themeColor="text1"/>
                <w:szCs w:val="21"/>
              </w:rPr>
            </w:pPr>
            <w:r>
              <w:rPr>
                <w:rFonts w:hint="eastAsia" w:asciiTheme="minorEastAsia" w:hAnsiTheme="minorEastAsia"/>
                <w:color w:val="000000" w:themeColor="text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90天（自</w:t>
            </w:r>
            <w:r>
              <w:rPr>
                <w:rFonts w:hint="eastAsia" w:cs="宋体" w:asciiTheme="minorEastAsia" w:hAnsiTheme="minorEastAsia"/>
                <w:color w:val="000000" w:themeColor="text1"/>
                <w:kern w:val="0"/>
                <w:szCs w:val="21"/>
              </w:rPr>
              <w:t>提交投标文件的截止之日起算</w:t>
            </w:r>
            <w:r>
              <w:rPr>
                <w:rFonts w:hint="eastAsia" w:cs="仿宋_GB2312" w:asciiTheme="minorEastAsia" w:hAnsiTheme="minorEastAsia"/>
                <w:color w:val="000000" w:themeColor="text1"/>
                <w:szCs w:val="21"/>
              </w:rPr>
              <w:t>）</w:t>
            </w:r>
          </w:p>
          <w:p>
            <w:pPr>
              <w:autoSpaceDE w:val="0"/>
              <w:autoSpaceDN w:val="0"/>
              <w:adjustRightInd w:val="0"/>
              <w:spacing w:line="360" w:lineRule="auto"/>
              <w:rPr>
                <w:rFonts w:cs="仿宋_GB2312" w:asciiTheme="minorEastAsia" w:hAnsiTheme="minorEastAsia"/>
                <w:color w:val="000000" w:themeColor="text1"/>
                <w:szCs w:val="21"/>
              </w:rPr>
            </w:pPr>
            <w:r>
              <w:rPr>
                <w:rFonts w:cs="仿宋_GB2312" w:asciiTheme="minorEastAsia" w:hAnsiTheme="minorEastAsia"/>
                <w:color w:val="000000" w:themeColor="text1"/>
                <w:szCs w:val="21"/>
                <w:lang w:val="zh-CN"/>
              </w:rPr>
              <w:t>中标</w:t>
            </w:r>
            <w:r>
              <w:rPr>
                <w:rFonts w:hint="eastAsia" w:cs="仿宋_GB2312" w:asciiTheme="minorEastAsia" w:hAnsiTheme="minorEastAsia"/>
                <w:color w:val="000000" w:themeColor="text1"/>
                <w:szCs w:val="21"/>
                <w:lang w:val="zh-CN"/>
              </w:rPr>
              <w:t>人投标</w:t>
            </w:r>
            <w:r>
              <w:rPr>
                <w:rFonts w:cs="仿宋_GB2312" w:asciiTheme="minorEastAsia" w:hAnsiTheme="minorEastAsia"/>
                <w:color w:val="000000" w:themeColor="text1"/>
                <w:szCs w:val="21"/>
                <w:lang w:val="zh-CN"/>
              </w:rPr>
              <w:t>有效期延</w:t>
            </w:r>
            <w:r>
              <w:rPr>
                <w:rFonts w:hint="eastAsia" w:cs="仿宋_GB2312" w:asciiTheme="minorEastAsia" w:hAnsiTheme="minorEastAsia"/>
                <w:color w:val="000000" w:themeColor="text1"/>
                <w:szCs w:val="21"/>
                <w:lang w:val="zh-CN"/>
              </w:rPr>
              <w:t>至合同</w:t>
            </w:r>
            <w:r>
              <w:rPr>
                <w:rFonts w:cs="仿宋_GB2312" w:asciiTheme="minorEastAsia" w:hAnsiTheme="minorEastAsia"/>
                <w:color w:val="000000" w:themeColor="text1"/>
                <w:szCs w:val="21"/>
                <w:lang w:val="zh-CN"/>
              </w:rPr>
              <w:t>验收之日</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2021年</w:t>
            </w:r>
            <w:r>
              <w:rPr>
                <w:rFonts w:hint="eastAsia" w:cs="宋体" w:asciiTheme="minorEastAsia" w:hAnsiTheme="minorEastAsia"/>
                <w:bCs/>
                <w:color w:val="000000" w:themeColor="text1"/>
                <w:szCs w:val="21"/>
                <w:lang w:val="en-US" w:eastAsia="zh-CN"/>
              </w:rPr>
              <w:t>12</w:t>
            </w:r>
            <w:r>
              <w:rPr>
                <w:rFonts w:hint="eastAsia" w:cs="宋体" w:asciiTheme="minorEastAsia" w:hAnsiTheme="minorEastAsia"/>
                <w:bCs/>
                <w:color w:val="000000" w:themeColor="text1"/>
                <w:szCs w:val="21"/>
                <w:lang w:val="zh-CN"/>
              </w:rPr>
              <w:t>月</w:t>
            </w:r>
            <w:r>
              <w:rPr>
                <w:rFonts w:hint="eastAsia" w:cs="宋体" w:asciiTheme="minorEastAsia" w:hAnsiTheme="minorEastAsia"/>
                <w:bCs/>
                <w:color w:val="000000" w:themeColor="text1"/>
                <w:szCs w:val="21"/>
                <w:lang w:val="en-US" w:eastAsia="zh-CN"/>
              </w:rPr>
              <w:t>09</w:t>
            </w:r>
            <w:r>
              <w:rPr>
                <w:rFonts w:hint="eastAsia" w:cs="宋体" w:asciiTheme="minorEastAsia" w:hAnsiTheme="minorEastAsia"/>
                <w:bCs/>
                <w:color w:val="000000" w:themeColor="text1"/>
                <w:szCs w:val="21"/>
                <w:lang w:val="zh-CN"/>
              </w:rPr>
              <w:t>日</w:t>
            </w:r>
            <w:r>
              <w:rPr>
                <w:rFonts w:hint="eastAsia" w:cs="宋体" w:asciiTheme="minorEastAsia" w:hAnsiTheme="minorEastAsia"/>
                <w:bCs/>
                <w:color w:val="000000" w:themeColor="text1"/>
                <w:szCs w:val="21"/>
                <w:lang w:val="en-US" w:eastAsia="zh-CN"/>
              </w:rPr>
              <w:t>8</w:t>
            </w:r>
            <w:r>
              <w:rPr>
                <w:rFonts w:hint="eastAsia" w:cs="宋体" w:asciiTheme="minorEastAsia" w:hAnsiTheme="minorEastAsia"/>
                <w:bCs/>
                <w:color w:val="000000" w:themeColor="text1"/>
                <w:szCs w:val="21"/>
                <w:lang w:val="zh-CN"/>
              </w:rPr>
              <w:t>时</w:t>
            </w:r>
            <w:r>
              <w:rPr>
                <w:rFonts w:hint="eastAsia" w:cs="宋体" w:asciiTheme="minorEastAsia" w:hAnsiTheme="minorEastAsia"/>
                <w:bCs/>
                <w:color w:val="000000" w:themeColor="text1"/>
                <w:szCs w:val="21"/>
                <w:lang w:val="en-US" w:eastAsia="zh-CN"/>
              </w:rPr>
              <w:t>30</w:t>
            </w:r>
            <w:r>
              <w:rPr>
                <w:rFonts w:hint="eastAsia" w:cs="宋体" w:asciiTheme="minorEastAsia" w:hAnsiTheme="minorEastAsia"/>
                <w:bCs/>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rPr>
              <w:t>开标地点：鄢陵县公共资源交易中心</w:t>
            </w:r>
            <w:r>
              <w:rPr>
                <w:rFonts w:hint="eastAsia" w:cs="仿宋_GB2312" w:asciiTheme="minorEastAsia" w:hAnsiTheme="minorEastAsia"/>
                <w:color w:val="000000" w:themeColor="text1"/>
                <w:szCs w:val="21"/>
                <w:lang w:val="en-US" w:eastAsia="zh-CN"/>
              </w:rPr>
              <w:t>开标二室</w:t>
            </w:r>
            <w:r>
              <w:rPr>
                <w:rFonts w:hint="eastAsia" w:cs="仿宋_GB2312" w:asciiTheme="minorEastAsia" w:hAnsiTheme="minorEastAsia"/>
                <w:color w:val="000000" w:themeColor="text1"/>
                <w:szCs w:val="21"/>
              </w:rPr>
              <w:t>（</w:t>
            </w:r>
            <w:r>
              <w:rPr>
                <w:rFonts w:hint="eastAsia" w:cs="Arial" w:asciiTheme="minorEastAsia" w:hAnsiTheme="minorEastAsia"/>
                <w:b/>
                <w:color w:val="000000" w:themeColor="text1"/>
                <w:szCs w:val="21"/>
              </w:rPr>
              <w:t>本项目采用远程不见面开标，投标人无须到交易中心现场</w:t>
            </w:r>
            <w:r>
              <w:rPr>
                <w:rFonts w:hint="eastAsia" w:cs="Arial" w:asciiTheme="minorEastAsia" w:hAnsiTheme="minorEastAsia"/>
                <w:color w:val="000000" w:themeColor="text1"/>
                <w:szCs w:val="21"/>
              </w:rPr>
              <w:t>）</w:t>
            </w:r>
            <w:r>
              <w:rPr>
                <w:rFonts w:hint="eastAsia" w:cs="仿宋_GB2312" w:asciiTheme="minorEastAsia" w:hAnsi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highlight w:val="yellow"/>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Theme="minorEastAsia" w:hAnsiTheme="minorEastAsia"/>
                <w:b/>
                <w:szCs w:val="21"/>
              </w:rPr>
              <w:fldChar w:fldCharType="begin"/>
            </w:r>
            <w:r>
              <w:rPr>
                <w:rFonts w:hint="eastAsia" w:asciiTheme="minorEastAsia" w:hAnsiTheme="minorEastAsia"/>
                <w:b/>
                <w:szCs w:val="21"/>
              </w:rPr>
              <w:instrText xml:space="preserve">eq \o\ac(□,√)</w:instrText>
            </w:r>
            <w:r>
              <w:rPr>
                <w:rFonts w:asciiTheme="minorEastAsia" w:hAnsiTheme="minorEastAsia"/>
                <w:b/>
                <w:szCs w:val="21"/>
              </w:rPr>
              <w:fldChar w:fldCharType="end"/>
            </w:r>
            <w:r>
              <w:rPr>
                <w:rFonts w:hint="eastAsia" w:asciiTheme="minorEastAsia" w:hAnsiTheme="minorEastAsia"/>
                <w:szCs w:val="21"/>
              </w:rPr>
              <w:t>电子投标文件：成功上传至《全国公共资源交易平台（河南省·许昌市）》公共资源交易系统加密电子投标文件1份</w:t>
            </w:r>
            <w:r>
              <w:rPr>
                <w:rFonts w:hint="eastAsia" w:cs="宋体" w:asciiTheme="minorEastAsia" w:hAnsiTheme="minorEastAsia"/>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color w:val="000000" w:themeColor="text1"/>
                <w:szCs w:val="21"/>
                <w:highlight w:val="lightGray"/>
              </w:rPr>
            </w:pPr>
            <w:r>
              <w:rPr>
                <w:rFonts w:asciiTheme="minorEastAsia" w:hAnsiTheme="minorEastAsia"/>
                <w:b/>
                <w:color w:val="000000" w:themeColor="text1"/>
                <w:szCs w:val="21"/>
              </w:rPr>
              <w:fldChar w:fldCharType="begin"/>
            </w:r>
            <w:r>
              <w:rPr>
                <w:rFonts w:hint="eastAsia" w:asciiTheme="minorEastAsia" w:hAnsiTheme="minorEastAsia"/>
                <w:b/>
                <w:color w:val="000000" w:themeColor="text1"/>
                <w:szCs w:val="21"/>
              </w:rPr>
              <w:instrText xml:space="preserve">eq \o\ac(□,√)</w:instrText>
            </w:r>
            <w:r>
              <w:rPr>
                <w:rFonts w:asciiTheme="minorEastAsia" w:hAnsiTheme="minorEastAsia"/>
                <w:b/>
                <w:color w:val="000000" w:themeColor="text1"/>
                <w:szCs w:val="21"/>
              </w:rPr>
              <w:fldChar w:fldCharType="end"/>
            </w:r>
            <w:r>
              <w:rPr>
                <w:rFonts w:hint="eastAsia" w:asciiTheme="minorEastAsia" w:hAnsiTheme="minorEastAsia"/>
                <w:color w:val="000000" w:themeColor="text1"/>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asciiTheme="minorEastAsia" w:hAnsiTheme="minorEastAsia"/>
                <w:b/>
                <w:color w:val="000000" w:themeColor="text1"/>
                <w:szCs w:val="21"/>
              </w:rPr>
              <w:fldChar w:fldCharType="begin"/>
            </w:r>
            <w:r>
              <w:rPr>
                <w:rFonts w:hint="eastAsia" w:asciiTheme="minorEastAsia" w:hAnsiTheme="minorEastAsia"/>
                <w:b/>
                <w:color w:val="000000" w:themeColor="text1"/>
                <w:szCs w:val="21"/>
              </w:rPr>
              <w:instrText xml:space="preserve">eq \o\ac(□,√)</w:instrText>
            </w:r>
            <w:r>
              <w:rPr>
                <w:rFonts w:asciiTheme="minorEastAsia" w:hAnsiTheme="minorEastAsia"/>
                <w:b/>
                <w:color w:val="000000" w:themeColor="text1"/>
                <w:szCs w:val="21"/>
              </w:rPr>
              <w:fldChar w:fldCharType="end"/>
            </w:r>
            <w:r>
              <w:rPr>
                <w:color w:val="000000" w:themeColor="text1"/>
              </w:rPr>
              <w:t>由招标人代表</w:t>
            </w:r>
            <w:r>
              <w:rPr>
                <w:rFonts w:hint="eastAsia"/>
                <w:color w:val="000000" w:themeColor="text1"/>
                <w:lang w:val="en-US" w:eastAsia="zh-CN"/>
              </w:rPr>
              <w:t>1</w:t>
            </w:r>
            <w:r>
              <w:rPr>
                <w:color w:val="000000" w:themeColor="text1"/>
              </w:rPr>
              <w:t>人和评审专家</w:t>
            </w:r>
            <w:r>
              <w:rPr>
                <w:rFonts w:hint="eastAsia"/>
                <w:color w:val="000000" w:themeColor="text1"/>
                <w:lang w:val="en-US" w:eastAsia="zh-CN"/>
              </w:rPr>
              <w:t>6</w:t>
            </w:r>
            <w:r>
              <w:rPr>
                <w:color w:val="000000" w:themeColor="text1"/>
              </w:rPr>
              <w:t>人组成</w:t>
            </w:r>
            <w:r>
              <w:rPr>
                <w:rFonts w:hint="eastAsia"/>
                <w:color w:val="000000" w:themeColor="text1"/>
              </w:rPr>
              <w:t>。</w:t>
            </w:r>
            <w:r>
              <w:rPr>
                <w:color w:val="000000" w:themeColor="text1"/>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综合评分法</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szCs w:val="21"/>
              </w:rPr>
            </w:pPr>
            <w:r>
              <w:rPr>
                <w:rFonts w:hint="eastAsia" w:cs="宋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color w:val="FF0000"/>
                <w:szCs w:val="21"/>
              </w:rPr>
            </w:pPr>
            <w:r>
              <w:rPr>
                <w:rFonts w:hint="eastAsia" w:cs="宋体" w:asciiTheme="minorEastAsia" w:hAnsiTheme="minorEastAsia"/>
                <w:color w:val="000000" w:themeColor="text1"/>
                <w:szCs w:val="21"/>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cs="宋体" w:asciiTheme="minorEastAsia" w:hAnsiTheme="minorEastAsia"/>
                <w:bCs/>
                <w:color w:val="000000" w:themeColor="text1"/>
                <w:szCs w:val="21"/>
                <w:lang w:val="zh-CN"/>
              </w:rPr>
              <w:t>否则不得享受相关中小企业扶持政策。</w:t>
            </w:r>
          </w:p>
          <w:p>
            <w:pPr>
              <w:autoSpaceDE w:val="0"/>
              <w:autoSpaceDN w:val="0"/>
              <w:adjustRightInd w:val="0"/>
              <w:spacing w:line="360" w:lineRule="auto"/>
              <w:contextualSpacing/>
              <w:rPr>
                <w:rFonts w:cs="宋体" w:asciiTheme="minorEastAsia" w:hAnsiTheme="minorEastAsia"/>
                <w:bCs/>
                <w:color w:val="000000" w:themeColor="text1"/>
                <w:szCs w:val="21"/>
                <w:u w:val="single"/>
                <w:lang w:val="zh-CN"/>
              </w:rPr>
            </w:pPr>
            <w:r>
              <w:rPr>
                <w:rFonts w:hint="eastAsia"/>
                <w:color w:val="000000" w:themeColor="text1"/>
              </w:rPr>
              <w:t>2、</w:t>
            </w:r>
            <w:r>
              <w:rPr>
                <w:color w:val="000000" w:themeColor="text1"/>
              </w:rPr>
              <w:t>本次采购标的对应的中小企业划分标准所属行业：</w:t>
            </w:r>
          </w:p>
          <w:p>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3、根据财政部、工业和信息化部发布的《政府采购促进中小企业发展管理办法》（财库〔2020〕46号）规定，对小型和微型企业投标价格给予</w:t>
            </w:r>
            <w:r>
              <w:rPr>
                <w:rFonts w:hint="eastAsia" w:cs="宋体" w:asciiTheme="minorEastAsia" w:hAnsiTheme="minorEastAsia"/>
                <w:bCs/>
                <w:color w:val="000000" w:themeColor="text1"/>
                <w:szCs w:val="21"/>
                <w:lang w:val="en-US" w:eastAsia="zh-CN"/>
              </w:rPr>
              <w:t>10</w:t>
            </w:r>
            <w:r>
              <w:rPr>
                <w:rFonts w:hint="eastAsia" w:cs="宋体" w:asciiTheme="minorEastAsia" w:hAnsiTheme="minorEastAsia"/>
                <w:bCs/>
                <w:color w:val="000000" w:themeColor="text1"/>
                <w:szCs w:val="21"/>
                <w:lang w:val="zh-CN"/>
              </w:rPr>
              <w:t xml:space="preserve"> %（6%-10%）的扣除，用扣除后的价格参与评审。</w:t>
            </w:r>
          </w:p>
          <w:p>
            <w:pPr>
              <w:spacing w:line="360" w:lineRule="auto"/>
              <w:contextualSpacing/>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4、</w:t>
            </w:r>
            <w:r>
              <w:rPr>
                <w:rFonts w:cs="宋体" w:asciiTheme="minorEastAsia" w:hAnsiTheme="minorEastAsia"/>
                <w:bCs/>
                <w:color w:val="000000" w:themeColor="text1"/>
                <w:szCs w:val="21"/>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5、</w:t>
            </w:r>
            <w:r>
              <w:rPr>
                <w:rFonts w:cs="宋体" w:asciiTheme="minorEastAsia" w:hAnsiTheme="minorEastAsia"/>
                <w:bCs/>
                <w:color w:val="000000" w:themeColor="text1"/>
                <w:szCs w:val="21"/>
                <w:lang w:val="zh-CN"/>
              </w:rPr>
              <w:t>接受大中型企业与小微企业组成联合体或者允许大中型企业向一家或者多家小微企业分的采购项目，对于联合协议或者分意向协议约定小微企业的合同份额占到合同总金额 30%以上的，采购人、采购代理机构应当对联合体或者大中型企业的报价给予2%（</w:t>
            </w:r>
            <w:r>
              <w:rPr>
                <w:rFonts w:hint="eastAsia" w:cs="宋体" w:asciiTheme="minorEastAsia" w:hAnsiTheme="minorEastAsia"/>
                <w:bCs/>
                <w:color w:val="000000" w:themeColor="text1"/>
                <w:szCs w:val="21"/>
                <w:lang w:val="zh-CN"/>
              </w:rPr>
              <w:t>2</w:t>
            </w:r>
            <w:r>
              <w:rPr>
                <w:rFonts w:cs="宋体" w:asciiTheme="minorEastAsia" w:hAnsiTheme="minorEastAsia"/>
                <w:bCs/>
                <w:color w:val="000000" w:themeColor="text1"/>
                <w:szCs w:val="21"/>
                <w:lang w:val="zh-CN"/>
              </w:rPr>
              <w:t>—</w:t>
            </w:r>
            <w:r>
              <w:rPr>
                <w:rFonts w:hint="eastAsia" w:cs="宋体" w:asciiTheme="minorEastAsia" w:hAnsiTheme="minorEastAsia"/>
                <w:bCs/>
                <w:color w:val="000000" w:themeColor="text1"/>
                <w:szCs w:val="21"/>
                <w:lang w:val="zh-CN"/>
              </w:rPr>
              <w:t>3</w:t>
            </w:r>
            <w:r>
              <w:rPr>
                <w:rFonts w:cs="宋体" w:asciiTheme="minorEastAsia" w:hAnsiTheme="minorEastAsia"/>
                <w:bCs/>
                <w:color w:val="000000" w:themeColor="text1"/>
                <w:szCs w:val="21"/>
                <w:lang w:val="zh-CN"/>
              </w:rPr>
              <w:t>%）的扣除，用扣除后的价格参加评审。组成联合体或者接受分的小微企业与联合体内其他企业、分企业之间存在直接控股、管理关系的，不享受价格扣除优惠政策。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新宋体" w:hAnsi="新宋体" w:eastAsia="新宋体"/>
                <w:b/>
                <w:color w:val="000000" w:themeColor="text1"/>
                <w:szCs w:val="21"/>
              </w:rPr>
            </w:pPr>
            <w:r>
              <w:rPr>
                <w:rFonts w:hint="eastAsia" w:cs="宋体" w:asciiTheme="minorEastAsia" w:hAnsiTheme="minorEastAsia"/>
                <w:bCs/>
                <w:color w:val="000000" w:themeColor="text1"/>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23</w:t>
            </w:r>
          </w:p>
        </w:tc>
        <w:tc>
          <w:tcPr>
            <w:tcW w:w="2268" w:type="dxa"/>
            <w:vAlign w:val="center"/>
          </w:tcPr>
          <w:p>
            <w:pPr>
              <w:autoSpaceDE w:val="0"/>
              <w:autoSpaceDN w:val="0"/>
              <w:adjustRightInd w:val="0"/>
              <w:spacing w:line="360"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节能环保要求</w:t>
            </w:r>
          </w:p>
        </w:tc>
        <w:tc>
          <w:tcPr>
            <w:tcW w:w="6813" w:type="dxa"/>
            <w:vAlign w:val="center"/>
          </w:tcPr>
          <w:p>
            <w:pPr>
              <w:autoSpaceDE w:val="0"/>
              <w:autoSpaceDN w:val="0"/>
              <w:adjustRightInd w:val="0"/>
              <w:spacing w:line="360" w:lineRule="auto"/>
              <w:contextualSpacing/>
              <w:rPr>
                <w:rFonts w:ascii="ˎ̥" w:hAnsi="ˎ̥"/>
                <w:color w:val="FF0000"/>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szCs w:val="21"/>
                <w:lang w:val="zh-CN"/>
              </w:rPr>
            </w:pPr>
            <w:r>
              <w:rPr>
                <w:rFonts w:hint="eastAsia" w:cs="宋体" w:asciiTheme="minorEastAsia" w:hAnsiTheme="minorEastAsia"/>
                <w:szCs w:val="21"/>
                <w:lang w:val="zh-CN"/>
              </w:rPr>
              <w:t>24</w:t>
            </w:r>
          </w:p>
        </w:tc>
        <w:tc>
          <w:tcPr>
            <w:tcW w:w="226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szCs w:val="21"/>
                <w:lang w:val="zh-CN"/>
              </w:rPr>
            </w:pPr>
            <w:r>
              <w:rPr>
                <w:rFonts w:hint="eastAsia" w:cs="宋体" w:asciiTheme="minorEastAsia" w:hAnsiTheme="minorEastAsia"/>
                <w:szCs w:val="21"/>
                <w:lang w:val="zh-CN"/>
              </w:rPr>
              <w:t>25</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履约保证金</w:t>
            </w:r>
          </w:p>
        </w:tc>
        <w:tc>
          <w:tcPr>
            <w:tcW w:w="6813" w:type="dxa"/>
            <w:vAlign w:val="center"/>
          </w:tcPr>
          <w:p>
            <w:pPr>
              <w:autoSpaceDE w:val="0"/>
              <w:autoSpaceDN w:val="0"/>
              <w:adjustRightInd w:val="0"/>
              <w:spacing w:line="360" w:lineRule="auto"/>
            </w:pPr>
            <w:r>
              <w:t xml:space="preserve">缴纳形式：基本户转账或履约保函的形式。 </w:t>
            </w:r>
          </w:p>
          <w:p>
            <w:pPr>
              <w:autoSpaceDE w:val="0"/>
              <w:autoSpaceDN w:val="0"/>
              <w:adjustRightInd w:val="0"/>
              <w:spacing w:line="360" w:lineRule="auto"/>
            </w:pPr>
            <w:r>
              <w:t>履约担保金额：</w:t>
            </w:r>
            <w:r>
              <w:rPr>
                <w:color w:val="000000" w:themeColor="text1"/>
              </w:rPr>
              <w:t>按不超过中标合同金额的10%（百元取整）提</w:t>
            </w:r>
            <w:r>
              <w:t xml:space="preserve">交投标 人采用基本户转账方式缴纳履约担保的，在中标通知书领取后与招标 人签订合同前办理，应缴纳至以下账户（履约 担保缴纳时需备注项目 名称、编号、标段）： </w:t>
            </w:r>
          </w:p>
          <w:p>
            <w:pPr>
              <w:autoSpaceDE w:val="0"/>
              <w:autoSpaceDN w:val="0"/>
              <w:adjustRightInd w:val="0"/>
              <w:spacing w:line="360" w:lineRule="auto"/>
            </w:pPr>
            <w:r>
              <w:t xml:space="preserve">开户行：中原银行鄢陵支行 </w:t>
            </w:r>
          </w:p>
          <w:p>
            <w:pPr>
              <w:autoSpaceDE w:val="0"/>
              <w:autoSpaceDN w:val="0"/>
              <w:adjustRightInd w:val="0"/>
              <w:spacing w:line="360" w:lineRule="auto"/>
            </w:pPr>
            <w:r>
              <w:t xml:space="preserve">户 名：鄢陵县公共资源交易中心 </w:t>
            </w:r>
          </w:p>
          <w:p>
            <w:pPr>
              <w:autoSpaceDE w:val="0"/>
              <w:autoSpaceDN w:val="0"/>
              <w:adjustRightInd w:val="0"/>
              <w:spacing w:line="360" w:lineRule="auto"/>
            </w:pPr>
            <w:r>
              <w:t xml:space="preserve">账 号：411025010190014701 </w:t>
            </w:r>
          </w:p>
          <w:p>
            <w:pPr>
              <w:autoSpaceDE w:val="0"/>
              <w:autoSpaceDN w:val="0"/>
              <w:adjustRightInd w:val="0"/>
              <w:spacing w:line="360" w:lineRule="auto"/>
            </w:pPr>
            <w:r>
              <w:t xml:space="preserve">注意事项: 有下列情形之一的履约担保不予退还: </w:t>
            </w:r>
          </w:p>
          <w:p>
            <w:pPr>
              <w:autoSpaceDE w:val="0"/>
              <w:autoSpaceDN w:val="0"/>
              <w:adjustRightInd w:val="0"/>
              <w:spacing w:line="360" w:lineRule="auto"/>
            </w:pPr>
            <w:r>
              <w:t>1、中标人向他人转让中标项目或将中标项目肢解后分别向他人转让；</w:t>
            </w:r>
          </w:p>
          <w:p>
            <w:pPr>
              <w:autoSpaceDE w:val="0"/>
              <w:autoSpaceDN w:val="0"/>
              <w:adjustRightInd w:val="0"/>
              <w:spacing w:line="360" w:lineRule="auto"/>
            </w:pPr>
            <w:r>
              <w:t xml:space="preserve">2、法律法规、规章规定的其它不予退还的情形。 </w:t>
            </w:r>
          </w:p>
          <w:p>
            <w:pPr>
              <w:autoSpaceDE w:val="0"/>
              <w:autoSpaceDN w:val="0"/>
              <w:adjustRightInd w:val="0"/>
              <w:spacing w:line="360" w:lineRule="auto"/>
            </w:pPr>
            <w:r>
              <w:t>3、投标人采用联合体投标的，由联合体牵头人负责履约担保或者履约 保函的缴纳或提交。</w:t>
            </w:r>
          </w:p>
          <w:p>
            <w:pPr>
              <w:autoSpaceDE w:val="0"/>
              <w:autoSpaceDN w:val="0"/>
              <w:adjustRightInd w:val="0"/>
              <w:spacing w:line="360" w:lineRule="auto"/>
            </w:pPr>
            <w:r>
              <w:t>4、投标人因账户开户银行、银行账号发生变化，不能按照 来款途径 原路返还履约担保的，投标人须提供原账户开户银行 相关证明及新开 账户开户许可证（鄢陵县公共资源交易中心四楼政府采购中心，联系 电话：0374—7363058）</w:t>
            </w:r>
          </w:p>
          <w:p>
            <w:pPr>
              <w:autoSpaceDE w:val="0"/>
              <w:autoSpaceDN w:val="0"/>
              <w:adjustRightInd w:val="0"/>
              <w:spacing w:line="360" w:lineRule="auto"/>
              <w:rPr>
                <w:rFonts w:cs="宋体" w:asciiTheme="minorEastAsia" w:hAnsiTheme="minorEastAsia"/>
                <w:b/>
                <w:kern w:val="0"/>
                <w:szCs w:val="21"/>
                <w:lang w:val="zh-CN"/>
              </w:rPr>
            </w:pPr>
            <w:r>
              <w:t xml:space="preserve"> 备注：受疫情防控重点保障企业或受疫情影响较大企业免 收履约保 证金。中标（成交）人需提供企业当地政府疫情 联防联控部门出具的 “为疫情防控重点保障企业或受疫情影响 较大企业”的公函证明材料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szCs w:val="21"/>
                <w:lang w:val="zh-CN"/>
              </w:rPr>
              <w:fldChar w:fldCharType="begin"/>
            </w:r>
            <w:r>
              <w:rPr>
                <w:rFonts w:hint="eastAsia" w:cs="宋体" w:asciiTheme="minorEastAsia" w:hAnsiTheme="minorEastAsia"/>
                <w:b/>
                <w:szCs w:val="21"/>
                <w:lang w:val="zh-CN"/>
              </w:rPr>
              <w:instrText xml:space="preserve">eq \o\ac(□,</w:instrText>
            </w:r>
            <w:r>
              <w:rPr>
                <w:rFonts w:hint="eastAsia" w:cs="宋体" w:asciiTheme="minorEastAsia" w:hAnsiTheme="minorEastAsia"/>
                <w:b/>
                <w:position w:val="2"/>
                <w:szCs w:val="21"/>
                <w:lang w:val="zh-CN"/>
              </w:rPr>
              <w:instrText xml:space="preserve">√</w:instrText>
            </w:r>
            <w:r>
              <w:rPr>
                <w:rFonts w:hint="eastAsia" w:cs="宋体" w:asciiTheme="minorEastAsia" w:hAnsiTheme="minorEastAsia"/>
                <w:b/>
                <w:szCs w:val="21"/>
                <w:lang w:val="zh-CN"/>
              </w:rPr>
              <w:instrText xml:space="preserve">)</w:instrText>
            </w:r>
            <w:r>
              <w:rPr>
                <w:rFonts w:cs="宋体" w:asciiTheme="minorEastAsia" w:hAnsiTheme="minorEastAsia"/>
                <w:b/>
                <w:szCs w:val="21"/>
                <w:lang w:val="zh-CN"/>
              </w:rPr>
              <w:fldChar w:fldCharType="end"/>
            </w:r>
            <w:r>
              <w:rPr>
                <w:rFonts w:hint="eastAsia" w:cs="宋体" w:asciiTheme="minorEastAsia" w:hAnsiTheme="minorEastAsia"/>
                <w:bCs/>
                <w:szCs w:val="21"/>
                <w:lang w:val="zh-CN"/>
              </w:rPr>
              <w:t>收取，中标人支付。</w:t>
            </w:r>
            <w:r>
              <w:t>参照国家计委计价格[2002]1980号文、发改价格[20</w:t>
            </w:r>
            <w:r>
              <w:rPr>
                <w:rFonts w:hint="eastAsia"/>
              </w:rPr>
              <w:t>03</w:t>
            </w:r>
            <w:r>
              <w:t>]</w:t>
            </w:r>
            <w:r>
              <w:rPr>
                <w:rFonts w:hint="eastAsia"/>
              </w:rPr>
              <w:t>857</w:t>
            </w:r>
            <w: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Theme="minorEastAsia" w:hAnsiTheme="minorEastAsia"/>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联系电话：0374-2279777，邮箱：hnhzw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w:t>
            </w:r>
            <w:r>
              <w:rPr>
                <w:rFonts w:hint="eastAsia" w:cs="宋体" w:asciiTheme="minorEastAsia" w:hAnsiTheme="minorEastAsia"/>
                <w:bCs/>
                <w:color w:val="585858" w:themeColor="text1" w:themeTint="A6"/>
                <w:szCs w:val="21"/>
                <w:lang w:val="zh-CN"/>
              </w:rPr>
              <w:t>模式</w:t>
            </w:r>
          </w:p>
        </w:tc>
        <w:tc>
          <w:tcPr>
            <w:tcW w:w="6813" w:type="dxa"/>
            <w:vAlign w:val="center"/>
          </w:tcPr>
          <w:p>
            <w:pPr>
              <w:autoSpaceDE w:val="0"/>
              <w:autoSpaceDN w:val="0"/>
              <w:adjustRightInd w:val="0"/>
              <w:spacing w:line="360" w:lineRule="auto"/>
              <w:contextualSpacing/>
              <w:rPr>
                <w:rFonts w:cs="宋体" w:asciiTheme="minorEastAsia" w:hAnsiTheme="minorEastAsia"/>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cs="宋体" w:asciiTheme="minorEastAsia" w:hAnsiTheme="minorEastAsia"/>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585858" w:themeColor="text1" w:themeTint="A6"/>
                <w:szCs w:val="21"/>
              </w:rPr>
            </w:pPr>
            <w:r>
              <w:rPr>
                <w:rFonts w:hint="eastAsia" w:cs="黑体" w:asciiTheme="minorEastAsia" w:hAnsiTheme="minorEastAsia"/>
                <w:color w:val="585858" w:themeColor="text1" w:themeTint="A6"/>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特别提示</w:t>
            </w:r>
          </w:p>
        </w:tc>
        <w:tc>
          <w:tcPr>
            <w:tcW w:w="6813" w:type="dxa"/>
            <w:vAlign w:val="center"/>
          </w:tcPr>
          <w:p>
            <w:pPr>
              <w:autoSpaceDE w:val="0"/>
              <w:autoSpaceDN w:val="0"/>
              <w:adjustRightInd w:val="0"/>
              <w:spacing w:line="360" w:lineRule="auto"/>
              <w:contextualSpacing/>
            </w:pPr>
            <w:r>
              <w:t>按照《关于推进全流程电子化交易和在线监管工作有关问题的通知》（许 38 公管办[2019]3号）规定：</w:t>
            </w:r>
          </w:p>
          <w:p>
            <w:pPr>
              <w:autoSpaceDE w:val="0"/>
              <w:autoSpaceDN w:val="0"/>
              <w:adjustRightInd w:val="0"/>
              <w:spacing w:line="360" w:lineRule="auto"/>
              <w:contextualSpacing/>
              <w:rPr>
                <w:rFonts w:cs="宋体" w:asciiTheme="minorEastAsia" w:hAnsiTheme="minorEastAsia"/>
                <w:b/>
                <w:kern w:val="0"/>
                <w:szCs w:val="21"/>
                <w:lang w:val="zh-CN"/>
              </w:rPr>
            </w:pPr>
            <w:r>
              <w:t xml:space="preserve"> 不同供应商电子投标文件制作硬件特征码（网卡MAC地址、CPU序号、 硬盘序列号）均一致时，视为‘不同投标人的投标文件由同一单位或者 个人编制’或‘不同投标人委托同一单位或者个人办理响应事宜’，其投 标无效。 评审专家应严格按照要求查看“硬件特征码”相关信息并进行评审，在 评审报告中显示“不同投标人电子投标文件制作硬件特征码”是否雷同 的分析及判定结果。</w:t>
            </w:r>
          </w:p>
        </w:tc>
      </w:tr>
    </w:tbl>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rFonts w:hint="eastAsia"/>
          <w:b/>
          <w:bCs/>
          <w:kern w:val="0"/>
          <w:sz w:val="32"/>
          <w:szCs w:val="32"/>
        </w:rPr>
      </w:pPr>
    </w:p>
    <w:p>
      <w:pPr>
        <w:widowControl/>
        <w:jc w:val="center"/>
        <w:rPr>
          <w:b/>
          <w:bCs/>
          <w:kern w:val="0"/>
          <w:sz w:val="32"/>
          <w:szCs w:val="32"/>
        </w:rPr>
      </w:pPr>
      <w:r>
        <w:rPr>
          <w:rFonts w:hint="eastAsia"/>
          <w:b/>
          <w:bCs/>
          <w:kern w:val="0"/>
          <w:sz w:val="32"/>
          <w:szCs w:val="32"/>
        </w:rPr>
        <w:t>第四章 投标人须知</w:t>
      </w:r>
    </w:p>
    <w:p>
      <w:pPr>
        <w:spacing w:line="360" w:lineRule="auto"/>
        <w:jc w:val="center"/>
        <w:outlineLvl w:val="0"/>
        <w:rPr>
          <w:rFonts w:asciiTheme="minorEastAsia" w:hAnsiTheme="minorEastAsia"/>
          <w:b/>
          <w:sz w:val="28"/>
          <w:szCs w:val="28"/>
        </w:rPr>
      </w:pPr>
      <w:bookmarkStart w:id="0" w:name="_Toc524770168"/>
      <w:r>
        <w:rPr>
          <w:rFonts w:hint="eastAsia" w:asciiTheme="minorEastAsia" w:hAnsiTheme="minorEastAsia"/>
          <w:b/>
          <w:sz w:val="28"/>
          <w:szCs w:val="28"/>
        </w:rPr>
        <w:t>一、概念释义</w:t>
      </w:r>
      <w:bookmarkEnd w:id="0"/>
    </w:p>
    <w:p>
      <w:pPr>
        <w:spacing w:line="360" w:lineRule="auto"/>
        <w:rPr>
          <w:rFonts w:asciiTheme="minorEastAsia" w:hAnsiTheme="minorEastAsia"/>
          <w:b/>
          <w:szCs w:val="21"/>
        </w:rPr>
      </w:pPr>
      <w:r>
        <w:rPr>
          <w:rFonts w:hint="eastAsia" w:asciiTheme="minorEastAsia" w:hAnsiTheme="minorEastAsia"/>
          <w:b/>
          <w:szCs w:val="21"/>
        </w:rPr>
        <w:t>1.适用范围</w:t>
      </w:r>
    </w:p>
    <w:p>
      <w:pPr>
        <w:spacing w:line="360" w:lineRule="auto"/>
        <w:ind w:firstLine="420" w:firstLineChars="200"/>
        <w:rPr>
          <w:rFonts w:asciiTheme="minorEastAsia" w:hAnsiTheme="minorEastAsia"/>
          <w:szCs w:val="21"/>
        </w:rPr>
      </w:pPr>
      <w:r>
        <w:rPr>
          <w:rFonts w:hint="eastAsia" w:asciiTheme="minorEastAsia" w:hAnsiTheme="minorEastAsia"/>
          <w:szCs w:val="21"/>
        </w:rPr>
        <w:t>1.1本招标文件仅适用于本次“投标邀请”中所述采购项目。</w:t>
      </w:r>
    </w:p>
    <w:p>
      <w:pPr>
        <w:spacing w:line="360" w:lineRule="auto"/>
        <w:ind w:firstLine="420" w:firstLineChars="200"/>
        <w:rPr>
          <w:rFonts w:asciiTheme="minorEastAsia" w:hAnsiTheme="minorEastAsia"/>
          <w:szCs w:val="21"/>
        </w:rPr>
      </w:pPr>
      <w:r>
        <w:rPr>
          <w:rFonts w:hint="eastAsia" w:asciiTheme="minorEastAsia" w:hAnsiTheme="minorEastAsia"/>
          <w:szCs w:val="21"/>
        </w:rPr>
        <w:t>1.2本招标文件解释权属于“投标邀请”所述的采购人。</w:t>
      </w:r>
    </w:p>
    <w:p>
      <w:pPr>
        <w:spacing w:line="360" w:lineRule="auto"/>
        <w:rPr>
          <w:rFonts w:asciiTheme="minorEastAsia" w:hAnsiTheme="minorEastAsia"/>
          <w:b/>
          <w:szCs w:val="21"/>
        </w:rPr>
      </w:pPr>
      <w:r>
        <w:rPr>
          <w:rFonts w:hint="eastAsia" w:asciiTheme="minorEastAsia" w:hAnsiTheme="minorEastAsia"/>
          <w:b/>
          <w:szCs w:val="21"/>
        </w:rPr>
        <w:t>2.定义</w:t>
      </w:r>
    </w:p>
    <w:p>
      <w:pPr>
        <w:spacing w:line="360" w:lineRule="auto"/>
        <w:ind w:firstLine="420" w:firstLineChars="200"/>
        <w:rPr>
          <w:rFonts w:asciiTheme="minorEastAsia" w:hAnsiTheme="minorEastAsia"/>
          <w:szCs w:val="21"/>
        </w:rPr>
      </w:pPr>
      <w:r>
        <w:rPr>
          <w:rFonts w:hint="eastAsia" w:asciiTheme="minorEastAsia" w:hAnsiTheme="minorEastAsia"/>
          <w:szCs w:val="21"/>
        </w:rPr>
        <w:t>2.1“采购项目”：“投标人须知前附表”中所述的采购项目。</w:t>
      </w:r>
    </w:p>
    <w:p>
      <w:pPr>
        <w:spacing w:line="360" w:lineRule="auto"/>
        <w:ind w:firstLine="420" w:firstLineChars="200"/>
        <w:rPr>
          <w:rFonts w:asciiTheme="minorEastAsia" w:hAnsiTheme="minorEastAsia"/>
          <w:szCs w:val="21"/>
        </w:rPr>
      </w:pPr>
      <w:r>
        <w:rPr>
          <w:rFonts w:hint="eastAsia" w:asciiTheme="minorEastAsia" w:hAnsiTheme="minorEastAsia"/>
          <w:szCs w:val="21"/>
        </w:rPr>
        <w:t>2.2“招标人”：“投标人须知前附表”中所述的组织本次招标的代理机构和采购人。</w:t>
      </w:r>
    </w:p>
    <w:p>
      <w:pPr>
        <w:spacing w:line="360" w:lineRule="auto"/>
        <w:ind w:firstLine="420" w:firstLineChars="200"/>
        <w:rPr>
          <w:rFonts w:asciiTheme="minorEastAsia" w:hAnsiTheme="minorEastAsia"/>
          <w:szCs w:val="21"/>
        </w:rPr>
      </w:pPr>
      <w:r>
        <w:rPr>
          <w:rFonts w:hint="eastAsia" w:asciiTheme="minorEastAsia" w:hAnsiTheme="minorEastAsia"/>
          <w:szCs w:val="21"/>
        </w:rPr>
        <w:t>2.3“采购人”：是指依法进行政府采购的国家机关、事业单位、团体组织。采购人名称、地址、电话、联系人见“投标人须知前附表”。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2.4“代理机构”：接受采购人委托，代理采购项目的采购代理机构。代理机构名称、地址、 电话、联系人见“投标人须知前附表”。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asciiTheme="minorEastAsia" w:hAnsiTheme="minorEastAsia"/>
          <w:szCs w:val="21"/>
        </w:rPr>
      </w:pPr>
      <w:r>
        <w:rPr>
          <w:rFonts w:hint="eastAsia" w:asciiTheme="minorEastAsia" w:hAnsiTheme="minorEastAsia"/>
          <w:szCs w:val="21"/>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asciiTheme="minorEastAsia" w:hAnsiTheme="minorEastAsia"/>
          <w:szCs w:val="21"/>
        </w:rPr>
      </w:pPr>
      <w:r>
        <w:rPr>
          <w:rFonts w:hint="eastAsia" w:asciiTheme="minorEastAsia" w:hAnsiTheme="minor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asciiTheme="minorEastAsia" w:hAnsiTheme="minorEastAsia"/>
          <w:szCs w:val="21"/>
        </w:rPr>
      </w:pPr>
      <w:r>
        <w:rPr>
          <w:rFonts w:hint="eastAsia" w:asciiTheme="minorEastAsia" w:hAnsiTheme="minorEastAsia"/>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asciiTheme="minorEastAsia" w:hAnsiTheme="minorEastAsia"/>
          <w:szCs w:val="21"/>
        </w:rPr>
      </w:pPr>
      <w:r>
        <w:rPr>
          <w:rFonts w:hint="eastAsia" w:asciiTheme="minorEastAsia" w:hAnsiTheme="minorEastAsia"/>
          <w:szCs w:val="21"/>
        </w:rPr>
        <w:t>2.7.1招标文件列明不允许或未列明允许进口产品参加投标的，均视为拒绝进口产品参加投标。</w:t>
      </w:r>
    </w:p>
    <w:p>
      <w:pPr>
        <w:spacing w:line="360" w:lineRule="auto"/>
        <w:ind w:firstLine="420" w:firstLineChars="200"/>
        <w:rPr>
          <w:rFonts w:asciiTheme="minorEastAsia" w:hAnsiTheme="minorEastAsia"/>
          <w:szCs w:val="21"/>
        </w:rPr>
      </w:pPr>
      <w:r>
        <w:rPr>
          <w:rFonts w:hint="eastAsia" w:asciiTheme="minorEastAsia" w:hAnsiTheme="minorEastAsia"/>
          <w:szCs w:val="21"/>
        </w:rPr>
        <w:t>2.7.2如招标文件中已说明，经财政部门审核同意，允许部分或全部产品采购进口产品，投标人既可提供本国产品，也可以提供进口产品。</w:t>
      </w:r>
    </w:p>
    <w:p>
      <w:pPr>
        <w:spacing w:line="360" w:lineRule="auto"/>
        <w:ind w:firstLine="420" w:firstLineChars="200"/>
        <w:rPr>
          <w:rFonts w:asciiTheme="minorEastAsia" w:hAnsiTheme="minorEastAsia"/>
          <w:szCs w:val="21"/>
        </w:rPr>
      </w:pPr>
      <w:r>
        <w:rPr>
          <w:rFonts w:hint="eastAsia" w:asciiTheme="minorEastAsia" w:hAnsiTheme="minorEastAsia"/>
          <w:szCs w:val="21"/>
        </w:rPr>
        <w:t>2.8招标文件中凡标有“★”的条款均系实质性要求条款。</w:t>
      </w:r>
    </w:p>
    <w:p>
      <w:pPr>
        <w:spacing w:line="360" w:lineRule="auto"/>
        <w:rPr>
          <w:rFonts w:asciiTheme="minorEastAsia" w:hAnsiTheme="minorEastAsia"/>
          <w:b/>
          <w:szCs w:val="21"/>
        </w:rPr>
      </w:pPr>
      <w:r>
        <w:rPr>
          <w:rFonts w:hint="eastAsia" w:asciiTheme="minorEastAsia" w:hAnsiTheme="minorEastAsia"/>
          <w:b/>
          <w:szCs w:val="21"/>
        </w:rPr>
        <w:t>3.合格的投标人</w:t>
      </w:r>
    </w:p>
    <w:p>
      <w:pPr>
        <w:spacing w:line="360" w:lineRule="auto"/>
        <w:ind w:firstLine="420" w:firstLineChars="200"/>
        <w:rPr>
          <w:rFonts w:asciiTheme="minorEastAsia" w:hAnsiTheme="minorEastAsia"/>
          <w:szCs w:val="21"/>
        </w:rPr>
      </w:pPr>
      <w:r>
        <w:rPr>
          <w:rFonts w:hint="eastAsia" w:asciiTheme="minorEastAsia" w:hAnsiTheme="minorEastAsia"/>
          <w:szCs w:val="21"/>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asciiTheme="minorEastAsia" w:hAnsiTheme="minorEastAsia"/>
          <w:szCs w:val="21"/>
        </w:rPr>
      </w:pPr>
      <w:r>
        <w:rPr>
          <w:rFonts w:hint="eastAsia" w:asciiTheme="minorEastAsia" w:hAnsiTheme="minorEastAsia"/>
          <w:szCs w:val="21"/>
        </w:rPr>
        <w:t>3.2符合本项目“投标邀请”和“投标人须知前附表”中规定的合格投标人所必须具备的条件。</w:t>
      </w:r>
    </w:p>
    <w:p>
      <w:pPr>
        <w:spacing w:line="360" w:lineRule="auto"/>
        <w:ind w:firstLine="420" w:firstLineChars="200"/>
        <w:rPr>
          <w:rFonts w:asciiTheme="minorEastAsia" w:hAnsiTheme="minorEastAsia"/>
          <w:szCs w:val="21"/>
        </w:rPr>
      </w:pPr>
      <w:r>
        <w:rPr>
          <w:rFonts w:hint="eastAsia" w:asciiTheme="minorEastAsia" w:hAnsiTheme="minorEastAsia"/>
          <w:szCs w:val="21"/>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asciiTheme="minorEastAsia" w:hAnsiTheme="minorEastAsia"/>
          <w:szCs w:val="21"/>
        </w:rPr>
      </w:pPr>
      <w:r>
        <w:rPr>
          <w:rFonts w:hint="eastAsia" w:asciiTheme="minorEastAsia" w:hAnsiTheme="minorEastAsia"/>
          <w:szCs w:val="21"/>
        </w:rPr>
        <w:t>（1）查询渠道：“信用中国”网站（www.creditchina.gov.cn）、“中国政府采购网”（www.ccgp.gov.cn）、“中国社会组织公共服务平台”网站（www.chinanpo.gov.cn）；</w:t>
      </w:r>
    </w:p>
    <w:p>
      <w:pPr>
        <w:spacing w:line="360" w:lineRule="auto"/>
        <w:ind w:firstLine="420" w:firstLineChars="200"/>
        <w:rPr>
          <w:rFonts w:asciiTheme="minorEastAsia" w:hAnsiTheme="minorEastAsia"/>
          <w:szCs w:val="21"/>
        </w:rPr>
      </w:pPr>
      <w:r>
        <w:rPr>
          <w:rFonts w:hint="eastAsia" w:asciiTheme="minorEastAsia" w:hAnsiTheme="minorEastAsia"/>
          <w:szCs w:val="21"/>
        </w:rPr>
        <w:t>（2）截止时间：同投标截止时间；</w:t>
      </w:r>
    </w:p>
    <w:p>
      <w:pPr>
        <w:spacing w:line="360" w:lineRule="auto"/>
        <w:ind w:firstLine="420" w:firstLineChars="200"/>
        <w:rPr>
          <w:rFonts w:asciiTheme="minorEastAsia" w:hAnsiTheme="minorEastAsia"/>
          <w:szCs w:val="21"/>
        </w:rPr>
      </w:pPr>
      <w:r>
        <w:rPr>
          <w:rFonts w:hint="eastAsia" w:asciiTheme="minorEastAsia" w:hAnsiTheme="minorEastAsia"/>
          <w:szCs w:val="21"/>
        </w:rPr>
        <w:t>（3）信用信息查询记录和证据留存具体方式：经采购人确认的查询结果网页截图作为查询记录和证据，与其他采购文件一并保存；</w:t>
      </w:r>
    </w:p>
    <w:p>
      <w:pPr>
        <w:spacing w:line="360" w:lineRule="auto"/>
        <w:ind w:firstLine="420" w:firstLineChars="200"/>
        <w:rPr>
          <w:rFonts w:asciiTheme="minorEastAsia" w:hAnsiTheme="minorEastAsia"/>
          <w:szCs w:val="21"/>
        </w:rPr>
      </w:pPr>
      <w:r>
        <w:rPr>
          <w:rFonts w:hint="eastAsia" w:asciiTheme="minorEastAsia" w:hAnsiTheme="minorEastAsia"/>
          <w:szCs w:val="21"/>
        </w:rPr>
        <w:t>（4）信用信息的使用原则：经采购人认定的被列入失信被执行人、政府采购严重违法失信行为记录名单、严重违法失信社会组织名单的投标人，将拒绝其参与政府采购活动。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asciiTheme="minorEastAsia" w:hAnsiTheme="minorEastAsia"/>
          <w:szCs w:val="21"/>
        </w:rPr>
      </w:pPr>
      <w:r>
        <w:rPr>
          <w:rFonts w:hint="eastAsia" w:asciiTheme="minorEastAsia" w:hAnsiTheme="minorEastAsia"/>
          <w:szCs w:val="21"/>
        </w:rPr>
        <w:t>3.4单位负责人为同一人或者存在直接控股、管理关系的不同供应商，不得参加同一合同项下的政府采购活动；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3.6“投标邀请”和“投标人须知前附表”规定接受联合体投标的，除应符合本章第3.1项和3.2项要求外，还应遵守以下规定：</w:t>
      </w:r>
    </w:p>
    <w:p>
      <w:pPr>
        <w:spacing w:line="360" w:lineRule="auto"/>
        <w:ind w:firstLine="420" w:firstLineChars="200"/>
        <w:rPr>
          <w:rFonts w:asciiTheme="minorEastAsia" w:hAnsiTheme="minorEastAsia"/>
          <w:szCs w:val="21"/>
        </w:rPr>
      </w:pPr>
      <w:r>
        <w:rPr>
          <w:rFonts w:hint="eastAsia" w:asciiTheme="minorEastAsia" w:hAnsiTheme="minorEastAsia"/>
          <w:szCs w:val="21"/>
        </w:rPr>
        <w:t>（1）在投标文件中向采购人提交联合体协议书，明确联合体各方承担的工作和义务；</w:t>
      </w:r>
    </w:p>
    <w:p>
      <w:pPr>
        <w:spacing w:line="360" w:lineRule="auto"/>
        <w:ind w:firstLine="420" w:firstLineChars="200"/>
        <w:rPr>
          <w:rFonts w:asciiTheme="minorEastAsia" w:hAnsiTheme="minorEastAsia"/>
          <w:szCs w:val="21"/>
        </w:rPr>
      </w:pPr>
      <w:r>
        <w:rPr>
          <w:rFonts w:hint="eastAsia" w:asciiTheme="minorEastAsia" w:hAnsiTheme="minorEastAsia"/>
          <w:szCs w:val="21"/>
        </w:rPr>
        <w:t>（2）联合体中有同类资质的供应商按联合体分工承担相同工作的，应当按照资质等级较低的供应商确定资质等级；</w:t>
      </w:r>
    </w:p>
    <w:p>
      <w:pPr>
        <w:spacing w:line="360" w:lineRule="auto"/>
        <w:ind w:firstLine="420" w:firstLineChars="200"/>
        <w:rPr>
          <w:rFonts w:asciiTheme="minorEastAsia" w:hAnsiTheme="minorEastAsia"/>
          <w:szCs w:val="21"/>
        </w:rPr>
      </w:pPr>
      <w:r>
        <w:rPr>
          <w:rFonts w:hint="eastAsia" w:asciiTheme="minorEastAsia" w:hAnsiTheme="minorEastAsia"/>
          <w:szCs w:val="21"/>
        </w:rPr>
        <w:t>（3）招标人根据采购项目的特殊要求规定投标人特定条件的，联合体各方中至少应当有一方符合采购规定的特定条件。</w:t>
      </w:r>
    </w:p>
    <w:p>
      <w:pPr>
        <w:spacing w:line="360" w:lineRule="auto"/>
        <w:ind w:firstLine="420" w:firstLineChars="200"/>
        <w:rPr>
          <w:rFonts w:asciiTheme="minorEastAsia" w:hAnsiTheme="minorEastAsia"/>
          <w:szCs w:val="21"/>
        </w:rPr>
      </w:pPr>
      <w:r>
        <w:rPr>
          <w:rFonts w:hint="eastAsia" w:asciiTheme="minorEastAsia" w:hAnsiTheme="minorEastAsia"/>
          <w:szCs w:val="21"/>
        </w:rPr>
        <w:t>（4）联合体各方不得再单独参加或者与其他供应商另外组成联合体参加同一合同项下的政府采购活动。</w:t>
      </w:r>
    </w:p>
    <w:p>
      <w:pPr>
        <w:spacing w:line="360" w:lineRule="auto"/>
        <w:ind w:firstLine="420" w:firstLineChars="200"/>
        <w:rPr>
          <w:rFonts w:asciiTheme="minorEastAsia" w:hAnsiTheme="minorEastAsia"/>
          <w:szCs w:val="21"/>
        </w:rPr>
      </w:pPr>
      <w:r>
        <w:rPr>
          <w:rFonts w:hint="eastAsia" w:asciiTheme="minorEastAsia" w:hAnsiTheme="minorEastAsia"/>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Theme="minorEastAsia" w:hAnsiTheme="minorEastAsia"/>
          <w:szCs w:val="21"/>
        </w:rPr>
        <w:t>承担连带责任</w:t>
      </w:r>
      <w:r>
        <w:rPr>
          <w:rFonts w:hint="eastAsia" w:asciiTheme="minorEastAsia" w:hAnsiTheme="minorEastAsia"/>
          <w:szCs w:val="21"/>
        </w:rPr>
        <w:fldChar w:fldCharType="end"/>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3.7法律、行政法规规定的其他条件。</w:t>
      </w:r>
    </w:p>
    <w:p>
      <w:pPr>
        <w:spacing w:line="360" w:lineRule="auto"/>
        <w:rPr>
          <w:rFonts w:asciiTheme="minorEastAsia" w:hAnsiTheme="minorEastAsia"/>
          <w:b/>
          <w:szCs w:val="21"/>
        </w:rPr>
      </w:pPr>
      <w:r>
        <w:rPr>
          <w:rFonts w:hint="eastAsia" w:asciiTheme="minorEastAsia" w:hAnsiTheme="minorEastAsia"/>
          <w:b/>
          <w:szCs w:val="21"/>
        </w:rPr>
        <w:t>4.合格的货物和服务</w:t>
      </w:r>
    </w:p>
    <w:p>
      <w:pPr>
        <w:spacing w:line="360" w:lineRule="auto"/>
        <w:ind w:firstLine="420" w:firstLineChars="200"/>
        <w:rPr>
          <w:rFonts w:asciiTheme="minorEastAsia" w:hAnsiTheme="minorEastAsia"/>
          <w:szCs w:val="21"/>
        </w:rPr>
      </w:pPr>
      <w:r>
        <w:rPr>
          <w:rFonts w:hint="eastAsia" w:asciiTheme="minorEastAsia" w:hAnsiTheme="minorEastAsia"/>
          <w:szCs w:val="21"/>
        </w:rPr>
        <w:t>4.1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Theme="minorEastAsia" w:hAnsiTheme="minorEastAsia"/>
          <w:szCs w:val="21"/>
        </w:rPr>
      </w:pPr>
      <w:r>
        <w:rPr>
          <w:rFonts w:hint="eastAsia" w:asciiTheme="minorEastAsia" w:hAnsiTheme="minorEastAsia"/>
          <w:szCs w:val="21"/>
        </w:rPr>
        <w:t>4.2投标人所提供的服务应当没有侵犯任何第三方的知识产权、技术秘密等合法权利。</w:t>
      </w:r>
    </w:p>
    <w:p>
      <w:pPr>
        <w:spacing w:line="360" w:lineRule="auto"/>
        <w:ind w:firstLine="420" w:firstLineChars="200"/>
        <w:rPr>
          <w:rFonts w:asciiTheme="minorEastAsia" w:hAnsiTheme="minorEastAsia"/>
          <w:szCs w:val="21"/>
        </w:rPr>
      </w:pPr>
      <w:r>
        <w:rPr>
          <w:rFonts w:hint="eastAsia" w:asciiTheme="minorEastAsia" w:hAnsiTheme="minorEastAsia"/>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420" w:firstLineChars="200"/>
        <w:rPr>
          <w:rFonts w:asciiTheme="minorEastAsia" w:hAnsiTheme="minorEastAsia"/>
          <w:szCs w:val="21"/>
        </w:rPr>
      </w:pPr>
      <w:r>
        <w:rPr>
          <w:rFonts w:hint="eastAsia" w:asciiTheme="minorEastAsia" w:hAnsiTheme="minorEastAsia"/>
          <w:szCs w:val="21"/>
        </w:rPr>
        <w:t>4.4根据财政部、工业和信息化部、国家质检总局、国家认监委联合发布</w:t>
      </w:r>
      <w:bookmarkStart w:id="1" w:name="baidusnap0"/>
      <w:bookmarkEnd w:id="1"/>
      <w:r>
        <w:rPr>
          <w:rFonts w:hint="eastAsia" w:asciiTheme="minorEastAsia" w:hAnsiTheme="minorEastAsia"/>
          <w:szCs w:val="21"/>
        </w:rPr>
        <w:t>《关于信息安全产品实施政府采购的通知》（财库[2010]48号）要求，投标人所投产品如被列入</w:t>
      </w:r>
      <w:r>
        <w:rPr>
          <w:rFonts w:asciiTheme="minorEastAsia" w:hAnsiTheme="minorEastAsia"/>
          <w:szCs w:val="21"/>
        </w:rPr>
        <w:t>《信息安全产品强制性认证目录》，</w:t>
      </w:r>
      <w:r>
        <w:rPr>
          <w:rFonts w:hint="eastAsia" w:asciiTheme="minorEastAsia" w:hAnsiTheme="minorEastAsia"/>
          <w:szCs w:val="21"/>
        </w:rPr>
        <w:t>则该产品应</w:t>
      </w:r>
      <w:r>
        <w:rPr>
          <w:rFonts w:asciiTheme="minorEastAsia" w:hAnsiTheme="minorEastAsia"/>
          <w:szCs w:val="21"/>
        </w:rPr>
        <w:t>具备</w:t>
      </w:r>
      <w:r>
        <w:rPr>
          <w:rFonts w:hint="eastAsia" w:asciiTheme="minorEastAsia" w:hAnsiTheme="minorEastAsia"/>
          <w:szCs w:val="21"/>
        </w:rPr>
        <w:t>中国信息安全认证中心</w:t>
      </w:r>
      <w:r>
        <w:rPr>
          <w:rFonts w:asciiTheme="minorEastAsia" w:hAnsiTheme="minorEastAsia"/>
          <w:szCs w:val="21"/>
        </w:rPr>
        <w:t>颁</w:t>
      </w:r>
      <w:r>
        <w:rPr>
          <w:rFonts w:hint="eastAsia" w:asciiTheme="minorEastAsia" w:hAnsiTheme="minorEastAsia"/>
          <w:szCs w:val="21"/>
        </w:rPr>
        <w:t>发的</w:t>
      </w:r>
      <w:r>
        <w:rPr>
          <w:rFonts w:asciiTheme="minorEastAsia" w:hAnsiTheme="minorEastAsia"/>
          <w:szCs w:val="21"/>
        </w:rPr>
        <w:t>《</w:t>
      </w:r>
      <w:r>
        <w:fldChar w:fldCharType="begin"/>
      </w:r>
      <w:r>
        <w:instrText xml:space="preserve"> HYPERLINK "http://www.cnca.gov.cn/cnca/zwxx/ggxx/images/2010/07/19/A6C32D2A507AC2A38326896013A67542.doc" \t "_blank" </w:instrText>
      </w:r>
      <w:r>
        <w:fldChar w:fldCharType="separate"/>
      </w:r>
      <w:r>
        <w:rPr>
          <w:rFonts w:hint="eastAsia" w:asciiTheme="minorEastAsia" w:hAnsiTheme="minorEastAsia"/>
          <w:szCs w:val="21"/>
        </w:rPr>
        <w:t>中国国家信息安全产品认证证书</w:t>
      </w:r>
      <w:r>
        <w:rPr>
          <w:rFonts w:hint="eastAsia" w:asciiTheme="minorEastAsia" w:hAnsiTheme="minorEastAsia"/>
          <w:szCs w:val="21"/>
        </w:rPr>
        <w:fldChar w:fldCharType="end"/>
      </w:r>
      <w:r>
        <w:rPr>
          <w:rFonts w:asciiTheme="minorEastAsia" w:hAnsiTheme="minorEastAsia"/>
          <w:szCs w:val="21"/>
        </w:rPr>
        <w:t>》。</w:t>
      </w:r>
      <w:r>
        <w:rPr>
          <w:rFonts w:hint="eastAsia" w:asciiTheme="minorEastAsia" w:hAnsiTheme="minorEastAsia"/>
          <w:szCs w:val="21"/>
        </w:rPr>
        <w:t>投标人</w:t>
      </w:r>
      <w:r>
        <w:rPr>
          <w:rFonts w:asciiTheme="minorEastAsia" w:hAnsiTheme="minorEastAsia"/>
          <w:szCs w:val="21"/>
        </w:rPr>
        <w:t>不能提供超出此目录范畴外的替代品</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b/>
          <w:szCs w:val="21"/>
        </w:rPr>
        <w:t>5.投标费用</w:t>
      </w:r>
    </w:p>
    <w:p>
      <w:pPr>
        <w:spacing w:line="360" w:lineRule="auto"/>
        <w:ind w:firstLine="420" w:firstLineChars="200"/>
        <w:rPr>
          <w:rFonts w:asciiTheme="minorEastAsia" w:hAnsiTheme="minorEastAsia"/>
          <w:szCs w:val="21"/>
        </w:rPr>
      </w:pPr>
      <w:r>
        <w:rPr>
          <w:rFonts w:hint="eastAsia" w:asciiTheme="minorEastAsia" w:hAnsiTheme="minorEastAsia"/>
          <w:szCs w:val="21"/>
        </w:rPr>
        <w:t>不论投标的结果如何，投标人均应自行承担所有与投标有关的全部费用，招标人在任何情况下均无义务和责任承担这些费用。</w:t>
      </w:r>
    </w:p>
    <w:p>
      <w:pPr>
        <w:spacing w:line="360" w:lineRule="auto"/>
        <w:rPr>
          <w:rFonts w:asciiTheme="minorEastAsia" w:hAnsiTheme="minorEastAsia"/>
          <w:b/>
          <w:szCs w:val="21"/>
        </w:rPr>
      </w:pPr>
      <w:r>
        <w:rPr>
          <w:rFonts w:hint="eastAsia" w:asciiTheme="minorEastAsia" w:hAnsiTheme="minorEastAsia"/>
          <w:b/>
          <w:szCs w:val="21"/>
        </w:rPr>
        <w:t>6.信息发布</w:t>
      </w:r>
    </w:p>
    <w:p>
      <w:pPr>
        <w:spacing w:line="360" w:lineRule="auto"/>
        <w:ind w:firstLine="420" w:firstLineChars="200"/>
        <w:rPr>
          <w:rFonts w:asciiTheme="minorEastAsia" w:hAnsiTheme="minorEastAsia"/>
          <w:szCs w:val="21"/>
        </w:rPr>
      </w:pPr>
      <w:r>
        <w:rPr>
          <w:rFonts w:hint="eastAsia" w:asciiTheme="minorEastAsia" w:hAnsiTheme="minorEastAsia"/>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Theme="minorEastAsia" w:hAnsiTheme="minorEastAsia"/>
          <w:b/>
          <w:szCs w:val="21"/>
        </w:rPr>
      </w:pPr>
      <w:r>
        <w:rPr>
          <w:rFonts w:hint="eastAsia" w:asciiTheme="minorEastAsia" w:hAnsiTheme="minorEastAsia"/>
          <w:b/>
          <w:szCs w:val="21"/>
        </w:rPr>
        <w:t>7.采购代理机构代理费用收取标准和方式</w:t>
      </w:r>
    </w:p>
    <w:p>
      <w:pPr>
        <w:spacing w:line="360" w:lineRule="auto"/>
        <w:ind w:firstLine="420" w:firstLineChars="200"/>
        <w:rPr>
          <w:rFonts w:asciiTheme="minorEastAsia" w:hAnsiTheme="minorEastAsia"/>
          <w:szCs w:val="21"/>
        </w:rPr>
      </w:pPr>
      <w:r>
        <w:rPr>
          <w:rFonts w:hint="eastAsia" w:asciiTheme="minorEastAsia" w:hAnsiTheme="minorEastAsia"/>
          <w:szCs w:val="21"/>
        </w:rPr>
        <w:t>收取标准:详见投标人须知前附表。</w:t>
      </w:r>
    </w:p>
    <w:p>
      <w:pPr>
        <w:spacing w:line="360" w:lineRule="auto"/>
        <w:rPr>
          <w:rFonts w:asciiTheme="minorEastAsia" w:hAnsiTheme="minorEastAsia"/>
          <w:b/>
          <w:szCs w:val="21"/>
        </w:rPr>
      </w:pPr>
      <w:r>
        <w:rPr>
          <w:rFonts w:hint="eastAsia" w:asciiTheme="minorEastAsia" w:hAnsiTheme="minorEastAsia"/>
          <w:b/>
          <w:szCs w:val="21"/>
        </w:rPr>
        <w:t>8.其他</w:t>
      </w:r>
    </w:p>
    <w:p>
      <w:pPr>
        <w:spacing w:line="360" w:lineRule="auto"/>
        <w:ind w:firstLine="420" w:firstLineChars="200"/>
        <w:rPr>
          <w:rFonts w:asciiTheme="minorEastAsia" w:hAnsiTheme="minorEastAsia"/>
          <w:szCs w:val="21"/>
        </w:rPr>
      </w:pPr>
      <w:r>
        <w:rPr>
          <w:rFonts w:hint="eastAsia" w:asciiTheme="minorEastAsia" w:hAnsiTheme="minorEastAsia"/>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jc w:val="center"/>
        <w:outlineLvl w:val="0"/>
        <w:rPr>
          <w:rFonts w:asciiTheme="minorEastAsia" w:hAnsiTheme="minorEastAsia"/>
          <w:b/>
          <w:szCs w:val="21"/>
        </w:rPr>
      </w:pPr>
      <w:bookmarkStart w:id="2" w:name="_Toc524770169"/>
    </w:p>
    <w:p>
      <w:pPr>
        <w:spacing w:line="360" w:lineRule="auto"/>
        <w:jc w:val="center"/>
        <w:outlineLvl w:val="0"/>
        <w:rPr>
          <w:rFonts w:asciiTheme="minorEastAsia" w:hAnsiTheme="minorEastAsia"/>
          <w:b/>
          <w:sz w:val="28"/>
          <w:szCs w:val="28"/>
        </w:rPr>
      </w:pPr>
      <w:r>
        <w:rPr>
          <w:rFonts w:hint="eastAsia" w:asciiTheme="minorEastAsia" w:hAnsiTheme="minorEastAsia"/>
          <w:b/>
          <w:sz w:val="28"/>
          <w:szCs w:val="28"/>
        </w:rPr>
        <w:t>二、招标文件说明</w:t>
      </w:r>
      <w:bookmarkEnd w:id="2"/>
    </w:p>
    <w:p>
      <w:pPr>
        <w:spacing w:line="360" w:lineRule="auto"/>
        <w:rPr>
          <w:rFonts w:asciiTheme="minorEastAsia" w:hAnsiTheme="minorEastAsia"/>
          <w:b/>
          <w:szCs w:val="21"/>
        </w:rPr>
      </w:pPr>
      <w:r>
        <w:rPr>
          <w:rFonts w:hint="eastAsia" w:asciiTheme="minorEastAsia" w:hAnsiTheme="minorEastAsia"/>
          <w:b/>
          <w:szCs w:val="21"/>
        </w:rPr>
        <w:t>9.招标文件构成</w:t>
      </w:r>
    </w:p>
    <w:p>
      <w:pPr>
        <w:spacing w:line="360" w:lineRule="auto"/>
        <w:ind w:firstLine="420" w:firstLineChars="200"/>
        <w:rPr>
          <w:rFonts w:asciiTheme="minorEastAsia" w:hAnsiTheme="minorEastAsia"/>
          <w:szCs w:val="21"/>
        </w:rPr>
      </w:pPr>
      <w:r>
        <w:rPr>
          <w:rFonts w:hint="eastAsia" w:asciiTheme="minorEastAsia" w:hAnsiTheme="minorEastAsia"/>
          <w:szCs w:val="21"/>
        </w:rPr>
        <w:t>9.1招标文件由以下部分组成：</w:t>
      </w:r>
    </w:p>
    <w:p>
      <w:pPr>
        <w:spacing w:line="360" w:lineRule="auto"/>
        <w:ind w:firstLine="420" w:firstLineChars="200"/>
        <w:rPr>
          <w:rFonts w:asciiTheme="minorEastAsia" w:hAnsiTheme="minorEastAsia"/>
          <w:szCs w:val="21"/>
        </w:rPr>
      </w:pPr>
      <w:r>
        <w:rPr>
          <w:rFonts w:hint="eastAsia" w:asciiTheme="minorEastAsia" w:hAnsiTheme="minorEastAsia"/>
          <w:szCs w:val="21"/>
        </w:rPr>
        <w:t>（1）投标邀请（招标公告）</w:t>
      </w:r>
    </w:p>
    <w:p>
      <w:pPr>
        <w:spacing w:line="360" w:lineRule="auto"/>
        <w:ind w:firstLine="420" w:firstLineChars="200"/>
        <w:rPr>
          <w:rFonts w:asciiTheme="minorEastAsia" w:hAnsiTheme="minorEastAsia"/>
          <w:szCs w:val="21"/>
        </w:rPr>
      </w:pPr>
      <w:r>
        <w:rPr>
          <w:rFonts w:hint="eastAsia" w:asciiTheme="minorEastAsia" w:hAnsiTheme="minorEastAsia"/>
          <w:szCs w:val="21"/>
        </w:rPr>
        <w:t>（2）项目需求</w:t>
      </w:r>
    </w:p>
    <w:p>
      <w:pPr>
        <w:spacing w:line="360" w:lineRule="auto"/>
        <w:ind w:firstLine="420" w:firstLineChars="200"/>
        <w:rPr>
          <w:rFonts w:asciiTheme="minorEastAsia" w:hAnsiTheme="minorEastAsia"/>
          <w:szCs w:val="21"/>
        </w:rPr>
      </w:pPr>
      <w:r>
        <w:rPr>
          <w:rFonts w:hint="eastAsia" w:asciiTheme="minorEastAsia" w:hAnsiTheme="minorEastAsia"/>
          <w:szCs w:val="21"/>
        </w:rPr>
        <w:t>（3）投标人须知前附表</w:t>
      </w:r>
    </w:p>
    <w:p>
      <w:pPr>
        <w:spacing w:line="360" w:lineRule="auto"/>
        <w:ind w:firstLine="420" w:firstLineChars="200"/>
        <w:rPr>
          <w:rFonts w:asciiTheme="minorEastAsia" w:hAnsiTheme="minorEastAsia"/>
          <w:szCs w:val="21"/>
        </w:rPr>
      </w:pPr>
      <w:r>
        <w:rPr>
          <w:rFonts w:hint="eastAsia" w:asciiTheme="minorEastAsia" w:hAnsiTheme="minorEastAsia"/>
          <w:szCs w:val="21"/>
        </w:rPr>
        <w:t>（4）投标人须知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（5）政府采购政策功能</w:t>
      </w:r>
    </w:p>
    <w:p>
      <w:pPr>
        <w:spacing w:line="360" w:lineRule="auto"/>
        <w:ind w:firstLine="420" w:firstLineChars="200"/>
        <w:rPr>
          <w:rFonts w:asciiTheme="minorEastAsia" w:hAnsiTheme="minorEastAsia"/>
          <w:szCs w:val="21"/>
        </w:rPr>
      </w:pPr>
      <w:r>
        <w:rPr>
          <w:rFonts w:hint="eastAsia" w:asciiTheme="minorEastAsia" w:hAnsiTheme="minorEastAsia"/>
          <w:szCs w:val="21"/>
        </w:rPr>
        <w:t>（6）资格审查与评标</w:t>
      </w:r>
    </w:p>
    <w:p>
      <w:pPr>
        <w:spacing w:line="360" w:lineRule="auto"/>
        <w:ind w:firstLine="420" w:firstLineChars="200"/>
        <w:rPr>
          <w:rFonts w:asciiTheme="minorEastAsia" w:hAnsiTheme="minorEastAsia"/>
          <w:szCs w:val="21"/>
        </w:rPr>
      </w:pPr>
      <w:r>
        <w:rPr>
          <w:rFonts w:hint="eastAsia" w:asciiTheme="minorEastAsia" w:hAnsiTheme="minorEastAsia"/>
          <w:szCs w:val="21"/>
        </w:rPr>
        <w:t>（7）合同条款及格式</w:t>
      </w:r>
    </w:p>
    <w:p>
      <w:pPr>
        <w:spacing w:line="360" w:lineRule="auto"/>
        <w:ind w:firstLine="420" w:firstLineChars="200"/>
        <w:rPr>
          <w:rFonts w:asciiTheme="minorEastAsia" w:hAnsiTheme="minorEastAsia"/>
          <w:szCs w:val="21"/>
        </w:rPr>
      </w:pPr>
      <w:r>
        <w:rPr>
          <w:rFonts w:hint="eastAsia" w:asciiTheme="minorEastAsia" w:hAnsiTheme="minorEastAsia"/>
          <w:szCs w:val="21"/>
        </w:rPr>
        <w:t>（8）投标文件有关格式</w:t>
      </w:r>
    </w:p>
    <w:p>
      <w:pPr>
        <w:spacing w:line="360" w:lineRule="auto"/>
        <w:ind w:firstLine="420" w:firstLineChars="200"/>
        <w:rPr>
          <w:rFonts w:asciiTheme="minorEastAsia" w:hAnsiTheme="minorEastAsia"/>
          <w:szCs w:val="21"/>
        </w:rPr>
      </w:pPr>
      <w:r>
        <w:rPr>
          <w:rFonts w:hint="eastAsia" w:asciiTheme="minorEastAsia" w:hAnsiTheme="minorEastAsia"/>
          <w:szCs w:val="21"/>
        </w:rPr>
        <w:t>（9）本项目招标文件的澄清、答复、修改、补充内容（如有的话）</w:t>
      </w:r>
    </w:p>
    <w:p>
      <w:pPr>
        <w:spacing w:line="360" w:lineRule="auto"/>
        <w:ind w:firstLine="420" w:firstLineChars="200"/>
        <w:rPr>
          <w:rFonts w:asciiTheme="minorEastAsia" w:hAnsiTheme="minorEastAsia"/>
          <w:szCs w:val="21"/>
        </w:rPr>
      </w:pPr>
      <w:r>
        <w:rPr>
          <w:rFonts w:hint="eastAsia" w:asciiTheme="minorEastAsia" w:hAnsiTheme="minorEastAsia"/>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Theme="minorEastAsia" w:hAnsiTheme="minorEastAsia"/>
          <w:szCs w:val="21"/>
        </w:rPr>
      </w:pPr>
      <w:r>
        <w:rPr>
          <w:rFonts w:hint="eastAsia" w:asciiTheme="minorEastAsia" w:hAnsiTheme="minorEastAsia"/>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Theme="minorEastAsia" w:hAnsiTheme="minorEastAsia"/>
          <w:b/>
          <w:szCs w:val="21"/>
        </w:rPr>
      </w:pPr>
      <w:r>
        <w:rPr>
          <w:rFonts w:hint="eastAsia" w:asciiTheme="minorEastAsia" w:hAnsiTheme="minorEastAsia"/>
          <w:b/>
          <w:szCs w:val="21"/>
        </w:rPr>
        <w:t>10.现场考察、开标前答疑会</w:t>
      </w:r>
    </w:p>
    <w:p>
      <w:pPr>
        <w:spacing w:line="360" w:lineRule="auto"/>
        <w:ind w:firstLine="420" w:firstLineChars="200"/>
        <w:rPr>
          <w:rFonts w:asciiTheme="minorEastAsia" w:hAnsiTheme="minorEastAsia"/>
          <w:szCs w:val="21"/>
        </w:rPr>
      </w:pPr>
      <w:r>
        <w:rPr>
          <w:rFonts w:hint="eastAsia" w:asciiTheme="minorEastAsia" w:hAnsiTheme="minorEastAsia"/>
          <w:szCs w:val="21"/>
        </w:rPr>
        <w:t>10.1招标人根据采购项目的具体情况，可以在招标文件公告期满后，组织已获取招标文件的潜在投标人现场考察或者召开开标前答疑会。</w:t>
      </w:r>
    </w:p>
    <w:p>
      <w:pPr>
        <w:spacing w:line="360" w:lineRule="auto"/>
        <w:ind w:firstLine="420" w:firstLineChars="200"/>
        <w:rPr>
          <w:rFonts w:asciiTheme="minorEastAsia" w:hAnsiTheme="minorEastAsia"/>
          <w:szCs w:val="21"/>
        </w:rPr>
      </w:pPr>
      <w:r>
        <w:rPr>
          <w:rFonts w:hint="eastAsia" w:asciiTheme="minorEastAsia" w:hAnsiTheme="minorEastAsia"/>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ind w:firstLine="420" w:firstLineChars="200"/>
        <w:rPr>
          <w:rFonts w:asciiTheme="minorEastAsia" w:hAnsiTheme="minorEastAsia"/>
          <w:szCs w:val="21"/>
        </w:rPr>
      </w:pPr>
      <w:r>
        <w:rPr>
          <w:rFonts w:hint="eastAsia" w:asciiTheme="minorEastAsia" w:hAnsiTheme="minorEastAsia"/>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Theme="minorEastAsia" w:hAnsiTheme="minorEastAsia"/>
          <w:szCs w:val="21"/>
        </w:rPr>
      </w:pPr>
      <w:r>
        <w:rPr>
          <w:rFonts w:hint="eastAsia" w:asciiTheme="minorEastAsia" w:hAnsiTheme="minorEastAsia"/>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ind w:firstLine="420" w:firstLineChars="200"/>
        <w:rPr>
          <w:rFonts w:asciiTheme="minorEastAsia" w:hAnsiTheme="minorEastAsia"/>
          <w:szCs w:val="21"/>
        </w:rPr>
      </w:pPr>
      <w:r>
        <w:rPr>
          <w:rFonts w:hint="eastAsia" w:asciiTheme="minorEastAsia" w:hAnsiTheme="minorEastAsia"/>
          <w:szCs w:val="21"/>
        </w:rPr>
        <w:t>10.4现场考察及参加开标前答疑会所发生的费用及一切责任由投标人自行承担。</w:t>
      </w:r>
    </w:p>
    <w:p>
      <w:pPr>
        <w:spacing w:line="360" w:lineRule="auto"/>
        <w:rPr>
          <w:rFonts w:asciiTheme="minorEastAsia" w:hAnsiTheme="minorEastAsia"/>
          <w:b/>
          <w:szCs w:val="21"/>
        </w:rPr>
      </w:pPr>
      <w:r>
        <w:rPr>
          <w:rFonts w:hint="eastAsia" w:asciiTheme="minorEastAsia" w:hAnsiTheme="minorEastAsia"/>
          <w:b/>
          <w:szCs w:val="21"/>
        </w:rPr>
        <w:t>11.招标文件的澄清或修改</w:t>
      </w:r>
    </w:p>
    <w:p>
      <w:pPr>
        <w:spacing w:line="360" w:lineRule="auto"/>
        <w:ind w:firstLine="420" w:firstLineChars="200"/>
        <w:rPr>
          <w:rFonts w:asciiTheme="minorEastAsia" w:hAnsiTheme="minorEastAsia"/>
          <w:szCs w:val="21"/>
        </w:rPr>
      </w:pPr>
      <w:r>
        <w:rPr>
          <w:rFonts w:hint="eastAsia" w:asciiTheme="minorEastAsia" w:hAnsiTheme="minorEastAsia"/>
          <w:szCs w:val="21"/>
        </w:rPr>
        <w:t>11.1在投标截止期前，无论出于何种原因，招标人可主动地或在解答潜在投标人提出的澄清问题时对招标文件进行修改。</w:t>
      </w:r>
    </w:p>
    <w:p>
      <w:pPr>
        <w:spacing w:line="360" w:lineRule="auto"/>
        <w:ind w:firstLine="420" w:firstLineChars="200"/>
        <w:rPr>
          <w:rFonts w:asciiTheme="minorEastAsia" w:hAnsiTheme="minorEastAsia"/>
          <w:szCs w:val="21"/>
        </w:rPr>
      </w:pPr>
      <w:r>
        <w:rPr>
          <w:rFonts w:hint="eastAsia" w:asciiTheme="minorEastAsia" w:hAnsiTheme="minorEastAsia"/>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asciiTheme="minorEastAsia" w:hAnsiTheme="minorEastAsia"/>
          <w:szCs w:val="21"/>
        </w:rPr>
      </w:pPr>
      <w:r>
        <w:rPr>
          <w:rFonts w:hint="eastAsia" w:asciiTheme="minorEastAsia" w:hAnsiTheme="minorEastAsia"/>
          <w:szCs w:val="21"/>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Theme="minorEastAsia" w:hAnsiTheme="minorEastAsia"/>
          <w:szCs w:val="21"/>
        </w:rPr>
      </w:pPr>
      <w:r>
        <w:rPr>
          <w:rFonts w:hint="eastAsia" w:asciiTheme="minorEastAsia" w:hAnsiTheme="minorEastAsia"/>
          <w:szCs w:val="21"/>
        </w:rPr>
        <w:t>11.4如果澄清或者修改发出的时间距规定的投标截止时间不足15日，招标人将顺延提交投标文件的截止时间。</w:t>
      </w:r>
    </w:p>
    <w:p>
      <w:pPr>
        <w:spacing w:line="360" w:lineRule="auto"/>
        <w:jc w:val="center"/>
        <w:outlineLvl w:val="0"/>
        <w:rPr>
          <w:rFonts w:asciiTheme="minorEastAsia" w:hAnsiTheme="minorEastAsia"/>
          <w:b/>
          <w:sz w:val="28"/>
          <w:szCs w:val="28"/>
        </w:rPr>
      </w:pPr>
      <w:bookmarkStart w:id="3" w:name="_Toc524770170"/>
      <w:r>
        <w:rPr>
          <w:rFonts w:hint="eastAsia" w:asciiTheme="minorEastAsia" w:hAnsiTheme="minorEastAsia"/>
          <w:b/>
          <w:sz w:val="28"/>
          <w:szCs w:val="28"/>
        </w:rPr>
        <w:t>三、投标文件的编制</w:t>
      </w:r>
      <w:bookmarkEnd w:id="3"/>
    </w:p>
    <w:p>
      <w:pPr>
        <w:spacing w:line="360" w:lineRule="auto"/>
        <w:rPr>
          <w:rFonts w:asciiTheme="minorEastAsia" w:hAnsiTheme="minorEastAsia"/>
          <w:b/>
          <w:szCs w:val="21"/>
        </w:rPr>
      </w:pPr>
      <w:r>
        <w:rPr>
          <w:rFonts w:hint="eastAsia" w:asciiTheme="minorEastAsia" w:hAnsiTheme="minorEastAsia"/>
          <w:b/>
          <w:szCs w:val="21"/>
        </w:rPr>
        <w:t>12.投标的语言及计量单位</w:t>
      </w:r>
    </w:p>
    <w:p>
      <w:pPr>
        <w:spacing w:line="360" w:lineRule="auto"/>
        <w:ind w:firstLine="420" w:firstLineChars="200"/>
        <w:rPr>
          <w:rFonts w:asciiTheme="minorEastAsia" w:hAnsiTheme="minorEastAsia"/>
          <w:szCs w:val="21"/>
        </w:rPr>
      </w:pPr>
      <w:r>
        <w:rPr>
          <w:rFonts w:hint="eastAsia" w:asciiTheme="minorEastAsia" w:hAnsiTheme="minorEastAsia"/>
          <w:szCs w:val="21"/>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Theme="minorEastAsia" w:hAnsiTheme="minorEastAsia"/>
          <w:szCs w:val="21"/>
        </w:rPr>
      </w:pPr>
      <w:r>
        <w:rPr>
          <w:rFonts w:hint="eastAsia" w:asciiTheme="minorEastAsia" w:hAnsiTheme="minorEastAsia"/>
          <w:szCs w:val="21"/>
        </w:rPr>
        <w:t>12.2投标计量单位，招标文件已有明确规定的，使用招标文件规定的计量单位；招标文件没有规定的，一律采用中华人民共和国法定计量单位。</w:t>
      </w:r>
    </w:p>
    <w:p>
      <w:pPr>
        <w:spacing w:line="360" w:lineRule="auto"/>
        <w:rPr>
          <w:rFonts w:asciiTheme="minorEastAsia" w:hAnsiTheme="minorEastAsia"/>
          <w:b/>
          <w:szCs w:val="21"/>
        </w:rPr>
      </w:pPr>
      <w:r>
        <w:rPr>
          <w:rFonts w:hint="eastAsia" w:asciiTheme="minorEastAsia" w:hAnsiTheme="minorEastAsia"/>
          <w:b/>
          <w:szCs w:val="21"/>
        </w:rPr>
        <w:t>13.投标报价</w:t>
      </w:r>
    </w:p>
    <w:p>
      <w:pPr>
        <w:spacing w:line="360" w:lineRule="auto"/>
        <w:ind w:firstLine="420" w:firstLineChars="200"/>
        <w:rPr>
          <w:rFonts w:asciiTheme="minorEastAsia" w:hAnsiTheme="minorEastAsia"/>
          <w:szCs w:val="21"/>
        </w:rPr>
      </w:pPr>
      <w:r>
        <w:rPr>
          <w:rFonts w:hint="eastAsia" w:asciiTheme="minorEastAsia" w:hAnsiTheme="minorEastAsia"/>
          <w:szCs w:val="21"/>
        </w:rPr>
        <w:t>13.1本次招标项目的投标均以人民币为计算单位。</w:t>
      </w:r>
    </w:p>
    <w:p>
      <w:pPr>
        <w:spacing w:line="360" w:lineRule="auto"/>
        <w:ind w:firstLine="420" w:firstLineChars="200"/>
        <w:rPr>
          <w:rFonts w:asciiTheme="minorEastAsia" w:hAnsiTheme="minorEastAsia"/>
          <w:szCs w:val="21"/>
        </w:rPr>
      </w:pPr>
      <w:r>
        <w:rPr>
          <w:rFonts w:hint="eastAsia" w:asciiTheme="minorEastAsia" w:hAnsiTheme="minorEastAsia"/>
          <w:szCs w:val="21"/>
        </w:rPr>
        <w:t>13.2采购人不得向投标人索要或者接受其给予的赠品、回扣或者与采购无关的其他商品、服务。</w:t>
      </w:r>
    </w:p>
    <w:p>
      <w:pPr>
        <w:spacing w:line="360" w:lineRule="auto"/>
        <w:ind w:firstLine="420" w:firstLineChars="200"/>
        <w:rPr>
          <w:rFonts w:asciiTheme="minorEastAsia" w:hAnsiTheme="minorEastAsia"/>
          <w:szCs w:val="21"/>
        </w:rPr>
      </w:pPr>
      <w:r>
        <w:rPr>
          <w:rFonts w:hint="eastAsia" w:asciiTheme="minorEastAsia" w:hAnsiTheme="minorEastAsia"/>
          <w:szCs w:val="21"/>
        </w:rPr>
        <w:t>13.3投标人应对项目要求的全部内容进行报价，少报漏报将导致其投标为非实质性响应予以拒绝。</w:t>
      </w:r>
    </w:p>
    <w:p>
      <w:pPr>
        <w:spacing w:line="360" w:lineRule="auto"/>
        <w:ind w:firstLine="420" w:firstLineChars="200"/>
        <w:rPr>
          <w:rFonts w:asciiTheme="minorEastAsia" w:hAnsiTheme="minorEastAsia"/>
          <w:szCs w:val="21"/>
        </w:rPr>
      </w:pPr>
      <w:r>
        <w:rPr>
          <w:rFonts w:hint="eastAsia" w:asciiTheme="minorEastAsia" w:hAnsiTheme="minorEastAsia"/>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Theme="minorEastAsia" w:hAnsiTheme="minorEastAsia"/>
          <w:szCs w:val="21"/>
        </w:rPr>
      </w:pPr>
      <w:r>
        <w:rPr>
          <w:rFonts w:hint="eastAsia" w:asciiTheme="minorEastAsia" w:hAnsiTheme="minorEastAsia"/>
          <w:szCs w:val="21"/>
        </w:rPr>
        <w:t>13.5本项目所涉及的运输、施工、安装、集成、调试、验收、备品和工具等费用均包含在投标报价中。</w:t>
      </w:r>
    </w:p>
    <w:p>
      <w:pPr>
        <w:spacing w:line="360" w:lineRule="auto"/>
        <w:ind w:firstLine="420" w:firstLineChars="200"/>
        <w:rPr>
          <w:rFonts w:asciiTheme="minorEastAsia" w:hAnsiTheme="minorEastAsia"/>
          <w:szCs w:val="21"/>
        </w:rPr>
      </w:pPr>
      <w:r>
        <w:rPr>
          <w:rFonts w:hint="eastAsia" w:asciiTheme="minorEastAsia" w:hAnsiTheme="minorEastAsia"/>
          <w:szCs w:val="21"/>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Theme="minorEastAsia" w:hAnsiTheme="minorEastAsia"/>
          <w:szCs w:val="21"/>
        </w:rPr>
      </w:pPr>
      <w:r>
        <w:rPr>
          <w:rFonts w:hint="eastAsia" w:asciiTheme="minorEastAsia" w:hAnsiTheme="minorEastAsia"/>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Theme="minorEastAsia" w:hAnsiTheme="minorEastAsia"/>
          <w:szCs w:val="21"/>
        </w:rPr>
      </w:pPr>
      <w:r>
        <w:rPr>
          <w:rFonts w:hint="eastAsia" w:asciiTheme="minorEastAsia" w:hAnsiTheme="minorEastAsia"/>
          <w:szCs w:val="21"/>
        </w:rPr>
        <w:t>13.8最低报价不能作为中标的保证。</w:t>
      </w:r>
    </w:p>
    <w:p>
      <w:pPr>
        <w:spacing w:line="360" w:lineRule="auto"/>
        <w:rPr>
          <w:rFonts w:asciiTheme="minorEastAsia" w:hAnsiTheme="minorEastAsia"/>
          <w:b/>
          <w:szCs w:val="21"/>
        </w:rPr>
      </w:pPr>
      <w:r>
        <w:rPr>
          <w:rFonts w:hint="eastAsia" w:asciiTheme="minorEastAsia" w:hAnsiTheme="minorEastAsia"/>
          <w:b/>
          <w:szCs w:val="21"/>
        </w:rPr>
        <w:t>14.投标有效期</w:t>
      </w:r>
    </w:p>
    <w:p>
      <w:pPr>
        <w:spacing w:line="360" w:lineRule="auto"/>
        <w:ind w:firstLine="420" w:firstLineChars="200"/>
        <w:rPr>
          <w:rFonts w:asciiTheme="minorEastAsia" w:hAnsiTheme="minorEastAsia"/>
          <w:szCs w:val="21"/>
        </w:rPr>
      </w:pPr>
      <w:r>
        <w:rPr>
          <w:rFonts w:hint="eastAsia" w:asciiTheme="minorEastAsia" w:hAnsiTheme="minorEastAsia"/>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Theme="minorEastAsia" w:hAnsiTheme="minorEastAsia"/>
          <w:szCs w:val="21"/>
        </w:rPr>
      </w:pPr>
      <w:r>
        <w:rPr>
          <w:rFonts w:hint="eastAsia" w:asciiTheme="minorEastAsia" w:hAnsiTheme="minorEastAsia"/>
          <w:szCs w:val="21"/>
        </w:rPr>
        <w:t>14.2投标有效期内投标人撤销投标文件的，投标人将承担违背投标承诺函的责任追究。</w:t>
      </w:r>
    </w:p>
    <w:p>
      <w:pPr>
        <w:spacing w:line="360" w:lineRule="auto"/>
        <w:ind w:firstLine="420" w:firstLineChars="200"/>
        <w:rPr>
          <w:rFonts w:asciiTheme="minorEastAsia" w:hAnsiTheme="minorEastAsia"/>
          <w:szCs w:val="21"/>
        </w:rPr>
      </w:pPr>
      <w:r>
        <w:rPr>
          <w:rFonts w:hint="eastAsia" w:asciiTheme="minorEastAsia" w:hAnsiTheme="minorEastAsia"/>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Theme="minorEastAsia" w:hAnsiTheme="minorEastAsia"/>
          <w:szCs w:val="21"/>
        </w:rPr>
      </w:pPr>
      <w:r>
        <w:rPr>
          <w:rFonts w:hint="eastAsia" w:asciiTheme="minorEastAsia" w:hAnsiTheme="minorEastAsia"/>
          <w:szCs w:val="21"/>
        </w:rPr>
        <w:t>14.4 中标人的投标文件作为项目合同的附件，其有效期至中标人全部合同义务履行完毕为止。</w:t>
      </w:r>
    </w:p>
    <w:p>
      <w:pPr>
        <w:spacing w:line="360" w:lineRule="auto"/>
        <w:rPr>
          <w:rFonts w:asciiTheme="minorEastAsia" w:hAnsiTheme="minorEastAsia"/>
          <w:b/>
          <w:szCs w:val="21"/>
        </w:rPr>
      </w:pPr>
      <w:r>
        <w:rPr>
          <w:rFonts w:hint="eastAsia" w:asciiTheme="minorEastAsia" w:hAnsiTheme="minorEastAsia"/>
          <w:b/>
          <w:szCs w:val="21"/>
        </w:rPr>
        <w:t>15.投标文件构成</w:t>
      </w:r>
    </w:p>
    <w:p>
      <w:pPr>
        <w:spacing w:line="360" w:lineRule="auto"/>
        <w:ind w:firstLine="420" w:firstLineChars="200"/>
        <w:rPr>
          <w:rFonts w:asciiTheme="minorEastAsia" w:hAnsiTheme="minorEastAsia"/>
          <w:szCs w:val="21"/>
        </w:rPr>
      </w:pPr>
      <w:r>
        <w:rPr>
          <w:rFonts w:hint="eastAsia" w:asciiTheme="minorEastAsia" w:hAnsiTheme="minorEastAsia"/>
          <w:szCs w:val="21"/>
        </w:rPr>
        <w:t>15.1投标文件的构成应符合法律法规及招标文件的要求。</w:t>
      </w:r>
    </w:p>
    <w:p>
      <w:pPr>
        <w:spacing w:line="360" w:lineRule="auto"/>
        <w:ind w:firstLine="420" w:firstLineChars="200"/>
        <w:rPr>
          <w:rFonts w:asciiTheme="minorEastAsia" w:hAnsiTheme="minorEastAsia"/>
          <w:szCs w:val="21"/>
        </w:rPr>
      </w:pPr>
      <w:r>
        <w:rPr>
          <w:rFonts w:hint="eastAsia" w:asciiTheme="minorEastAsia" w:hAnsiTheme="minorEastAsia"/>
          <w:szCs w:val="21"/>
        </w:rPr>
        <w:t>15.2投标人应当按照招标文件的要求编制投标文件。投标文件应当对招标文件提出的要求和条件作出明确响应。</w:t>
      </w:r>
    </w:p>
    <w:p>
      <w:pPr>
        <w:spacing w:line="360" w:lineRule="auto"/>
        <w:ind w:firstLine="420" w:firstLineChars="200"/>
        <w:rPr>
          <w:rFonts w:asciiTheme="minorEastAsia" w:hAnsiTheme="minorEastAsia"/>
          <w:szCs w:val="21"/>
        </w:rPr>
      </w:pPr>
      <w:r>
        <w:rPr>
          <w:rFonts w:hint="eastAsia" w:asciiTheme="minorEastAsia" w:hAnsiTheme="minorEastAsia"/>
          <w:szCs w:val="21"/>
        </w:rPr>
        <w:t>15.3投标文件由资格证明材料、符合性证明材料、其它材料等组成。</w:t>
      </w:r>
    </w:p>
    <w:p>
      <w:pPr>
        <w:spacing w:line="360" w:lineRule="auto"/>
        <w:ind w:firstLine="420" w:firstLineChars="200"/>
        <w:rPr>
          <w:rFonts w:asciiTheme="minorEastAsia" w:hAnsiTheme="minorEastAsia"/>
          <w:szCs w:val="21"/>
        </w:rPr>
      </w:pPr>
      <w:r>
        <w:rPr>
          <w:rFonts w:hint="eastAsia" w:asciiTheme="minorEastAsia" w:hAnsiTheme="minorEastAsia"/>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Theme="minorEastAsia" w:hAnsiTheme="minorEastAsia"/>
          <w:szCs w:val="21"/>
        </w:rPr>
      </w:pPr>
      <w:r>
        <w:rPr>
          <w:rFonts w:hint="eastAsia" w:asciiTheme="minorEastAsia" w:hAnsiTheme="minorEastAsia"/>
          <w:szCs w:val="21"/>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Theme="minorEastAsia" w:hAnsiTheme="minorEastAsia"/>
          <w:szCs w:val="21"/>
        </w:rPr>
      </w:pPr>
      <w:r>
        <w:rPr>
          <w:rFonts w:hint="eastAsia" w:asciiTheme="minorEastAsia" w:hAnsiTheme="minorEastAsia"/>
          <w:szCs w:val="21"/>
        </w:rPr>
        <w:t>电子投标文件制作技术咨询：</w:t>
      </w:r>
      <w:r>
        <w:rPr>
          <w:rFonts w:hint="eastAsia" w:asciiTheme="minorEastAsia" w:hAnsiTheme="minorEastAsia"/>
          <w:b/>
          <w:szCs w:val="21"/>
        </w:rPr>
        <w:t>0374-2961598</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b/>
          <w:szCs w:val="21"/>
        </w:rPr>
        <w:t>16.投标文件格式</w:t>
      </w:r>
    </w:p>
    <w:p>
      <w:pPr>
        <w:spacing w:line="360" w:lineRule="auto"/>
        <w:ind w:firstLine="420" w:firstLineChars="200"/>
        <w:rPr>
          <w:rFonts w:asciiTheme="minorEastAsia" w:hAnsiTheme="minorEastAsia"/>
          <w:szCs w:val="21"/>
        </w:rPr>
      </w:pPr>
      <w:r>
        <w:rPr>
          <w:rFonts w:hint="eastAsia" w:asciiTheme="minorEastAsia" w:hAnsiTheme="minorEastAsia"/>
          <w:szCs w:val="21"/>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Theme="minorEastAsia" w:hAnsiTheme="minorEastAsia"/>
          <w:szCs w:val="21"/>
        </w:rPr>
      </w:pPr>
      <w:r>
        <w:rPr>
          <w:rFonts w:hint="eastAsia" w:asciiTheme="minorEastAsia" w:hAnsiTheme="minorEastAsia"/>
          <w:szCs w:val="21"/>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17.投标保证金</w:t>
      </w:r>
    </w:p>
    <w:p>
      <w:pPr>
        <w:spacing w:line="360" w:lineRule="auto"/>
        <w:ind w:firstLine="420" w:firstLineChars="200"/>
        <w:rPr>
          <w:rFonts w:asciiTheme="minorEastAsia" w:hAnsiTheme="minorEastAsia"/>
          <w:szCs w:val="21"/>
        </w:rPr>
      </w:pPr>
      <w:r>
        <w:rPr>
          <w:rFonts w:hint="eastAsia" w:asciiTheme="minorEastAsia" w:hAnsiTheme="minorEastAsia"/>
          <w:szCs w:val="21"/>
        </w:rPr>
        <w:t>17.1 本项目不收取投标保证金。</w:t>
      </w:r>
    </w:p>
    <w:p>
      <w:pPr>
        <w:spacing w:line="360" w:lineRule="auto"/>
        <w:ind w:firstLine="420" w:firstLineChars="200"/>
        <w:rPr>
          <w:rFonts w:asciiTheme="minorEastAsia" w:hAnsiTheme="minorEastAsia"/>
          <w:szCs w:val="21"/>
        </w:rPr>
      </w:pPr>
      <w:r>
        <w:rPr>
          <w:rFonts w:hint="eastAsia" w:asciiTheme="minorEastAsia" w:hAnsiTheme="minorEastAsia"/>
          <w:szCs w:val="21"/>
        </w:rPr>
        <w:t>17.2 投标人应提供投标承诺函。</w:t>
      </w:r>
    </w:p>
    <w:p>
      <w:pPr>
        <w:spacing w:line="360" w:lineRule="auto"/>
        <w:rPr>
          <w:rFonts w:asciiTheme="minorEastAsia" w:hAnsiTheme="minorEastAsia"/>
          <w:b/>
          <w:szCs w:val="21"/>
        </w:rPr>
      </w:pPr>
      <w:r>
        <w:rPr>
          <w:rFonts w:hint="eastAsia" w:asciiTheme="minorEastAsia" w:hAnsiTheme="minorEastAsia"/>
          <w:b/>
          <w:szCs w:val="21"/>
        </w:rPr>
        <w:t>18.投标文件的数量和签署盖章</w:t>
      </w:r>
    </w:p>
    <w:p>
      <w:pPr>
        <w:spacing w:line="360" w:lineRule="auto"/>
        <w:ind w:firstLine="420" w:firstLineChars="200"/>
        <w:rPr>
          <w:rFonts w:asciiTheme="minorEastAsia" w:hAnsiTheme="minorEastAsia"/>
          <w:szCs w:val="21"/>
        </w:rPr>
      </w:pPr>
      <w:bookmarkStart w:id="4" w:name="_Toc524770171"/>
      <w:r>
        <w:rPr>
          <w:rFonts w:hint="eastAsia" w:asciiTheme="minorEastAsia" w:hAnsiTheme="minorEastAsia"/>
          <w:szCs w:val="21"/>
        </w:rPr>
        <w:t>18.1 投标人应提交投标文件份数见“投标人须知前附表”。</w:t>
      </w:r>
    </w:p>
    <w:p>
      <w:pPr>
        <w:spacing w:line="360" w:lineRule="auto"/>
        <w:ind w:firstLine="420" w:firstLineChars="200"/>
        <w:rPr>
          <w:rFonts w:asciiTheme="minorEastAsia" w:hAnsiTheme="minorEastAsia"/>
          <w:szCs w:val="21"/>
          <w:lang w:val="zh-CN"/>
        </w:rPr>
      </w:pPr>
      <w:r>
        <w:rPr>
          <w:rFonts w:hint="eastAsia" w:asciiTheme="minorEastAsia" w:hAnsiTheme="minorEastAsia"/>
          <w:szCs w:val="21"/>
        </w:rPr>
        <w:t>18.2 在招标文件中已明示需盖章及签名之处，电子投标文件应按招标文件要求加盖投标人电子印章和法人电子印章或授权代表电子印章。</w:t>
      </w:r>
    </w:p>
    <w:p>
      <w:pPr>
        <w:spacing w:line="360" w:lineRule="auto"/>
        <w:jc w:val="center"/>
        <w:outlineLvl w:val="0"/>
        <w:rPr>
          <w:rFonts w:asciiTheme="minorEastAsia" w:hAnsiTheme="minorEastAsia"/>
          <w:b/>
          <w:sz w:val="28"/>
          <w:szCs w:val="28"/>
        </w:rPr>
      </w:pPr>
    </w:p>
    <w:p>
      <w:pPr>
        <w:spacing w:line="360" w:lineRule="auto"/>
        <w:jc w:val="center"/>
        <w:outlineLvl w:val="0"/>
        <w:rPr>
          <w:rFonts w:asciiTheme="minorEastAsia" w:hAnsiTheme="minorEastAsia"/>
          <w:b/>
          <w:sz w:val="28"/>
          <w:szCs w:val="28"/>
        </w:rPr>
      </w:pPr>
      <w:r>
        <w:rPr>
          <w:rFonts w:hint="eastAsia" w:asciiTheme="minorEastAsia" w:hAnsiTheme="minorEastAsia"/>
          <w:b/>
          <w:sz w:val="28"/>
          <w:szCs w:val="28"/>
        </w:rPr>
        <w:t>四、投标文件的递交</w:t>
      </w:r>
      <w:bookmarkEnd w:id="4"/>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19</w:t>
      </w:r>
      <w:r>
        <w:rPr>
          <w:rFonts w:hint="eastAsia" w:cs="仿宋_GB2312" w:asciiTheme="minorEastAsia" w:hAnsiTheme="minorEastAsia"/>
          <w:b/>
          <w:szCs w:val="21"/>
          <w:lang w:val="zh-CN"/>
        </w:rPr>
        <w:t>．投标截止时间</w:t>
      </w:r>
    </w:p>
    <w:p>
      <w:pPr>
        <w:spacing w:line="360" w:lineRule="auto"/>
        <w:ind w:firstLine="420" w:firstLineChars="200"/>
        <w:rPr>
          <w:rFonts w:asciiTheme="minorEastAsia" w:hAnsiTheme="minorEastAsia"/>
          <w:szCs w:val="21"/>
        </w:rPr>
      </w:pPr>
      <w:r>
        <w:rPr>
          <w:rFonts w:hint="eastAsia" w:asciiTheme="minorEastAsia" w:hAnsiTheme="minorEastAsia"/>
          <w:szCs w:val="21"/>
        </w:rPr>
        <w:t>19.1 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Theme="minorEastAsia" w:hAnsiTheme="minorEastAsia"/>
          <w:szCs w:val="21"/>
        </w:rPr>
      </w:pPr>
      <w:r>
        <w:rPr>
          <w:rFonts w:hint="eastAsia" w:asciiTheme="minorEastAsia" w:hAnsiTheme="minorEastAsia"/>
          <w:szCs w:val="21"/>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asciiTheme="minorEastAsia" w:hAnsiTheme="minorEastAsia"/>
          <w:b/>
          <w:szCs w:val="21"/>
        </w:rPr>
      </w:pPr>
      <w:r>
        <w:rPr>
          <w:rFonts w:hint="eastAsia" w:asciiTheme="minorEastAsia" w:hAnsiTheme="minorEastAsia"/>
          <w:b/>
          <w:szCs w:val="21"/>
        </w:rPr>
        <w:t>20.迟交的投标文件</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投标截止时间之后上传的投标文件，招标人将拒绝接收。</w:t>
      </w:r>
    </w:p>
    <w:p>
      <w:pPr>
        <w:tabs>
          <w:tab w:val="left" w:pos="1260"/>
        </w:tabs>
        <w:autoSpaceDE w:val="0"/>
        <w:autoSpaceDN w:val="0"/>
        <w:spacing w:line="360" w:lineRule="auto"/>
        <w:contextualSpacing/>
        <w:rPr>
          <w:rFonts w:cs="仿宋_GB2312" w:asciiTheme="minorEastAsia" w:hAnsiTheme="minorEastAsia"/>
          <w:b/>
          <w:szCs w:val="21"/>
          <w:lang w:val="zh-CN"/>
        </w:rPr>
      </w:pPr>
      <w:bookmarkStart w:id="5" w:name="_Toc524770172"/>
      <w:r>
        <w:rPr>
          <w:rFonts w:hint="eastAsia" w:cs="仿宋_GB2312" w:asciiTheme="minorEastAsia" w:hAnsiTheme="minorEastAsia"/>
          <w:b/>
          <w:szCs w:val="21"/>
          <w:lang w:val="zh-CN"/>
        </w:rPr>
        <w:t>2</w:t>
      </w:r>
      <w:r>
        <w:rPr>
          <w:rFonts w:hint="eastAsia" w:cs="仿宋_GB2312" w:asciiTheme="minorEastAsia" w:hAnsiTheme="minorEastAsia"/>
          <w:b/>
          <w:szCs w:val="21"/>
        </w:rPr>
        <w:t>1</w:t>
      </w:r>
      <w:r>
        <w:rPr>
          <w:rFonts w:hint="eastAsia" w:cs="仿宋_GB2312" w:asciiTheme="minorEastAsia" w:hAnsiTheme="minorEastAsia"/>
          <w:b/>
          <w:szCs w:val="21"/>
          <w:lang w:val="zh-CN"/>
        </w:rPr>
        <w:t>. 投标文件的修改和撤回</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21.2 投标人补充、修改的内容并作为投标文件的组成部分。补充或修改应当按招标文件要求签署、盖章、提交，并应注明“修改”或“补充”字样。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21.3 投标人在提交投标文件后，可以撤回其投标，但投标人必须在规定的投标截止时间前以书面形式告知采购人。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21.4 投标人不得在投标有效期内撤销投标文件，否则投标人将承担违背投标承诺函的责任追究。</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22．除投标人须知前附表另有规定外，投标人所提交的电子投标文件不予退还。</w:t>
      </w:r>
    </w:p>
    <w:p>
      <w:pPr>
        <w:spacing w:line="360" w:lineRule="auto"/>
        <w:jc w:val="center"/>
        <w:outlineLvl w:val="0"/>
        <w:rPr>
          <w:rFonts w:asciiTheme="minorEastAsia" w:hAnsiTheme="minorEastAsia"/>
          <w:b/>
          <w:sz w:val="28"/>
          <w:szCs w:val="28"/>
        </w:rPr>
      </w:pPr>
    </w:p>
    <w:p>
      <w:pPr>
        <w:spacing w:line="360" w:lineRule="auto"/>
        <w:jc w:val="center"/>
        <w:outlineLvl w:val="0"/>
        <w:rPr>
          <w:rFonts w:asciiTheme="minorEastAsia" w:hAnsiTheme="minorEastAsia"/>
          <w:b/>
          <w:sz w:val="28"/>
          <w:szCs w:val="28"/>
        </w:rPr>
      </w:pPr>
      <w:r>
        <w:rPr>
          <w:rFonts w:hint="eastAsia" w:asciiTheme="minorEastAsia" w:hAnsiTheme="minorEastAsia"/>
          <w:b/>
          <w:sz w:val="28"/>
          <w:szCs w:val="28"/>
        </w:rPr>
        <w:t>五、开标和评标</w:t>
      </w:r>
      <w:bookmarkEnd w:id="5"/>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3</w:t>
      </w:r>
      <w:r>
        <w:rPr>
          <w:rFonts w:hint="eastAsia" w:cs="仿宋_GB2312" w:asciiTheme="minorEastAsia" w:hAnsiTheme="minorEastAsia"/>
          <w:b/>
          <w:szCs w:val="21"/>
          <w:lang w:val="zh-CN"/>
        </w:rPr>
        <w:t>. 开标</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23.4 如无投标人提出异议，采购代理机构通过“文字互动”对话框通知各投标人进行电子签章。投标人应在《开标记录表》上进行电子签章，未进行电子签章的视为对开标结果无异议。</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23.5 采购人（代理机构）签章并上传《开标记录表》，不见面开标活动结束。</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4</w:t>
      </w:r>
      <w:r>
        <w:rPr>
          <w:rFonts w:hint="eastAsia" w:cs="仿宋_GB2312" w:asciiTheme="minorEastAsia" w:hAnsiTheme="minorEastAsia"/>
          <w:b/>
          <w:szCs w:val="21"/>
          <w:lang w:val="zh-CN"/>
        </w:rPr>
        <w:t>. 资格审查</w:t>
      </w:r>
    </w:p>
    <w:p>
      <w:pPr>
        <w:spacing w:line="360" w:lineRule="auto"/>
        <w:ind w:firstLine="420" w:firstLineChars="200"/>
        <w:rPr>
          <w:rFonts w:cs="仿宋_GB2312" w:asciiTheme="minorEastAsia" w:hAnsiTheme="minorEastAsia"/>
          <w:szCs w:val="21"/>
          <w:lang w:val="zh-CN"/>
        </w:rPr>
      </w:pPr>
      <w:r>
        <w:rPr>
          <w:rFonts w:hint="eastAsia" w:asciiTheme="minorEastAsia" w:hAnsiTheme="minorEastAsia"/>
          <w:bCs/>
          <w:szCs w:val="21"/>
        </w:rPr>
        <w:t>开标结束后，采购人依法对投标人的资格进行审查。</w:t>
      </w:r>
      <w:r>
        <w:rPr>
          <w:rFonts w:hint="eastAsia" w:cs="仿宋_GB2312" w:asciiTheme="minorEastAsia" w:hAnsiTheme="minorEastAsia"/>
          <w:szCs w:val="21"/>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5</w:t>
      </w:r>
      <w:r>
        <w:rPr>
          <w:rFonts w:hint="eastAsia" w:cs="仿宋_GB2312" w:asciiTheme="minorEastAsia" w:hAnsiTheme="minorEastAsia"/>
          <w:b/>
          <w:szCs w:val="21"/>
          <w:lang w:val="zh-CN"/>
        </w:rPr>
        <w:t>.评标委员会的组成</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.1.1 招标人将依法组建评标委员会，评标委员会由评审专家组成，成员人数应当为5人以上单数。评审专家依法从政府采购评审专家库中随机抽取。</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25.1.2 采购项目符合下列情形之一的，评标委员会成员人数应当为7人以上单数：</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（一）采购预算金额在1000万元以上；</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（二）技术复杂；</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（三）社会影响较大。</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.1.3 评审专家对本单位的采购项目只能作为采购人代表参与评标。采购代理机构工作人员不得参加由本机构代理的政府采购项目的评标。</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.2 评审专家与投标人存在下列利害关系之一的,应当回避:</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(一)参加采购活动前三年内,与供应商存在劳动关系,或者担任过供应商的董事、监事,或者是供应商的控股股东或实际控制人；</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(二)与供应商的法定代表人或者负责人有夫妻、直系血亲、三代以内旁系血亲或者近姻亲关系；</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(三)与供应商有其他可能影响政府采购活动公平、公正进行的关系。</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.3 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rPr>
        <w:t>25</w:t>
      </w:r>
      <w:r>
        <w:rPr>
          <w:rFonts w:hint="eastAsia" w:asciiTheme="minorEastAsia" w:hAnsiTheme="minorEastAsia"/>
          <w:bCs/>
          <w:szCs w:val="21"/>
          <w:lang w:val="zh-CN"/>
        </w:rPr>
        <w:t>.4 采购人不得担任评标小组长。</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.5 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w:t>
      </w:r>
      <w:r>
        <w:rPr>
          <w:rFonts w:hint="eastAsia" w:asciiTheme="minorEastAsia" w:hAnsiTheme="minorEastAsia"/>
          <w:bCs/>
          <w:szCs w:val="21"/>
        </w:rPr>
        <w:t>5</w:t>
      </w:r>
      <w:r>
        <w:rPr>
          <w:rFonts w:hint="eastAsia" w:asciiTheme="minorEastAsia" w:hAnsiTheme="minorEastAsia"/>
          <w:bCs/>
          <w:szCs w:val="21"/>
          <w:lang w:val="zh-CN"/>
        </w:rPr>
        <w:t>.6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Cs w:val="21"/>
          <w:lang w:val="zh-CN"/>
        </w:rPr>
      </w:pPr>
      <w:bookmarkStart w:id="6" w:name="_Toc524770173"/>
      <w:r>
        <w:rPr>
          <w:rFonts w:hint="eastAsia" w:cs="仿宋_GB2312" w:asciiTheme="minorEastAsia" w:hAnsiTheme="minorEastAsia"/>
          <w:b/>
          <w:szCs w:val="21"/>
          <w:lang w:val="zh-CN"/>
        </w:rPr>
        <w:t>2</w:t>
      </w:r>
      <w:r>
        <w:rPr>
          <w:rFonts w:hint="eastAsia" w:cs="仿宋_GB2312" w:asciiTheme="minorEastAsia" w:hAnsiTheme="minorEastAsia"/>
          <w:b/>
          <w:szCs w:val="21"/>
        </w:rPr>
        <w:t>6</w:t>
      </w:r>
      <w:r>
        <w:rPr>
          <w:rFonts w:hint="eastAsia" w:cs="仿宋_GB2312" w:asciiTheme="minorEastAsia" w:hAnsiTheme="minorEastAsia"/>
          <w:b/>
          <w:szCs w:val="21"/>
          <w:lang w:val="zh-CN"/>
        </w:rPr>
        <w:t>. 符合性审查</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26.1 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26.2 审查、评价投标文件是否符合招标文件的商务、技术等实质性要求。</w:t>
      </w:r>
    </w:p>
    <w:p>
      <w:pPr>
        <w:spacing w:line="360" w:lineRule="auto"/>
        <w:ind w:firstLine="420" w:firstLineChars="200"/>
        <w:rPr>
          <w:rFonts w:asciiTheme="minorEastAsia" w:hAnsiTheme="minorEastAsia"/>
          <w:bCs/>
          <w:szCs w:val="21"/>
          <w:lang w:val="zh-CN"/>
        </w:rPr>
      </w:pPr>
      <w:r>
        <w:rPr>
          <w:rFonts w:hint="eastAsia" w:asciiTheme="minorEastAsia" w:hAnsiTheme="minorEastAsia"/>
          <w:bCs/>
          <w:szCs w:val="21"/>
          <w:lang w:val="zh-CN"/>
        </w:rPr>
        <w:t>26.3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7</w:t>
      </w:r>
      <w:r>
        <w:rPr>
          <w:rFonts w:hint="eastAsia" w:cs="仿宋_GB2312" w:asciiTheme="minorEastAsia" w:hAnsiTheme="minorEastAsia"/>
          <w:b/>
          <w:szCs w:val="21"/>
          <w:lang w:val="zh-CN"/>
        </w:rPr>
        <w:t>. 投标文件的澄清</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7</w:t>
      </w:r>
      <w:r>
        <w:rPr>
          <w:rFonts w:hint="eastAsia" w:cs="仿宋_GB2312" w:asciiTheme="minorEastAsia" w:hAnsiTheme="minorEastAsia"/>
          <w:szCs w:val="21"/>
          <w:lang w:val="zh-CN"/>
        </w:rPr>
        <w:t>.1 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7</w:t>
      </w:r>
      <w:r>
        <w:rPr>
          <w:rFonts w:hint="eastAsia" w:cs="仿宋_GB2312" w:asciiTheme="minorEastAsia" w:hAnsiTheme="minor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7</w:t>
      </w:r>
      <w:r>
        <w:rPr>
          <w:rFonts w:hint="eastAsia" w:cs="仿宋_GB2312" w:asciiTheme="minorEastAsia" w:hAnsiTheme="minorEastAsia"/>
          <w:szCs w:val="21"/>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2</w:t>
      </w:r>
      <w:r>
        <w:rPr>
          <w:rFonts w:hint="eastAsia" w:cs="仿宋_GB2312" w:asciiTheme="minorEastAsia" w:hAnsiTheme="minorEastAsia"/>
          <w:b/>
          <w:szCs w:val="21"/>
        </w:rPr>
        <w:t>8</w:t>
      </w:r>
      <w:r>
        <w:rPr>
          <w:rFonts w:hint="eastAsia" w:cs="仿宋_GB2312" w:asciiTheme="minorEastAsia" w:hAnsiTheme="minorEastAsia"/>
          <w:b/>
          <w:szCs w:val="21"/>
          <w:lang w:val="zh-CN"/>
        </w:rPr>
        <w:t>. 投标文件报价出现前后不一致的修正</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28.1 投标文件中开标一览表(报价表)内容与投标文件中相应内容不一致的，以开标一览表(报价表)为准；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28.2 大写金额和小写金额不一致的，以大写金额为准；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28.3 单价金额小数点或者百分比有明显错位的，以开标一览表的总价为准，并修改单价；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29</w:t>
      </w:r>
      <w:r>
        <w:rPr>
          <w:rFonts w:hint="eastAsia" w:cs="仿宋_GB2312" w:asciiTheme="minorEastAsia" w:hAnsiTheme="minorEastAsia"/>
          <w:b/>
          <w:szCs w:val="21"/>
          <w:lang w:val="zh-CN"/>
        </w:rPr>
        <w:t>.投标无效情形</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 投标文件属下列情况之一的，按照无效投标处理：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 xml:space="preserve">29.1.1 未按照招标文件的规定提交投标承诺函的； </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29.1.2 投标文件未按招标文件要求签署、盖章的；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29.1.3 不具备招标文件中规定的资格要求的；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29.1.4 报价超过招标文件中规定的预算金额或者最高限价的；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29.1.5 投标文件含有采购人不能接受的附加条件的。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 有下列情形之一的，视为投标人串通投标，其投标无效：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29.2.1 不同投标人的投标文件由同一单位或者个人编制；</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29.2.2 不同投标人委托同一单位或者个人办理投标事宜；</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29.2.3 不同投标人的投标文件载明的项目管理成员或者联系人员为同一人；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29.2.4 不同投标人的投标文件异常一致或者投标报价呈规律性差异；</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29.2.5 不同投标人的投标文件相互混装；</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29.6 法律、法规和招标文件规定的其他无效情形。</w:t>
      </w:r>
    </w:p>
    <w:p>
      <w:pPr>
        <w:spacing w:line="360" w:lineRule="auto"/>
        <w:rPr>
          <w:rFonts w:cs="仿宋_GB2312" w:asciiTheme="minorEastAsia" w:hAnsiTheme="minorEastAsia"/>
          <w:b/>
          <w:bCs/>
          <w:szCs w:val="21"/>
          <w:lang w:val="zh-CN"/>
        </w:rPr>
      </w:pPr>
      <w:r>
        <w:rPr>
          <w:rFonts w:hint="eastAsia" w:cs="仿宋_GB2312" w:asciiTheme="minorEastAsia" w:hAnsiTheme="minorEastAsia"/>
          <w:b/>
          <w:bCs/>
          <w:szCs w:val="21"/>
          <w:lang w:val="zh-CN"/>
        </w:rPr>
        <w:t>30. 相同品牌投标人的认定（服务项目不适用）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rPr>
        <w:t>31</w:t>
      </w:r>
      <w:r>
        <w:rPr>
          <w:rFonts w:hint="eastAsia" w:cs="仿宋_GB2312" w:asciiTheme="minorEastAsia" w:hAnsiTheme="minorEastAsia"/>
          <w:b/>
          <w:szCs w:val="21"/>
          <w:lang w:val="zh-CN"/>
        </w:rPr>
        <w:t>. 投标文件的比较与评价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2</w:t>
      </w:r>
      <w:r>
        <w:rPr>
          <w:rFonts w:hint="eastAsia" w:cs="仿宋_GB2312" w:asciiTheme="minorEastAsia" w:hAnsiTheme="minorEastAsia"/>
          <w:b/>
          <w:szCs w:val="21"/>
          <w:lang w:val="zh-CN"/>
        </w:rPr>
        <w:t>.评标方法、评标标准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 评标方法分为最低评标价法和综合评分法。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32.1.1 最低评标价法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32.1.1.1 最低评标价法，是指投标文件满足招标文件全部实质性要求，且投标报价最低的投标人为中标候选人的评标方法。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32.1.1.2 采用最低评标价法评标时，除了算术修正和落实政府采购政策需进行的价格扣除外，不能对投标人的投标价格进行任何调整。</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32.1.2 综合评分法，是指投标文件满足招标文件全部实质性要求，且按照评审因素的量化指标评审得分最高的投标人为中标候选人的评标方法。</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 价格分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32.2.1 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投标报价得分=(评标基准价/投标报价)×100</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评标总得分=F1×A1+F2×A2+……+Fn×An</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F1、F2……Fn分别为各项评审因素的得分;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A1、A2、……An 分别为各项评审因素所占的权重(A1+A2+……+An=1)。</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32.2.2 评标过程中，不得去掉报价中的最高报价和最低报价。</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32.2.3 因落实政府采购政策进行价格调整的，以调整后的价格计算评标基准价和投标报价。</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bCs/>
          <w:szCs w:val="21"/>
          <w:lang w:val="zh-CN"/>
        </w:rPr>
        <w:t>3</w:t>
      </w:r>
      <w:r>
        <w:rPr>
          <w:rFonts w:hint="eastAsia" w:cs="仿宋_GB2312" w:asciiTheme="minorEastAsia" w:hAnsiTheme="minorEastAsia"/>
          <w:b/>
          <w:bCs/>
          <w:szCs w:val="21"/>
        </w:rPr>
        <w:t>2</w:t>
      </w:r>
      <w:r>
        <w:rPr>
          <w:rFonts w:hint="eastAsia" w:cs="仿宋_GB2312" w:asciiTheme="minorEastAsia" w:hAnsiTheme="minorEastAsia"/>
          <w:b/>
          <w:bCs/>
          <w:szCs w:val="21"/>
          <w:lang w:val="zh-CN"/>
        </w:rPr>
        <w:t xml:space="preserve">.3 </w:t>
      </w:r>
      <w:r>
        <w:rPr>
          <w:rFonts w:hint="eastAsia" w:cs="仿宋_GB2312" w:asciiTheme="minorEastAsia" w:hAnsiTheme="minorEastAsia"/>
          <w:b/>
          <w:szCs w:val="21"/>
          <w:lang w:val="zh-CN"/>
        </w:rPr>
        <w:t>本次评标具体评标方法、评标标准见（第六章 资格审查与</w:t>
      </w:r>
      <w:r>
        <w:rPr>
          <w:rFonts w:hint="eastAsia" w:cs="宋体" w:asciiTheme="minorEastAsia" w:hAnsiTheme="minorEastAsia"/>
          <w:b/>
          <w:kern w:val="0"/>
          <w:szCs w:val="21"/>
        </w:rPr>
        <w:t>评标</w:t>
      </w:r>
      <w:r>
        <w:rPr>
          <w:rFonts w:hint="eastAsia" w:cs="仿宋_GB2312" w:asciiTheme="minorEastAsia" w:hAnsiTheme="minorEastAsia"/>
          <w:b/>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Theme="minorEastAsia" w:hAnsiTheme="minorEastAsia"/>
          <w:b/>
          <w:bCs/>
          <w:szCs w:val="21"/>
          <w:lang w:val="zh-CN"/>
        </w:rPr>
        <w:t>3</w:t>
      </w:r>
      <w:r>
        <w:rPr>
          <w:rFonts w:hint="eastAsia" w:asciiTheme="minorEastAsia" w:hAnsiTheme="minorEastAsia"/>
          <w:b/>
          <w:bCs/>
          <w:szCs w:val="21"/>
        </w:rPr>
        <w:t>3</w:t>
      </w:r>
      <w:r>
        <w:rPr>
          <w:rFonts w:hint="eastAsia" w:asciiTheme="minorEastAsia" w:hAnsiTheme="minorEastAsia"/>
          <w:b/>
          <w:bCs/>
          <w:szCs w:val="21"/>
          <w:lang w:val="zh-CN"/>
        </w:rPr>
        <w:t>. 推荐中标候选人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33.1 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4</w:t>
      </w:r>
      <w:r>
        <w:rPr>
          <w:rFonts w:hint="eastAsia" w:cs="仿宋_GB2312" w:asciiTheme="minorEastAsia" w:hAnsiTheme="minorEastAsia"/>
          <w:b/>
          <w:szCs w:val="21"/>
          <w:lang w:val="zh-CN"/>
        </w:rPr>
        <w:t>.评审意见无效情形</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评标委员会及其成员有下列行为之一的，其评审意见无效：</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34.1 确定参与评标至评标结束前私自接触投标人；</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34.2 接受投标人提出的与投标文件不一致的澄清或者说明，《投标人须知》26条规定的情形除外；</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34.3 违反评标纪律发表倾向性意见或者征询采购人的倾向性意见；</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34.4 对需要专业判断的主观评审因素协商评分；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34.5 在评标过程中擅离职守，影响评标程序正常进行的；</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34.6 记录、复制或者带走任何评标资料；</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34.7 其他不遵守评标纪律的行为。</w:t>
      </w:r>
    </w:p>
    <w:p>
      <w:pPr>
        <w:tabs>
          <w:tab w:val="left" w:pos="1260"/>
        </w:tabs>
        <w:autoSpaceDE w:val="0"/>
        <w:autoSpaceDN w:val="0"/>
        <w:spacing w:line="360" w:lineRule="auto"/>
        <w:contextualSpacing/>
        <w:rPr>
          <w:rFonts w:cs="仿宋_GB2312" w:asciiTheme="minorEastAsia" w:hAnsiTheme="minorEastAsia"/>
          <w:b/>
          <w:szCs w:val="21"/>
          <w:lang w:val="zh-CN"/>
        </w:rPr>
      </w:pPr>
      <w:r>
        <w:rPr>
          <w:rFonts w:hint="eastAsia" w:cs="仿宋_GB2312" w:asciiTheme="minorEastAsia" w:hAnsiTheme="minorEastAsia"/>
          <w:b/>
          <w:szCs w:val="21"/>
          <w:lang w:val="zh-CN"/>
        </w:rPr>
        <w:t>3</w:t>
      </w:r>
      <w:r>
        <w:rPr>
          <w:rFonts w:hint="eastAsia" w:cs="仿宋_GB2312" w:asciiTheme="minorEastAsia" w:hAnsiTheme="minorEastAsia"/>
          <w:b/>
          <w:szCs w:val="21"/>
        </w:rPr>
        <w:t>5</w:t>
      </w:r>
      <w:r>
        <w:rPr>
          <w:rFonts w:hint="eastAsia" w:cs="仿宋_GB2312" w:asciiTheme="minorEastAsia" w:hAnsiTheme="minorEastAsia"/>
          <w:b/>
          <w:szCs w:val="21"/>
          <w:lang w:val="zh-CN"/>
        </w:rPr>
        <w:t>. 保密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35.1 评审专家应当遵守评审工作纪律，不得泄露评审文件、评审情况和评审中获悉的商业秘密。</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35.2 采购人、采购代理机构应当采取必要措施，保证评标在严格保密的情况下进行。有关人员对评标情况以及在评标过程中获悉的国家秘密、商业秘密负有保密责任。</w:t>
      </w:r>
    </w:p>
    <w:p>
      <w:pPr>
        <w:spacing w:line="360" w:lineRule="auto"/>
        <w:jc w:val="center"/>
        <w:outlineLvl w:val="0"/>
        <w:rPr>
          <w:rFonts w:asciiTheme="minorEastAsia" w:hAnsiTheme="minorEastAsia"/>
          <w:b/>
          <w:sz w:val="28"/>
          <w:szCs w:val="28"/>
        </w:rPr>
      </w:pPr>
    </w:p>
    <w:p>
      <w:pPr>
        <w:spacing w:line="360" w:lineRule="auto"/>
        <w:jc w:val="center"/>
        <w:outlineLvl w:val="0"/>
        <w:rPr>
          <w:rFonts w:asciiTheme="minorEastAsia" w:hAnsiTheme="minorEastAsia"/>
          <w:b/>
          <w:sz w:val="28"/>
          <w:szCs w:val="28"/>
        </w:rPr>
      </w:pPr>
      <w:r>
        <w:rPr>
          <w:rFonts w:hint="eastAsia" w:asciiTheme="minorEastAsia" w:hAnsiTheme="minorEastAsia"/>
          <w:b/>
          <w:sz w:val="28"/>
          <w:szCs w:val="28"/>
        </w:rPr>
        <w:t>六、定标和授予合同</w:t>
      </w:r>
      <w:bookmarkEnd w:id="6"/>
    </w:p>
    <w:p>
      <w:pPr>
        <w:spacing w:line="360" w:lineRule="auto"/>
        <w:ind w:firstLine="420" w:firstLineChars="200"/>
      </w:pPr>
      <w:r>
        <w:t xml:space="preserve">36. 确定中标人 </w:t>
      </w:r>
    </w:p>
    <w:p>
      <w:pPr>
        <w:spacing w:line="360" w:lineRule="auto"/>
        <w:ind w:firstLine="420" w:firstLineChars="200"/>
      </w:pPr>
      <w:r>
        <w:t>36.1 采购人应当自收到评标报告之日起1个工作日内，在评标报告确定的中标候选人名单中 按顺序确定中标人。中标候选人并列的，由采购人采取随机抽取的方式确定。</w:t>
      </w:r>
    </w:p>
    <w:p>
      <w:pPr>
        <w:spacing w:line="360" w:lineRule="auto"/>
        <w:ind w:firstLine="420" w:firstLineChars="200"/>
      </w:pPr>
      <w:r>
        <w:t xml:space="preserve"> 36.1 采购人在收到评标报告1个工作日内未按评标报告推荐的中标候选人顺序确定中标人， 又不能说明合法理由的，视同按评标报告推荐的顺序确定排名第一的中标候选人为中标 人。</w:t>
      </w:r>
    </w:p>
    <w:p>
      <w:pPr>
        <w:spacing w:line="360" w:lineRule="auto"/>
        <w:ind w:firstLine="420" w:firstLineChars="200"/>
      </w:pPr>
      <w:r>
        <w:t xml:space="preserve"> 37. 中标公告、发出中标通知书 </w:t>
      </w:r>
    </w:p>
    <w:p>
      <w:pPr>
        <w:spacing w:line="360" w:lineRule="auto"/>
        <w:ind w:firstLine="420" w:firstLineChars="200"/>
      </w:pPr>
      <w:r>
        <w:t xml:space="preserve">37.1 采购人确认中标人后，1个工作日公告中标结果的同时，向中标人发出中标通知书。 </w:t>
      </w:r>
    </w:p>
    <w:p>
      <w:pPr>
        <w:spacing w:line="360" w:lineRule="auto"/>
        <w:ind w:firstLine="420" w:firstLineChars="200"/>
      </w:pPr>
      <w:r>
        <w:t>37.2 中标通知书发出后，采购人不得违法改变中标结果，中标人无正当理由不得放弃中标。 37.1 中标人在接到中标通知时，须向代理机构发送投标报价及分项报价一览表（包含主要中 标标的的名称、规格型号、数量、单价、服务要求等）电子文档，并同时通知代理机构 联系人。</w:t>
      </w:r>
    </w:p>
    <w:p>
      <w:pPr>
        <w:spacing w:line="360" w:lineRule="auto"/>
        <w:ind w:firstLine="420" w:firstLineChars="200"/>
      </w:pPr>
      <w:r>
        <w:t xml:space="preserve"> 38. 质疑提出与答复 </w:t>
      </w:r>
    </w:p>
    <w:p>
      <w:pPr>
        <w:spacing w:line="360" w:lineRule="auto"/>
        <w:ind w:firstLine="420" w:firstLineChars="200"/>
      </w:pPr>
      <w:r>
        <w:t xml:space="preserve"> 38.1 供应商认为采购文件、采购过程和中标结果使自己的权益受到损害的，可以按照《政府 采购质疑和投诉办法》（财政部令第94号）提出质疑。提出质疑的供应商应当是参与本项目采购活动的供应商。 </w:t>
      </w:r>
    </w:p>
    <w:p>
      <w:pPr>
        <w:spacing w:line="360" w:lineRule="auto"/>
        <w:ind w:firstLine="420" w:firstLineChars="200"/>
      </w:pPr>
      <w:r>
        <w:t>38.1.1 对采购文件提出质疑的，潜在投标人应已依法获取采购文件，且应当在获取采购 文件或者采购文件公告期限届满之日起7个工作日内通过《全国公共资源交易平台 （河南省·许昌市）》一次性提出，提出时应按照《政府采购质疑和投诉办法》 （财政部令第94号）第十二条规定提交质疑函和必要的证明材料，质疑提出后潜 在投标人应及时联系招标公告中集采机构联系人查看。如未提出视为全面接受；</w:t>
      </w:r>
    </w:p>
    <w:p>
      <w:pPr>
        <w:spacing w:line="360" w:lineRule="auto"/>
        <w:ind w:firstLine="420" w:firstLineChars="200"/>
      </w:pPr>
      <w:r>
        <w:t xml:space="preserve"> 38.1.2 对采购过程提出质疑的，为各采购程序环节结束之日起七个工作日内，以书面形 式向采购人和采购代理机构一次性提出； </w:t>
      </w:r>
    </w:p>
    <w:p>
      <w:pPr>
        <w:spacing w:line="360" w:lineRule="auto"/>
        <w:ind w:firstLine="420" w:firstLineChars="200"/>
      </w:pPr>
      <w:r>
        <w:t>38.1.3 对中标结果提出质疑的，为中标结果公告期限届满之日起七个工作日内，以书面 形式向采购人和采购代理机构一次性提出。</w:t>
      </w:r>
    </w:p>
    <w:p>
      <w:pPr>
        <w:spacing w:line="360" w:lineRule="auto"/>
        <w:ind w:firstLine="420" w:firstLineChars="200"/>
      </w:pPr>
      <w:r>
        <w:t xml:space="preserve"> 38. 2 采购人、采购代理机构认为供应商质疑不成立，或者成立但未对中标结果构成影响的， 继续开展采购活动；认为供应商质疑成立且影响或者可能影响中标结果的，按照下列情 况处理： 38.2.1 对采购文件提出的质疑，依法通过澄清或者修改可以继续开展采购活动的，澄清或 者修改采购文件后继续开展采购活动；否则应当修改采购文件后重新开展采购活动。 </w:t>
      </w:r>
    </w:p>
    <w:p>
      <w:pPr>
        <w:spacing w:line="360" w:lineRule="auto"/>
        <w:ind w:firstLine="420" w:firstLineChars="200"/>
      </w:pPr>
      <w:r>
        <w:t xml:space="preserve">38.2.2 对采购过程、中标结果提出的质疑，合格供应商符合法定数量时，可以从合格的中 标候选人中另行确定中标供应商的，应当依法另行确定中标供应商；否则应当重新 开展采购活动。 39. 签订合同与备案 </w:t>
      </w:r>
    </w:p>
    <w:p>
      <w:pPr>
        <w:spacing w:line="360" w:lineRule="auto"/>
        <w:ind w:firstLine="420" w:firstLineChars="200"/>
      </w:pPr>
      <w:r>
        <w:t xml:space="preserve">采购人应当自中标通知书发出之日起7日内，按照招标文件和中标人投标文件的规定， 与中标人签订书面合同。所签订的合同不得对招标文件确定的事项和中标人投标文件作 实质性修改。 采购人自采购合同签订之日起，1个工作日内到鄢陵县财政局采购办进行合同备案，并 登陆“许昌市政府采购网”进行网上备案。 </w:t>
      </w:r>
    </w:p>
    <w:p>
      <w:pPr>
        <w:spacing w:line="360" w:lineRule="auto"/>
        <w:ind w:firstLine="420" w:firstLineChars="200"/>
      </w:pPr>
      <w:r>
        <w:t>40. 履约保证金 “投标人须知前附表”中规定中标人提交履约保证金的，中标人应当以支票、汇票、本 票或者金融机构、担保机构出具的保函等非现金形式向采购人提交。履约保证金的数额 不得超过中标合同金额的10%。</w:t>
      </w:r>
    </w:p>
    <w:p>
      <w:pPr>
        <w:spacing w:line="360" w:lineRule="auto"/>
        <w:ind w:firstLine="420" w:firstLineChars="200"/>
      </w:pPr>
      <w:r>
        <w:t xml:space="preserve"> 41. 政府采购合同融资</w:t>
      </w:r>
    </w:p>
    <w:p>
      <w:pPr>
        <w:spacing w:line="360" w:lineRule="auto"/>
        <w:ind w:firstLine="420" w:firstLineChars="200"/>
      </w:pPr>
      <w:r>
        <w:t xml:space="preserve"> 41.1 缓解中小企业融资难题 政府采购合同融资是支持中小微企业发展，针对参与政府采购活动的供应商融资难、融 资贵问题推出的一项融资政策。根据河南省财政厅《关于印发深入推进政府采购合同融 资工作实施方案的通知》精神，我市目前已与以下金融机构合作开展政府采购信用融资 业务，中标供应商可持政府采购合同，通过“许昌市政府采购网”向所选的金融机构申 请贷款，无需抵押、担保，融资机构将根据《河南省政府采购合同融资工作实施方案》 （豫财购〔2017〕10号），按照双方自愿的原则提供便捷、优惠的贷款服务。 </w:t>
      </w:r>
    </w:p>
    <w:p>
      <w:pPr>
        <w:spacing w:line="360" w:lineRule="auto"/>
        <w:ind w:firstLine="420" w:firstLineChars="200"/>
      </w:pPr>
      <w:r>
        <w:t>41.2 合作金融机构（排名不分先后） 合作金融机构名称：</w:t>
      </w:r>
    </w:p>
    <w:p>
      <w:pPr>
        <w:spacing w:line="360" w:lineRule="auto"/>
        <w:ind w:firstLine="420" w:firstLineChars="200"/>
      </w:pPr>
      <w:r>
        <w:t xml:space="preserve">中原银行许昌分行（小微金融部） 联系人及电话：陈阳 13137407575 方金龙 15836539901 地址：许昌市建安大道与紫云路交汇处中原银行 </w:t>
      </w:r>
    </w:p>
    <w:p>
      <w:pPr>
        <w:spacing w:line="360" w:lineRule="auto"/>
        <w:ind w:firstLine="420" w:firstLineChars="200"/>
      </w:pPr>
      <w:r>
        <w:t xml:space="preserve">合作金融机构名称：浦发银行许昌分行 联系人及电话：赵勇 0374-7313569、7313502 18937459920 </w:t>
      </w:r>
    </w:p>
    <w:p>
      <w:pPr>
        <w:spacing w:line="360" w:lineRule="auto"/>
        <w:ind w:firstLine="420" w:firstLineChars="200"/>
      </w:pPr>
      <w:r>
        <w:t>地址：许昌市许继大道1163号许继花园</w:t>
      </w:r>
    </w:p>
    <w:p>
      <w:pPr>
        <w:spacing w:line="360" w:lineRule="auto"/>
        <w:ind w:firstLine="420" w:firstLineChars="200"/>
      </w:pPr>
      <w:r>
        <w:t xml:space="preserve"> 合作金融机构名称：交通银行许昌分行 联系人：宋纪刚 0374-2369912 13733951305 地址：许昌市莲城大道114号 </w:t>
      </w:r>
    </w:p>
    <w:p>
      <w:pPr>
        <w:spacing w:line="360" w:lineRule="auto"/>
        <w:ind w:firstLine="420" w:firstLineChars="200"/>
      </w:pPr>
      <w:r>
        <w:t>合作金融机构名称：光大银行许昌分行 联系人：李东磊 0374-2928168 18569936868 地址：许昌市魏都区八一路文峰路交叉口西北角 57</w:t>
      </w:r>
    </w:p>
    <w:p>
      <w:pPr>
        <w:spacing w:line="360" w:lineRule="auto"/>
        <w:ind w:firstLine="420" w:firstLineChars="200"/>
      </w:pPr>
      <w:r>
        <w:t xml:space="preserve"> 合作金融机构名称：招商银行许昌分行 联系人及电话：崔星迪 0374-5376058 18839983051 地址：许昌市建安大道中段新天下AB座 </w:t>
      </w:r>
    </w:p>
    <w:p>
      <w:pPr>
        <w:spacing w:line="360" w:lineRule="auto"/>
        <w:ind w:firstLine="420" w:firstLineChars="200"/>
      </w:pPr>
      <w:r>
        <w:t xml:space="preserve">合作金融机构名称：邮储银行许昌市分行 联系人及电话：张彦峰13839001972 武松涛18839902679 徐亚爽15038297574 地址：许昌市莲城大道邮储银行莲城支行二楼 </w:t>
      </w:r>
    </w:p>
    <w:p>
      <w:pPr>
        <w:spacing w:line="360" w:lineRule="auto"/>
        <w:ind w:firstLine="420" w:firstLineChars="200"/>
      </w:pPr>
      <w:r>
        <w:t xml:space="preserve">合作金融机构名称：中国银行许昌分行 联系人及电话：白炜 13938772680 刘晓飞 0374-3338596 地址：许昌市魏都区建设路1488号 </w:t>
      </w:r>
    </w:p>
    <w:p>
      <w:pPr>
        <w:spacing w:line="360" w:lineRule="auto"/>
        <w:ind w:firstLine="420" w:firstLineChars="200"/>
      </w:pPr>
      <w:r>
        <w:t>合作金融机构名称：中信银行郑州红专路支行 联系人：韩晨 13253490679 地址：郑州市金水区经三路北26号中信银行郑州红专路支行</w:t>
      </w:r>
    </w:p>
    <w:p>
      <w:pPr>
        <w:spacing w:line="360" w:lineRule="auto"/>
        <w:ind w:firstLine="420" w:firstLineChars="200"/>
      </w:pPr>
      <w:r>
        <w:t xml:space="preserve"> 41.3 “许昌市政府采购合同融资金融产品推介名录”链接 http://xuchang.hngp.gov.cn/xuchang/content?infoId=1606365368231095&amp;channelC ode=H711001</w:t>
      </w:r>
    </w:p>
    <w:p>
      <w:pPr>
        <w:spacing w:line="360" w:lineRule="auto"/>
        <w:ind w:firstLine="420" w:firstLineChars="200"/>
        <w:rPr>
          <w:rFonts w:cs="仿宋_GB2312" w:asciiTheme="minorEastAsia" w:hAnsiTheme="minorEastAsia"/>
          <w:szCs w:val="21"/>
          <w:lang w:val="zh-CN"/>
        </w:rPr>
      </w:pPr>
    </w:p>
    <w:p>
      <w:pPr>
        <w:pStyle w:val="2"/>
        <w:numPr>
          <w:ilvl w:val="3"/>
          <w:numId w:val="0"/>
        </w:numPr>
        <w:ind w:leftChars="0"/>
        <w:rPr>
          <w:lang w:val="zh-CN"/>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hint="eastAsia" w:cs="宋体" w:asciiTheme="minorEastAsia" w:hAnsiTheme="minorEastAsia"/>
          <w:b/>
          <w:color w:val="000000" w:themeColor="text1"/>
          <w:kern w:val="0"/>
          <w:sz w:val="32"/>
          <w:szCs w:val="32"/>
        </w:rPr>
      </w:pPr>
    </w:p>
    <w:p>
      <w:pPr>
        <w:widowControl/>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第五章 政府采购政策功能</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二、促进中小企业发展（不含民办非企业）</w:t>
      </w:r>
    </w:p>
    <w:p>
      <w:pPr>
        <w:spacing w:line="360" w:lineRule="auto"/>
        <w:ind w:firstLine="840" w:firstLineChars="4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本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3、以联合体形式参加政府采购活动，联合体各方均为中小企业的，联合体视同中小企业。</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其中，联合体各方均为小微企业的，联合体视同小微企业。</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4、接受大中型企业与小微企业组成联合体或者允许大中型企业向一家或者多家小微企业分的采购项目，对于联合协议或者分意向协议约定小微企业的合同份额占到合同总金额30%以上的，对联合体或者大中型企业的报价给予2-3%的扣除，用扣除后的价格参加评审。组成联合体或者接受分的小微企业与联合体内其他企业、分企业之间存在直接控股、管理关系的，不享受价格扣除优惠政策。</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5、按照本次采购标的所属行业的划型标准，符合条件的中小企业应按照招标文件格式要求提供《中小企业声明函》，否则不得享受相关中小企业扶持政策。</w:t>
      </w:r>
    </w:p>
    <w:p>
      <w:pPr>
        <w:spacing w:line="360" w:lineRule="auto"/>
        <w:ind w:firstLine="422" w:firstLineChars="200"/>
        <w:contextualSpacing/>
        <w:rPr>
          <w:rFonts w:cs="仿宋_GB2312" w:asciiTheme="minorEastAsia" w:hAnsiTheme="minorEastAsia"/>
          <w:b/>
          <w:bCs/>
          <w:color w:val="000000" w:themeColor="text1"/>
          <w:szCs w:val="21"/>
          <w:lang w:val="zh-CN"/>
        </w:rPr>
      </w:pPr>
      <w:r>
        <w:rPr>
          <w:rFonts w:hint="eastAsia" w:cs="仿宋_GB2312" w:asciiTheme="minorEastAsia" w:hAnsiTheme="minorEastAsia"/>
          <w:b/>
          <w:bCs/>
          <w:color w:val="000000" w:themeColor="text1"/>
          <w:szCs w:val="21"/>
          <w:lang w:val="zh-CN"/>
        </w:rPr>
        <w:t>三、支持监狱企业发展</w:t>
      </w:r>
    </w:p>
    <w:p>
      <w:pPr>
        <w:spacing w:line="360" w:lineRule="auto"/>
        <w:ind w:firstLine="840" w:firstLineChars="4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按照财政部、司法部发布的《关于政府采购支持监狱企业发展有关问题的通知》（财库［201</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bCs/>
          <w:color w:val="000000" w:themeColor="text1"/>
          <w:szCs w:val="21"/>
          <w:lang w:val="zh-CN"/>
        </w:rPr>
      </w:pPr>
      <w:r>
        <w:rPr>
          <w:rFonts w:hint="eastAsia" w:cs="仿宋_GB2312" w:asciiTheme="minorEastAsia" w:hAnsiTheme="minorEastAsia"/>
          <w:b/>
          <w:bCs/>
          <w:color w:val="000000" w:themeColor="text1"/>
          <w:szCs w:val="21"/>
          <w:lang w:val="zh-CN"/>
        </w:rPr>
        <w:t>四、促进残疾人就业</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括使用</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非残疾人福利性单位注册商标的货物）用扣除后的价格参与评审。残疾人福利性单位属于小型、微型企业的，不重复享受政策。</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2、符合条件的残疾人福利性单位在参加政府采购活动时，应当提供《三部门联合发布关</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735" w:firstLineChars="35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3、中标人为残疾人福利性单位的，招标人应当随中标结果同时公告其《残疾人福利性单位声明函》，接受社会监督。</w:t>
      </w:r>
    </w:p>
    <w:p>
      <w:pPr>
        <w:spacing w:line="360" w:lineRule="auto"/>
        <w:ind w:firstLine="735" w:firstLineChars="350"/>
        <w:contextualSpacing/>
        <w:rPr>
          <w:rFonts w:cs="仿宋_GB2312" w:asciiTheme="minorEastAsia" w:hAnsiTheme="minorEastAsia"/>
          <w:color w:val="FF0000"/>
          <w:szCs w:val="21"/>
          <w:lang w:val="zh-CN"/>
        </w:rPr>
      </w:pPr>
    </w:p>
    <w:p>
      <w:pPr>
        <w:spacing w:line="360" w:lineRule="auto"/>
        <w:ind w:firstLine="735" w:firstLineChars="350"/>
        <w:contextualSpacing/>
        <w:rPr>
          <w:rFonts w:cs="仿宋_GB2312" w:asciiTheme="minorEastAsia" w:hAnsiTheme="minorEastAsia"/>
          <w:color w:val="FF0000"/>
          <w:szCs w:val="21"/>
          <w:lang w:val="zh-CN"/>
        </w:rPr>
      </w:pPr>
    </w:p>
    <w:p>
      <w:pPr>
        <w:spacing w:line="360" w:lineRule="auto"/>
        <w:ind w:firstLine="735" w:firstLineChars="350"/>
        <w:contextualSpacing/>
        <w:rPr>
          <w:rFonts w:cs="仿宋_GB2312" w:asciiTheme="minorEastAsia" w:hAnsiTheme="minorEastAsia"/>
          <w:color w:val="FF0000"/>
          <w:szCs w:val="21"/>
          <w:lang w:val="zh-CN"/>
        </w:rPr>
      </w:pPr>
    </w:p>
    <w:p>
      <w:pPr>
        <w:spacing w:line="360" w:lineRule="auto"/>
        <w:ind w:firstLine="735" w:firstLineChars="350"/>
        <w:contextualSpacing/>
        <w:rPr>
          <w:rFonts w:cs="仿宋_GB2312" w:asciiTheme="minorEastAsia" w:hAnsiTheme="minorEastAsia"/>
          <w:color w:val="FF0000"/>
          <w:szCs w:val="21"/>
          <w:lang w:val="zh-CN"/>
        </w:rPr>
      </w:pPr>
    </w:p>
    <w:p>
      <w:pPr>
        <w:spacing w:line="360" w:lineRule="auto"/>
        <w:ind w:firstLine="735" w:firstLineChars="350"/>
        <w:contextualSpacing/>
        <w:rPr>
          <w:rFonts w:cs="仿宋_GB2312" w:asciiTheme="minorEastAsia" w:hAnsiTheme="minorEastAsia"/>
          <w:color w:val="FF0000"/>
          <w:szCs w:val="21"/>
          <w:lang w:val="zh-CN"/>
        </w:rPr>
      </w:pPr>
    </w:p>
    <w:p>
      <w:pPr>
        <w:spacing w:line="360" w:lineRule="auto"/>
        <w:ind w:firstLine="735" w:firstLineChars="350"/>
        <w:contextualSpacing/>
        <w:rPr>
          <w:rFonts w:cs="仿宋_GB2312" w:asciiTheme="minorEastAsia" w:hAnsiTheme="minorEastAsia"/>
          <w:color w:val="FF0000"/>
          <w:szCs w:val="21"/>
          <w:lang w:val="zh-CN"/>
        </w:rPr>
      </w:pPr>
    </w:p>
    <w:p>
      <w:pPr>
        <w:rPr>
          <w:lang w:val="zh-CN"/>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cs="微软雅黑" w:asciiTheme="minorEastAsia" w:hAnsiTheme="minorEastAsia"/>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000000" w:themeColor="text1"/>
                <w:szCs w:val="21"/>
              </w:rPr>
            </w:pPr>
            <w:r>
              <w:rPr>
                <w:rFonts w:hint="eastAsia" w:asciiTheme="minorEastAsia" w:hAnsiTheme="minorEastAsia"/>
                <w:bCs/>
                <w:szCs w:val="21"/>
              </w:rPr>
              <w:t>（1）投标人是法人（法人包括企业法人、机关法人、事业单位法</w:t>
            </w:r>
            <w:r>
              <w:rPr>
                <w:rFonts w:hint="eastAsia" w:asciiTheme="minorEastAsia" w:hAnsiTheme="minorEastAsia"/>
                <w:bCs/>
                <w:color w:val="000000" w:themeColor="text1"/>
                <w:szCs w:val="21"/>
              </w:rPr>
              <w:t>人和社会团体法人），提供本单位：</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①2020年度经审计的财务报告，包括资产负债表、利润表、现金流量表及其附注；</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②基本开户银行出具的资信证明；</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rPr>
            </w:pPr>
            <w:r>
              <w:rPr>
                <w:rFonts w:hint="eastAsia" w:cs="仿宋_GB2312" w:asciiTheme="minorEastAsia" w:hAnsiTheme="minorEastAsia"/>
                <w:color w:val="000000" w:themeColor="text1"/>
                <w:szCs w:val="21"/>
                <w:lang w:val="zh-CN"/>
              </w:rPr>
              <w:t>注：仅需提供序号</w:t>
            </w:r>
            <w:r>
              <w:rPr>
                <w:rFonts w:hint="eastAsia" w:asciiTheme="minorEastAsia" w:hAnsiTheme="minorEastAsia"/>
                <w:color w:val="000000" w:themeColor="text1"/>
                <w:szCs w:val="21"/>
              </w:rPr>
              <w:t>①～③其中之一即可。</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rPr>
              <w:t>①2020年度经审计</w:t>
            </w:r>
            <w:r>
              <w:rPr>
                <w:rFonts w:hint="eastAsia" w:asciiTheme="minorEastAsia" w:hAnsiTheme="minorEastAsia"/>
                <w:bCs/>
                <w:szCs w:val="21"/>
              </w:rPr>
              <w:t>的财务报告，包括资产负债表、利润表、现金流量表及其附注；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cs="仿宋_GB2312" w:asciiTheme="minorEastAsia" w:hAnsiTheme="minorEastAsia"/>
                <w:szCs w:val="21"/>
                <w:lang w:val="zh-CN"/>
              </w:rPr>
              <w:t>注：仅需提供序号</w:t>
            </w:r>
            <w:r>
              <w:rPr>
                <w:rFonts w:hint="eastAsia" w:asciiTheme="minorEastAsia" w:hAnsiTheme="minorEastAsia"/>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cs="微软雅黑" w:asciiTheme="minorEastAsia" w:hAnsiTheme="minorEastAsia"/>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cs="微软雅黑" w:asciiTheme="minorEastAsia" w:hAnsiTheme="minorEastAsia"/>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cs="仿宋_GB2312" w:asciiTheme="minorEastAsia" w:hAnsiTheme="minorEastAsia"/>
                <w:szCs w:val="21"/>
                <w:lang w:val="zh-CN"/>
              </w:rPr>
              <w:t>注：仅需提供序号</w:t>
            </w:r>
            <w:r>
              <w:rPr>
                <w:rFonts w:hint="eastAsia" w:asciiTheme="minorEastAsia" w:hAnsiTheme="minorEastAsia"/>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cs="微软雅黑" w:asciiTheme="minorEastAsia" w:hAnsiTheme="minorEastAsia"/>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6"/>
                <w:rFonts w:hint="eastAsia" w:asciiTheme="minorEastAsia" w:hAnsiTheme="minorEastAsia"/>
                <w:bCs/>
                <w:color w:val="auto"/>
                <w:szCs w:val="21"/>
              </w:rPr>
              <w:t>www.creditchina.gov.cn</w:t>
            </w:r>
            <w:r>
              <w:rPr>
                <w:rStyle w:val="36"/>
                <w:rFonts w:hint="eastAsia" w:asciiTheme="minorEastAsia" w:hAnsiTheme="minorEastAsia"/>
                <w:bCs/>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szCs w:val="21"/>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szCs w:val="21"/>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cs="微软雅黑" w:asciiTheme="minorEastAsia" w:hAnsiTheme="minorEastAsia"/>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投标人应具备的特殊</w:t>
            </w:r>
          </w:p>
          <w:p>
            <w:pPr>
              <w:spacing w:line="360" w:lineRule="auto"/>
              <w:rPr>
                <w:rFonts w:asciiTheme="minorEastAsia" w:hAnsiTheme="minorEastAsia"/>
                <w:b/>
                <w:bCs/>
                <w:szCs w:val="21"/>
              </w:rPr>
            </w:pPr>
            <w:r>
              <w:rPr>
                <w:rFonts w:hint="eastAsia" w:asciiTheme="minorEastAsia" w:hAnsiTheme="minorEastAsia"/>
                <w:b/>
                <w:szCs w:val="21"/>
              </w:rPr>
              <w:t>要求</w:t>
            </w:r>
          </w:p>
        </w:tc>
        <w:tc>
          <w:tcPr>
            <w:tcW w:w="5954" w:type="dxa"/>
            <w:vAlign w:val="center"/>
          </w:tcPr>
          <w:p>
            <w:pPr>
              <w:pStyle w:val="25"/>
              <w:widowControl/>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7" w:name="baidusnap2"/>
            <w:bookmarkEnd w:id="7"/>
            <w:r>
              <w:rPr>
                <w:rFonts w:hint="eastAsia" w:cs="仿宋_GB2312" w:asciiTheme="minorEastAsia" w:hAnsiTheme="minorEastAsia"/>
                <w:szCs w:val="21"/>
                <w:lang w:val="zh-CN"/>
              </w:rPr>
              <w:t>提供未为本项目提供整体设计、</w:t>
            </w:r>
            <w:bookmarkStart w:id="8" w:name="baidusnap9"/>
            <w:bookmarkEnd w:id="8"/>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22" w:firstLineChars="200"/>
        <w:contextualSpacing/>
        <w:rPr>
          <w:rFonts w:cs="仿宋_GB2312" w:asciiTheme="minorEastAsia" w:hAnsiTheme="minorEastAsia" w:eastAsiaTheme="minorEastAsia"/>
          <w:b/>
          <w:sz w:val="21"/>
          <w:szCs w:val="21"/>
          <w:lang w:val="zh-CN"/>
        </w:rPr>
      </w:pPr>
    </w:p>
    <w:p>
      <w:pPr>
        <w:pStyle w:val="17"/>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1）如果本项目非专门面向中小企业采购，对符合《政府采购促进中小企业发展管理办法》</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（财库［2020]46号规定的小微企业报价给予</w:t>
      </w:r>
      <w:r>
        <w:rPr>
          <w:rFonts w:hint="eastAsia" w:cs="仿宋_GB2312" w:asciiTheme="minorEastAsia" w:hAnsiTheme="minorEastAsia" w:eastAsiaTheme="minorEastAsia"/>
          <w:color w:val="000000" w:themeColor="text1"/>
          <w:sz w:val="21"/>
          <w:szCs w:val="21"/>
          <w:lang w:val="en-US" w:eastAsia="zh-CN"/>
        </w:rPr>
        <w:t>10</w:t>
      </w:r>
      <w:r>
        <w:rPr>
          <w:rFonts w:hint="eastAsia" w:cs="仿宋_GB2312" w:asciiTheme="minorEastAsia" w:hAnsiTheme="minorEastAsia" w:eastAsiaTheme="minorEastAsia"/>
          <w:color w:val="000000" w:themeColor="text1"/>
          <w:sz w:val="21"/>
          <w:szCs w:val="21"/>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业向一家或者多家小微企业分的采购项目，对于联合协议或者分意向协议约定小微企业的合</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同份额占到合同总金额30%以上的，对联合体或者大中型企业的报价给予2%的扣除，用扣除后的价格参加评审。组成联合体或者接受分的小微企业与联合体内其他企业、分企业之间存在</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直接控股、管理关系的，不享受价格扣除优惠政策。按照本次采购标的所属行业的划型标准，符合条件的中小企业应按照招标文件格式要求提供《中小企业声明函》，否则不得享受相关中小企</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业扶持政策。</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2）对监狱企业价格给予</w:t>
      </w:r>
      <w:r>
        <w:rPr>
          <w:rFonts w:hint="eastAsia" w:cs="仿宋_GB2312" w:asciiTheme="minorEastAsia" w:hAnsiTheme="minorEastAsia"/>
          <w:color w:val="000000" w:themeColor="text1"/>
          <w:szCs w:val="21"/>
          <w:lang w:val="en-US" w:eastAsia="zh-CN"/>
        </w:rPr>
        <w:t>10</w:t>
      </w:r>
      <w:r>
        <w:rPr>
          <w:rFonts w:hint="eastAsia" w:cs="仿宋_GB2312" w:asciiTheme="minorEastAsia" w:hAnsiTheme="minorEastAsia"/>
          <w:color w:val="000000" w:themeColor="text1"/>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000000" w:themeColor="text1"/>
          <w:sz w:val="21"/>
          <w:szCs w:val="21"/>
          <w:lang w:val="en-US" w:eastAsia="zh-CN"/>
        </w:rPr>
        <w:t>10</w:t>
      </w:r>
      <w:r>
        <w:rPr>
          <w:rFonts w:hint="eastAsia" w:cs="仿宋_GB2312" w:asciiTheme="minorEastAsia" w:hAnsiTheme="minorEastAsia" w:eastAsiaTheme="minorEastAsia"/>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themeColor="text1"/>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asciiTheme="minorEastAsia" w:hAnsiTheme="minorEastAsia" w:eastAsiaTheme="minorEastAsia"/>
          <w:b/>
          <w:color w:val="000000" w:themeColor="text1"/>
          <w:sz w:val="21"/>
          <w:szCs w:val="21"/>
        </w:rPr>
        <w:t>（2）</w:t>
      </w:r>
      <w:r>
        <w:rPr>
          <w:rFonts w:cs="仿宋_GB2312" w:asciiTheme="minorEastAsia" w:hAnsiTheme="minorEastAsia" w:eastAsiaTheme="minorEastAsia"/>
          <w:b/>
          <w:color w:val="000000" w:themeColor="text1"/>
          <w:sz w:val="21"/>
          <w:szCs w:val="21"/>
          <w:lang w:val="zh-CN"/>
        </w:rPr>
        <w:t>关于相同品牌产品</w:t>
      </w:r>
      <w:r>
        <w:rPr>
          <w:rFonts w:cs="仿宋_GB2312" w:asciiTheme="minorEastAsia" w:hAnsiTheme="minorEastAsia" w:eastAsiaTheme="minorEastAsia"/>
          <w:b/>
          <w:bCs/>
          <w:color w:val="000000" w:themeColor="text1"/>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color w:val="000000" w:themeColor="text1"/>
          <w:sz w:val="21"/>
          <w:szCs w:val="21"/>
          <w:lang w:val="zh-CN"/>
        </w:rPr>
      </w:pPr>
      <w:r>
        <w:rPr>
          <w:rFonts w:cs="仿宋_GB2312" w:asciiTheme="minorEastAsia" w:hAnsiTheme="minorEastAsia" w:eastAsiaTheme="minorEastAsia"/>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000000" w:themeColor="text1"/>
          <w:sz w:val="21"/>
          <w:szCs w:val="21"/>
          <w:lang w:val="zh-CN"/>
        </w:rPr>
        <w:t>采取随机抽取</w:t>
      </w:r>
      <w:r>
        <w:rPr>
          <w:rFonts w:cs="仿宋_GB2312" w:asciiTheme="minorEastAsia" w:hAnsiTheme="minorEastAsia" w:eastAsiaTheme="minorEastAsia"/>
          <w:color w:val="000000" w:themeColor="text1"/>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color w:val="000000" w:themeColor="text1"/>
          <w:sz w:val="21"/>
          <w:szCs w:val="21"/>
          <w:lang w:val="zh-CN"/>
        </w:rPr>
        <w:t>采用综合评分法的，提供相同品牌产品</w:t>
      </w:r>
      <w:r>
        <w:rPr>
          <w:rFonts w:hint="eastAsia" w:cs="仿宋_GB2312" w:asciiTheme="minorEastAsia" w:hAnsiTheme="minorEastAsia" w:eastAsiaTheme="minorEastAsia"/>
          <w:color w:val="000000" w:themeColor="text1"/>
          <w:sz w:val="21"/>
          <w:szCs w:val="21"/>
          <w:lang w:val="zh-CN"/>
        </w:rPr>
        <w:t>（</w:t>
      </w:r>
      <w:r>
        <w:rPr>
          <w:rFonts w:cs="仿宋_GB2312" w:asciiTheme="minorEastAsia" w:hAnsiTheme="minorEastAsia" w:eastAsiaTheme="minorEastAsia"/>
          <w:color w:val="000000" w:themeColor="text1"/>
          <w:sz w:val="21"/>
          <w:szCs w:val="21"/>
          <w:lang w:val="zh-CN"/>
        </w:rPr>
        <w:t>非单一产品采购项目，多家投标人提供的核心产品品牌相同</w:t>
      </w:r>
      <w:r>
        <w:rPr>
          <w:rFonts w:hint="eastAsia" w:cs="仿宋_GB2312" w:asciiTheme="minorEastAsia" w:hAnsiTheme="minorEastAsia" w:eastAsiaTheme="minorEastAsia"/>
          <w:color w:val="000000" w:themeColor="text1"/>
          <w:sz w:val="21"/>
          <w:szCs w:val="21"/>
          <w:lang w:val="zh-CN"/>
        </w:rPr>
        <w:t>）</w:t>
      </w:r>
      <w:r>
        <w:rPr>
          <w:rFonts w:cs="仿宋_GB2312" w:asciiTheme="minorEastAsia" w:hAnsiTheme="minorEastAsia" w:eastAsiaTheme="minorEastAsia"/>
          <w:color w:val="000000" w:themeColor="text1"/>
          <w:sz w:val="21"/>
          <w:szCs w:val="21"/>
          <w:lang w:val="zh-CN"/>
        </w:rPr>
        <w:t>且通过资格审查、符合性审查的不同投标人参加同一合同项下投标的，</w:t>
      </w:r>
      <w:r>
        <w:rPr>
          <w:rFonts w:cs="仿宋_GB2312" w:asciiTheme="minorEastAsia" w:hAnsiTheme="minorEastAsia" w:eastAsiaTheme="minorEastAsia"/>
          <w:sz w:val="21"/>
          <w:szCs w:val="21"/>
          <w:lang w:val="zh-CN"/>
        </w:rPr>
        <w:t>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 投标人所投产品如被列入</w:t>
      </w:r>
      <w:r>
        <w:rPr>
          <w:rFonts w:cs="仿宋_GB2312" w:asciiTheme="minorEastAsia" w:hAnsiTheme="minorEastAsia"/>
          <w:szCs w:val="21"/>
          <w:lang w:val="zh-CN"/>
        </w:rPr>
        <w:t>《信息安全产品强制性认证目录》，</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color w:val="3F3F3F" w:themeColor="text1" w:themeTint="BF"/>
          <w:sz w:val="21"/>
          <w:szCs w:val="21"/>
          <w:lang w:val="zh-CN"/>
        </w:rPr>
      </w:pPr>
      <w:r>
        <w:rPr>
          <w:rFonts w:hint="eastAsia" w:cs="仿宋_GB2312" w:asciiTheme="minorEastAsia" w:hAnsiTheme="minorEastAsia" w:eastAsiaTheme="minorEastAsia"/>
          <w:b/>
          <w:color w:val="3F3F3F" w:themeColor="text1" w:themeTint="BF"/>
          <w:sz w:val="21"/>
          <w:szCs w:val="21"/>
          <w:lang w:val="zh-CN"/>
        </w:rPr>
        <w:t>（6）评标标准</w:t>
      </w:r>
    </w:p>
    <w:tbl>
      <w:tblPr>
        <w:tblStyle w:val="29"/>
        <w:tblpPr w:leftFromText="180" w:rightFromText="180" w:vertAnchor="text" w:horzAnchor="page" w:tblpX="1478" w:tblpY="509"/>
        <w:tblOverlap w:val="never"/>
        <w:tblW w:w="9113" w:type="dxa"/>
        <w:tblInd w:w="0" w:type="dxa"/>
        <w:tblLayout w:type="fixed"/>
        <w:tblCellMar>
          <w:top w:w="0" w:type="dxa"/>
          <w:left w:w="108" w:type="dxa"/>
          <w:bottom w:w="0" w:type="dxa"/>
          <w:right w:w="108" w:type="dxa"/>
        </w:tblCellMar>
      </w:tblPr>
      <w:tblGrid>
        <w:gridCol w:w="1317"/>
        <w:gridCol w:w="6973"/>
        <w:gridCol w:w="823"/>
      </w:tblGrid>
      <w:tr>
        <w:tblPrEx>
          <w:tblCellMar>
            <w:top w:w="0" w:type="dxa"/>
            <w:left w:w="108" w:type="dxa"/>
            <w:bottom w:w="0" w:type="dxa"/>
            <w:right w:w="108" w:type="dxa"/>
          </w:tblCellMar>
        </w:tblPrEx>
        <w:trPr>
          <w:trHeight w:val="900"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autoSpaceDE w:val="0"/>
              <w:autoSpaceDN w:val="0"/>
              <w:spacing w:line="360" w:lineRule="auto"/>
              <w:jc w:val="center"/>
              <w:rPr>
                <w:rFonts w:ascii="宋体" w:hAnsi="宋体" w:eastAsia="宋体" w:cs="宋体"/>
                <w:sz w:val="24"/>
                <w:szCs w:val="24"/>
              </w:rPr>
            </w:pPr>
            <w:r>
              <w:rPr>
                <w:rFonts w:hint="eastAsia" w:ascii="宋体" w:hAnsi="宋体" w:eastAsia="宋体" w:cs="宋体"/>
                <w:sz w:val="24"/>
                <w:szCs w:val="24"/>
              </w:rPr>
              <w:t>(总100分)</w:t>
            </w:r>
          </w:p>
        </w:tc>
        <w:tc>
          <w:tcPr>
            <w:tcW w:w="7796" w:type="dxa"/>
            <w:gridSpan w:val="2"/>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200"/>
              <w:jc w:val="center"/>
              <w:rPr>
                <w:rFonts w:ascii="宋体" w:hAnsi="宋体" w:eastAsia="宋体" w:cs="宋体"/>
                <w:sz w:val="24"/>
                <w:szCs w:val="24"/>
              </w:rPr>
            </w:pPr>
            <w:r>
              <w:rPr>
                <w:rFonts w:hint="eastAsia" w:ascii="宋体" w:hAnsi="宋体" w:eastAsia="宋体" w:cs="宋体"/>
                <w:sz w:val="24"/>
                <w:szCs w:val="24"/>
              </w:rPr>
              <w:t xml:space="preserve">价格分值： </w:t>
            </w:r>
            <w:r>
              <w:rPr>
                <w:rFonts w:hint="eastAsia" w:ascii="宋体" w:hAnsi="宋体" w:eastAsia="宋体" w:cs="宋体"/>
                <w:sz w:val="24"/>
                <w:szCs w:val="24"/>
                <w:lang w:val="en-US" w:eastAsia="zh-CN"/>
              </w:rPr>
              <w:t>4</w:t>
            </w:r>
            <w:r>
              <w:rPr>
                <w:rFonts w:hint="eastAsia" w:ascii="宋体" w:hAnsi="宋体" w:eastAsia="宋体" w:cs="宋体"/>
                <w:sz w:val="24"/>
                <w:szCs w:val="24"/>
              </w:rPr>
              <w:t>0 分</w:t>
            </w:r>
          </w:p>
          <w:p>
            <w:pPr>
              <w:autoSpaceDE w:val="0"/>
              <w:autoSpaceDN w:val="0"/>
              <w:spacing w:line="360" w:lineRule="auto"/>
              <w:ind w:firstLine="200"/>
              <w:jc w:val="center"/>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分</w:t>
            </w:r>
          </w:p>
          <w:p>
            <w:pPr>
              <w:autoSpaceDE w:val="0"/>
              <w:autoSpaceDN w:val="0"/>
              <w:spacing w:line="360" w:lineRule="auto"/>
              <w:ind w:firstLine="200"/>
              <w:jc w:val="center"/>
              <w:rPr>
                <w:rFonts w:ascii="宋体" w:hAnsi="宋体" w:eastAsia="宋体" w:cs="宋体"/>
                <w:sz w:val="24"/>
                <w:szCs w:val="24"/>
              </w:rPr>
            </w:pPr>
            <w:r>
              <w:rPr>
                <w:rFonts w:hint="eastAsia" w:ascii="宋体" w:hAnsi="宋体" w:eastAsia="宋体" w:cs="宋体"/>
                <w:sz w:val="24"/>
                <w:szCs w:val="24"/>
              </w:rPr>
              <w:t xml:space="preserve">技术部分： </w:t>
            </w:r>
            <w:r>
              <w:rPr>
                <w:rFonts w:hint="eastAsia" w:ascii="宋体" w:hAnsi="宋体" w:eastAsia="宋体" w:cs="宋体"/>
                <w:sz w:val="24"/>
                <w:szCs w:val="24"/>
                <w:lang w:val="en-US" w:eastAsia="zh-CN"/>
              </w:rPr>
              <w:t>36</w:t>
            </w:r>
            <w:r>
              <w:rPr>
                <w:rFonts w:hint="eastAsia" w:ascii="宋体" w:hAnsi="宋体" w:eastAsia="宋体" w:cs="宋体"/>
                <w:sz w:val="24"/>
                <w:szCs w:val="24"/>
              </w:rPr>
              <w:t xml:space="preserve"> 分</w:t>
            </w:r>
          </w:p>
        </w:tc>
      </w:tr>
      <w:tr>
        <w:tblPrEx>
          <w:tblCellMar>
            <w:top w:w="0" w:type="dxa"/>
            <w:left w:w="0" w:type="dxa"/>
            <w:bottom w:w="0" w:type="dxa"/>
            <w:right w:w="0" w:type="dxa"/>
          </w:tblCellMar>
        </w:tblPrEx>
        <w:trPr>
          <w:trHeight w:val="567" w:hRule="atLeast"/>
        </w:trPr>
        <w:tc>
          <w:tcPr>
            <w:tcW w:w="9113"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200"/>
              <w:jc w:val="center"/>
              <w:rPr>
                <w:rFonts w:ascii="宋体" w:hAnsi="宋体" w:eastAsia="宋体" w:cs="宋体"/>
                <w:sz w:val="24"/>
                <w:szCs w:val="24"/>
              </w:rPr>
            </w:pPr>
            <w:r>
              <w:rPr>
                <w:rFonts w:hint="eastAsia" w:ascii="宋体" w:hAnsi="宋体" w:eastAsia="宋体" w:cs="宋体"/>
                <w:sz w:val="24"/>
                <w:szCs w:val="24"/>
              </w:rPr>
              <w:t>价格部分（满分</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r>
      <w:tr>
        <w:tblPrEx>
          <w:tblCellMar>
            <w:top w:w="0" w:type="dxa"/>
            <w:left w:w="108" w:type="dxa"/>
            <w:bottom w:w="0" w:type="dxa"/>
            <w:right w:w="108" w:type="dxa"/>
          </w:tblCellMar>
        </w:tblPrEx>
        <w:trPr>
          <w:trHeight w:val="90"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jc w:val="center"/>
              <w:rPr>
                <w:rFonts w:ascii="宋体" w:hAnsi="宋体" w:eastAsia="宋体" w:cs="宋体"/>
                <w:sz w:val="24"/>
                <w:szCs w:val="24"/>
              </w:rPr>
            </w:pPr>
            <w:r>
              <w:rPr>
                <w:rFonts w:hint="eastAsia" w:ascii="宋体" w:hAnsi="宋体" w:eastAsia="宋体" w:cs="宋体"/>
                <w:sz w:val="24"/>
                <w:szCs w:val="24"/>
              </w:rPr>
              <w:t>评分因素</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1200"/>
              <w:jc w:val="center"/>
              <w:rPr>
                <w:rFonts w:ascii="宋体" w:hAnsi="宋体" w:eastAsia="宋体" w:cs="宋体"/>
                <w:sz w:val="24"/>
                <w:szCs w:val="24"/>
              </w:rPr>
            </w:pPr>
            <w:r>
              <w:rPr>
                <w:rFonts w:hint="eastAsia" w:ascii="宋体" w:hAnsi="宋体" w:eastAsia="宋体" w:cs="宋体"/>
                <w:sz w:val="24"/>
                <w:szCs w:val="24"/>
              </w:rPr>
              <w:t>评标标准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r>
      <w:tr>
        <w:tblPrEx>
          <w:tblCellMar>
            <w:top w:w="0" w:type="dxa"/>
            <w:left w:w="108" w:type="dxa"/>
            <w:bottom w:w="0" w:type="dxa"/>
            <w:right w:w="108" w:type="dxa"/>
          </w:tblCellMar>
        </w:tblPrEx>
        <w:trPr>
          <w:trHeight w:val="1519"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jc w:val="center"/>
              <w:rPr>
                <w:rFonts w:ascii="宋体" w:hAnsi="宋体" w:eastAsia="宋体" w:cs="宋体"/>
                <w:sz w:val="24"/>
                <w:szCs w:val="24"/>
              </w:rPr>
            </w:pPr>
            <w:r>
              <w:rPr>
                <w:rFonts w:hint="eastAsia" w:ascii="宋体" w:hAnsi="宋体" w:eastAsia="宋体" w:cs="宋体"/>
                <w:sz w:val="24"/>
                <w:szCs w:val="24"/>
              </w:rPr>
              <w:t>投标报价</w:t>
            </w:r>
          </w:p>
          <w:p>
            <w:pPr>
              <w:autoSpaceDE w:val="0"/>
              <w:autoSpaceDN w:val="0"/>
              <w:spacing w:line="360" w:lineRule="auto"/>
              <w:jc w:val="center"/>
              <w:rPr>
                <w:rFonts w:ascii="宋体" w:hAnsi="宋体" w:eastAsia="宋体" w:cs="宋体"/>
                <w:sz w:val="24"/>
                <w:szCs w:val="24"/>
              </w:rPr>
            </w:pPr>
            <w:r>
              <w:rPr>
                <w:rFonts w:hint="eastAsia" w:ascii="宋体" w:hAnsi="宋体" w:eastAsia="宋体" w:cs="宋体"/>
                <w:sz w:val="24"/>
                <w:szCs w:val="24"/>
              </w:rPr>
              <w:t>评分标准</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lang w:val="en-US" w:eastAsia="zh-CN"/>
              </w:rPr>
              <w:t>4</w:t>
            </w:r>
            <w:r>
              <w:rPr>
                <w:rFonts w:hint="eastAsia" w:ascii="宋体" w:hAnsi="宋体" w:eastAsia="宋体" w:cs="宋体"/>
                <w:sz w:val="24"/>
                <w:szCs w:val="24"/>
              </w:rPr>
              <w:t>0</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r>
      <w:tr>
        <w:tblPrEx>
          <w:tblCellMar>
            <w:top w:w="0" w:type="dxa"/>
            <w:left w:w="0" w:type="dxa"/>
            <w:bottom w:w="0" w:type="dxa"/>
            <w:right w:w="0" w:type="dxa"/>
          </w:tblCellMar>
        </w:tblPrEx>
        <w:trPr>
          <w:trHeight w:val="567" w:hRule="atLeast"/>
        </w:trPr>
        <w:tc>
          <w:tcPr>
            <w:tcW w:w="9113"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 xml:space="preserve">                          商务部分（满分</w:t>
            </w:r>
            <w:r>
              <w:rPr>
                <w:rFonts w:hint="eastAsia" w:ascii="宋体" w:hAnsi="宋体" w:eastAsia="宋体" w:cs="宋体"/>
                <w:sz w:val="24"/>
                <w:szCs w:val="24"/>
                <w:lang w:val="en-US" w:eastAsia="zh-CN"/>
              </w:rPr>
              <w:t>24</w:t>
            </w:r>
            <w:r>
              <w:rPr>
                <w:rFonts w:hint="eastAsia" w:ascii="宋体" w:hAnsi="宋体" w:eastAsia="宋体" w:cs="宋体"/>
                <w:sz w:val="24"/>
                <w:szCs w:val="24"/>
              </w:rPr>
              <w:t>分）</w:t>
            </w:r>
          </w:p>
        </w:tc>
      </w:tr>
      <w:tr>
        <w:tblPrEx>
          <w:tblCellMar>
            <w:top w:w="0" w:type="dxa"/>
            <w:left w:w="108" w:type="dxa"/>
            <w:bottom w:w="0" w:type="dxa"/>
            <w:right w:w="108" w:type="dxa"/>
          </w:tblCellMar>
        </w:tblPrEx>
        <w:trPr>
          <w:trHeight w:val="90"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jc w:val="center"/>
              <w:rPr>
                <w:rFonts w:ascii="宋体" w:hAnsi="宋体" w:eastAsia="宋体" w:cs="宋体"/>
                <w:sz w:val="24"/>
                <w:szCs w:val="24"/>
              </w:rPr>
            </w:pPr>
            <w:r>
              <w:rPr>
                <w:rFonts w:hint="eastAsia" w:ascii="宋体" w:hAnsi="宋体" w:eastAsia="宋体" w:cs="宋体"/>
                <w:sz w:val="24"/>
                <w:szCs w:val="24"/>
              </w:rPr>
              <w:t>评分因素</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200"/>
              <w:jc w:val="center"/>
              <w:rPr>
                <w:rFonts w:ascii="宋体" w:hAnsi="宋体" w:eastAsia="宋体" w:cs="宋体"/>
                <w:sz w:val="24"/>
                <w:szCs w:val="24"/>
              </w:rPr>
            </w:pPr>
            <w:r>
              <w:rPr>
                <w:rFonts w:hint="eastAsia" w:ascii="宋体" w:hAnsi="宋体" w:eastAsia="宋体" w:cs="宋体"/>
                <w:sz w:val="24"/>
                <w:szCs w:val="24"/>
              </w:rPr>
              <w:t>评标标准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企业业绩</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adjustRightInd w:val="0"/>
              <w:snapToGrid w:val="0"/>
              <w:spacing w:line="360" w:lineRule="auto"/>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kern w:val="0"/>
                <w:sz w:val="24"/>
                <w:szCs w:val="24"/>
                <w:lang w:eastAsia="zh-CN"/>
              </w:rPr>
              <w:t>人</w:t>
            </w:r>
            <w:r>
              <w:rPr>
                <w:rFonts w:hint="eastAsia" w:ascii="宋体" w:hAnsi="宋体" w:eastAsia="宋体" w:cs="宋体"/>
                <w:kern w:val="0"/>
                <w:sz w:val="24"/>
                <w:szCs w:val="24"/>
                <w:lang w:val="en-US" w:eastAsia="zh-CN"/>
              </w:rPr>
              <w:t>具有</w:t>
            </w:r>
            <w:r>
              <w:rPr>
                <w:rFonts w:hint="eastAsia" w:ascii="宋体" w:hAnsi="宋体" w:eastAsia="宋体" w:cs="宋体"/>
                <w:kern w:val="0"/>
                <w:sz w:val="24"/>
                <w:szCs w:val="24"/>
              </w:rPr>
              <w:t>2018年1月1日以来</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类似业绩项目，每提供一份得1分，最多得5分。</w:t>
            </w:r>
          </w:p>
          <w:p>
            <w:pPr>
              <w:spacing w:line="360" w:lineRule="auto"/>
              <w:jc w:val="left"/>
              <w:rPr>
                <w:rFonts w:ascii="宋体" w:hAnsi="宋体" w:eastAsia="宋体" w:cs="宋体"/>
                <w:b/>
                <w:sz w:val="24"/>
                <w:szCs w:val="24"/>
              </w:rPr>
            </w:pPr>
            <w:r>
              <w:rPr>
                <w:rFonts w:hint="eastAsia" w:ascii="宋体" w:hAnsi="宋体" w:eastAsia="宋体" w:cs="宋体"/>
                <w:sz w:val="24"/>
                <w:szCs w:val="24"/>
              </w:rPr>
              <w:t>（以业绩合同、中标通知书为准，缺一不可，时间以中标通知书日期为准）。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企业荣誉</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tcPr>
          <w:p>
            <w:pPr>
              <w:pStyle w:val="258"/>
              <w:spacing w:before="56" w:line="360" w:lineRule="auto"/>
              <w:ind w:left="100" w:right="69"/>
              <w:rPr>
                <w:rFonts w:ascii="宋体" w:hAnsi="宋体" w:eastAsia="宋体" w:cs="宋体"/>
                <w:color w:val="000000" w:themeColor="text1"/>
                <w:spacing w:val="-4"/>
                <w:sz w:val="24"/>
                <w:szCs w:val="24"/>
              </w:rPr>
            </w:pP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pacing w:val="-4"/>
                <w:sz w:val="24"/>
                <w:szCs w:val="24"/>
              </w:rPr>
              <w:t xml:space="preserve">生产企业通过质量管理体系认证、环境管理体系认证、职业 健康管理体系认证三项认证的得3分，缺项的不得分。 </w:t>
            </w:r>
          </w:p>
          <w:p>
            <w:pPr>
              <w:pStyle w:val="258"/>
              <w:spacing w:before="56" w:line="360" w:lineRule="auto"/>
              <w:ind w:left="100" w:right="69"/>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.生产企业获得五星级（含五星）以上售后服务认证证书的， 得</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分。</w:t>
            </w:r>
            <w:bookmarkStart w:id="17" w:name="_GoBack"/>
            <w:bookmarkEnd w:id="17"/>
          </w:p>
          <w:p>
            <w:pPr>
              <w:pStyle w:val="258"/>
              <w:spacing w:before="56" w:line="360" w:lineRule="auto"/>
              <w:ind w:left="100" w:right="69"/>
              <w:rPr>
                <w:rFonts w:ascii="宋体" w:hAnsi="宋体" w:eastAsia="宋体" w:cs="宋体"/>
                <w:color w:val="000000" w:themeColor="text1"/>
                <w:spacing w:val="-4"/>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pacing w:val="-4"/>
                <w:sz w:val="24"/>
                <w:szCs w:val="24"/>
              </w:rPr>
              <w:t>生产企业具有高新技术企业证书，得</w:t>
            </w:r>
            <w:r>
              <w:rPr>
                <w:rFonts w:hint="eastAsia" w:ascii="宋体" w:hAnsi="宋体" w:eastAsia="宋体" w:cs="宋体"/>
                <w:color w:val="000000" w:themeColor="text1"/>
                <w:spacing w:val="-4"/>
                <w:sz w:val="24"/>
                <w:szCs w:val="24"/>
                <w:lang w:val="en-US" w:eastAsia="zh-CN"/>
              </w:rPr>
              <w:t>1</w:t>
            </w:r>
            <w:r>
              <w:rPr>
                <w:rFonts w:hint="eastAsia" w:ascii="宋体" w:hAnsi="宋体" w:eastAsia="宋体" w:cs="宋体"/>
                <w:color w:val="000000" w:themeColor="text1"/>
                <w:spacing w:val="-4"/>
                <w:sz w:val="24"/>
                <w:szCs w:val="24"/>
              </w:rPr>
              <w:t>分。</w:t>
            </w:r>
          </w:p>
          <w:p>
            <w:pPr>
              <w:pStyle w:val="258"/>
              <w:spacing w:before="56" w:line="360" w:lineRule="auto"/>
              <w:ind w:left="100" w:right="69"/>
              <w:rPr>
                <w:rFonts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lang w:val="en-US" w:eastAsia="zh-CN"/>
              </w:rPr>
              <w:t>4</w:t>
            </w:r>
            <w:r>
              <w:rPr>
                <w:rFonts w:hint="eastAsia" w:ascii="宋体" w:hAnsi="宋体" w:eastAsia="宋体" w:cs="宋体"/>
                <w:color w:val="000000" w:themeColor="text1"/>
                <w:spacing w:val="-4"/>
                <w:sz w:val="24"/>
                <w:szCs w:val="24"/>
              </w:rPr>
              <w:t>.投标产品获得中国节能认证产品证书的，得</w:t>
            </w:r>
            <w:r>
              <w:rPr>
                <w:rFonts w:hint="eastAsia" w:ascii="宋体" w:hAnsi="宋体" w:eastAsia="宋体" w:cs="宋体"/>
                <w:color w:val="000000" w:themeColor="text1"/>
                <w:spacing w:val="-4"/>
                <w:sz w:val="24"/>
                <w:szCs w:val="24"/>
                <w:lang w:val="en-US" w:eastAsia="zh-CN"/>
              </w:rPr>
              <w:t>1</w:t>
            </w:r>
            <w:r>
              <w:rPr>
                <w:rFonts w:hint="eastAsia" w:ascii="宋体" w:hAnsi="宋体" w:eastAsia="宋体" w:cs="宋体"/>
                <w:color w:val="000000" w:themeColor="text1"/>
                <w:spacing w:val="-4"/>
                <w:sz w:val="24"/>
                <w:szCs w:val="24"/>
              </w:rPr>
              <w:t>分。</w:t>
            </w:r>
          </w:p>
          <w:p>
            <w:pPr>
              <w:pStyle w:val="259"/>
              <w:widowControl/>
              <w:spacing w:line="360" w:lineRule="auto"/>
              <w:ind w:firstLine="0" w:firstLineChars="0"/>
              <w:rPr>
                <w:rFonts w:ascii="宋体" w:hAnsi="宋体" w:cs="宋体"/>
                <w:color w:val="000000" w:themeColor="text1"/>
                <w:sz w:val="24"/>
              </w:rPr>
            </w:pPr>
            <w:r>
              <w:rPr>
                <w:rFonts w:hint="eastAsia" w:ascii="宋体" w:hAnsi="宋体" w:cs="宋体"/>
                <w:color w:val="000000" w:themeColor="text1"/>
                <w:sz w:val="24"/>
                <w:lang w:val="en-US" w:eastAsia="zh-CN"/>
              </w:rPr>
              <w:t>5</w:t>
            </w:r>
            <w:r>
              <w:rPr>
                <w:rFonts w:hint="eastAsia" w:ascii="宋体" w:hAnsi="宋体" w:cs="宋体"/>
                <w:color w:val="000000" w:themeColor="text1"/>
                <w:sz w:val="24"/>
              </w:rPr>
              <w:t>.</w:t>
            </w:r>
            <w:r>
              <w:rPr>
                <w:rFonts w:hint="eastAsia" w:ascii="宋体" w:hAnsi="宋体" w:cs="宋体"/>
                <w:color w:val="000000" w:themeColor="text1"/>
                <w:spacing w:val="-4"/>
                <w:sz w:val="24"/>
              </w:rPr>
              <w:t>生产企业建有</w:t>
            </w:r>
            <w:r>
              <w:rPr>
                <w:rFonts w:hint="eastAsia" w:ascii="宋体" w:hAnsi="宋体" w:cs="Noto Sans CJK JP Regular"/>
                <w:color w:val="000000" w:themeColor="text1"/>
                <w:sz w:val="24"/>
              </w:rPr>
              <w:t>-25℃低温焓差检测实验室，提供国家权威机构认证的实验室能力评定证书，低温实验室最低温度可实现-30℃的，得 3 分；低温实验室最低温度可实现-25℃的，得 2 分；低温实验室最低温度可实现-20℃的，得 1 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9</w:t>
            </w:r>
            <w:r>
              <w:rPr>
                <w:rFonts w:hint="eastAsia" w:ascii="宋体" w:hAnsi="宋体" w:eastAsia="宋体" w:cs="宋体"/>
                <w:color w:val="000000" w:themeColor="text1"/>
                <w:sz w:val="24"/>
                <w:szCs w:val="24"/>
              </w:rPr>
              <w:t>分</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企业实力</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tcPr>
          <w:p>
            <w:pPr>
              <w:widowControl/>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kern w:val="0"/>
                <w:sz w:val="24"/>
                <w:szCs w:val="24"/>
              </w:rPr>
              <w:t>提供投标产品型号具有有效的年度产品责任险（保单）的，得3分；否则不得分。</w:t>
            </w:r>
          </w:p>
          <w:p>
            <w:pPr>
              <w:widowControl/>
              <w:spacing w:line="360" w:lineRule="auto"/>
              <w:jc w:val="left"/>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pacing w:val="-4"/>
                <w:sz w:val="24"/>
                <w:szCs w:val="24"/>
              </w:rPr>
              <w:t>生产企业或投标人获得AAA信用等级证书，得2分。</w:t>
            </w:r>
          </w:p>
          <w:p>
            <w:pPr>
              <w:pStyle w:val="258"/>
              <w:spacing w:before="56" w:line="360" w:lineRule="auto"/>
              <w:ind w:right="69"/>
              <w:rPr>
                <w:rFonts w:ascii="宋体" w:hAnsi="宋体" w:eastAsia="宋体" w:cs="宋体"/>
                <w:color w:val="000000" w:themeColor="text1"/>
                <w:spacing w:val="-4"/>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pacing w:val="-4"/>
                <w:sz w:val="24"/>
                <w:szCs w:val="24"/>
              </w:rPr>
              <w:t>生产企业或投标人</w:t>
            </w:r>
            <w:r>
              <w:rPr>
                <w:rFonts w:hint="eastAsia" w:hAnsi="宋体"/>
                <w:color w:val="000000" w:themeColor="text1"/>
                <w:sz w:val="24"/>
                <w:szCs w:val="24"/>
              </w:rPr>
              <w:t>获得省部级及以上科学技术奖</w:t>
            </w:r>
            <w:r>
              <w:rPr>
                <w:rFonts w:hint="eastAsia" w:ascii="宋体" w:hAnsi="宋体" w:eastAsia="宋体" w:cs="宋体"/>
                <w:color w:val="000000" w:themeColor="text1"/>
                <w:spacing w:val="-4"/>
                <w:sz w:val="24"/>
                <w:szCs w:val="24"/>
              </w:rPr>
              <w:t>，</w:t>
            </w:r>
            <w:r>
              <w:rPr>
                <w:rFonts w:hint="eastAsia" w:ascii="宋体" w:hAnsi="宋体" w:eastAsia="宋体" w:cs="宋体"/>
                <w:color w:val="000000" w:themeColor="text1"/>
                <w:kern w:val="0"/>
                <w:sz w:val="24"/>
                <w:szCs w:val="24"/>
              </w:rPr>
              <w:t>每提供一份得1.5分，最多得3分</w:t>
            </w:r>
            <w:r>
              <w:rPr>
                <w:rFonts w:hint="eastAsia" w:ascii="宋体" w:hAnsi="宋体" w:eastAsia="宋体" w:cs="宋体"/>
                <w:color w:val="000000" w:themeColor="text1"/>
                <w:spacing w:val="-4"/>
                <w:sz w:val="24"/>
                <w:szCs w:val="24"/>
              </w:rPr>
              <w:t xml:space="preserve">。 </w:t>
            </w:r>
          </w:p>
          <w:p>
            <w:pPr>
              <w:widowControl/>
              <w:spacing w:line="360" w:lineRule="auto"/>
              <w:ind w:right="-36" w:rightChars="-17"/>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pacing w:val="-4"/>
                <w:sz w:val="24"/>
                <w:szCs w:val="24"/>
              </w:rPr>
              <w:t>生产企业具有所投产品相关专利的，</w:t>
            </w:r>
            <w:r>
              <w:rPr>
                <w:rFonts w:hint="eastAsia" w:ascii="宋体" w:hAnsi="宋体" w:eastAsia="宋体" w:cs="宋体"/>
                <w:color w:val="000000" w:themeColor="text1"/>
                <w:kern w:val="0"/>
                <w:sz w:val="24"/>
                <w:szCs w:val="24"/>
              </w:rPr>
              <w:t>每提供一份得1分，最多得2分</w:t>
            </w:r>
            <w:r>
              <w:rPr>
                <w:rFonts w:hint="eastAsia" w:ascii="宋体" w:hAnsi="宋体" w:eastAsia="宋体" w:cs="宋体"/>
                <w:color w:val="000000" w:themeColor="text1"/>
                <w:spacing w:val="-4"/>
                <w:sz w:val="24"/>
                <w:szCs w:val="24"/>
              </w:rPr>
              <w:t>。</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10分</w:t>
            </w:r>
          </w:p>
        </w:tc>
      </w:tr>
      <w:tr>
        <w:tblPrEx>
          <w:tblCellMar>
            <w:top w:w="0" w:type="dxa"/>
            <w:left w:w="0" w:type="dxa"/>
            <w:bottom w:w="0" w:type="dxa"/>
            <w:right w:w="0" w:type="dxa"/>
          </w:tblCellMar>
        </w:tblPrEx>
        <w:trPr>
          <w:trHeight w:val="364" w:hRule="atLeast"/>
        </w:trPr>
        <w:tc>
          <w:tcPr>
            <w:tcW w:w="9113"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技术部分（满分</w:t>
            </w:r>
            <w:r>
              <w:rPr>
                <w:rFonts w:hint="eastAsia" w:ascii="宋体" w:hAnsi="宋体" w:eastAsia="宋体" w:cs="宋体"/>
                <w:color w:val="000000" w:themeColor="text1"/>
                <w:sz w:val="24"/>
                <w:szCs w:val="24"/>
                <w:lang w:val="en-US" w:eastAsia="zh-CN"/>
              </w:rPr>
              <w:t>36</w:t>
            </w:r>
            <w:r>
              <w:rPr>
                <w:rFonts w:hint="eastAsia" w:ascii="宋体" w:hAnsi="宋体" w:eastAsia="宋体" w:cs="宋体"/>
                <w:color w:val="000000" w:themeColor="text1"/>
                <w:sz w:val="24"/>
                <w:szCs w:val="24"/>
              </w:rPr>
              <w:t>分）</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10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评分因素</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120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评标标准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分值</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产品性能</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258"/>
              <w:spacing w:line="360" w:lineRule="auto"/>
              <w:ind w:left="100"/>
              <w:rPr>
                <w:rFonts w:ascii="宋体" w:hAnsi="宋体" w:eastAsia="宋体" w:cs="宋体"/>
                <w:color w:val="000000" w:themeColor="text1"/>
                <w:w w:val="102"/>
                <w:sz w:val="24"/>
                <w:szCs w:val="24"/>
              </w:rPr>
            </w:pPr>
            <w:r>
              <w:rPr>
                <w:rFonts w:ascii="宋体" w:hAnsi="宋体" w:eastAsia="宋体" w:cs="宋体"/>
                <w:color w:val="000000" w:themeColor="text1"/>
                <w:spacing w:val="-2"/>
                <w:sz w:val="24"/>
                <w:szCs w:val="24"/>
              </w:rPr>
              <w:t>产品技术性能（16</w:t>
            </w:r>
            <w:r>
              <w:rPr>
                <w:rFonts w:ascii="宋体" w:hAnsi="宋体" w:eastAsia="宋体" w:cs="宋体"/>
                <w:color w:val="000000" w:themeColor="text1"/>
                <w:spacing w:val="-6"/>
                <w:sz w:val="24"/>
                <w:szCs w:val="24"/>
              </w:rPr>
              <w:t>分）（以检测报告</w:t>
            </w:r>
            <w:r>
              <w:rPr>
                <w:rFonts w:hint="eastAsia" w:ascii="宋体" w:hAnsi="宋体" w:eastAsia="宋体" w:cs="宋体"/>
                <w:color w:val="000000" w:themeColor="text1"/>
                <w:spacing w:val="-6"/>
                <w:sz w:val="24"/>
                <w:szCs w:val="24"/>
              </w:rPr>
              <w:t>实测值</w:t>
            </w:r>
            <w:r>
              <w:rPr>
                <w:rFonts w:ascii="宋体" w:hAnsi="宋体" w:eastAsia="宋体" w:cs="宋体"/>
                <w:color w:val="000000" w:themeColor="text1"/>
                <w:spacing w:val="-6"/>
                <w:sz w:val="24"/>
                <w:szCs w:val="24"/>
              </w:rPr>
              <w:t>为准）</w:t>
            </w:r>
          </w:p>
          <w:p>
            <w:pPr>
              <w:pStyle w:val="258"/>
              <w:spacing w:line="360" w:lineRule="auto"/>
              <w:ind w:left="100"/>
              <w:rPr>
                <w:rFonts w:ascii="宋体" w:hAnsi="宋体" w:eastAsia="宋体" w:cs="宋体"/>
                <w:color w:val="000000" w:themeColor="text1"/>
                <w:spacing w:val="27"/>
                <w:w w:val="102"/>
                <w:sz w:val="24"/>
                <w:szCs w:val="24"/>
              </w:rPr>
            </w:pPr>
            <w:r>
              <w:rPr>
                <w:rFonts w:ascii="宋体" w:hAnsi="宋体" w:eastAsia="宋体" w:cs="宋体"/>
                <w:color w:val="000000" w:themeColor="text1"/>
                <w:spacing w:val="-2"/>
                <w:sz w:val="24"/>
                <w:szCs w:val="24"/>
              </w:rPr>
              <w:t>（1）-12℃工况下制热性能系数</w:t>
            </w:r>
            <w:r>
              <w:rPr>
                <w:rFonts w:ascii="宋体" w:hAnsi="宋体" w:eastAsia="宋体" w:cs="宋体"/>
                <w:color w:val="000000" w:themeColor="text1"/>
                <w:spacing w:val="-4"/>
                <w:sz w:val="24"/>
                <w:szCs w:val="24"/>
              </w:rPr>
              <w:t>COP</w:t>
            </w:r>
            <w:r>
              <w:rPr>
                <w:rFonts w:ascii="宋体" w:hAnsi="宋体" w:eastAsia="宋体" w:cs="宋体"/>
                <w:color w:val="000000" w:themeColor="text1"/>
                <w:sz w:val="24"/>
                <w:szCs w:val="24"/>
              </w:rPr>
              <w:t>（4分）</w:t>
            </w:r>
          </w:p>
          <w:p>
            <w:pPr>
              <w:pStyle w:val="258"/>
              <w:spacing w:before="9" w:line="360" w:lineRule="auto"/>
              <w:ind w:left="100" w:right="2347"/>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2.2&lt;COP</w:t>
            </w:r>
            <w:r>
              <w:rPr>
                <w:rFonts w:ascii="宋体" w:hAnsi="宋体" w:eastAsia="宋体" w:cs="宋体"/>
                <w:color w:val="000000" w:themeColor="text1"/>
                <w:spacing w:val="-6"/>
                <w:sz w:val="24"/>
                <w:szCs w:val="24"/>
              </w:rPr>
              <w:t>测试值≤2.35,得</w:t>
            </w:r>
            <w:r>
              <w:rPr>
                <w:rFonts w:hint="eastAsia" w:ascii="宋体" w:hAnsi="宋体" w:eastAsia="宋体" w:cs="宋体"/>
                <w:color w:val="000000" w:themeColor="text1"/>
                <w:spacing w:val="-23"/>
                <w:sz w:val="24"/>
                <w:szCs w:val="24"/>
              </w:rPr>
              <w:t>1</w:t>
            </w:r>
            <w:r>
              <w:rPr>
                <w:rFonts w:ascii="宋体" w:hAnsi="宋体" w:eastAsia="宋体" w:cs="宋体"/>
                <w:color w:val="000000" w:themeColor="text1"/>
                <w:spacing w:val="-8"/>
                <w:sz w:val="24"/>
                <w:szCs w:val="24"/>
              </w:rPr>
              <w:t>分；</w:t>
            </w:r>
          </w:p>
          <w:p>
            <w:pPr>
              <w:pStyle w:val="258"/>
              <w:spacing w:before="6" w:line="360" w:lineRule="auto"/>
              <w:ind w:left="100" w:right="2765"/>
              <w:rPr>
                <w:rFonts w:ascii="宋体" w:hAnsi="宋体" w:eastAsia="宋体" w:cs="宋体"/>
                <w:color w:val="000000" w:themeColor="text1"/>
                <w:sz w:val="24"/>
                <w:szCs w:val="24"/>
              </w:rPr>
            </w:pPr>
            <w:r>
              <w:rPr>
                <w:rFonts w:ascii="宋体" w:hAnsi="宋体" w:eastAsia="宋体" w:cs="宋体"/>
                <w:color w:val="000000" w:themeColor="text1"/>
                <w:sz w:val="24"/>
                <w:szCs w:val="24"/>
              </w:rPr>
              <w:t>2.35&lt;COP</w:t>
            </w:r>
            <w:r>
              <w:rPr>
                <w:rFonts w:ascii="宋体" w:hAnsi="宋体" w:eastAsia="宋体" w:cs="宋体"/>
                <w:color w:val="000000" w:themeColor="text1"/>
                <w:spacing w:val="-5"/>
                <w:sz w:val="24"/>
                <w:szCs w:val="24"/>
              </w:rPr>
              <w:t>测试值≤2.5，得</w:t>
            </w:r>
            <w:r>
              <w:rPr>
                <w:rFonts w:hint="eastAsia" w:ascii="宋体" w:hAnsi="宋体" w:eastAsia="宋体" w:cs="宋体"/>
                <w:color w:val="000000" w:themeColor="text1"/>
                <w:spacing w:val="-42"/>
                <w:sz w:val="24"/>
                <w:szCs w:val="24"/>
              </w:rPr>
              <w:t>2</w:t>
            </w:r>
            <w:r>
              <w:rPr>
                <w:rFonts w:ascii="宋体" w:hAnsi="宋体" w:eastAsia="宋体" w:cs="宋体"/>
                <w:color w:val="000000" w:themeColor="text1"/>
                <w:spacing w:val="-8"/>
                <w:sz w:val="24"/>
                <w:szCs w:val="24"/>
              </w:rPr>
              <w:t>分；</w:t>
            </w:r>
            <w:r>
              <w:rPr>
                <w:rFonts w:ascii="宋体" w:hAnsi="宋体" w:eastAsia="宋体" w:cs="宋体"/>
                <w:color w:val="000000" w:themeColor="text1"/>
                <w:spacing w:val="3"/>
                <w:sz w:val="24"/>
                <w:szCs w:val="24"/>
              </w:rPr>
              <w:t>COP</w:t>
            </w:r>
            <w:r>
              <w:rPr>
                <w:rFonts w:ascii="宋体" w:hAnsi="宋体" w:eastAsia="宋体" w:cs="宋体"/>
                <w:color w:val="000000" w:themeColor="text1"/>
                <w:spacing w:val="-4"/>
                <w:sz w:val="24"/>
                <w:szCs w:val="24"/>
              </w:rPr>
              <w:t>测试值&gt;2.5，得</w:t>
            </w:r>
            <w:r>
              <w:rPr>
                <w:rFonts w:hint="eastAsia" w:ascii="宋体" w:hAnsi="宋体" w:eastAsia="宋体" w:cs="宋体"/>
                <w:color w:val="000000" w:themeColor="text1"/>
                <w:sz w:val="24"/>
                <w:szCs w:val="24"/>
              </w:rPr>
              <w:t>4</w:t>
            </w:r>
            <w:r>
              <w:rPr>
                <w:rFonts w:ascii="宋体" w:hAnsi="宋体" w:eastAsia="宋体" w:cs="宋体"/>
                <w:color w:val="000000" w:themeColor="text1"/>
                <w:spacing w:val="-8"/>
                <w:sz w:val="24"/>
                <w:szCs w:val="24"/>
              </w:rPr>
              <w:t>分；</w:t>
            </w:r>
          </w:p>
          <w:p>
            <w:pPr>
              <w:pStyle w:val="258"/>
              <w:spacing w:line="360" w:lineRule="auto"/>
              <w:ind w:left="100"/>
              <w:rPr>
                <w:rFonts w:ascii="宋体" w:hAnsi="宋体" w:eastAsia="宋体" w:cs="宋体"/>
                <w:color w:val="000000" w:themeColor="text1"/>
                <w:spacing w:val="-2"/>
                <w:sz w:val="24"/>
                <w:szCs w:val="24"/>
              </w:rPr>
            </w:pPr>
            <w:r>
              <w:rPr>
                <w:rFonts w:ascii="宋体" w:hAnsi="宋体" w:eastAsia="宋体" w:cs="宋体"/>
                <w:color w:val="000000" w:themeColor="text1"/>
                <w:spacing w:val="-2"/>
                <w:sz w:val="24"/>
                <w:szCs w:val="24"/>
              </w:rPr>
              <w:t xml:space="preserve">（2）-20℃低温工况下制热性能系数COP（4 分） </w:t>
            </w:r>
          </w:p>
          <w:p>
            <w:pPr>
              <w:pStyle w:val="258"/>
              <w:spacing w:line="360" w:lineRule="auto"/>
              <w:ind w:left="100" w:right="234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2.0≤COP</w:t>
            </w:r>
            <w:r>
              <w:rPr>
                <w:rFonts w:ascii="宋体" w:hAnsi="宋体" w:eastAsia="宋体" w:cs="宋体"/>
                <w:color w:val="000000" w:themeColor="text1"/>
                <w:spacing w:val="-5"/>
                <w:sz w:val="24"/>
                <w:szCs w:val="24"/>
              </w:rPr>
              <w:t>测试值≤2.1,得</w:t>
            </w:r>
            <w:r>
              <w:rPr>
                <w:rFonts w:hint="eastAsia" w:ascii="宋体" w:hAnsi="宋体" w:eastAsia="宋体" w:cs="宋体"/>
                <w:color w:val="000000" w:themeColor="text1"/>
                <w:spacing w:val="-5"/>
                <w:sz w:val="24"/>
                <w:szCs w:val="24"/>
              </w:rPr>
              <w:t>2</w:t>
            </w:r>
            <w:r>
              <w:rPr>
                <w:rFonts w:ascii="宋体" w:hAnsi="宋体" w:eastAsia="宋体" w:cs="宋体"/>
                <w:color w:val="000000" w:themeColor="text1"/>
                <w:spacing w:val="-8"/>
                <w:sz w:val="24"/>
                <w:szCs w:val="24"/>
              </w:rPr>
              <w:t>分；</w:t>
            </w:r>
          </w:p>
          <w:p>
            <w:pPr>
              <w:pStyle w:val="258"/>
              <w:spacing w:before="10" w:line="360" w:lineRule="auto"/>
              <w:ind w:left="10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COP</w:t>
            </w:r>
            <w:r>
              <w:rPr>
                <w:rFonts w:ascii="宋体" w:hAnsi="宋体" w:eastAsia="宋体" w:cs="宋体"/>
                <w:color w:val="000000" w:themeColor="text1"/>
                <w:spacing w:val="-5"/>
                <w:sz w:val="24"/>
                <w:szCs w:val="24"/>
              </w:rPr>
              <w:t>测试值＞2.1，得</w:t>
            </w:r>
            <w:r>
              <w:rPr>
                <w:rFonts w:hint="eastAsia" w:ascii="宋体" w:hAnsi="宋体" w:eastAsia="宋体" w:cs="宋体"/>
                <w:color w:val="000000" w:themeColor="text1"/>
                <w:spacing w:val="-48"/>
                <w:sz w:val="24"/>
                <w:szCs w:val="24"/>
              </w:rPr>
              <w:t>4</w:t>
            </w:r>
            <w:r>
              <w:rPr>
                <w:rFonts w:ascii="宋体" w:hAnsi="宋体" w:eastAsia="宋体" w:cs="宋体"/>
                <w:color w:val="000000" w:themeColor="text1"/>
                <w:sz w:val="24"/>
                <w:szCs w:val="24"/>
              </w:rPr>
              <w:t>分</w:t>
            </w:r>
            <w:r>
              <w:rPr>
                <w:rFonts w:hint="eastAsia" w:ascii="宋体" w:hAnsi="宋体" w:eastAsia="宋体" w:cs="宋体"/>
                <w:color w:val="000000" w:themeColor="text1"/>
                <w:w w:val="102"/>
                <w:sz w:val="24"/>
                <w:szCs w:val="24"/>
              </w:rPr>
              <w:t>；</w:t>
            </w:r>
          </w:p>
          <w:p>
            <w:pPr>
              <w:pStyle w:val="258"/>
              <w:numPr>
                <w:ilvl w:val="0"/>
                <w:numId w:val="6"/>
              </w:numPr>
              <w:spacing w:before="42" w:line="360" w:lineRule="auto"/>
              <w:ind w:left="100" w:right="718"/>
              <w:rPr>
                <w:rFonts w:ascii="宋体" w:hAnsi="宋体" w:eastAsia="宋体" w:cs="宋体"/>
                <w:color w:val="000000" w:themeColor="text1"/>
                <w:spacing w:val="30"/>
                <w:w w:val="102"/>
                <w:sz w:val="24"/>
                <w:szCs w:val="24"/>
              </w:rPr>
            </w:pPr>
            <w:r>
              <w:rPr>
                <w:rFonts w:ascii="宋体" w:hAnsi="宋体" w:eastAsia="宋体" w:cs="宋体"/>
                <w:color w:val="000000" w:themeColor="text1"/>
                <w:spacing w:val="-1"/>
                <w:sz w:val="24"/>
                <w:szCs w:val="24"/>
              </w:rPr>
              <w:t>制热季节性能系数</w:t>
            </w:r>
            <w:r>
              <w:rPr>
                <w:rFonts w:ascii="宋体" w:hAnsi="宋体" w:eastAsia="宋体" w:cs="宋体"/>
                <w:color w:val="000000" w:themeColor="text1"/>
                <w:spacing w:val="-6"/>
                <w:sz w:val="24"/>
                <w:szCs w:val="24"/>
              </w:rPr>
              <w:t>HSPF（4</w:t>
            </w:r>
            <w:r>
              <w:rPr>
                <w:rFonts w:ascii="宋体" w:hAnsi="宋体" w:eastAsia="宋体" w:cs="宋体"/>
                <w:color w:val="000000" w:themeColor="text1"/>
                <w:sz w:val="24"/>
                <w:szCs w:val="24"/>
              </w:rPr>
              <w:t>分）</w:t>
            </w:r>
          </w:p>
          <w:p>
            <w:pPr>
              <w:pStyle w:val="258"/>
              <w:spacing w:before="42" w:line="360" w:lineRule="auto"/>
              <w:ind w:right="7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3.15≤制热季节性能系数</w:t>
            </w:r>
            <w:r>
              <w:rPr>
                <w:rFonts w:ascii="宋体" w:hAnsi="宋体" w:eastAsia="宋体" w:cs="宋体"/>
                <w:color w:val="000000" w:themeColor="text1"/>
                <w:spacing w:val="-3"/>
                <w:sz w:val="24"/>
                <w:szCs w:val="24"/>
              </w:rPr>
              <w:t>HSPF</w:t>
            </w:r>
            <w:r>
              <w:rPr>
                <w:rFonts w:ascii="宋体" w:hAnsi="宋体" w:eastAsia="宋体" w:cs="宋体"/>
                <w:color w:val="000000" w:themeColor="text1"/>
                <w:spacing w:val="-5"/>
                <w:sz w:val="24"/>
                <w:szCs w:val="24"/>
              </w:rPr>
              <w:t>实测值≤3.25，得</w:t>
            </w:r>
            <w:r>
              <w:rPr>
                <w:rFonts w:hint="eastAsia" w:ascii="宋体" w:hAnsi="宋体" w:eastAsia="宋体" w:cs="宋体"/>
                <w:color w:val="000000" w:themeColor="text1"/>
                <w:spacing w:val="-39"/>
                <w:sz w:val="24"/>
                <w:szCs w:val="24"/>
              </w:rPr>
              <w:t>2</w:t>
            </w:r>
            <w:r>
              <w:rPr>
                <w:rFonts w:ascii="宋体" w:hAnsi="宋体" w:eastAsia="宋体" w:cs="宋体"/>
                <w:color w:val="000000" w:themeColor="text1"/>
                <w:spacing w:val="-8"/>
                <w:sz w:val="24"/>
                <w:szCs w:val="24"/>
              </w:rPr>
              <w:t>分；</w:t>
            </w:r>
            <w:r>
              <w:rPr>
                <w:rFonts w:ascii="宋体" w:hAnsi="宋体" w:eastAsia="宋体" w:cs="宋体"/>
                <w:color w:val="000000" w:themeColor="text1"/>
                <w:sz w:val="24"/>
                <w:szCs w:val="24"/>
              </w:rPr>
              <w:t>制热季节性能系数</w:t>
            </w:r>
            <w:r>
              <w:rPr>
                <w:rFonts w:ascii="宋体" w:hAnsi="宋体" w:eastAsia="宋体" w:cs="宋体"/>
                <w:color w:val="000000" w:themeColor="text1"/>
                <w:spacing w:val="-3"/>
                <w:sz w:val="24"/>
                <w:szCs w:val="24"/>
              </w:rPr>
              <w:t>HSPF</w:t>
            </w:r>
            <w:r>
              <w:rPr>
                <w:rFonts w:ascii="宋体" w:hAnsi="宋体" w:eastAsia="宋体" w:cs="宋体"/>
                <w:color w:val="000000" w:themeColor="text1"/>
                <w:spacing w:val="-5"/>
                <w:sz w:val="24"/>
                <w:szCs w:val="24"/>
              </w:rPr>
              <w:t>实测值＞3.25，得</w:t>
            </w:r>
            <w:r>
              <w:rPr>
                <w:rFonts w:hint="eastAsia" w:ascii="宋体" w:hAnsi="宋体" w:eastAsia="宋体" w:cs="宋体"/>
                <w:color w:val="000000" w:themeColor="text1"/>
                <w:sz w:val="24"/>
                <w:szCs w:val="24"/>
              </w:rPr>
              <w:t>4</w:t>
            </w:r>
            <w:r>
              <w:rPr>
                <w:rFonts w:ascii="宋体" w:hAnsi="宋体" w:eastAsia="宋体" w:cs="宋体"/>
                <w:color w:val="000000" w:themeColor="text1"/>
                <w:spacing w:val="-8"/>
                <w:sz w:val="24"/>
                <w:szCs w:val="24"/>
              </w:rPr>
              <w:t>分；</w:t>
            </w:r>
          </w:p>
          <w:p>
            <w:pPr>
              <w:pStyle w:val="258"/>
              <w:spacing w:before="7" w:line="360" w:lineRule="auto"/>
              <w:ind w:left="100"/>
              <w:jc w:val="left"/>
              <w:rPr>
                <w:rFonts w:ascii="宋体" w:hAnsi="宋体" w:eastAsia="宋体" w:cs="宋体"/>
                <w:color w:val="000000" w:themeColor="text1"/>
                <w:spacing w:val="-5"/>
                <w:sz w:val="24"/>
                <w:szCs w:val="24"/>
              </w:rPr>
            </w:pPr>
            <w:r>
              <w:rPr>
                <w:rFonts w:ascii="宋体" w:hAnsi="宋体" w:eastAsia="宋体" w:cs="宋体"/>
                <w:color w:val="000000" w:themeColor="text1"/>
                <w:sz w:val="24"/>
                <w:szCs w:val="24"/>
              </w:rPr>
              <w:t>（4）噪声（</w:t>
            </w:r>
            <w:r>
              <w:rPr>
                <w:rFonts w:hint="eastAsia" w:ascii="宋体" w:hAnsi="宋体" w:eastAsia="宋体" w:cs="宋体"/>
                <w:color w:val="000000" w:themeColor="text1"/>
                <w:sz w:val="24"/>
                <w:szCs w:val="24"/>
              </w:rPr>
              <w:t>4</w:t>
            </w:r>
            <w:r>
              <w:rPr>
                <w:rFonts w:ascii="宋体" w:hAnsi="宋体" w:eastAsia="宋体" w:cs="宋体"/>
                <w:color w:val="000000" w:themeColor="text1"/>
                <w:spacing w:val="-8"/>
                <w:sz w:val="24"/>
                <w:szCs w:val="24"/>
              </w:rPr>
              <w:t>分）</w:t>
            </w:r>
          </w:p>
          <w:p>
            <w:pPr>
              <w:pStyle w:val="258"/>
              <w:spacing w:before="42" w:line="360" w:lineRule="auto"/>
              <w:ind w:right="-8"/>
              <w:jc w:val="left"/>
              <w:rPr>
                <w:rFonts w:ascii="宋体" w:hAnsi="宋体" w:eastAsia="宋体" w:cs="宋体"/>
                <w:color w:val="000000" w:themeColor="text1"/>
                <w:spacing w:val="-29"/>
                <w:sz w:val="24"/>
                <w:szCs w:val="24"/>
              </w:rPr>
            </w:pPr>
            <w:r>
              <w:rPr>
                <w:rFonts w:ascii="宋体" w:hAnsi="宋体" w:eastAsia="宋体" w:cs="宋体"/>
                <w:color w:val="000000" w:themeColor="text1"/>
                <w:spacing w:val="-5"/>
                <w:sz w:val="24"/>
                <w:szCs w:val="24"/>
              </w:rPr>
              <w:t>室</w:t>
            </w:r>
            <w:r>
              <w:rPr>
                <w:rFonts w:ascii="宋体" w:hAnsi="宋体" w:eastAsia="宋体" w:cs="宋体"/>
                <w:color w:val="000000" w:themeColor="text1"/>
                <w:sz w:val="24"/>
                <w:szCs w:val="24"/>
              </w:rPr>
              <w:t>内</w:t>
            </w:r>
            <w:r>
              <w:rPr>
                <w:rFonts w:ascii="宋体" w:hAnsi="宋体" w:eastAsia="宋体" w:cs="宋体"/>
                <w:color w:val="000000" w:themeColor="text1"/>
                <w:spacing w:val="-14"/>
                <w:sz w:val="24"/>
                <w:szCs w:val="24"/>
              </w:rPr>
              <w:t>机</w:t>
            </w:r>
            <w:r>
              <w:rPr>
                <w:rFonts w:ascii="宋体" w:hAnsi="宋体" w:eastAsia="宋体" w:cs="宋体"/>
                <w:color w:val="000000" w:themeColor="text1"/>
                <w:spacing w:val="-15"/>
                <w:sz w:val="24"/>
                <w:szCs w:val="24"/>
              </w:rPr>
              <w:t>：噪</w:t>
            </w:r>
            <w:r>
              <w:rPr>
                <w:rFonts w:ascii="宋体" w:hAnsi="宋体" w:eastAsia="宋体" w:cs="宋体"/>
                <w:color w:val="000000" w:themeColor="text1"/>
                <w:sz w:val="24"/>
                <w:szCs w:val="24"/>
              </w:rPr>
              <w:t>声检</w:t>
            </w:r>
            <w:r>
              <w:rPr>
                <w:rFonts w:ascii="宋体" w:hAnsi="宋体" w:eastAsia="宋体" w:cs="宋体"/>
                <w:color w:val="000000" w:themeColor="text1"/>
                <w:spacing w:val="-15"/>
                <w:sz w:val="24"/>
                <w:szCs w:val="24"/>
              </w:rPr>
              <w:t>测</w:t>
            </w:r>
            <w:r>
              <w:rPr>
                <w:rFonts w:ascii="宋体" w:hAnsi="宋体" w:eastAsia="宋体" w:cs="宋体"/>
                <w:color w:val="000000" w:themeColor="text1"/>
                <w:sz w:val="24"/>
                <w:szCs w:val="24"/>
              </w:rPr>
              <w:t>值</w:t>
            </w:r>
            <w:r>
              <w:rPr>
                <w:rFonts w:ascii="宋体" w:hAnsi="宋体" w:eastAsia="宋体" w:cs="宋体"/>
                <w:color w:val="000000" w:themeColor="text1"/>
                <w:spacing w:val="-14"/>
                <w:sz w:val="24"/>
                <w:szCs w:val="24"/>
              </w:rPr>
              <w:t>≤</w:t>
            </w:r>
            <w:r>
              <w:rPr>
                <w:rFonts w:ascii="宋体" w:hAnsi="宋体" w:eastAsia="宋体" w:cs="宋体"/>
                <w:color w:val="000000" w:themeColor="text1"/>
                <w:spacing w:val="-8"/>
                <w:sz w:val="24"/>
                <w:szCs w:val="24"/>
              </w:rPr>
              <w:t>4</w:t>
            </w:r>
            <w:r>
              <w:rPr>
                <w:rFonts w:ascii="宋体" w:hAnsi="宋体" w:eastAsia="宋体" w:cs="宋体"/>
                <w:color w:val="000000" w:themeColor="text1"/>
                <w:spacing w:val="5"/>
                <w:sz w:val="24"/>
                <w:szCs w:val="24"/>
              </w:rPr>
              <w:t>2</w:t>
            </w:r>
            <w:r>
              <w:rPr>
                <w:rFonts w:ascii="宋体" w:hAnsi="宋体" w:eastAsia="宋体" w:cs="宋体"/>
                <w:color w:val="000000" w:themeColor="text1"/>
                <w:spacing w:val="-8"/>
                <w:sz w:val="24"/>
                <w:szCs w:val="24"/>
              </w:rPr>
              <w:t>d</w:t>
            </w:r>
            <w:r>
              <w:rPr>
                <w:rFonts w:ascii="宋体" w:hAnsi="宋体" w:eastAsia="宋体" w:cs="宋体"/>
                <w:color w:val="000000" w:themeColor="text1"/>
                <w:spacing w:val="-7"/>
                <w:sz w:val="24"/>
                <w:szCs w:val="24"/>
              </w:rPr>
              <w:t>B</w:t>
            </w:r>
            <w:r>
              <w:rPr>
                <w:rFonts w:ascii="宋体" w:hAnsi="宋体" w:eastAsia="宋体" w:cs="宋体"/>
                <w:color w:val="000000" w:themeColor="text1"/>
                <w:spacing w:val="-29"/>
                <w:sz w:val="24"/>
                <w:szCs w:val="24"/>
              </w:rPr>
              <w:t>，</w:t>
            </w:r>
            <w:r>
              <w:rPr>
                <w:rFonts w:ascii="宋体" w:hAnsi="宋体" w:eastAsia="宋体" w:cs="宋体"/>
                <w:color w:val="000000" w:themeColor="text1"/>
                <w:sz w:val="24"/>
                <w:szCs w:val="24"/>
              </w:rPr>
              <w:t>得</w:t>
            </w:r>
            <w:r>
              <w:rPr>
                <w:rFonts w:hint="eastAsia" w:ascii="宋体" w:hAnsi="宋体" w:eastAsia="宋体" w:cs="宋体"/>
                <w:color w:val="000000" w:themeColor="text1"/>
                <w:sz w:val="24"/>
                <w:szCs w:val="24"/>
              </w:rPr>
              <w:t>2</w:t>
            </w:r>
            <w:r>
              <w:rPr>
                <w:rFonts w:ascii="宋体" w:hAnsi="宋体" w:eastAsia="宋体" w:cs="宋体"/>
                <w:color w:val="000000" w:themeColor="text1"/>
                <w:spacing w:val="-15"/>
                <w:sz w:val="24"/>
                <w:szCs w:val="24"/>
              </w:rPr>
              <w:t>分</w:t>
            </w:r>
            <w:r>
              <w:rPr>
                <w:rFonts w:ascii="宋体" w:hAnsi="宋体" w:eastAsia="宋体" w:cs="宋体"/>
                <w:color w:val="000000" w:themeColor="text1"/>
                <w:spacing w:val="-29"/>
                <w:sz w:val="24"/>
                <w:szCs w:val="24"/>
              </w:rPr>
              <w:t>；</w:t>
            </w:r>
          </w:p>
          <w:p>
            <w:pPr>
              <w:widowControl/>
              <w:spacing w:line="360" w:lineRule="auto"/>
              <w:jc w:val="left"/>
              <w:rPr>
                <w:rFonts w:ascii="宋体" w:hAnsi="宋体" w:eastAsia="宋体" w:cs="宋体"/>
                <w:b/>
                <w:color w:val="000000" w:themeColor="text1"/>
                <w:sz w:val="24"/>
                <w:szCs w:val="24"/>
              </w:rPr>
            </w:pPr>
            <w:r>
              <w:rPr>
                <w:rFonts w:ascii="宋体" w:hAnsi="宋体" w:eastAsia="宋体" w:cs="宋体"/>
                <w:color w:val="000000" w:themeColor="text1"/>
                <w:sz w:val="24"/>
                <w:szCs w:val="24"/>
              </w:rPr>
              <w:t>室外</w:t>
            </w:r>
            <w:r>
              <w:rPr>
                <w:rFonts w:ascii="宋体" w:hAnsi="宋体" w:eastAsia="宋体" w:cs="宋体"/>
                <w:color w:val="000000" w:themeColor="text1"/>
                <w:spacing w:val="-15"/>
                <w:sz w:val="24"/>
                <w:szCs w:val="24"/>
              </w:rPr>
              <w:t>机</w:t>
            </w:r>
            <w:r>
              <w:rPr>
                <w:rFonts w:ascii="宋体" w:hAnsi="宋体" w:eastAsia="宋体" w:cs="宋体"/>
                <w:color w:val="000000" w:themeColor="text1"/>
                <w:spacing w:val="-29"/>
                <w:sz w:val="24"/>
                <w:szCs w:val="24"/>
              </w:rPr>
              <w:t>：</w:t>
            </w:r>
            <w:r>
              <w:rPr>
                <w:rFonts w:ascii="宋体" w:hAnsi="宋体" w:eastAsia="宋体" w:cs="宋体"/>
                <w:color w:val="000000" w:themeColor="text1"/>
                <w:sz w:val="24"/>
                <w:szCs w:val="24"/>
              </w:rPr>
              <w:t>噪</w:t>
            </w:r>
            <w:r>
              <w:rPr>
                <w:rFonts w:ascii="宋体" w:hAnsi="宋体" w:eastAsia="宋体" w:cs="宋体"/>
                <w:color w:val="000000" w:themeColor="text1"/>
                <w:spacing w:val="-14"/>
                <w:sz w:val="24"/>
                <w:szCs w:val="24"/>
              </w:rPr>
              <w:t>声</w:t>
            </w:r>
            <w:r>
              <w:rPr>
                <w:rFonts w:ascii="宋体" w:hAnsi="宋体" w:eastAsia="宋体" w:cs="宋体"/>
                <w:color w:val="000000" w:themeColor="text1"/>
                <w:sz w:val="24"/>
                <w:szCs w:val="24"/>
              </w:rPr>
              <w:t>检测</w:t>
            </w:r>
            <w:r>
              <w:rPr>
                <w:rFonts w:ascii="宋体" w:hAnsi="宋体" w:eastAsia="宋体" w:cs="宋体"/>
                <w:color w:val="000000" w:themeColor="text1"/>
                <w:spacing w:val="-15"/>
                <w:sz w:val="24"/>
                <w:szCs w:val="24"/>
              </w:rPr>
              <w:t>值</w:t>
            </w:r>
            <w:r>
              <w:rPr>
                <w:rFonts w:ascii="宋体" w:hAnsi="宋体" w:eastAsia="宋体" w:cs="宋体"/>
                <w:color w:val="000000" w:themeColor="text1"/>
                <w:spacing w:val="-14"/>
                <w:sz w:val="24"/>
                <w:szCs w:val="24"/>
              </w:rPr>
              <w:t>≤</w:t>
            </w:r>
            <w:r>
              <w:rPr>
                <w:rFonts w:ascii="宋体" w:hAnsi="宋体" w:eastAsia="宋体" w:cs="宋体"/>
                <w:color w:val="000000" w:themeColor="text1"/>
                <w:spacing w:val="6"/>
                <w:sz w:val="24"/>
                <w:szCs w:val="24"/>
              </w:rPr>
              <w:t>5</w:t>
            </w:r>
            <w:r>
              <w:rPr>
                <w:rFonts w:ascii="宋体" w:hAnsi="宋体" w:eastAsia="宋体" w:cs="宋体"/>
                <w:color w:val="000000" w:themeColor="text1"/>
                <w:spacing w:val="-8"/>
                <w:sz w:val="24"/>
                <w:szCs w:val="24"/>
              </w:rPr>
              <w:t>5d</w:t>
            </w:r>
            <w:r>
              <w:rPr>
                <w:rFonts w:ascii="宋体" w:hAnsi="宋体" w:eastAsia="宋体" w:cs="宋体"/>
                <w:color w:val="000000" w:themeColor="text1"/>
                <w:spacing w:val="6"/>
                <w:sz w:val="24"/>
                <w:szCs w:val="24"/>
              </w:rPr>
              <w:t>B</w:t>
            </w:r>
            <w:r>
              <w:rPr>
                <w:rFonts w:ascii="宋体" w:hAnsi="宋体" w:eastAsia="宋体" w:cs="宋体"/>
                <w:color w:val="000000" w:themeColor="text1"/>
                <w:sz w:val="24"/>
                <w:szCs w:val="24"/>
              </w:rPr>
              <w:t>，得</w:t>
            </w:r>
            <w:r>
              <w:rPr>
                <w:rFonts w:hint="eastAsia" w:ascii="宋体" w:hAnsi="宋体" w:eastAsia="宋体" w:cs="宋体"/>
                <w:color w:val="000000" w:themeColor="text1"/>
                <w:sz w:val="24"/>
                <w:szCs w:val="24"/>
              </w:rPr>
              <w:t>2</w:t>
            </w:r>
            <w:r>
              <w:rPr>
                <w:rFonts w:ascii="宋体" w:hAnsi="宋体" w:eastAsia="宋体" w:cs="宋体"/>
                <w:color w:val="000000" w:themeColor="text1"/>
                <w:sz w:val="24"/>
                <w:szCs w:val="24"/>
              </w:rPr>
              <w:t>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16分</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10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实施方案  </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258"/>
              <w:spacing w:line="360" w:lineRule="auto"/>
              <w:ind w:left="100" w:right="-9"/>
              <w:jc w:val="left"/>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评委依据方案设计科学合理性、工作方案清晰、明确、安排合理、</w:t>
            </w:r>
            <w:r>
              <w:rPr>
                <w:rFonts w:ascii="宋体" w:hAnsi="宋体" w:eastAsia="宋体" w:cs="宋体"/>
                <w:color w:val="000000" w:themeColor="text1"/>
                <w:spacing w:val="-2"/>
                <w:sz w:val="24"/>
                <w:szCs w:val="24"/>
              </w:rPr>
              <w:t>可实施性等横向比较在</w:t>
            </w:r>
            <w:r>
              <w:rPr>
                <w:rFonts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val="en-US" w:eastAsia="zh-CN"/>
              </w:rPr>
              <w:t>7</w:t>
            </w:r>
            <w:r>
              <w:rPr>
                <w:rFonts w:ascii="宋体" w:hAnsi="宋体" w:eastAsia="宋体" w:cs="宋体"/>
                <w:color w:val="000000" w:themeColor="text1"/>
                <w:spacing w:val="-6"/>
                <w:sz w:val="24"/>
                <w:szCs w:val="24"/>
              </w:rPr>
              <w:t>分范围内合理打分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rPr>
              <w:t>分</w:t>
            </w:r>
          </w:p>
        </w:tc>
      </w:tr>
      <w:tr>
        <w:tblPrEx>
          <w:tblCellMar>
            <w:top w:w="0" w:type="dxa"/>
            <w:left w:w="108" w:type="dxa"/>
            <w:bottom w:w="0" w:type="dxa"/>
            <w:right w:w="108" w:type="dxa"/>
          </w:tblCellMar>
        </w:tblPrEx>
        <w:trPr>
          <w:trHeight w:val="169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10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质量、供货、安装计划及保证措施 </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pacing w:line="360" w:lineRule="auto"/>
              <w:jc w:val="left"/>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评委依据方案切实可行、措施完善程度在 1～</w:t>
            </w:r>
            <w:r>
              <w:rPr>
                <w:rFonts w:hint="eastAsia" w:ascii="宋体" w:hAnsi="宋体" w:eastAsia="宋体" w:cs="宋体"/>
                <w:color w:val="000000" w:themeColor="text1"/>
                <w:spacing w:val="-1"/>
                <w:sz w:val="24"/>
                <w:szCs w:val="24"/>
                <w:lang w:val="en-US" w:eastAsia="zh-CN"/>
              </w:rPr>
              <w:t>7</w:t>
            </w:r>
            <w:r>
              <w:rPr>
                <w:rFonts w:ascii="宋体" w:hAnsi="宋体" w:eastAsia="宋体" w:cs="宋体"/>
                <w:color w:val="000000" w:themeColor="text1"/>
                <w:spacing w:val="-1"/>
                <w:sz w:val="24"/>
                <w:szCs w:val="24"/>
              </w:rPr>
              <w:t>分范围内合理打分</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rPr>
              <w:t>分</w:t>
            </w:r>
          </w:p>
        </w:tc>
      </w:tr>
      <w:tr>
        <w:tblPrEx>
          <w:tblCellMar>
            <w:top w:w="0" w:type="dxa"/>
            <w:left w:w="108" w:type="dxa"/>
            <w:bottom w:w="0" w:type="dxa"/>
            <w:right w:w="108" w:type="dxa"/>
          </w:tblCellMar>
        </w:tblPrEx>
        <w:trPr>
          <w:trHeight w:val="567" w:hRule="atLeast"/>
        </w:trPr>
        <w:tc>
          <w:tcPr>
            <w:tcW w:w="131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spacing w:line="360" w:lineRule="auto"/>
              <w:ind w:firstLine="10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售后服务方案  </w:t>
            </w:r>
          </w:p>
        </w:tc>
        <w:tc>
          <w:tcPr>
            <w:tcW w:w="697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258"/>
              <w:spacing w:line="360" w:lineRule="auto"/>
              <w:ind w:left="100" w:right="88"/>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评委根据供应商售后服务承诺（包含售后服务网点及售后服务队</w:t>
            </w:r>
            <w:r>
              <w:rPr>
                <w:rFonts w:ascii="宋体" w:hAnsi="宋体" w:eastAsia="宋体" w:cs="宋体"/>
                <w:color w:val="000000" w:themeColor="text1"/>
                <w:spacing w:val="-10"/>
                <w:sz w:val="24"/>
                <w:szCs w:val="24"/>
              </w:rPr>
              <w:t>伍）、保修期、优惠条件、技术能力、服务措施等在</w:t>
            </w:r>
            <w:r>
              <w:rPr>
                <w:rFonts w:hint="eastAsia" w:ascii="宋体" w:hAnsi="宋体" w:eastAsia="宋体" w:cs="宋体"/>
                <w:color w:val="000000" w:themeColor="text1"/>
                <w:spacing w:val="-31"/>
                <w:sz w:val="24"/>
                <w:szCs w:val="24"/>
                <w:lang w:val="en-US" w:eastAsia="zh-CN"/>
              </w:rPr>
              <w:t>1</w:t>
            </w:r>
            <w:r>
              <w:rPr>
                <w:rFonts w:ascii="宋体" w:hAnsi="宋体" w:eastAsia="宋体" w:cs="宋体"/>
                <w:color w:val="000000" w:themeColor="text1"/>
                <w:spacing w:val="-1"/>
                <w:sz w:val="24"/>
                <w:szCs w:val="24"/>
              </w:rPr>
              <w:t>～</w:t>
            </w:r>
            <w:r>
              <w:rPr>
                <w:rFonts w:hint="eastAsia" w:ascii="宋体" w:hAnsi="宋体" w:eastAsia="宋体" w:cs="宋体"/>
                <w:color w:val="000000" w:themeColor="text1"/>
                <w:spacing w:val="-31"/>
                <w:sz w:val="24"/>
                <w:szCs w:val="24"/>
                <w:lang w:val="en-US" w:eastAsia="zh-CN"/>
              </w:rPr>
              <w:t>6</w:t>
            </w:r>
            <w:r>
              <w:rPr>
                <w:rFonts w:ascii="宋体" w:hAnsi="宋体" w:eastAsia="宋体" w:cs="宋体"/>
                <w:color w:val="000000" w:themeColor="text1"/>
                <w:sz w:val="24"/>
                <w:szCs w:val="24"/>
              </w:rPr>
              <w:t>分范围</w:t>
            </w:r>
            <w:r>
              <w:rPr>
                <w:rFonts w:ascii="宋体" w:hAnsi="宋体" w:eastAsia="宋体" w:cs="宋体"/>
                <w:color w:val="000000" w:themeColor="text1"/>
                <w:spacing w:val="-1"/>
                <w:sz w:val="24"/>
                <w:szCs w:val="24"/>
              </w:rPr>
              <w:t>内合理打分</w:t>
            </w:r>
            <w:r>
              <w:rPr>
                <w:rFonts w:hint="eastAsia" w:ascii="宋体" w:hAnsi="宋体" w:eastAsia="宋体" w:cs="宋体"/>
                <w:color w:val="000000" w:themeColor="text1"/>
                <w:spacing w:val="-1"/>
                <w:sz w:val="24"/>
                <w:szCs w:val="24"/>
              </w:rPr>
              <w:t>。</w:t>
            </w:r>
          </w:p>
        </w:tc>
        <w:tc>
          <w:tcPr>
            <w:tcW w:w="82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rPr>
              <w:t>分</w:t>
            </w:r>
          </w:p>
        </w:tc>
      </w:tr>
    </w:tbl>
    <w:p>
      <w:pPr>
        <w:widowControl/>
        <w:adjustRightInd w:val="0"/>
        <w:snapToGrid w:val="0"/>
        <w:spacing w:line="360" w:lineRule="auto"/>
        <w:jc w:val="left"/>
        <w:textAlignment w:val="top"/>
        <w:rPr>
          <w:rFonts w:ascii="宋体" w:hAnsi="宋体" w:eastAsia="宋体" w:cs="宋体"/>
          <w:color w:val="000000" w:themeColor="text1"/>
          <w:sz w:val="24"/>
          <w:szCs w:val="24"/>
          <w:highlight w:val="yellow"/>
        </w:rPr>
      </w:pPr>
      <w:r>
        <w:rPr>
          <w:rFonts w:hint="eastAsia" w:ascii="宋体" w:hAnsi="宋体" w:eastAsia="宋体" w:cs="宋体"/>
          <w:b/>
          <w:bCs/>
          <w:color w:val="000000" w:themeColor="text1"/>
          <w:kern w:val="0"/>
          <w:sz w:val="24"/>
          <w:szCs w:val="24"/>
        </w:rPr>
        <w:t>注：以上所需证书均需在响应文件中提供证书</w:t>
      </w:r>
      <w:r>
        <w:rPr>
          <w:rFonts w:hint="eastAsia" w:ascii="宋体" w:hAnsi="宋体" w:cs="宋体"/>
          <w:b/>
          <w:bCs/>
          <w:color w:val="000000" w:themeColor="text1"/>
          <w:sz w:val="24"/>
        </w:rPr>
        <w:t>原件扫描件</w:t>
      </w:r>
      <w:r>
        <w:rPr>
          <w:rFonts w:hint="eastAsia" w:ascii="宋体" w:hAnsi="宋体" w:eastAsia="宋体" w:cs="宋体"/>
          <w:b/>
          <w:bCs/>
          <w:color w:val="000000" w:themeColor="text1"/>
          <w:kern w:val="0"/>
          <w:sz w:val="24"/>
          <w:szCs w:val="24"/>
        </w:rPr>
        <w:t>,否则不得分。供应商非原生产厂家的，需要提供原生产厂家的有关证书</w:t>
      </w:r>
      <w:r>
        <w:rPr>
          <w:rFonts w:hint="eastAsia" w:ascii="宋体" w:hAnsi="宋体" w:cs="宋体"/>
          <w:b/>
          <w:bCs/>
          <w:color w:val="000000" w:themeColor="text1"/>
          <w:sz w:val="24"/>
        </w:rPr>
        <w:t>原件扫描件</w:t>
      </w:r>
      <w:r>
        <w:rPr>
          <w:rFonts w:hint="eastAsia" w:ascii="宋体" w:hAnsi="宋体" w:eastAsia="宋体" w:cs="宋体"/>
          <w:b/>
          <w:bCs/>
          <w:color w:val="000000" w:themeColor="text1"/>
          <w:kern w:val="0"/>
          <w:sz w:val="24"/>
          <w:szCs w:val="24"/>
        </w:rPr>
        <w:t>，并有原生产厂家的授权证明)</w:t>
      </w:r>
    </w:p>
    <w:p>
      <w:pPr>
        <w:spacing w:line="360" w:lineRule="auto"/>
        <w:ind w:firstLine="422" w:firstLineChars="200"/>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序号</w:t>
            </w:r>
          </w:p>
        </w:tc>
        <w:tc>
          <w:tcPr>
            <w:tcW w:w="2823"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情形</w:t>
            </w:r>
          </w:p>
        </w:tc>
        <w:tc>
          <w:tcPr>
            <w:tcW w:w="2552"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rPr>
              <w:t>价格扣除</w:t>
            </w:r>
            <w:r>
              <w:rPr>
                <w:rFonts w:hint="eastAsia" w:asciiTheme="minorEastAsia" w:hAnsiTheme="minorEastAsia"/>
                <w:b/>
                <w:color w:val="000000" w:themeColor="text1"/>
                <w:szCs w:val="21"/>
                <w:lang w:val="en-GB"/>
              </w:rPr>
              <w:t>比例</w:t>
            </w:r>
          </w:p>
        </w:tc>
        <w:tc>
          <w:tcPr>
            <w:tcW w:w="2835"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1</w:t>
            </w:r>
          </w:p>
        </w:tc>
        <w:tc>
          <w:tcPr>
            <w:tcW w:w="2823" w:type="dxa"/>
            <w:vAlign w:val="center"/>
          </w:tcPr>
          <w:p>
            <w:pPr>
              <w:jc w:val="center"/>
              <w:rPr>
                <w:rFonts w:asciiTheme="minorEastAsia" w:hAnsiTheme="minorEastAsia"/>
                <w:b/>
                <w:color w:val="000000" w:themeColor="text1"/>
                <w:szCs w:val="21"/>
                <w:lang w:val="en-GB"/>
              </w:rPr>
            </w:pPr>
            <w:r>
              <w:rPr>
                <w:rFonts w:hint="eastAsia" w:asciiTheme="minorEastAsia" w:hAnsiTheme="minorEastAsia"/>
                <w:color w:val="000000" w:themeColor="text1"/>
                <w:szCs w:val="21"/>
                <w:lang w:val="en-GB"/>
              </w:rPr>
              <w:t>非联合体投标人</w:t>
            </w:r>
          </w:p>
        </w:tc>
        <w:tc>
          <w:tcPr>
            <w:tcW w:w="2552" w:type="dxa"/>
            <w:vAlign w:val="center"/>
          </w:tcPr>
          <w:p>
            <w:pPr>
              <w:jc w:val="center"/>
              <w:rPr>
                <w:rFonts w:asciiTheme="minorEastAsia" w:hAnsiTheme="minorEastAsia"/>
                <w:b/>
                <w:color w:val="000000" w:themeColor="text1"/>
                <w:szCs w:val="21"/>
                <w:lang w:val="en-GB"/>
              </w:rPr>
            </w:pPr>
            <w:r>
              <w:rPr>
                <w:rFonts w:hint="eastAsia" w:asciiTheme="minorEastAsia" w:hAnsiTheme="minorEastAsia"/>
                <w:color w:val="000000" w:themeColor="text1"/>
                <w:szCs w:val="21"/>
              </w:rPr>
              <w:t>对小型和微型企业产品的价格扣除</w:t>
            </w:r>
            <w:r>
              <w:rPr>
                <w:rFonts w:hint="eastAsia" w:asciiTheme="minorEastAsia" w:hAnsiTheme="minorEastAsia"/>
                <w:color w:val="000000" w:themeColor="text1"/>
                <w:szCs w:val="21"/>
                <w:u w:val="single"/>
                <w:lang w:val="en-US" w:eastAsia="zh-CN"/>
              </w:rPr>
              <w:t>10</w:t>
            </w:r>
            <w:r>
              <w:rPr>
                <w:rFonts w:hint="eastAsia" w:asciiTheme="minorEastAsia" w:hAnsiTheme="minorEastAsia"/>
                <w:color w:val="000000" w:themeColor="text1"/>
                <w:szCs w:val="21"/>
              </w:rPr>
              <w:t>%</w:t>
            </w:r>
          </w:p>
        </w:tc>
        <w:tc>
          <w:tcPr>
            <w:tcW w:w="2835" w:type="dxa"/>
            <w:vMerge w:val="restart"/>
            <w:shd w:val="clear" w:color="auto" w:fill="auto"/>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评标价格＝</w:t>
            </w:r>
            <w:r>
              <w:rPr>
                <w:rFonts w:hint="eastAsia" w:asciiTheme="minorEastAsia" w:hAnsiTheme="minorEastAsia"/>
                <w:color w:val="000000" w:themeColor="text1"/>
                <w:szCs w:val="21"/>
              </w:rPr>
              <w:t>小型和微型企业产品的价格</w:t>
            </w:r>
            <w:r>
              <w:rPr>
                <w:rFonts w:hint="eastAsia" w:asciiTheme="minorEastAsia" w:hAnsiTheme="minorEastAsia"/>
                <w:color w:val="000000" w:themeColor="text1"/>
                <w:szCs w:val="21"/>
                <w:lang w:val="en-GB"/>
              </w:rPr>
              <w:t>×（1-</w:t>
            </w:r>
            <w:r>
              <w:rPr>
                <w:rFonts w:hint="eastAsia" w:asciiTheme="minorEastAsia" w:hAnsiTheme="minorEastAsia"/>
                <w:color w:val="000000" w:themeColor="text1"/>
                <w:szCs w:val="21"/>
                <w:lang w:val="en-US" w:eastAsia="zh-CN"/>
              </w:rPr>
              <w:t>10</w:t>
            </w:r>
            <w:r>
              <w:rPr>
                <w:rFonts w:hint="eastAsia" w:asciiTheme="minorEastAsia" w:hAnsiTheme="minorEastAsia"/>
                <w:color w:val="000000" w:themeColor="text1"/>
                <w:szCs w:val="21"/>
                <w:lang w:val="en-GB"/>
              </w:rPr>
              <w:t>%）</w:t>
            </w:r>
          </w:p>
          <w:p>
            <w:pPr>
              <w:jc w:val="center"/>
              <w:rPr>
                <w:rFonts w:asciiTheme="minorEastAsia" w:hAnsiTheme="minorEastAsia"/>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2</w:t>
            </w:r>
          </w:p>
        </w:tc>
        <w:tc>
          <w:tcPr>
            <w:tcW w:w="2823" w:type="dxa"/>
            <w:vAlign w:val="center"/>
          </w:tcPr>
          <w:p>
            <w:pPr>
              <w:jc w:val="center"/>
              <w:rPr>
                <w:rFonts w:asciiTheme="minorEastAsia" w:hAnsiTheme="minorEastAsia"/>
                <w:b/>
                <w:color w:val="000000" w:themeColor="text1"/>
                <w:szCs w:val="21"/>
              </w:rPr>
            </w:pPr>
            <w:r>
              <w:rPr>
                <w:rFonts w:hint="eastAsia" w:asciiTheme="minorEastAsia" w:hAnsiTheme="minorEastAsia"/>
                <w:color w:val="000000" w:themeColor="text1"/>
                <w:szCs w:val="21"/>
                <w:lang w:val="en-GB"/>
              </w:rPr>
              <w:t>联合体各方均为小型、微型企业</w:t>
            </w:r>
          </w:p>
        </w:tc>
        <w:tc>
          <w:tcPr>
            <w:tcW w:w="2552"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对小型和微型企业产品的价格扣除</w:t>
            </w:r>
            <w:r>
              <w:rPr>
                <w:rFonts w:hint="eastAsia" w:asciiTheme="minorEastAsia" w:hAnsiTheme="minorEastAsia"/>
                <w:color w:val="000000" w:themeColor="text1"/>
                <w:szCs w:val="21"/>
                <w:u w:val="single"/>
                <w:lang w:val="en-US" w:eastAsia="zh-CN"/>
              </w:rPr>
              <w:t>10</w:t>
            </w:r>
            <w:r>
              <w:rPr>
                <w:rFonts w:hint="eastAsia" w:asciiTheme="minorEastAsia" w:hAnsiTheme="minorEastAsia"/>
                <w:color w:val="000000" w:themeColor="text1"/>
                <w:szCs w:val="21"/>
              </w:rPr>
              <w:t>%</w:t>
            </w:r>
          </w:p>
          <w:p>
            <w:pPr>
              <w:jc w:val="center"/>
              <w:rPr>
                <w:rFonts w:asciiTheme="minorEastAsia" w:hAnsiTheme="minorEastAsia"/>
                <w:b/>
                <w:color w:val="000000" w:themeColor="text1"/>
                <w:szCs w:val="21"/>
                <w:lang w:val="en-GB"/>
              </w:rPr>
            </w:pPr>
            <w:r>
              <w:rPr>
                <w:rFonts w:hint="eastAsia" w:asciiTheme="minorEastAsia" w:hAnsiTheme="minorEastAsia"/>
                <w:color w:val="000000" w:themeColor="text1"/>
                <w:szCs w:val="21"/>
              </w:rPr>
              <w:t>（不再享受序号3的价格折扣）</w:t>
            </w:r>
          </w:p>
        </w:tc>
        <w:tc>
          <w:tcPr>
            <w:tcW w:w="2835" w:type="dxa"/>
            <w:vMerge w:val="continue"/>
            <w:shd w:val="clear" w:color="auto" w:fill="auto"/>
          </w:tcPr>
          <w:p>
            <w:pPr>
              <w:rPr>
                <w:rFonts w:asciiTheme="minorEastAsia" w:hAnsiTheme="minorEastAsia"/>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3</w:t>
            </w:r>
          </w:p>
        </w:tc>
        <w:tc>
          <w:tcPr>
            <w:tcW w:w="2823" w:type="dxa"/>
            <w:vAlign w:val="center"/>
          </w:tcPr>
          <w:p>
            <w:pPr>
              <w:jc w:val="center"/>
              <w:rPr>
                <w:rFonts w:asciiTheme="minorEastAsia" w:hAnsiTheme="minorEastAsia"/>
                <w:b/>
                <w:color w:val="000000" w:themeColor="text1"/>
                <w:szCs w:val="21"/>
                <w:lang w:val="en-GB"/>
              </w:rPr>
            </w:pPr>
            <w:r>
              <w:rPr>
                <w:rFonts w:hint="eastAsia" w:asciiTheme="minorEastAsia" w:hAnsiTheme="minorEastAsia"/>
                <w:color w:val="000000" w:themeColor="text1"/>
                <w:szCs w:val="21"/>
                <w:lang w:val="en-GB"/>
              </w:rPr>
              <w:t>接受大中型企业与小微企业组成联合体或者允许大中型企业型一家或者多家小微企业分的采购项目，对于联合体协议或者分意向协议约定小微企业的合同份额占到合同金额30%以上</w:t>
            </w:r>
          </w:p>
        </w:tc>
        <w:tc>
          <w:tcPr>
            <w:tcW w:w="2552" w:type="dxa"/>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对联合体总金额扣除</w:t>
            </w:r>
          </w:p>
          <w:p>
            <w:pPr>
              <w:jc w:val="center"/>
              <w:rPr>
                <w:rFonts w:asciiTheme="minorEastAsia" w:hAnsiTheme="minorEastAsia"/>
                <w:b/>
                <w:color w:val="000000" w:themeColor="text1"/>
                <w:szCs w:val="21"/>
                <w:lang w:val="en-GB"/>
              </w:rPr>
            </w:pPr>
            <w:r>
              <w:rPr>
                <w:rFonts w:asciiTheme="minorEastAsia" w:hAnsiTheme="minorEastAsia"/>
                <w:color w:val="000000" w:themeColor="text1"/>
                <w:szCs w:val="21"/>
                <w:u w:val="single"/>
              </w:rPr>
              <w:t>2</w:t>
            </w:r>
            <w:r>
              <w:rPr>
                <w:rFonts w:hint="eastAsia" w:asciiTheme="minorEastAsia" w:hAnsiTheme="minorEastAsia"/>
                <w:color w:val="000000" w:themeColor="text1"/>
                <w:szCs w:val="21"/>
              </w:rPr>
              <w:t>%</w:t>
            </w:r>
          </w:p>
        </w:tc>
        <w:tc>
          <w:tcPr>
            <w:tcW w:w="2835" w:type="dxa"/>
            <w:shd w:val="clear" w:color="auto" w:fill="auto"/>
            <w:vAlign w:val="center"/>
          </w:tcPr>
          <w:p>
            <w:pPr>
              <w:jc w:val="center"/>
              <w:rPr>
                <w:rFonts w:asciiTheme="minorEastAsia" w:hAnsiTheme="minorEastAsia"/>
                <w:color w:val="000000" w:themeColor="text1"/>
                <w:szCs w:val="21"/>
                <w:u w:val="single"/>
              </w:rPr>
            </w:pPr>
            <w:r>
              <w:rPr>
                <w:rFonts w:hint="eastAsia" w:asciiTheme="minorEastAsia" w:hAnsiTheme="minorEastAsia"/>
                <w:color w:val="000000" w:themeColor="text1"/>
                <w:szCs w:val="21"/>
                <w:lang w:val="en-GB"/>
              </w:rPr>
              <w:t>评标价格＝投标报价×</w:t>
            </w:r>
            <w:r>
              <w:rPr>
                <w:rFonts w:hint="eastAsia" w:asciiTheme="minorEastAsia" w:hAnsiTheme="minorEastAsia"/>
                <w:color w:val="000000" w:themeColor="text1"/>
                <w:szCs w:val="21"/>
              </w:rPr>
              <w:t>(1-</w:t>
            </w:r>
            <w:r>
              <w:rPr>
                <w:rFonts w:asciiTheme="minorEastAsia" w:hAnsiTheme="minorEastAsia"/>
                <w:color w:val="000000" w:themeColor="text1"/>
                <w:szCs w:val="21"/>
                <w:u w:val="single"/>
              </w:rPr>
              <w:t>2</w:t>
            </w:r>
            <w:r>
              <w:rPr>
                <w:rFonts w:hint="eastAsia" w:asciiTheme="minorEastAsia" w:hAnsiTheme="minorEastAsia"/>
                <w:color w:val="000000" w:themeColor="text1"/>
                <w:szCs w:val="21"/>
                <w:u w:val="single"/>
              </w:rPr>
              <w:t>%)</w:t>
            </w:r>
          </w:p>
          <w:p>
            <w:pPr>
              <w:jc w:val="center"/>
              <w:rPr>
                <w:rFonts w:asciiTheme="minorEastAsia" w:hAnsiTheme="minorEastAsia"/>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4</w:t>
            </w:r>
          </w:p>
        </w:tc>
        <w:tc>
          <w:tcPr>
            <w:tcW w:w="2823" w:type="dxa"/>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监狱企业</w:t>
            </w:r>
          </w:p>
        </w:tc>
        <w:tc>
          <w:tcPr>
            <w:tcW w:w="2552" w:type="dxa"/>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对监狱企业产品价格扣除</w:t>
            </w:r>
            <w:r>
              <w:rPr>
                <w:rFonts w:hint="eastAsia" w:asciiTheme="minorEastAsia" w:hAnsiTheme="minorEastAsia"/>
                <w:color w:val="000000" w:themeColor="text1"/>
                <w:szCs w:val="21"/>
                <w:u w:val="single"/>
                <w:lang w:val="en-US" w:eastAsia="zh-CN"/>
              </w:rPr>
              <w:t>10</w:t>
            </w:r>
            <w:r>
              <w:rPr>
                <w:rFonts w:hint="eastAsia" w:asciiTheme="minorEastAsia" w:hAnsiTheme="minorEastAsia"/>
                <w:color w:val="000000" w:themeColor="text1"/>
                <w:szCs w:val="21"/>
              </w:rPr>
              <w:t>%</w:t>
            </w:r>
          </w:p>
        </w:tc>
        <w:tc>
          <w:tcPr>
            <w:tcW w:w="2835" w:type="dxa"/>
            <w:shd w:val="clear" w:color="auto" w:fill="auto"/>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评标价格＝投标报价—</w:t>
            </w:r>
            <w:r>
              <w:rPr>
                <w:rFonts w:hint="eastAsia" w:asciiTheme="minorEastAsia" w:hAnsiTheme="minorEastAsia"/>
                <w:color w:val="000000" w:themeColor="text1"/>
                <w:szCs w:val="21"/>
              </w:rPr>
              <w:t>监狱企业产品的价格</w:t>
            </w:r>
            <w:r>
              <w:rPr>
                <w:rFonts w:hint="eastAsia" w:asciiTheme="minorEastAsia" w:hAnsiTheme="minorEastAsia"/>
                <w:color w:val="000000" w:themeColor="text1"/>
                <w:szCs w:val="21"/>
                <w:lang w:val="en-GB"/>
              </w:rPr>
              <w:t>×</w:t>
            </w:r>
            <w:r>
              <w:rPr>
                <w:rFonts w:hint="eastAsia" w:asciiTheme="minorEastAsia" w:hAnsiTheme="minorEastAsia"/>
                <w:color w:val="000000" w:themeColor="text1"/>
                <w:szCs w:val="21"/>
                <w:lang w:val="en-US" w:eastAsia="zh-CN"/>
              </w:rPr>
              <w:t>10</w:t>
            </w:r>
            <w:r>
              <w:rPr>
                <w:rFonts w:hint="eastAsia" w:asciiTheme="minorEastAsia" w:hAnsiTheme="minorEastAsia"/>
                <w:color w:val="000000" w:themeColor="text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color w:val="000000" w:themeColor="text1"/>
                <w:szCs w:val="21"/>
                <w:lang w:val="en-GB"/>
              </w:rPr>
            </w:pPr>
            <w:r>
              <w:rPr>
                <w:rFonts w:hint="eastAsia" w:asciiTheme="minorEastAsia" w:hAnsiTheme="minorEastAsia"/>
                <w:b/>
                <w:color w:val="000000" w:themeColor="text1"/>
                <w:szCs w:val="21"/>
                <w:lang w:val="en-GB"/>
              </w:rPr>
              <w:t>5</w:t>
            </w:r>
          </w:p>
        </w:tc>
        <w:tc>
          <w:tcPr>
            <w:tcW w:w="2823" w:type="dxa"/>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残疾人福利性单位</w:t>
            </w:r>
          </w:p>
        </w:tc>
        <w:tc>
          <w:tcPr>
            <w:tcW w:w="2552" w:type="dxa"/>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对残疾人福利性单位产品价格扣除</w:t>
            </w:r>
            <w:r>
              <w:rPr>
                <w:rFonts w:hint="eastAsia" w:asciiTheme="minorEastAsia" w:hAnsiTheme="minorEastAsia"/>
                <w:color w:val="000000" w:themeColor="text1"/>
                <w:szCs w:val="21"/>
                <w:u w:val="single"/>
                <w:lang w:val="en-US" w:eastAsia="zh-CN"/>
              </w:rPr>
              <w:t>10</w:t>
            </w:r>
            <w:r>
              <w:rPr>
                <w:rFonts w:hint="eastAsia" w:asciiTheme="minorEastAsia" w:hAnsiTheme="minorEastAsia"/>
                <w:color w:val="000000" w:themeColor="text1"/>
                <w:szCs w:val="21"/>
              </w:rPr>
              <w:t>%</w:t>
            </w:r>
          </w:p>
        </w:tc>
        <w:tc>
          <w:tcPr>
            <w:tcW w:w="2835" w:type="dxa"/>
            <w:shd w:val="clear" w:color="auto" w:fill="auto"/>
            <w:vAlign w:val="center"/>
          </w:tcPr>
          <w:p>
            <w:pPr>
              <w:jc w:val="center"/>
              <w:rPr>
                <w:rFonts w:asciiTheme="minorEastAsia" w:hAnsiTheme="minorEastAsia"/>
                <w:color w:val="000000" w:themeColor="text1"/>
                <w:szCs w:val="21"/>
                <w:lang w:val="en-GB"/>
              </w:rPr>
            </w:pPr>
            <w:r>
              <w:rPr>
                <w:rFonts w:hint="eastAsia" w:asciiTheme="minorEastAsia" w:hAnsiTheme="minorEastAsia"/>
                <w:color w:val="000000" w:themeColor="text1"/>
                <w:szCs w:val="21"/>
                <w:lang w:val="en-GB"/>
              </w:rPr>
              <w:t>评标价格＝投标报价—</w:t>
            </w:r>
            <w:r>
              <w:rPr>
                <w:rFonts w:hint="eastAsia" w:asciiTheme="minorEastAsia" w:hAnsiTheme="minorEastAsia"/>
                <w:color w:val="000000" w:themeColor="text1"/>
                <w:szCs w:val="21"/>
              </w:rPr>
              <w:t>残疾人福利性单位产品的价格</w:t>
            </w:r>
            <w:r>
              <w:rPr>
                <w:rFonts w:hint="eastAsia" w:asciiTheme="minorEastAsia" w:hAnsiTheme="minorEastAsia"/>
                <w:color w:val="000000" w:themeColor="text1"/>
                <w:szCs w:val="21"/>
                <w:lang w:val="en-GB"/>
              </w:rPr>
              <w:t>×</w:t>
            </w:r>
            <w:r>
              <w:rPr>
                <w:rFonts w:hint="eastAsia" w:asciiTheme="minorEastAsia" w:hAnsiTheme="minorEastAsia"/>
                <w:color w:val="000000" w:themeColor="text1"/>
                <w:szCs w:val="21"/>
                <w:lang w:val="en-US" w:eastAsia="zh-CN"/>
              </w:rPr>
              <w:t>10</w:t>
            </w:r>
            <w:r>
              <w:rPr>
                <w:rFonts w:hint="eastAsia" w:asciiTheme="minorEastAsia" w:hAnsiTheme="minorEastAsia"/>
                <w:color w:val="000000" w:themeColor="text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Theme="minorEastAsia" w:hAnsiTheme="minorEastAsia"/>
          <w:bCs/>
          <w:color w:val="000000" w:themeColor="text1"/>
          <w:szCs w:val="21"/>
          <w:lang w:val="en-GB"/>
        </w:rPr>
      </w:pPr>
      <w:r>
        <w:rPr>
          <w:rFonts w:hint="eastAsia" w:asciiTheme="minorEastAsia" w:hAnsiTheme="minorEastAsia"/>
          <w:bCs/>
          <w:color w:val="000000" w:themeColor="text1"/>
          <w:szCs w:val="21"/>
          <w:lang w:val="en-GB"/>
        </w:rPr>
        <w:t>备注：</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a、不接受联合体投标的项目，本表中第2项、第3项情形不适用。</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b、在货物采购项目中，货物由中小企业制造，即货物由中小企业生产且使用该中小企业商号</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r>
        <w:rPr>
          <w:rFonts w:hint="eastAsia" w:ascii="宋体" w:hAnsi="宋体"/>
          <w:bCs/>
          <w:color w:val="000000" w:themeColor="text1"/>
          <w:szCs w:val="21"/>
          <w:lang w:val="en-GB"/>
        </w:rPr>
        <w:cr/>
      </w:r>
      <w:r>
        <w:rPr>
          <w:rFonts w:hint="eastAsia" w:ascii="宋体" w:hAnsi="宋体"/>
          <w:bCs/>
          <w:color w:val="000000" w:themeColor="text1"/>
          <w:szCs w:val="21"/>
          <w:lang w:val="en-GB"/>
        </w:rPr>
        <w:t xml:space="preserve">   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d、残疾人福利性单位属于小型、微型企业的，不重复享受政策。</w:t>
      </w:r>
    </w:p>
    <w:p>
      <w:pPr>
        <w:spacing w:line="360" w:lineRule="auto"/>
        <w:ind w:firstLine="420" w:firstLineChars="200"/>
        <w:rPr>
          <w:rFonts w:ascii="宋体" w:hAnsi="宋体"/>
          <w:bCs/>
          <w:color w:val="000000" w:themeColor="text1"/>
          <w:szCs w:val="21"/>
          <w:lang w:val="en-GB"/>
        </w:rPr>
      </w:pPr>
      <w:r>
        <w:rPr>
          <w:rFonts w:ascii="宋体" w:hAnsi="宋体"/>
          <w:bCs/>
          <w:color w:val="000000" w:themeColor="text1"/>
          <w:szCs w:val="21"/>
          <w:lang w:val="en-GB"/>
        </w:rPr>
        <w:t>E</w:t>
      </w:r>
      <w:r>
        <w:rPr>
          <w:rFonts w:hint="eastAsia" w:ascii="宋体" w:hAnsi="宋体"/>
          <w:bCs/>
          <w:color w:val="000000" w:themeColor="text1"/>
          <w:szCs w:val="21"/>
          <w:lang w:val="en-GB"/>
        </w:rPr>
        <w:t>、小型和微型企业不括民办非企业单位。</w:t>
      </w:r>
    </w:p>
    <w:p>
      <w:pPr>
        <w:pStyle w:val="1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（9）</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spacing w:line="360" w:lineRule="auto"/>
        <w:ind w:firstLine="643" w:firstLineChars="200"/>
        <w:contextualSpacing/>
        <w:rPr>
          <w:rStyle w:val="244"/>
          <w:rFonts w:ascii="宋体" w:hAnsi="宋体" w:eastAsia="宋体"/>
          <w:b/>
          <w:kern w:val="0"/>
          <w:sz w:val="32"/>
          <w:szCs w:val="32"/>
        </w:rPr>
      </w:pPr>
      <w:r>
        <w:rPr>
          <w:rStyle w:val="244"/>
          <w:rFonts w:ascii="宋体" w:hAnsi="宋体"/>
          <w:b/>
          <w:sz w:val="32"/>
          <w:szCs w:val="32"/>
        </w:rPr>
        <w:br w:type="page"/>
      </w:r>
    </w:p>
    <w:p>
      <w:pPr>
        <w:pStyle w:val="248"/>
        <w:spacing w:line="360" w:lineRule="auto"/>
        <w:contextualSpacing/>
        <w:jc w:val="center"/>
        <w:rPr>
          <w:rStyle w:val="244"/>
          <w:rFonts w:ascii="宋体" w:hAnsi="宋体"/>
          <w:b/>
          <w:color w:val="000000" w:themeColor="text1"/>
          <w:sz w:val="32"/>
          <w:szCs w:val="32"/>
        </w:rPr>
      </w:pPr>
      <w:r>
        <w:rPr>
          <w:rStyle w:val="244"/>
          <w:rFonts w:ascii="宋体" w:hAnsi="宋体"/>
          <w:b/>
          <w:color w:val="000000" w:themeColor="text1"/>
          <w:sz w:val="32"/>
          <w:szCs w:val="32"/>
        </w:rPr>
        <w:t>第七章 合同条款及格式</w:t>
      </w:r>
    </w:p>
    <w:p>
      <w:pPr>
        <w:pStyle w:val="17"/>
        <w:spacing w:line="360" w:lineRule="auto"/>
        <w:contextualSpacing/>
        <w:jc w:val="center"/>
        <w:rPr>
          <w:rFonts w:cs="宋体" w:asciiTheme="minorEastAsia" w:hAnsiTheme="minorEastAsia" w:eastAsiaTheme="minorEastAsia"/>
          <w:b/>
          <w:kern w:val="0"/>
          <w:szCs w:val="24"/>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ascii="宋体" w:hAnsi="宋体" w:cs="宋体"/>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      </w:t>
      </w:r>
    </w:p>
    <w:p>
      <w:pPr>
        <w:jc w:val="center"/>
        <w:rPr>
          <w:rFonts w:ascii="宋体" w:hAnsi="宋体" w:cs="宋体"/>
          <w:sz w:val="28"/>
          <w:szCs w:val="28"/>
          <w:u w:val="single"/>
        </w:rPr>
      </w:pPr>
    </w:p>
    <w:p>
      <w:pPr>
        <w:rPr>
          <w:rFonts w:ascii="宋体" w:hAnsi="宋体" w:cs="宋体"/>
          <w:sz w:val="20"/>
          <w:szCs w:val="20"/>
        </w:rPr>
      </w:pPr>
    </w:p>
    <w:p>
      <w:pPr>
        <w:rPr>
          <w:rFonts w:ascii="宋体" w:hAnsi="宋体" w:cs="宋体"/>
          <w:sz w:val="20"/>
          <w:szCs w:val="20"/>
        </w:rPr>
      </w:pPr>
    </w:p>
    <w:p>
      <w:pPr>
        <w:jc w:val="center"/>
        <w:rPr>
          <w:rFonts w:ascii="宋体" w:hAnsi="宋体" w:cs="宋体"/>
          <w:sz w:val="72"/>
          <w:szCs w:val="72"/>
        </w:rPr>
      </w:pPr>
      <w:r>
        <w:rPr>
          <w:rFonts w:hint="eastAsia" w:ascii="宋体" w:hAnsi="宋体" w:cs="宋体"/>
          <w:sz w:val="72"/>
          <w:szCs w:val="72"/>
        </w:rPr>
        <w:t>投 标 文 件</w:t>
      </w:r>
    </w:p>
    <w:p>
      <w:pPr>
        <w:rPr>
          <w:rFonts w:ascii="宋体" w:hAnsi="宋体" w:cs="宋体"/>
          <w:sz w:val="28"/>
          <w:szCs w:val="28"/>
        </w:rPr>
      </w:pPr>
    </w:p>
    <w:p>
      <w:pPr>
        <w:ind w:firstLine="3080" w:firstLineChars="1100"/>
        <w:rPr>
          <w:rFonts w:ascii="宋体" w:hAnsi="宋体" w:cs="宋体"/>
          <w:sz w:val="28"/>
          <w:szCs w:val="28"/>
        </w:rPr>
      </w:pPr>
      <w:r>
        <w:rPr>
          <w:rFonts w:hint="eastAsia" w:ascii="宋体" w:hAnsi="宋体" w:cs="宋体"/>
          <w:sz w:val="28"/>
          <w:szCs w:val="28"/>
        </w:rPr>
        <w:t>项目编号：</w:t>
      </w:r>
    </w:p>
    <w:p>
      <w:pPr>
        <w:rPr>
          <w:rFonts w:ascii="宋体" w:hAnsi="宋体" w:cs="宋体"/>
          <w:sz w:val="28"/>
          <w:szCs w:val="28"/>
        </w:rPr>
      </w:pPr>
    </w:p>
    <w:p>
      <w:pPr>
        <w:rPr>
          <w:rFonts w:ascii="宋体" w:hAnsi="宋体" w:cs="宋体"/>
          <w:sz w:val="28"/>
          <w:szCs w:val="28"/>
        </w:rPr>
      </w:pPr>
    </w:p>
    <w:p>
      <w:pPr>
        <w:pStyle w:val="27"/>
        <w:ind w:firstLine="340"/>
        <w:rPr>
          <w:rFonts w:hAnsi="宋体" w:cs="宋体"/>
        </w:rPr>
      </w:pPr>
    </w:p>
    <w:p>
      <w:pPr>
        <w:pStyle w:val="27"/>
        <w:ind w:firstLine="340"/>
        <w:rPr>
          <w:rFonts w:hAnsi="宋体" w:cs="宋体"/>
        </w:rPr>
      </w:pPr>
    </w:p>
    <w:p>
      <w:pPr>
        <w:pStyle w:val="27"/>
        <w:ind w:firstLine="340"/>
        <w:rPr>
          <w:rFonts w:hAnsi="宋体" w:cs="宋体"/>
        </w:rPr>
      </w:pPr>
    </w:p>
    <w:p>
      <w:pPr>
        <w:ind w:left="1079" w:leftChars="474" w:hanging="84" w:hangingChars="30"/>
        <w:jc w:val="left"/>
        <w:rPr>
          <w:rFonts w:ascii="宋体" w:hAnsi="宋体" w:cs="宋体"/>
          <w:sz w:val="28"/>
          <w:szCs w:val="28"/>
        </w:rPr>
      </w:pPr>
      <w:r>
        <w:rPr>
          <w:rFonts w:hint="eastAsia" w:ascii="宋体" w:hAnsi="宋体" w:cs="宋体"/>
          <w:sz w:val="28"/>
          <w:szCs w:val="28"/>
        </w:rPr>
        <w:t>投  标  人：（盖单位章）</w:t>
      </w:r>
    </w:p>
    <w:p>
      <w:pPr>
        <w:ind w:left="1079" w:leftChars="474" w:hanging="84" w:hangingChars="30"/>
        <w:jc w:val="left"/>
        <w:rPr>
          <w:rFonts w:ascii="宋体" w:hAnsi="宋体" w:cs="宋体"/>
          <w:sz w:val="28"/>
          <w:szCs w:val="28"/>
        </w:rPr>
      </w:pPr>
      <w:r>
        <w:rPr>
          <w:rFonts w:hint="eastAsia" w:ascii="宋体" w:hAnsi="宋体" w:cs="宋体"/>
          <w:sz w:val="28"/>
          <w:szCs w:val="28"/>
        </w:rPr>
        <w:t>法定代表人或其委托代理人：（签字或盖章）</w:t>
      </w:r>
    </w:p>
    <w:p>
      <w:pPr>
        <w:ind w:left="1079" w:leftChars="474" w:hanging="84" w:hangingChars="30"/>
        <w:jc w:val="left"/>
        <w:rPr>
          <w:rFonts w:ascii="宋体" w:hAnsi="宋体" w:cs="宋体"/>
          <w:sz w:val="28"/>
          <w:szCs w:val="28"/>
        </w:rPr>
      </w:pPr>
      <w:r>
        <w:rPr>
          <w:rFonts w:hint="eastAsia" w:ascii="宋体" w:hAnsi="宋体" w:cs="宋体"/>
          <w:sz w:val="28"/>
          <w:szCs w:val="28"/>
        </w:rPr>
        <w:t>日 期：年月日</w:t>
      </w:r>
      <w:bookmarkStart w:id="9" w:name="_Toc186274126"/>
      <w:bookmarkStart w:id="10" w:name="_Toc184023138"/>
      <w:bookmarkStart w:id="11" w:name="_Toc174185203"/>
    </w:p>
    <w:p>
      <w:pPr>
        <w:ind w:left="1079" w:leftChars="474" w:hanging="84" w:hangingChars="30"/>
        <w:jc w:val="left"/>
        <w:rPr>
          <w:rFonts w:ascii="宋体" w:hAnsi="宋体" w:cs="宋体"/>
          <w:sz w:val="28"/>
          <w:szCs w:val="28"/>
        </w:rPr>
      </w:pPr>
    </w:p>
    <w:p>
      <w:pPr>
        <w:ind w:left="1079" w:leftChars="474" w:hanging="84" w:hangingChars="30"/>
        <w:jc w:val="left"/>
        <w:rPr>
          <w:rFonts w:ascii="宋体" w:hAnsi="宋体" w:cs="宋体"/>
          <w:sz w:val="28"/>
          <w:szCs w:val="28"/>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pStyle w:val="2"/>
        <w:numPr>
          <w:ilvl w:val="3"/>
          <w:numId w:val="0"/>
        </w:numPr>
        <w:ind w:leftChars="0"/>
        <w:rPr>
          <w:rFonts w:hint="eastAsia"/>
          <w:lang w:val="zh-CN"/>
        </w:rPr>
      </w:pPr>
    </w:p>
    <w:p>
      <w:pPr>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2"/>
          <w:szCs w:val="32"/>
          <w:lang w:val="zh-CN"/>
        </w:rPr>
      </w:pP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32"/>
          <w:szCs w:val="32"/>
          <w:lang w:val="zh-CN"/>
        </w:rPr>
      </w:pPr>
      <w:r>
        <w:rPr>
          <w:rFonts w:hint="eastAsia" w:cs="黑体" w:asciiTheme="minorEastAsia" w:hAnsiTheme="minorEastAsia" w:eastAsiaTheme="minorEastAsia"/>
          <w:color w:val="auto"/>
          <w:kern w:val="2"/>
          <w:sz w:val="32"/>
          <w:szCs w:val="32"/>
          <w:lang w:val="zh-CN"/>
        </w:rPr>
        <w:t>一、投标人应答索引表</w:t>
      </w:r>
      <w:bookmarkEnd w:id="9"/>
      <w:bookmarkEnd w:id="10"/>
      <w:bookmarkEnd w:id="11"/>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序号</w:t>
            </w:r>
          </w:p>
        </w:tc>
        <w:tc>
          <w:tcPr>
            <w:tcW w:w="3751" w:type="dxa"/>
            <w:gridSpan w:val="3"/>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项  目</w:t>
            </w:r>
          </w:p>
        </w:tc>
        <w:tc>
          <w:tcPr>
            <w:tcW w:w="1559"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投标人应答</w:t>
            </w:r>
          </w:p>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（有/没有）</w:t>
            </w:r>
          </w:p>
        </w:tc>
        <w:tc>
          <w:tcPr>
            <w:tcW w:w="1560"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投标文件中所在页码</w:t>
            </w:r>
          </w:p>
        </w:tc>
        <w:tc>
          <w:tcPr>
            <w:tcW w:w="2018"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投标人应答索引表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开标一览表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投标函</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4</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cstheme="majorEastAsia"/>
                <w:bCs/>
                <w:sz w:val="21"/>
                <w:szCs w:val="21"/>
                <w:lang w:val="zh-CN"/>
              </w:rPr>
              <w:t>法定代表人（单位负责人）</w:t>
            </w:r>
            <w:r>
              <w:rPr>
                <w:rFonts w:asciiTheme="minorEastAsia" w:hAnsiTheme="minorEastAsia" w:eastAsiaTheme="minorEastAsia" w:cstheme="majorEastAsia"/>
                <w:bCs/>
                <w:sz w:val="21"/>
                <w:szCs w:val="21"/>
                <w:lang w:val="zh-CN"/>
              </w:rPr>
              <w:t>资</w:t>
            </w:r>
            <w:r>
              <w:rPr>
                <w:rFonts w:hint="eastAsia" w:asciiTheme="minorEastAsia" w:hAnsiTheme="minorEastAsia" w:eastAsiaTheme="minorEastAsia" w:cstheme="majorEastAsia"/>
                <w:bCs/>
                <w:sz w:val="21"/>
                <w:szCs w:val="21"/>
                <w:lang w:val="zh-CN"/>
              </w:rPr>
              <w:t>格</w:t>
            </w:r>
            <w:r>
              <w:rPr>
                <w:rFonts w:asciiTheme="minorEastAsia" w:hAnsiTheme="minorEastAsia" w:eastAsiaTheme="minorEastAsia" w:cstheme="majorEastAsia"/>
                <w:bCs/>
                <w:sz w:val="21"/>
                <w:szCs w:val="21"/>
                <w:lang w:val="zh-CN"/>
              </w:rPr>
              <w:t>证</w:t>
            </w:r>
            <w:r>
              <w:rPr>
                <w:rFonts w:hint="eastAsia" w:asciiTheme="minorEastAsia" w:hAnsiTheme="minorEastAsia" w:eastAsiaTheme="minorEastAsia" w:cstheme="majorEastAsia"/>
                <w:bCs/>
                <w:sz w:val="21"/>
                <w:szCs w:val="21"/>
                <w:lang w:val="zh-CN"/>
              </w:rPr>
              <w:t>明</w:t>
            </w:r>
            <w:r>
              <w:rPr>
                <w:rFonts w:asciiTheme="minorEastAsia" w:hAnsiTheme="minorEastAsia" w:eastAsiaTheme="minorEastAsia" w:cstheme="majorEastAsia"/>
                <w:bCs/>
                <w:sz w:val="21"/>
                <w:szCs w:val="21"/>
                <w:lang w:val="zh-CN"/>
              </w:rPr>
              <w:t>书</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5</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法定代表人（单位负责人）授权书</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6</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营业执照等证明</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7</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bCs/>
                <w:sz w:val="21"/>
                <w:szCs w:val="21"/>
              </w:rPr>
              <w:t>依法纳税凭据</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inorEastAsia" w:hAnsiTheme="minorEastAsia"/>
                <w:szCs w:val="21"/>
              </w:rPr>
            </w:pPr>
            <w:r>
              <w:rPr>
                <w:rFonts w:hint="eastAsia" w:cs="微软雅黑" w:asciiTheme="minorEastAsia" w:hAnsiTheme="minorEastAsia"/>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资产负债表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利润表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现金流量表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所有者权益变动表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附注</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2977" w:type="dxa"/>
            <w:gridSpan w:val="2"/>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基本开户银行资信证明</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2977" w:type="dxa"/>
            <w:gridSpan w:val="2"/>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银行资信证明</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2977" w:type="dxa"/>
            <w:gridSpan w:val="2"/>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政府采购投标担保函</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9</w:t>
            </w:r>
          </w:p>
        </w:tc>
        <w:tc>
          <w:tcPr>
            <w:tcW w:w="3751" w:type="dxa"/>
            <w:gridSpan w:val="3"/>
            <w:vAlign w:val="center"/>
          </w:tcPr>
          <w:p>
            <w:pPr>
              <w:snapToGrid w:val="0"/>
              <w:spacing w:line="400" w:lineRule="exact"/>
              <w:rPr>
                <w:rFonts w:cs="微软雅黑" w:asciiTheme="minorEastAsia" w:hAnsiTheme="minorEastAsia"/>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cs="微软雅黑"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inorEastAsia" w:hAnsiTheme="minorEastAsia"/>
                <w:szCs w:val="21"/>
              </w:rPr>
            </w:pPr>
            <w:r>
              <w:rPr>
                <w:rFonts w:hint="eastAsia" w:cs="微软雅黑" w:asciiTheme="minorEastAsia" w:hAnsiTheme="minorEastAsia"/>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cs="微软雅黑" w:asciiTheme="minorEastAsia" w:hAnsiTheme="minorEastAsia"/>
                <w:szCs w:val="21"/>
              </w:rPr>
            </w:pPr>
            <w:r>
              <w:rPr>
                <w:rFonts w:hint="eastAsia" w:cs="微软雅黑" w:asciiTheme="minorEastAsia" w:hAnsiTheme="minorEastAsia"/>
                <w:szCs w:val="21"/>
              </w:rPr>
              <w:t>证明材料</w:t>
            </w:r>
          </w:p>
        </w:tc>
        <w:tc>
          <w:tcPr>
            <w:tcW w:w="2268"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设备购置发票</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技术人员职称证书</w:t>
            </w:r>
          </w:p>
        </w:tc>
        <w:tc>
          <w:tcPr>
            <w:tcW w:w="1559" w:type="dxa"/>
            <w:vAlign w:val="center"/>
          </w:tcPr>
          <w:p>
            <w:pPr>
              <w:pStyle w:val="17"/>
              <w:rPr>
                <w:rFonts w:asciiTheme="minorEastAsia" w:hAnsiTheme="minorEastAsia" w:eastAsiaTheme="minorEastAsia"/>
                <w:sz w:val="21"/>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用工合同</w:t>
            </w:r>
          </w:p>
        </w:tc>
        <w:tc>
          <w:tcPr>
            <w:tcW w:w="1559" w:type="dxa"/>
            <w:vAlign w:val="center"/>
          </w:tcPr>
          <w:p>
            <w:pPr>
              <w:pStyle w:val="17"/>
              <w:rPr>
                <w:rFonts w:asciiTheme="minorEastAsia" w:hAnsiTheme="minorEastAsia" w:eastAsiaTheme="minorEastAsia"/>
                <w:sz w:val="21"/>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cs="微软雅黑" w:asciiTheme="minorEastAsia" w:hAnsiTheme="minorEastAsia"/>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bCs/>
                <w:sz w:val="21"/>
                <w:szCs w:val="21"/>
              </w:rPr>
              <w:t>投标人相关承诺函或声明</w:t>
            </w:r>
          </w:p>
        </w:tc>
        <w:tc>
          <w:tcPr>
            <w:tcW w:w="1559" w:type="dxa"/>
            <w:vAlign w:val="center"/>
          </w:tcPr>
          <w:p>
            <w:pPr>
              <w:pStyle w:val="17"/>
              <w:rPr>
                <w:rFonts w:asciiTheme="minorEastAsia" w:hAnsiTheme="minorEastAsia" w:eastAsiaTheme="minorEastAsia"/>
                <w:sz w:val="21"/>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11</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没有重大违法记录的声明</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12</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kern w:val="0"/>
                <w:sz w:val="21"/>
                <w:szCs w:val="21"/>
              </w:rPr>
            </w:pPr>
            <w:r>
              <w:rPr>
                <w:rFonts w:hint="eastAsia" w:cs="微软雅黑" w:asciiTheme="minorEastAsia" w:hAnsiTheme="minorEastAsia" w:eastAsiaTheme="minorEastAsia"/>
                <w:bCs/>
                <w:kern w:val="0"/>
                <w:sz w:val="21"/>
                <w:szCs w:val="21"/>
              </w:rPr>
              <w:t>投标人应具备的特殊资质证书</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13</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cstheme="majorEastAsia"/>
                <w:bCs/>
                <w:sz w:val="21"/>
                <w:szCs w:val="21"/>
                <w:lang w:val="zh-CN"/>
              </w:rPr>
              <w:t>投标承诺函</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14</w:t>
            </w:r>
          </w:p>
        </w:tc>
        <w:tc>
          <w:tcPr>
            <w:tcW w:w="3751" w:type="dxa"/>
            <w:gridSpan w:val="3"/>
            <w:vAlign w:val="center"/>
          </w:tcPr>
          <w:p>
            <w:pPr>
              <w:pStyle w:val="17"/>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asciiTheme="minorEastAsia" w:hAnsiTheme="minorEastAsia" w:eastAsiaTheme="minorEastAsia" w:cstheme="majorEastAsia"/>
                <w:bCs/>
                <w:sz w:val="21"/>
                <w:szCs w:val="21"/>
                <w:lang w:val="zh-CN"/>
              </w:rPr>
              <w:t>联合体协议</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15</w:t>
            </w:r>
          </w:p>
        </w:tc>
        <w:tc>
          <w:tcPr>
            <w:tcW w:w="3751" w:type="dxa"/>
            <w:gridSpan w:val="3"/>
            <w:tcBorders>
              <w:bottom w:val="single" w:color="auto" w:sz="4" w:space="0"/>
            </w:tcBorders>
            <w:vAlign w:val="center"/>
          </w:tcPr>
          <w:p>
            <w:pPr>
              <w:pStyle w:val="17"/>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asciiTheme="minorEastAsia" w:hAnsiTheme="minorEastAsia" w:eastAsiaTheme="minorEastAsia" w:cstheme="majorEastAsia"/>
                <w:bCs/>
                <w:sz w:val="21"/>
                <w:szCs w:val="21"/>
                <w:lang w:val="zh-CN"/>
              </w:rPr>
              <w:t>投标人与参加本项目投标的其他供应商之间，单位负责人不为同一人并且不存在直接控股、管理关系承诺函</w:t>
            </w:r>
          </w:p>
        </w:tc>
        <w:tc>
          <w:tcPr>
            <w:tcW w:w="1559" w:type="dxa"/>
            <w:tcBorders>
              <w:bottom w:val="single" w:color="auto" w:sz="4" w:space="0"/>
            </w:tcBorders>
            <w:vAlign w:val="center"/>
          </w:tcPr>
          <w:p>
            <w:pPr>
              <w:jc w:val="center"/>
              <w:rPr>
                <w:rFonts w:asciiTheme="minorEastAsia" w:hAnsiTheme="minorEastAsia"/>
                <w:szCs w:val="21"/>
              </w:rPr>
            </w:pPr>
          </w:p>
        </w:tc>
        <w:tc>
          <w:tcPr>
            <w:tcW w:w="1560" w:type="dxa"/>
            <w:tcBorders>
              <w:bottom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bottom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16</w:t>
            </w:r>
          </w:p>
        </w:tc>
        <w:tc>
          <w:tcPr>
            <w:tcW w:w="3751" w:type="dxa"/>
            <w:gridSpan w:val="3"/>
            <w:tcBorders>
              <w:top w:val="single" w:color="auto" w:sz="4" w:space="0"/>
              <w:left w:val="single" w:color="auto" w:sz="4" w:space="0"/>
              <w:bottom w:val="single" w:color="auto" w:sz="4" w:space="0"/>
              <w:right w:val="single" w:color="auto" w:sz="4" w:space="0"/>
            </w:tcBorders>
            <w:vAlign w:val="center"/>
          </w:tcPr>
          <w:p>
            <w:pPr>
              <w:pStyle w:val="17"/>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cs="仿宋_GB2312" w:asciiTheme="minorEastAsia" w:hAnsiTheme="minorEastAsia" w:eastAsiaTheme="minorEastAsia"/>
                <w:sz w:val="21"/>
                <w:szCs w:val="21"/>
                <w:lang w:val="zh-CN"/>
              </w:rPr>
              <w:t>投标人未为本项目提供整体设计、规范编制或者项目管理、监理、检测等服务承诺函</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17</w:t>
            </w:r>
          </w:p>
        </w:tc>
        <w:tc>
          <w:tcPr>
            <w:tcW w:w="3751" w:type="dxa"/>
            <w:gridSpan w:val="3"/>
            <w:tcBorders>
              <w:top w:val="single" w:color="auto" w:sz="4" w:space="0"/>
            </w:tcBorders>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投标分项报价表</w:t>
            </w:r>
          </w:p>
        </w:tc>
        <w:tc>
          <w:tcPr>
            <w:tcW w:w="1559" w:type="dxa"/>
            <w:tcBorders>
              <w:top w:val="single" w:color="auto" w:sz="4" w:space="0"/>
            </w:tcBorders>
            <w:vAlign w:val="center"/>
          </w:tcPr>
          <w:p>
            <w:pPr>
              <w:jc w:val="center"/>
              <w:rPr>
                <w:rFonts w:asciiTheme="minorEastAsia" w:hAnsiTheme="minorEastAsia"/>
                <w:szCs w:val="21"/>
              </w:rPr>
            </w:pPr>
          </w:p>
        </w:tc>
        <w:tc>
          <w:tcPr>
            <w:tcW w:w="1560" w:type="dxa"/>
            <w:tcBorders>
              <w:top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top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18</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技术规格偏离表</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19</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技术方案</w:t>
            </w:r>
          </w:p>
        </w:tc>
        <w:tc>
          <w:tcPr>
            <w:tcW w:w="1559" w:type="dxa"/>
            <w:vAlign w:val="center"/>
          </w:tcPr>
          <w:p>
            <w:pPr>
              <w:jc w:val="center"/>
              <w:rPr>
                <w:rFonts w:asciiTheme="minorEastAsia" w:hAnsiTheme="minorEastAsia"/>
                <w:szCs w:val="21"/>
              </w:rPr>
            </w:pPr>
          </w:p>
        </w:tc>
        <w:tc>
          <w:tcPr>
            <w:tcW w:w="1560" w:type="dxa"/>
            <w:tcBorders>
              <w:top w:val="single" w:color="auto" w:sz="4" w:space="0"/>
            </w:tcBorders>
            <w:vAlign w:val="center"/>
          </w:tcPr>
          <w:p>
            <w:pPr>
              <w:snapToGrid w:val="0"/>
              <w:spacing w:line="400" w:lineRule="exact"/>
              <w:rPr>
                <w:rFonts w:cs="微软雅黑" w:asciiTheme="minorEastAsia" w:hAnsiTheme="minorEastAsia"/>
                <w:szCs w:val="21"/>
              </w:rPr>
            </w:pPr>
          </w:p>
        </w:tc>
        <w:tc>
          <w:tcPr>
            <w:tcW w:w="2018" w:type="dxa"/>
            <w:tcBorders>
              <w:top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20</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售后服务方案</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21</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业绩情况表</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22</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政府强制采购节能产品品目清单情况</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23</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优先采购节能产品政府采购品目清单情况</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24</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优先采购环境标志产品政府采购品目清单情况</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25</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中小企业声明函</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26</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27</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监狱企业证明文件</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28</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中国信息安全认证中心按国家标准认证颁发的</w:t>
            </w:r>
            <w:r>
              <w:rPr>
                <w:rFonts w:cs="微软雅黑" w:asciiTheme="minorEastAsia" w:hAnsiTheme="minorEastAsia" w:eastAsiaTheme="minorEastAsia"/>
                <w:bCs/>
                <w:kern w:val="0"/>
                <w:sz w:val="21"/>
                <w:szCs w:val="21"/>
              </w:rPr>
              <w:t>信息安全产品</w:t>
            </w:r>
            <w:r>
              <w:rPr>
                <w:rFonts w:hint="eastAsia" w:cs="微软雅黑" w:asciiTheme="minorEastAsia" w:hAnsiTheme="minorEastAsia" w:eastAsiaTheme="minorEastAsia"/>
                <w:bCs/>
                <w:kern w:val="0"/>
                <w:sz w:val="21"/>
                <w:szCs w:val="21"/>
              </w:rPr>
              <w:t>有效认证证书</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29</w:t>
            </w:r>
          </w:p>
        </w:tc>
        <w:tc>
          <w:tcPr>
            <w:tcW w:w="3751" w:type="dxa"/>
            <w:gridSpan w:val="3"/>
            <w:vAlign w:val="center"/>
          </w:tcPr>
          <w:p>
            <w:pPr>
              <w:pStyle w:val="17"/>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其它资料</w:t>
            </w:r>
          </w:p>
        </w:tc>
        <w:tc>
          <w:tcPr>
            <w:tcW w:w="1559" w:type="dxa"/>
            <w:vAlign w:val="center"/>
          </w:tcPr>
          <w:p>
            <w:pPr>
              <w:jc w:val="center"/>
              <w:rPr>
                <w:rFonts w:asciiTheme="minorEastAsia" w:hAnsiTheme="minorEastAsia"/>
                <w:szCs w:val="21"/>
              </w:rPr>
            </w:pPr>
          </w:p>
        </w:tc>
        <w:tc>
          <w:tcPr>
            <w:tcW w:w="1560" w:type="dxa"/>
            <w:vAlign w:val="center"/>
          </w:tcPr>
          <w:p>
            <w:pPr>
              <w:snapToGrid w:val="0"/>
              <w:spacing w:line="400" w:lineRule="exact"/>
              <w:rPr>
                <w:rFonts w:cs="微软雅黑" w:asciiTheme="minorEastAsia" w:hAnsiTheme="minorEastAsia"/>
                <w:szCs w:val="21"/>
              </w:rPr>
            </w:pPr>
          </w:p>
        </w:tc>
        <w:tc>
          <w:tcPr>
            <w:tcW w:w="2018" w:type="dxa"/>
            <w:vAlign w:val="center"/>
          </w:tcPr>
          <w:p>
            <w:pPr>
              <w:snapToGrid w:val="0"/>
              <w:spacing w:line="400" w:lineRule="exact"/>
              <w:rPr>
                <w:rFonts w:cs="微软雅黑" w:asciiTheme="minorEastAsia" w:hAnsiTheme="minorEastAsia"/>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bidi w:val="0"/>
      </w:pPr>
    </w:p>
    <w:p>
      <w:pPr>
        <w:rPr>
          <w:rFonts w:hint="eastAsia" w:ascii="楷体" w:hAnsi="楷体" w:eastAsia="楷体"/>
          <w:sz w:val="24"/>
          <w:szCs w:val="24"/>
        </w:rPr>
      </w:pPr>
    </w:p>
    <w:p>
      <w:pPr>
        <w:bidi w:val="0"/>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32"/>
          <w:szCs w:val="32"/>
        </w:rPr>
      </w:pPr>
    </w:p>
    <w:p>
      <w:pPr>
        <w:pStyle w:val="17"/>
        <w:spacing w:line="360" w:lineRule="auto"/>
        <w:jc w:val="center"/>
        <w:rPr>
          <w:rFonts w:hint="eastAsia" w:asciiTheme="majorEastAsia" w:hAnsiTheme="majorEastAsia" w:eastAsiaTheme="majorEastAsia"/>
          <w:b/>
          <w:snapToGrid w:val="0"/>
          <w:kern w:val="0"/>
          <w:sz w:val="32"/>
          <w:szCs w:val="32"/>
        </w:rPr>
      </w:pPr>
    </w:p>
    <w:p>
      <w:pPr>
        <w:pStyle w:val="17"/>
        <w:spacing w:line="360" w:lineRule="auto"/>
        <w:jc w:val="center"/>
        <w:rPr>
          <w:rFonts w:asciiTheme="majorEastAsia" w:hAnsiTheme="majorEastAsia" w:eastAsiaTheme="majorEastAsia"/>
          <w:b/>
          <w:snapToGrid w:val="0"/>
          <w:kern w:val="0"/>
          <w:sz w:val="32"/>
          <w:szCs w:val="32"/>
        </w:rPr>
      </w:pPr>
      <w:r>
        <w:rPr>
          <w:rFonts w:hint="eastAsia" w:asciiTheme="majorEastAsia" w:hAnsiTheme="majorEastAsia" w:eastAsiaTheme="majorEastAsia"/>
          <w:b/>
          <w:snapToGrid w:val="0"/>
          <w:kern w:val="0"/>
          <w:sz w:val="32"/>
          <w:szCs w:val="32"/>
        </w:rPr>
        <w:t>二、开标一览表</w:t>
      </w:r>
    </w:p>
    <w:p>
      <w:pPr>
        <w:pStyle w:val="17"/>
        <w:spacing w:line="360" w:lineRule="auto"/>
        <w:jc w:val="center"/>
        <w:rPr>
          <w:rFonts w:asciiTheme="majorEastAsia" w:hAnsiTheme="majorEastAsia" w:eastAsiaTheme="majorEastAsia"/>
          <w:b/>
          <w:snapToGrid w:val="0"/>
          <w:kern w:val="0"/>
          <w:sz w:val="21"/>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9"/>
        <w:tblW w:w="9322" w:type="dxa"/>
        <w:tblInd w:w="0" w:type="dxa"/>
        <w:tblLayout w:type="fixed"/>
        <w:tblCellMar>
          <w:top w:w="0" w:type="dxa"/>
          <w:left w:w="108" w:type="dxa"/>
          <w:bottom w:w="0" w:type="dxa"/>
          <w:right w:w="108" w:type="dxa"/>
        </w:tblCellMar>
      </w:tblPr>
      <w:tblGrid>
        <w:gridCol w:w="2660"/>
        <w:gridCol w:w="3969"/>
        <w:gridCol w:w="1559"/>
        <w:gridCol w:w="1134"/>
      </w:tblGrid>
      <w:tr>
        <w:tblPrEx>
          <w:tblCellMar>
            <w:top w:w="0" w:type="dxa"/>
            <w:left w:w="108" w:type="dxa"/>
            <w:bottom w:w="0" w:type="dxa"/>
            <w:right w:w="108" w:type="dxa"/>
          </w:tblCellMar>
        </w:tblPrEx>
        <w:trPr>
          <w:trHeight w:val="851" w:hRule="atLeast"/>
        </w:trPr>
        <w:tc>
          <w:tcPr>
            <w:tcW w:w="26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96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交付日期</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39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日期：年月日</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2、如招标公告明确项目交付日期以年为单位，本表应填写完成该项目的年限。</w:t>
      </w: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pStyle w:val="2"/>
        <w:numPr>
          <w:ilvl w:val="3"/>
          <w:numId w:val="0"/>
        </w:numPr>
        <w:ind w:left="420" w:leftChars="0"/>
        <w:rPr>
          <w:lang w:val="zh-CN"/>
        </w:rPr>
      </w:pPr>
    </w:p>
    <w:p>
      <w:pPr>
        <w:rPr>
          <w:rFonts w:cs="黑体" w:asciiTheme="minorEastAsia" w:hAnsiTheme="minorEastAsia"/>
          <w:b/>
          <w:bCs/>
          <w:szCs w:val="21"/>
          <w:lang w:val="zh-CN"/>
        </w:rPr>
      </w:pPr>
    </w:p>
    <w:p>
      <w:pPr>
        <w:pStyle w:val="2"/>
        <w:numPr>
          <w:ilvl w:val="3"/>
          <w:numId w:val="0"/>
        </w:numPr>
        <w:ind w:left="420" w:leftChars="0"/>
        <w:rPr>
          <w:lang w:val="zh-CN"/>
        </w:rPr>
      </w:pPr>
    </w:p>
    <w:p>
      <w:pP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三、资格审查证明材料</w:t>
      </w: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3.1 投 标 函</w:t>
      </w: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_（项目名称、招标编号）采购的招标公告及投标邀请，______（姓名和职务）被正式授权并代表投标人（投标人名称、地址）提交。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 （项目名称、招标编号）招标文件的全部内容。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 职    务：.</w:t>
      </w: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  年月日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3.2 法定代表人（单位负责人）</w:t>
      </w:r>
      <w:r>
        <w:rPr>
          <w:rFonts w:asciiTheme="majorEastAsia" w:hAnsiTheme="majorEastAsia" w:eastAsiaTheme="majorEastAsia"/>
          <w:b/>
          <w:bCs/>
          <w:sz w:val="28"/>
          <w:szCs w:val="28"/>
        </w:rPr>
        <w:t>资</w:t>
      </w:r>
      <w:r>
        <w:rPr>
          <w:rFonts w:hint="eastAsia" w:asciiTheme="majorEastAsia" w:hAnsiTheme="majorEastAsia" w:eastAsiaTheme="majorEastAsia"/>
          <w:b/>
          <w:bCs/>
          <w:sz w:val="28"/>
          <w:szCs w:val="28"/>
        </w:rPr>
        <w:t>格</w:t>
      </w:r>
      <w:r>
        <w:rPr>
          <w:rFonts w:asciiTheme="majorEastAsia" w:hAnsiTheme="majorEastAsia" w:eastAsiaTheme="majorEastAsia"/>
          <w:b/>
          <w:bCs/>
          <w:sz w:val="28"/>
          <w:szCs w:val="28"/>
        </w:rPr>
        <w:t>证</w:t>
      </w:r>
      <w:r>
        <w:rPr>
          <w:rFonts w:hint="eastAsia" w:asciiTheme="majorEastAsia" w:hAnsiTheme="majorEastAsia" w:eastAsiaTheme="majorEastAsia"/>
          <w:b/>
          <w:bCs/>
          <w:sz w:val="28"/>
          <w:szCs w:val="28"/>
        </w:rPr>
        <w:t>明</w:t>
      </w:r>
      <w:r>
        <w:rPr>
          <w:rFonts w:asciiTheme="majorEastAsia" w:hAnsiTheme="majorEastAsia" w:eastAsiaTheme="majorEastAsia"/>
          <w:b/>
          <w:bCs/>
          <w:sz w:val="28"/>
          <w:szCs w:val="28"/>
        </w:rPr>
        <w:t>书</w:t>
      </w:r>
    </w:p>
    <w:p>
      <w:pPr>
        <w:autoSpaceDE w:val="0"/>
        <w:autoSpaceDN w:val="0"/>
        <w:adjustRightInd w:val="0"/>
        <w:spacing w:line="480" w:lineRule="auto"/>
        <w:ind w:firstLine="539" w:firstLineChars="257"/>
        <w:rPr>
          <w:rFonts w:ascii="宋体" w:hAnsi="宋体"/>
          <w:szCs w:val="21"/>
        </w:rPr>
      </w:pPr>
    </w:p>
    <w:p>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 xml:space="preserve">： </w:t>
      </w:r>
    </w:p>
    <w:p>
      <w:pPr>
        <w:pStyle w:val="57"/>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职务</w:t>
      </w:r>
      <w:r>
        <w:rPr>
          <w:rFonts w:hint="eastAsia" w:asciiTheme="minorEastAsia" w:hAnsiTheme="minorEastAsia"/>
          <w:sz w:val="21"/>
          <w:szCs w:val="21"/>
        </w:rPr>
        <w:t>：</w:t>
      </w:r>
    </w:p>
    <w:p>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7"/>
        <w:spacing w:line="480" w:lineRule="auto"/>
        <w:ind w:firstLine="472" w:firstLineChars="225"/>
        <w:jc w:val="left"/>
        <w:rPr>
          <w:rFonts w:asciiTheme="minorEastAsia" w:hAnsiTheme="minorEastAsia"/>
          <w:sz w:val="21"/>
          <w:szCs w:val="21"/>
        </w:rPr>
      </w:pPr>
    </w:p>
    <w:p>
      <w:pPr>
        <w:pStyle w:val="57"/>
        <w:spacing w:line="480" w:lineRule="auto"/>
        <w:ind w:firstLine="472" w:firstLineChars="225"/>
        <w:jc w:val="left"/>
        <w:rPr>
          <w:rFonts w:asciiTheme="minorEastAsia" w:hAnsiTheme="minorEastAsia"/>
          <w:sz w:val="21"/>
          <w:szCs w:val="21"/>
        </w:rPr>
      </w:pPr>
    </w:p>
    <w:p>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签署日期：年月日</w:t>
      </w:r>
    </w:p>
    <w:p>
      <w:pPr>
        <w:pStyle w:val="59"/>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562" w:firstLineChars="200"/>
        <w:jc w:val="center"/>
        <w:rPr>
          <w:rFonts w:ascii="宋体" w:hAnsi="宋体"/>
          <w:b/>
          <w:bCs/>
          <w:sz w:val="28"/>
          <w:szCs w:val="28"/>
        </w:rPr>
      </w:pPr>
    </w:p>
    <w:p>
      <w:pPr>
        <w:spacing w:line="320" w:lineRule="exact"/>
        <w:ind w:firstLine="562" w:firstLineChars="200"/>
        <w:jc w:val="center"/>
        <w:rPr>
          <w:rFonts w:ascii="宋体" w:hAnsi="宋体"/>
          <w:b/>
          <w:bCs/>
          <w:sz w:val="28"/>
          <w:szCs w:val="28"/>
        </w:rPr>
      </w:pPr>
    </w:p>
    <w:p>
      <w:pPr>
        <w:spacing w:line="320" w:lineRule="exact"/>
        <w:ind w:firstLine="562" w:firstLineChars="200"/>
        <w:jc w:val="center"/>
        <w:rPr>
          <w:rFonts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hint="eastAsia" w:ascii="宋体" w:hAnsi="宋体"/>
          <w:b/>
          <w:bCs/>
          <w:sz w:val="28"/>
          <w:szCs w:val="28"/>
        </w:rPr>
      </w:pPr>
    </w:p>
    <w:p>
      <w:pPr>
        <w:spacing w:line="320" w:lineRule="exact"/>
        <w:ind w:firstLine="562" w:firstLineChars="200"/>
        <w:jc w:val="center"/>
        <w:rPr>
          <w:rFonts w:asciiTheme="minorEastAsia" w:hAnsiTheme="minorEastAsia"/>
          <w:bCs/>
          <w:kern w:val="12"/>
          <w:sz w:val="28"/>
          <w:szCs w:val="28"/>
        </w:rPr>
      </w:pPr>
      <w:r>
        <w:rPr>
          <w:rFonts w:hint="eastAsia" w:ascii="宋体" w:hAnsi="宋体"/>
          <w:b/>
          <w:bCs/>
          <w:sz w:val="28"/>
          <w:szCs w:val="28"/>
        </w:rPr>
        <w:t>3.3 法定代表人（单位负责人）授权书</w:t>
      </w:r>
    </w:p>
    <w:p>
      <w:pPr>
        <w:spacing w:line="480" w:lineRule="exact"/>
        <w:jc w:val="center"/>
        <w:rPr>
          <w:rFonts w:ascii="宋体" w:hAnsi="宋体"/>
          <w:b/>
          <w:bCs/>
          <w:szCs w:val="21"/>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szCs w:val="21"/>
              </w:rPr>
            </w:pPr>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身份证（正面）</w:t>
            </w:r>
          </w:p>
        </w:tc>
        <w:tc>
          <w:tcPr>
            <w:tcW w:w="4555" w:type="dxa"/>
            <w:gridSpan w:val="2"/>
            <w:vAlign w:val="center"/>
          </w:tcPr>
          <w:p>
            <w:pPr>
              <w:jc w:val="center"/>
              <w:rPr>
                <w:rFonts w:ascii="宋体" w:hAnsi="宋体" w:eastAsia="宋体"/>
                <w:szCs w:val="21"/>
              </w:rPr>
            </w:pPr>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491" w:type="dxa"/>
            <w:gridSpan w:val="2"/>
            <w:vAlign w:val="center"/>
          </w:tcPr>
          <w:p>
            <w:pPr>
              <w:jc w:val="center"/>
              <w:rPr>
                <w:rFonts w:ascii="宋体" w:hAnsi="宋体" w:eastAsia="宋体"/>
                <w:szCs w:val="21"/>
              </w:rPr>
            </w:pPr>
            <w:bookmarkStart w:id="12" w:name="_资格证明文件"/>
            <w:bookmarkEnd w:id="12"/>
            <w:bookmarkStart w:id="13" w:name="_Toc364329026"/>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授权代表身份证（正面）</w:t>
            </w:r>
            <w:bookmarkEnd w:id="13"/>
          </w:p>
        </w:tc>
        <w:tc>
          <w:tcPr>
            <w:tcW w:w="4548" w:type="dxa"/>
            <w:vAlign w:val="center"/>
          </w:tcPr>
          <w:p>
            <w:pPr>
              <w:jc w:val="center"/>
              <w:rPr>
                <w:rFonts w:ascii="宋体" w:hAnsi="宋体" w:eastAsia="宋体"/>
                <w:szCs w:val="21"/>
              </w:rPr>
            </w:pPr>
            <w:bookmarkStart w:id="14" w:name="_Toc364329027"/>
            <w:r>
              <w:rPr>
                <w:rFonts w:hint="eastAsia" w:ascii="宋体" w:hAnsi="宋体" w:eastAsia="宋体"/>
                <w:szCs w:val="21"/>
              </w:rPr>
              <w:t>法定代表人</w:t>
            </w:r>
            <w:r>
              <w:rPr>
                <w:rFonts w:hint="eastAsia" w:ascii="宋体" w:hAnsi="宋体" w:eastAsia="宋体"/>
                <w:szCs w:val="21"/>
                <w:lang w:val="zh-CN"/>
              </w:rPr>
              <w:t>（单位负责人）</w:t>
            </w:r>
            <w:r>
              <w:rPr>
                <w:rFonts w:hint="eastAsia" w:ascii="宋体" w:hAnsi="宋体" w:eastAsia="宋体"/>
                <w:szCs w:val="21"/>
              </w:rPr>
              <w:t>授权代表身份证（反面）</w:t>
            </w:r>
            <w:bookmarkEnd w:id="14"/>
          </w:p>
        </w:tc>
      </w:tr>
    </w:tbl>
    <w:p>
      <w:pPr>
        <w:widowControl/>
        <w:spacing w:before="100" w:beforeAutospacing="1" w:after="100" w:afterAutospacing="1" w:line="360" w:lineRule="auto"/>
        <w:jc w:val="center"/>
        <w:rPr>
          <w:rFonts w:ascii="宋体" w:hAnsi="宋体"/>
          <w:b/>
          <w:bCs/>
          <w:szCs w:val="21"/>
        </w:rPr>
      </w:pPr>
    </w:p>
    <w:p>
      <w:pPr>
        <w:widowControl/>
        <w:spacing w:before="100" w:beforeAutospacing="1" w:after="100" w:afterAutospacing="1" w:line="360" w:lineRule="auto"/>
        <w:jc w:val="center"/>
        <w:rPr>
          <w:rFonts w:hint="eastAsia" w:ascii="宋体" w:hAnsi="宋体"/>
          <w:b/>
          <w:bCs/>
          <w:sz w:val="28"/>
          <w:szCs w:val="28"/>
        </w:rPr>
      </w:pPr>
    </w:p>
    <w:p>
      <w:pPr>
        <w:widowControl/>
        <w:spacing w:before="100" w:beforeAutospacing="1" w:after="100" w:afterAutospacing="1" w:line="360" w:lineRule="auto"/>
        <w:jc w:val="center"/>
        <w:rPr>
          <w:rFonts w:hint="eastAsia"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r>
        <w:rPr>
          <w:rFonts w:hint="eastAsia" w:ascii="宋体" w:hAnsi="宋体"/>
          <w:b/>
          <w:bCs/>
          <w:sz w:val="28"/>
          <w:szCs w:val="28"/>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投标人名称（并加盖公章）：</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日    期：年月日</w:t>
      </w: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3.5 投标承诺函</w:t>
      </w:r>
    </w:p>
    <w:p>
      <w:pPr>
        <w:autoSpaceDE w:val="0"/>
        <w:autoSpaceDN w:val="0"/>
        <w:snapToGrid w:val="0"/>
        <w:spacing w:line="360" w:lineRule="auto"/>
        <w:jc w:val="center"/>
        <w:rPr>
          <w:rFonts w:ascii="宋体" w:hAnsi="宋体"/>
          <w:b/>
          <w:bCs/>
          <w:szCs w:val="21"/>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                         （招标人）</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Cs w:val="21"/>
          <w:u w:val="single"/>
        </w:rPr>
      </w:pPr>
    </w:p>
    <w:p>
      <w:pPr>
        <w:rPr>
          <w:szCs w:val="21"/>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日    期：年月日</w:t>
      </w:r>
    </w:p>
    <w:p>
      <w:pPr>
        <w:autoSpaceDE w:val="0"/>
        <w:autoSpaceDN w:val="0"/>
        <w:adjustRightInd w:val="0"/>
        <w:spacing w:line="360" w:lineRule="auto"/>
        <w:jc w:val="center"/>
        <w:outlineLvl w:val="0"/>
        <w:rPr>
          <w:rFonts w:hAnsi="宋体" w:eastAsia="宋体"/>
          <w:b/>
          <w:snapToGrid w:val="0"/>
          <w:kern w:val="0"/>
          <w:szCs w:val="21"/>
        </w:rPr>
      </w:pPr>
    </w:p>
    <w:p>
      <w:pPr>
        <w:autoSpaceDE w:val="0"/>
        <w:autoSpaceDN w:val="0"/>
        <w:adjustRightInd w:val="0"/>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Style w:val="244"/>
          <w:rFonts w:ascii="宋体" w:hAnsi="宋体" w:cs="黑体"/>
          <w:b/>
          <w:bCs/>
          <w:sz w:val="28"/>
          <w:szCs w:val="28"/>
          <w:lang w:val="zh-CN"/>
        </w:rPr>
      </w:pPr>
    </w:p>
    <w:p>
      <w:pPr>
        <w:spacing w:line="360" w:lineRule="auto"/>
        <w:jc w:val="center"/>
        <w:rPr>
          <w:rStyle w:val="244"/>
          <w:rFonts w:ascii="宋体" w:hAnsi="宋体" w:cs="黑体"/>
          <w:b/>
          <w:bCs/>
          <w:sz w:val="28"/>
          <w:szCs w:val="28"/>
          <w:lang w:val="zh-CN"/>
        </w:rPr>
      </w:pPr>
    </w:p>
    <w:p>
      <w:pPr>
        <w:spacing w:line="360" w:lineRule="auto"/>
        <w:jc w:val="center"/>
        <w:rPr>
          <w:rStyle w:val="244"/>
          <w:rFonts w:ascii="宋体" w:hAnsi="宋体" w:cs="黑体"/>
          <w:b/>
          <w:bCs/>
          <w:sz w:val="28"/>
          <w:szCs w:val="28"/>
          <w:lang w:val="zh-CN"/>
        </w:rPr>
      </w:pPr>
    </w:p>
    <w:p>
      <w:pPr>
        <w:spacing w:line="360" w:lineRule="auto"/>
        <w:jc w:val="center"/>
        <w:rPr>
          <w:rStyle w:val="244"/>
          <w:rFonts w:ascii="宋体" w:hAnsi="宋体" w:cs="黑体"/>
          <w:b/>
          <w:bCs/>
          <w:sz w:val="28"/>
          <w:szCs w:val="28"/>
          <w:lang w:val="zh-CN"/>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p>
    <w:p>
      <w:pPr>
        <w:jc w:val="center"/>
        <w:rPr>
          <w:rStyle w:val="244"/>
          <w:rFonts w:ascii="宋体" w:hAnsi="宋体" w:cs="Times New Roman"/>
          <w:b/>
          <w:bCs/>
          <w:sz w:val="28"/>
          <w:szCs w:val="28"/>
        </w:rPr>
      </w:pPr>
      <w:r>
        <w:rPr>
          <w:rStyle w:val="244"/>
          <w:rFonts w:ascii="宋体" w:hAnsi="宋体" w:cs="Times New Roman"/>
          <w:b/>
          <w:bCs/>
          <w:sz w:val="28"/>
          <w:szCs w:val="28"/>
        </w:rPr>
        <w:t>3.</w:t>
      </w:r>
      <w:r>
        <w:rPr>
          <w:rStyle w:val="244"/>
          <w:rFonts w:hint="eastAsia" w:ascii="宋体" w:hAnsi="宋体" w:cs="Times New Roman"/>
          <w:b/>
          <w:bCs/>
          <w:sz w:val="28"/>
          <w:szCs w:val="28"/>
        </w:rPr>
        <w:t>6</w:t>
      </w:r>
      <w:r>
        <w:rPr>
          <w:rStyle w:val="244"/>
          <w:rFonts w:ascii="宋体" w:hAnsi="宋体" w:cs="Times New Roman"/>
          <w:b/>
          <w:bCs/>
          <w:sz w:val="28"/>
          <w:szCs w:val="28"/>
        </w:rPr>
        <w:t xml:space="preserve"> 其他资格证书或材料</w:t>
      </w:r>
    </w:p>
    <w:p>
      <w:pPr>
        <w:autoSpaceDE w:val="0"/>
        <w:autoSpaceDN w:val="0"/>
        <w:adjustRightInd w:val="0"/>
        <w:spacing w:line="360" w:lineRule="auto"/>
        <w:jc w:val="center"/>
        <w:rPr>
          <w:rFonts w:cs="黑体" w:asciiTheme="minorEastAsia" w:hAnsiTheme="minorEastAsia"/>
          <w:b/>
          <w:bCs/>
          <w:szCs w:val="21"/>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autoSpaceDE w:val="0"/>
        <w:autoSpaceDN w:val="0"/>
        <w:adjustRightInd w:val="0"/>
        <w:spacing w:line="360" w:lineRule="auto"/>
        <w:jc w:val="center"/>
        <w:outlineLvl w:val="0"/>
        <w:rPr>
          <w:rFonts w:ascii="Calibri" w:hAnsi="宋体" w:eastAsia="宋体" w:cs="Times New Roman"/>
          <w:b/>
          <w:snapToGrid w:val="0"/>
          <w:kern w:val="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themeColor="text1"/>
          <w:sz w:val="24"/>
        </w:rPr>
      </w:pPr>
      <w:r>
        <w:rPr>
          <w:rFonts w:hint="eastAsia" w:ascii="宋体" w:hAnsi="宋体" w:eastAsia="宋体" w:cs="Times New Roman"/>
          <w:b/>
          <w:bCs/>
          <w:color w:val="000000" w:themeColor="text1"/>
          <w:sz w:val="24"/>
        </w:rPr>
        <w:t>4.1 投标分项报价表</w:t>
      </w:r>
    </w:p>
    <w:p>
      <w:pPr>
        <w:autoSpaceDE w:val="0"/>
        <w:autoSpaceDN w:val="0"/>
        <w:adjustRightInd w:val="0"/>
        <w:spacing w:line="480" w:lineRule="auto"/>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 xml:space="preserve">                    </w:t>
      </w:r>
    </w:p>
    <w:p>
      <w:pPr>
        <w:pStyle w:val="11"/>
        <w:spacing w:before="72" w:line="415" w:lineRule="auto"/>
        <w:ind w:left="9" w:leftChars="0" w:right="-46" w:rightChars="0" w:hanging="9" w:firstLineChars="0"/>
        <w:rPr>
          <w:rFonts w:hint="eastAsia" w:ascii="宋体" w:hAnsi="宋体" w:eastAsia="宋体" w:cs="宋体"/>
          <w:color w:val="000000" w:themeColor="text1"/>
          <w:spacing w:val="-102"/>
          <w:sz w:val="24"/>
          <w:szCs w:val="24"/>
        </w:rPr>
      </w:pPr>
      <w:r>
        <w:rPr>
          <w:rFonts w:hint="eastAsia" w:ascii="宋体" w:hAnsi="宋体" w:eastAsia="宋体" w:cs="宋体"/>
          <w:color w:val="000000" w:themeColor="text1"/>
          <w:sz w:val="24"/>
          <w:szCs w:val="24"/>
        </w:rPr>
        <w:t>项目编号：</w:t>
      </w:r>
      <w:r>
        <w:rPr>
          <w:rFonts w:hint="eastAsia" w:ascii="宋体" w:hAnsi="宋体" w:eastAsia="宋体" w:cs="宋体"/>
          <w:color w:val="000000" w:themeColor="text1"/>
          <w:spacing w:val="-102"/>
          <w:sz w:val="24"/>
          <w:szCs w:val="24"/>
        </w:rPr>
        <w:t xml:space="preserve"> </w:t>
      </w:r>
    </w:p>
    <w:p>
      <w:pPr>
        <w:pStyle w:val="11"/>
        <w:spacing w:before="72" w:line="415" w:lineRule="auto"/>
        <w:ind w:left="9" w:leftChars="0" w:right="-46" w:rightChars="0" w:hanging="9"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tbl>
      <w:tblPr>
        <w:tblStyle w:val="30"/>
        <w:tblpPr w:leftFromText="180" w:rightFromText="180" w:vertAnchor="text" w:horzAnchor="page" w:tblpX="1583" w:tblpY="246"/>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74"/>
        <w:gridCol w:w="1281"/>
        <w:gridCol w:w="1091"/>
        <w:gridCol w:w="1063"/>
        <w:gridCol w:w="993"/>
        <w:gridCol w:w="1107"/>
        <w:gridCol w:w="96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序号</w:t>
            </w:r>
          </w:p>
        </w:tc>
        <w:tc>
          <w:tcPr>
            <w:tcW w:w="874"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名称</w:t>
            </w:r>
          </w:p>
        </w:tc>
        <w:tc>
          <w:tcPr>
            <w:tcW w:w="1281"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品牌规格型号</w:t>
            </w:r>
          </w:p>
        </w:tc>
        <w:tc>
          <w:tcPr>
            <w:tcW w:w="1091"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技术参数</w:t>
            </w:r>
          </w:p>
        </w:tc>
        <w:tc>
          <w:tcPr>
            <w:tcW w:w="1063"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单位</w:t>
            </w:r>
          </w:p>
        </w:tc>
        <w:tc>
          <w:tcPr>
            <w:tcW w:w="993"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数量</w:t>
            </w:r>
          </w:p>
        </w:tc>
        <w:tc>
          <w:tcPr>
            <w:tcW w:w="1107"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单价</w:t>
            </w:r>
          </w:p>
        </w:tc>
        <w:tc>
          <w:tcPr>
            <w:tcW w:w="968" w:type="dxa"/>
            <w:vAlign w:val="center"/>
          </w:tcPr>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总价</w:t>
            </w:r>
          </w:p>
        </w:tc>
        <w:tc>
          <w:tcPr>
            <w:tcW w:w="1247" w:type="dxa"/>
            <w:vAlign w:val="center"/>
          </w:tcPr>
          <w:p>
            <w:pPr>
              <w:keepNext w:val="0"/>
              <w:keepLines w:val="0"/>
              <w:widowControl/>
              <w:suppressLineNumbers w:val="0"/>
              <w:jc w:val="center"/>
              <w:rPr>
                <w:rFonts w:hint="eastAsia" w:ascii="宋体" w:hAnsi="宋体" w:eastAsia="宋体" w:cs="宋体"/>
                <w:color w:val="000000" w:themeColor="text1"/>
                <w:sz w:val="24"/>
                <w:szCs w:val="24"/>
              </w:rPr>
            </w:pPr>
            <w:r>
              <w:rPr>
                <w:rFonts w:hint="eastAsia" w:ascii="宋体" w:hAnsi="宋体" w:eastAsia="宋体" w:cs="宋体"/>
                <w:b/>
                <w:bCs/>
                <w:color w:val="000000" w:themeColor="text1"/>
                <w:kern w:val="0"/>
                <w:sz w:val="24"/>
                <w:szCs w:val="24"/>
                <w:lang w:val="en-US" w:eastAsia="zh-CN" w:bidi="ar"/>
              </w:rPr>
              <w:t>产地及厂</w:t>
            </w:r>
          </w:p>
          <w:p>
            <w:pPr>
              <w:keepNext w:val="0"/>
              <w:keepLines w:val="0"/>
              <w:widowControl/>
              <w:suppressLineNumbers w:val="0"/>
              <w:jc w:val="center"/>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6" w:type="dxa"/>
            <w:vAlign w:val="center"/>
          </w:tcPr>
          <w:p>
            <w:pPr>
              <w:pStyle w:val="11"/>
              <w:jc w:val="center"/>
              <w:rPr>
                <w:rFonts w:hint="eastAsia" w:ascii="宋体" w:hAnsi="宋体" w:eastAsia="宋体" w:cs="宋体"/>
                <w:color w:val="000000" w:themeColor="text1"/>
                <w:sz w:val="24"/>
                <w:szCs w:val="24"/>
                <w:vertAlign w:val="baseline"/>
                <w:lang w:val="en-US" w:eastAsia="zh-CN"/>
              </w:rPr>
            </w:pPr>
            <w:r>
              <w:rPr>
                <w:rFonts w:hint="eastAsia" w:cs="宋体"/>
                <w:color w:val="000000" w:themeColor="text1"/>
                <w:sz w:val="24"/>
                <w:szCs w:val="24"/>
                <w:vertAlign w:val="baseline"/>
                <w:lang w:val="en-US" w:eastAsia="zh-CN"/>
              </w:rPr>
              <w:t>1</w:t>
            </w:r>
          </w:p>
        </w:tc>
        <w:tc>
          <w:tcPr>
            <w:tcW w:w="874" w:type="dxa"/>
          </w:tcPr>
          <w:p>
            <w:pPr>
              <w:pStyle w:val="11"/>
              <w:rPr>
                <w:rFonts w:hint="eastAsia" w:ascii="宋体" w:hAnsi="宋体" w:eastAsia="宋体" w:cs="宋体"/>
                <w:color w:val="000000" w:themeColor="text1"/>
                <w:sz w:val="24"/>
                <w:szCs w:val="24"/>
                <w:vertAlign w:val="baseline"/>
              </w:rPr>
            </w:pPr>
          </w:p>
        </w:tc>
        <w:tc>
          <w:tcPr>
            <w:tcW w:w="1281" w:type="dxa"/>
          </w:tcPr>
          <w:p>
            <w:pPr>
              <w:pStyle w:val="11"/>
              <w:rPr>
                <w:rFonts w:hint="eastAsia" w:ascii="宋体" w:hAnsi="宋体" w:eastAsia="宋体" w:cs="宋体"/>
                <w:color w:val="000000" w:themeColor="text1"/>
                <w:sz w:val="24"/>
                <w:szCs w:val="24"/>
                <w:vertAlign w:val="baseline"/>
              </w:rPr>
            </w:pPr>
          </w:p>
        </w:tc>
        <w:tc>
          <w:tcPr>
            <w:tcW w:w="1091" w:type="dxa"/>
          </w:tcPr>
          <w:p>
            <w:pPr>
              <w:pStyle w:val="11"/>
              <w:rPr>
                <w:rFonts w:hint="eastAsia" w:ascii="宋体" w:hAnsi="宋体" w:eastAsia="宋体" w:cs="宋体"/>
                <w:color w:val="000000" w:themeColor="text1"/>
                <w:sz w:val="24"/>
                <w:szCs w:val="24"/>
                <w:vertAlign w:val="baseline"/>
              </w:rPr>
            </w:pPr>
          </w:p>
        </w:tc>
        <w:tc>
          <w:tcPr>
            <w:tcW w:w="1063" w:type="dxa"/>
          </w:tcPr>
          <w:p>
            <w:pPr>
              <w:pStyle w:val="11"/>
              <w:rPr>
                <w:rFonts w:hint="eastAsia" w:ascii="宋体" w:hAnsi="宋体" w:eastAsia="宋体" w:cs="宋体"/>
                <w:color w:val="000000" w:themeColor="text1"/>
                <w:sz w:val="24"/>
                <w:szCs w:val="24"/>
                <w:vertAlign w:val="baseline"/>
              </w:rPr>
            </w:pPr>
          </w:p>
        </w:tc>
        <w:tc>
          <w:tcPr>
            <w:tcW w:w="993" w:type="dxa"/>
          </w:tcPr>
          <w:p>
            <w:pPr>
              <w:pStyle w:val="11"/>
              <w:rPr>
                <w:rFonts w:hint="eastAsia" w:ascii="宋体" w:hAnsi="宋体" w:eastAsia="宋体" w:cs="宋体"/>
                <w:color w:val="000000" w:themeColor="text1"/>
                <w:sz w:val="24"/>
                <w:szCs w:val="24"/>
                <w:vertAlign w:val="baseline"/>
              </w:rPr>
            </w:pPr>
          </w:p>
        </w:tc>
        <w:tc>
          <w:tcPr>
            <w:tcW w:w="1107" w:type="dxa"/>
          </w:tcPr>
          <w:p>
            <w:pPr>
              <w:pStyle w:val="11"/>
              <w:rPr>
                <w:rFonts w:hint="eastAsia" w:ascii="宋体" w:hAnsi="宋体" w:eastAsia="宋体" w:cs="宋体"/>
                <w:color w:val="000000" w:themeColor="text1"/>
                <w:sz w:val="24"/>
                <w:szCs w:val="24"/>
                <w:vertAlign w:val="baseline"/>
              </w:rPr>
            </w:pPr>
          </w:p>
        </w:tc>
        <w:tc>
          <w:tcPr>
            <w:tcW w:w="968" w:type="dxa"/>
          </w:tcPr>
          <w:p>
            <w:pPr>
              <w:pStyle w:val="11"/>
              <w:rPr>
                <w:rFonts w:hint="eastAsia" w:ascii="宋体" w:hAnsi="宋体" w:eastAsia="宋体" w:cs="宋体"/>
                <w:color w:val="000000" w:themeColor="text1"/>
                <w:sz w:val="24"/>
                <w:szCs w:val="24"/>
                <w:vertAlign w:val="baseline"/>
              </w:rPr>
            </w:pPr>
          </w:p>
        </w:tc>
        <w:tc>
          <w:tcPr>
            <w:tcW w:w="1247" w:type="dxa"/>
          </w:tcPr>
          <w:p>
            <w:pPr>
              <w:pStyle w:val="11"/>
              <w:rPr>
                <w:rFonts w:hint="eastAsia" w:ascii="宋体" w:hAnsi="宋体" w:eastAsia="宋体" w:cs="宋体"/>
                <w:color w:val="000000" w:themeColor="text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6" w:type="dxa"/>
            <w:vAlign w:val="center"/>
          </w:tcPr>
          <w:p>
            <w:pPr>
              <w:pStyle w:val="11"/>
              <w:jc w:val="center"/>
              <w:rPr>
                <w:rFonts w:hint="eastAsia" w:ascii="宋体" w:hAnsi="宋体" w:eastAsia="宋体" w:cs="宋体"/>
                <w:color w:val="000000" w:themeColor="text1"/>
                <w:sz w:val="24"/>
                <w:szCs w:val="24"/>
                <w:vertAlign w:val="baseline"/>
                <w:lang w:val="en-US" w:eastAsia="zh-CN"/>
              </w:rPr>
            </w:pPr>
            <w:r>
              <w:rPr>
                <w:rFonts w:hint="eastAsia" w:cs="宋体"/>
                <w:color w:val="000000" w:themeColor="text1"/>
                <w:sz w:val="24"/>
                <w:szCs w:val="24"/>
                <w:vertAlign w:val="baseline"/>
                <w:lang w:val="en-US" w:eastAsia="zh-CN"/>
              </w:rPr>
              <w:t>2</w:t>
            </w:r>
          </w:p>
        </w:tc>
        <w:tc>
          <w:tcPr>
            <w:tcW w:w="874" w:type="dxa"/>
          </w:tcPr>
          <w:p>
            <w:pPr>
              <w:pStyle w:val="11"/>
              <w:rPr>
                <w:rFonts w:hint="eastAsia" w:ascii="宋体" w:hAnsi="宋体" w:eastAsia="宋体" w:cs="宋体"/>
                <w:color w:val="000000" w:themeColor="text1"/>
                <w:sz w:val="24"/>
                <w:szCs w:val="24"/>
                <w:vertAlign w:val="baseline"/>
              </w:rPr>
            </w:pPr>
          </w:p>
        </w:tc>
        <w:tc>
          <w:tcPr>
            <w:tcW w:w="1281" w:type="dxa"/>
          </w:tcPr>
          <w:p>
            <w:pPr>
              <w:pStyle w:val="11"/>
              <w:rPr>
                <w:rFonts w:hint="eastAsia" w:ascii="宋体" w:hAnsi="宋体" w:eastAsia="宋体" w:cs="宋体"/>
                <w:color w:val="000000" w:themeColor="text1"/>
                <w:sz w:val="24"/>
                <w:szCs w:val="24"/>
                <w:vertAlign w:val="baseline"/>
              </w:rPr>
            </w:pPr>
          </w:p>
        </w:tc>
        <w:tc>
          <w:tcPr>
            <w:tcW w:w="1091" w:type="dxa"/>
          </w:tcPr>
          <w:p>
            <w:pPr>
              <w:pStyle w:val="11"/>
              <w:rPr>
                <w:rFonts w:hint="eastAsia" w:ascii="宋体" w:hAnsi="宋体" w:eastAsia="宋体" w:cs="宋体"/>
                <w:color w:val="000000" w:themeColor="text1"/>
                <w:sz w:val="24"/>
                <w:szCs w:val="24"/>
                <w:vertAlign w:val="baseline"/>
              </w:rPr>
            </w:pPr>
          </w:p>
        </w:tc>
        <w:tc>
          <w:tcPr>
            <w:tcW w:w="1063" w:type="dxa"/>
          </w:tcPr>
          <w:p>
            <w:pPr>
              <w:pStyle w:val="11"/>
              <w:rPr>
                <w:rFonts w:hint="eastAsia" w:ascii="宋体" w:hAnsi="宋体" w:eastAsia="宋体" w:cs="宋体"/>
                <w:color w:val="000000" w:themeColor="text1"/>
                <w:sz w:val="24"/>
                <w:szCs w:val="24"/>
                <w:vertAlign w:val="baseline"/>
              </w:rPr>
            </w:pPr>
          </w:p>
        </w:tc>
        <w:tc>
          <w:tcPr>
            <w:tcW w:w="993" w:type="dxa"/>
          </w:tcPr>
          <w:p>
            <w:pPr>
              <w:pStyle w:val="11"/>
              <w:rPr>
                <w:rFonts w:hint="eastAsia" w:ascii="宋体" w:hAnsi="宋体" w:eastAsia="宋体" w:cs="宋体"/>
                <w:color w:val="000000" w:themeColor="text1"/>
                <w:sz w:val="24"/>
                <w:szCs w:val="24"/>
                <w:vertAlign w:val="baseline"/>
              </w:rPr>
            </w:pPr>
          </w:p>
        </w:tc>
        <w:tc>
          <w:tcPr>
            <w:tcW w:w="1107" w:type="dxa"/>
          </w:tcPr>
          <w:p>
            <w:pPr>
              <w:pStyle w:val="11"/>
              <w:rPr>
                <w:rFonts w:hint="eastAsia" w:ascii="宋体" w:hAnsi="宋体" w:eastAsia="宋体" w:cs="宋体"/>
                <w:color w:val="000000" w:themeColor="text1"/>
                <w:sz w:val="24"/>
                <w:szCs w:val="24"/>
                <w:vertAlign w:val="baseline"/>
              </w:rPr>
            </w:pPr>
          </w:p>
        </w:tc>
        <w:tc>
          <w:tcPr>
            <w:tcW w:w="968" w:type="dxa"/>
          </w:tcPr>
          <w:p>
            <w:pPr>
              <w:pStyle w:val="11"/>
              <w:rPr>
                <w:rFonts w:hint="eastAsia" w:ascii="宋体" w:hAnsi="宋体" w:eastAsia="宋体" w:cs="宋体"/>
                <w:color w:val="000000" w:themeColor="text1"/>
                <w:sz w:val="24"/>
                <w:szCs w:val="24"/>
                <w:vertAlign w:val="baseline"/>
              </w:rPr>
            </w:pPr>
          </w:p>
        </w:tc>
        <w:tc>
          <w:tcPr>
            <w:tcW w:w="1247" w:type="dxa"/>
          </w:tcPr>
          <w:p>
            <w:pPr>
              <w:pStyle w:val="11"/>
              <w:rPr>
                <w:rFonts w:hint="eastAsia" w:ascii="宋体" w:hAnsi="宋体" w:eastAsia="宋体" w:cs="宋体"/>
                <w:color w:val="000000" w:themeColor="text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6" w:type="dxa"/>
            <w:vAlign w:val="center"/>
          </w:tcPr>
          <w:p>
            <w:pPr>
              <w:pStyle w:val="11"/>
              <w:jc w:val="center"/>
              <w:rPr>
                <w:rFonts w:hint="eastAsia" w:ascii="宋体" w:hAnsi="宋体" w:eastAsia="宋体" w:cs="宋体"/>
                <w:color w:val="000000" w:themeColor="text1"/>
                <w:sz w:val="24"/>
                <w:szCs w:val="24"/>
                <w:vertAlign w:val="baseline"/>
                <w:lang w:val="en-US" w:eastAsia="zh-CN"/>
              </w:rPr>
            </w:pPr>
            <w:r>
              <w:rPr>
                <w:rFonts w:hint="eastAsia" w:cs="宋体"/>
                <w:color w:val="000000" w:themeColor="text1"/>
                <w:sz w:val="24"/>
                <w:szCs w:val="24"/>
                <w:vertAlign w:val="baseline"/>
                <w:lang w:val="en-US" w:eastAsia="zh-CN"/>
              </w:rPr>
              <w:t>3</w:t>
            </w:r>
          </w:p>
        </w:tc>
        <w:tc>
          <w:tcPr>
            <w:tcW w:w="874" w:type="dxa"/>
          </w:tcPr>
          <w:p>
            <w:pPr>
              <w:pStyle w:val="11"/>
              <w:rPr>
                <w:rFonts w:hint="eastAsia" w:ascii="宋体" w:hAnsi="宋体" w:eastAsia="宋体" w:cs="宋体"/>
                <w:color w:val="000000" w:themeColor="text1"/>
                <w:sz w:val="24"/>
                <w:szCs w:val="24"/>
                <w:vertAlign w:val="baseline"/>
              </w:rPr>
            </w:pPr>
          </w:p>
        </w:tc>
        <w:tc>
          <w:tcPr>
            <w:tcW w:w="1281" w:type="dxa"/>
          </w:tcPr>
          <w:p>
            <w:pPr>
              <w:pStyle w:val="11"/>
              <w:rPr>
                <w:rFonts w:hint="eastAsia" w:ascii="宋体" w:hAnsi="宋体" w:eastAsia="宋体" w:cs="宋体"/>
                <w:color w:val="000000" w:themeColor="text1"/>
                <w:sz w:val="24"/>
                <w:szCs w:val="24"/>
                <w:vertAlign w:val="baseline"/>
              </w:rPr>
            </w:pPr>
          </w:p>
        </w:tc>
        <w:tc>
          <w:tcPr>
            <w:tcW w:w="1091" w:type="dxa"/>
          </w:tcPr>
          <w:p>
            <w:pPr>
              <w:pStyle w:val="11"/>
              <w:rPr>
                <w:rFonts w:hint="eastAsia" w:ascii="宋体" w:hAnsi="宋体" w:eastAsia="宋体" w:cs="宋体"/>
                <w:color w:val="000000" w:themeColor="text1"/>
                <w:sz w:val="24"/>
                <w:szCs w:val="24"/>
                <w:vertAlign w:val="baseline"/>
              </w:rPr>
            </w:pPr>
          </w:p>
        </w:tc>
        <w:tc>
          <w:tcPr>
            <w:tcW w:w="1063" w:type="dxa"/>
          </w:tcPr>
          <w:p>
            <w:pPr>
              <w:pStyle w:val="11"/>
              <w:rPr>
                <w:rFonts w:hint="eastAsia" w:ascii="宋体" w:hAnsi="宋体" w:eastAsia="宋体" w:cs="宋体"/>
                <w:color w:val="000000" w:themeColor="text1"/>
                <w:sz w:val="24"/>
                <w:szCs w:val="24"/>
                <w:vertAlign w:val="baseline"/>
              </w:rPr>
            </w:pPr>
          </w:p>
        </w:tc>
        <w:tc>
          <w:tcPr>
            <w:tcW w:w="993" w:type="dxa"/>
          </w:tcPr>
          <w:p>
            <w:pPr>
              <w:pStyle w:val="11"/>
              <w:rPr>
                <w:rFonts w:hint="eastAsia" w:ascii="宋体" w:hAnsi="宋体" w:eastAsia="宋体" w:cs="宋体"/>
                <w:color w:val="000000" w:themeColor="text1"/>
                <w:sz w:val="24"/>
                <w:szCs w:val="24"/>
                <w:vertAlign w:val="baseline"/>
              </w:rPr>
            </w:pPr>
          </w:p>
        </w:tc>
        <w:tc>
          <w:tcPr>
            <w:tcW w:w="1107" w:type="dxa"/>
          </w:tcPr>
          <w:p>
            <w:pPr>
              <w:pStyle w:val="11"/>
              <w:rPr>
                <w:rFonts w:hint="eastAsia" w:ascii="宋体" w:hAnsi="宋体" w:eastAsia="宋体" w:cs="宋体"/>
                <w:color w:val="000000" w:themeColor="text1"/>
                <w:sz w:val="24"/>
                <w:szCs w:val="24"/>
                <w:vertAlign w:val="baseline"/>
              </w:rPr>
            </w:pPr>
          </w:p>
        </w:tc>
        <w:tc>
          <w:tcPr>
            <w:tcW w:w="968" w:type="dxa"/>
          </w:tcPr>
          <w:p>
            <w:pPr>
              <w:pStyle w:val="11"/>
              <w:rPr>
                <w:rFonts w:hint="eastAsia" w:ascii="宋体" w:hAnsi="宋体" w:eastAsia="宋体" w:cs="宋体"/>
                <w:color w:val="000000" w:themeColor="text1"/>
                <w:sz w:val="24"/>
                <w:szCs w:val="24"/>
                <w:vertAlign w:val="baseline"/>
              </w:rPr>
            </w:pPr>
          </w:p>
        </w:tc>
        <w:tc>
          <w:tcPr>
            <w:tcW w:w="1247" w:type="dxa"/>
          </w:tcPr>
          <w:p>
            <w:pPr>
              <w:pStyle w:val="11"/>
              <w:rPr>
                <w:rFonts w:hint="eastAsia" w:ascii="宋体" w:hAnsi="宋体" w:eastAsia="宋体" w:cs="宋体"/>
                <w:color w:val="000000" w:themeColor="text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0" w:type="dxa"/>
            <w:gridSpan w:val="2"/>
            <w:vAlign w:val="center"/>
          </w:tcPr>
          <w:p>
            <w:pPr>
              <w:keepNext w:val="0"/>
              <w:keepLines w:val="0"/>
              <w:widowControl/>
              <w:suppressLineNumbers w:val="0"/>
              <w:ind w:left="0" w:leftChars="0" w:right="0" w:rightChars="0"/>
              <w:jc w:val="both"/>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合计</w:t>
            </w:r>
          </w:p>
        </w:tc>
        <w:tc>
          <w:tcPr>
            <w:tcW w:w="7750" w:type="dxa"/>
            <w:gridSpan w:val="7"/>
            <w:vAlign w:val="center"/>
          </w:tcPr>
          <w:p>
            <w:pPr>
              <w:keepNext w:val="0"/>
              <w:keepLines w:val="0"/>
              <w:widowControl/>
              <w:suppressLineNumbers w:val="0"/>
              <w:ind w:left="0" w:leftChars="0" w:right="0" w:rightChars="0"/>
              <w:jc w:val="both"/>
              <w:rPr>
                <w:rFonts w:hint="eastAsia" w:ascii="宋体" w:hAnsi="宋体" w:eastAsia="宋体" w:cs="宋体"/>
                <w:color w:val="000000" w:themeColor="text1"/>
                <w:sz w:val="24"/>
                <w:szCs w:val="24"/>
                <w:vertAlign w:val="baseline"/>
              </w:rPr>
            </w:pPr>
            <w:r>
              <w:rPr>
                <w:rFonts w:hint="eastAsia" w:ascii="宋体" w:hAnsi="宋体" w:eastAsia="宋体" w:cs="宋体"/>
                <w:b/>
                <w:bCs/>
                <w:color w:val="000000" w:themeColor="text1"/>
                <w:kern w:val="0"/>
                <w:sz w:val="24"/>
                <w:szCs w:val="24"/>
                <w:lang w:val="en-US" w:eastAsia="zh-CN" w:bidi="ar"/>
              </w:rPr>
              <w:t>大写： 小写：</w:t>
            </w:r>
          </w:p>
        </w:tc>
      </w:tr>
    </w:tbl>
    <w:p>
      <w:pPr>
        <w:pStyle w:val="11"/>
        <w:rPr>
          <w:rFonts w:hint="eastAsia" w:ascii="宋体" w:hAnsi="宋体" w:eastAsia="宋体" w:cs="宋体"/>
          <w:color w:val="000000" w:themeColor="text1"/>
          <w:sz w:val="24"/>
          <w:szCs w:val="24"/>
        </w:rPr>
      </w:pPr>
    </w:p>
    <w:p>
      <w:pPr>
        <w:pStyle w:val="11"/>
        <w:rPr>
          <w:rFonts w:hint="eastAsia" w:ascii="宋体" w:hAnsi="宋体" w:eastAsia="宋体" w:cs="宋体"/>
          <w:color w:val="000000" w:themeColor="text1"/>
          <w:sz w:val="24"/>
          <w:szCs w:val="24"/>
        </w:rPr>
      </w:pPr>
    </w:p>
    <w:p>
      <w:pPr>
        <w:pStyle w:val="11"/>
        <w:spacing w:before="6"/>
        <w:rPr>
          <w:rFonts w:hint="eastAsia" w:ascii="宋体" w:hAnsi="宋体" w:eastAsia="宋体" w:cs="宋体"/>
          <w:color w:val="000000" w:themeColor="text1"/>
          <w:sz w:val="24"/>
          <w:szCs w:val="24"/>
        </w:rPr>
      </w:pPr>
    </w:p>
    <w:p>
      <w:pPr>
        <w:pStyle w:val="11"/>
        <w:ind w:right="767"/>
        <w:jc w:val="righ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投标人（并加盖公章）：</w:t>
      </w:r>
    </w:p>
    <w:p>
      <w:pPr>
        <w:spacing w:after="0"/>
        <w:jc w:val="right"/>
        <w:rPr>
          <w:rFonts w:hint="eastAsia" w:ascii="宋体" w:hAnsi="宋体" w:eastAsia="宋体" w:cs="宋体"/>
          <w:color w:val="000000" w:themeColor="text1"/>
        </w:rPr>
        <w:sectPr>
          <w:headerReference r:id="rId3" w:type="default"/>
          <w:footerReference r:id="rId4" w:type="default"/>
          <w:pgSz w:w="11910" w:h="16840"/>
          <w:pgMar w:top="1417" w:right="1287" w:bottom="1446" w:left="1429" w:header="0" w:footer="898" w:gutter="0"/>
          <w:pgNumType w:fmt="decimal" w:start="0"/>
          <w:cols w:space="720" w:num="1"/>
        </w:sect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4.2 技术规格偏离表</w:t>
      </w: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autoSpaceDE w:val="0"/>
        <w:autoSpaceDN w:val="0"/>
        <w:adjustRightInd w:val="0"/>
        <w:spacing w:line="360" w:lineRule="auto"/>
        <w:outlineLvl w:val="0"/>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p>
    <w:p>
      <w:pPr>
        <w:autoSpaceDE w:val="0"/>
        <w:autoSpaceDN w:val="0"/>
        <w:adjustRightInd w:val="0"/>
        <w:spacing w:line="360" w:lineRule="auto"/>
        <w:outlineLvl w:val="0"/>
        <w:rPr>
          <w:rFonts w:ascii="Calibri" w:hAnsi="宋体" w:eastAsia="宋体" w:cs="Times New Roman"/>
          <w:b/>
          <w:snapToGrid w:val="0"/>
          <w:kern w:val="0"/>
          <w:szCs w:val="21"/>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4.3 技术（实施）方案</w:t>
      </w: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（投标人根据招标文件要求自行编制）</w:t>
      </w: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snapToGrid w:val="0"/>
        <w:spacing w:line="360" w:lineRule="auto"/>
        <w:jc w:val="center"/>
        <w:rPr>
          <w:rFonts w:ascii="Calibri" w:hAnsi="宋体" w:eastAsia="宋体" w:cs="Times New Roman"/>
          <w:b/>
          <w:snapToGrid w:val="0"/>
          <w:kern w:val="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4.4 业绩情况表</w:t>
      </w:r>
    </w:p>
    <w:p>
      <w:pPr>
        <w:autoSpaceDE w:val="0"/>
        <w:autoSpaceDN w:val="0"/>
        <w:adjustRightInd w:val="0"/>
        <w:spacing w:line="360" w:lineRule="auto"/>
        <w:jc w:val="center"/>
        <w:outlineLvl w:val="0"/>
        <w:rPr>
          <w:rFonts w:ascii="宋体" w:hAnsi="宋体" w:eastAsia="宋体" w:cs="Times New Roman"/>
          <w:b/>
          <w:bCs/>
          <w:color w:val="000000"/>
          <w:sz w:val="28"/>
          <w:szCs w:val="28"/>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p>
    <w:p>
      <w:pPr>
        <w:snapToGrid w:val="0"/>
        <w:spacing w:line="360" w:lineRule="auto"/>
        <w:rPr>
          <w:rFonts w:ascii="Calibri" w:hAnsi="宋体" w:eastAsia="宋体" w:cs="Times New Roman"/>
          <w:b/>
          <w:snapToGrid w:val="0"/>
          <w:kern w:val="0"/>
          <w:szCs w:val="21"/>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hAnsi="Calibri" w:eastAsia="宋体" w:cs="Times New Roman"/>
                <w:szCs w:val="21"/>
              </w:rPr>
            </w:pPr>
          </w:p>
        </w:tc>
        <w:tc>
          <w:tcPr>
            <w:tcW w:w="3579" w:type="dxa"/>
            <w:vAlign w:val="center"/>
          </w:tcPr>
          <w:p>
            <w:pPr>
              <w:rPr>
                <w:rFonts w:ascii="宋体" w:hAnsi="Calibri" w:eastAsia="宋体" w:cs="Times New Roman"/>
                <w:szCs w:val="21"/>
              </w:rPr>
            </w:pPr>
          </w:p>
        </w:tc>
        <w:tc>
          <w:tcPr>
            <w:tcW w:w="1440" w:type="dxa"/>
            <w:vAlign w:val="center"/>
          </w:tcPr>
          <w:p>
            <w:pPr>
              <w:rPr>
                <w:rFonts w:ascii="宋体" w:hAnsi="Calibri" w:eastAsia="宋体" w:cs="Times New Roman"/>
                <w:szCs w:val="21"/>
              </w:rPr>
            </w:pPr>
          </w:p>
        </w:tc>
        <w:tc>
          <w:tcPr>
            <w:tcW w:w="1706" w:type="dxa"/>
            <w:vAlign w:val="center"/>
          </w:tcPr>
          <w:p>
            <w:pP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hAnsi="Calibri" w:eastAsia="宋体" w:cs="Times New Roman"/>
                <w:szCs w:val="21"/>
              </w:rPr>
            </w:pPr>
          </w:p>
        </w:tc>
        <w:tc>
          <w:tcPr>
            <w:tcW w:w="3579" w:type="dxa"/>
            <w:vAlign w:val="center"/>
          </w:tcPr>
          <w:p>
            <w:pPr>
              <w:rPr>
                <w:rFonts w:ascii="宋体" w:hAnsi="Calibri" w:eastAsia="宋体" w:cs="Times New Roman"/>
                <w:szCs w:val="21"/>
              </w:rPr>
            </w:pPr>
          </w:p>
        </w:tc>
        <w:tc>
          <w:tcPr>
            <w:tcW w:w="1440" w:type="dxa"/>
            <w:vAlign w:val="center"/>
          </w:tcPr>
          <w:p>
            <w:pPr>
              <w:rPr>
                <w:rFonts w:ascii="宋体" w:hAnsi="Calibri" w:eastAsia="宋体" w:cs="Times New Roman"/>
                <w:szCs w:val="21"/>
              </w:rPr>
            </w:pPr>
          </w:p>
        </w:tc>
        <w:tc>
          <w:tcPr>
            <w:tcW w:w="1706" w:type="dxa"/>
            <w:vAlign w:val="center"/>
          </w:tcPr>
          <w:p>
            <w:pPr>
              <w:rPr>
                <w:rFonts w:ascii="宋体" w:hAnsi="Calibri" w:eastAsia="宋体" w:cs="Times New Roman"/>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480" w:lineRule="auto"/>
        <w:rPr>
          <w:rFonts w:ascii="宋体" w:hAnsi="宋体" w:eastAsia="宋体" w:cs="宋体"/>
          <w:sz w:val="24"/>
          <w:lang w:val="zh-CN"/>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4.5 售后服务方案</w:t>
      </w: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（投标人根据招标文件要求自行编制）</w:t>
      </w: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4.6“节能产品政府采购品目清单”强制节能产品情况</w:t>
      </w:r>
    </w:p>
    <w:p>
      <w:pPr>
        <w:autoSpaceDE w:val="0"/>
        <w:autoSpaceDN w:val="0"/>
        <w:adjustRightInd w:val="0"/>
        <w:spacing w:line="360" w:lineRule="auto"/>
        <w:jc w:val="center"/>
        <w:outlineLvl w:val="0"/>
        <w:rPr>
          <w:rFonts w:ascii="宋体" w:hAnsi="宋体" w:eastAsia="宋体" w:cs="Times New Roman"/>
          <w:b/>
          <w:bCs/>
          <w:color w:val="000000"/>
          <w:sz w:val="28"/>
          <w:szCs w:val="28"/>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tabs>
          <w:tab w:val="left" w:pos="1800"/>
          <w:tab w:val="left" w:pos="5580"/>
        </w:tabs>
        <w:spacing w:line="360" w:lineRule="auto"/>
        <w:rPr>
          <w:rFonts w:ascii="宋体" w:hAnsi="宋体" w:eastAsia="宋体" w:cs="Times New Roman"/>
          <w:color w:val="000000"/>
          <w:szCs w:val="21"/>
        </w:rPr>
      </w:pPr>
      <w:r>
        <w:rPr>
          <w:rFonts w:hint="eastAsia" w:ascii="宋体" w:hAnsi="宋体" w:eastAsia="宋体" w:cs="Times New Roman"/>
          <w:color w:val="000000"/>
          <w:szCs w:val="21"/>
        </w:rPr>
        <w:t>项目名称：</w:t>
      </w:r>
    </w:p>
    <w:p>
      <w:pPr>
        <w:tabs>
          <w:tab w:val="left" w:pos="1800"/>
          <w:tab w:val="left" w:pos="5580"/>
        </w:tabs>
        <w:spacing w:line="360" w:lineRule="auto"/>
        <w:rPr>
          <w:rFonts w:ascii="宋体" w:hAnsi="宋体" w:eastAsia="宋体" w:cs="Times New Roman"/>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4.7 “节能产品政府采购品目清单”优先采购产品情况</w:t>
      </w:r>
    </w:p>
    <w:p>
      <w:pPr>
        <w:autoSpaceDE w:val="0"/>
        <w:autoSpaceDN w:val="0"/>
        <w:adjustRightInd w:val="0"/>
        <w:spacing w:line="360" w:lineRule="auto"/>
        <w:jc w:val="center"/>
        <w:outlineLvl w:val="0"/>
        <w:rPr>
          <w:rFonts w:ascii="宋体" w:hAnsi="宋体" w:eastAsia="宋体" w:cs="Times New Roman"/>
          <w:b/>
          <w:bCs/>
          <w:color w:val="000000"/>
          <w:sz w:val="28"/>
          <w:szCs w:val="28"/>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tabs>
          <w:tab w:val="left" w:pos="1800"/>
          <w:tab w:val="left" w:pos="5580"/>
        </w:tabs>
        <w:spacing w:line="360" w:lineRule="auto"/>
        <w:rPr>
          <w:rFonts w:ascii="宋体" w:hAnsi="宋体" w:eastAsia="宋体" w:cs="Times New Roman"/>
          <w:color w:val="000000"/>
          <w:szCs w:val="21"/>
        </w:rPr>
      </w:pPr>
      <w:r>
        <w:rPr>
          <w:rFonts w:hint="eastAsia" w:ascii="宋体" w:hAnsi="宋体" w:eastAsia="宋体" w:cs="Times New Roman"/>
          <w:color w:val="000000"/>
          <w:szCs w:val="21"/>
        </w:rPr>
        <w:t>项目名称：</w:t>
      </w:r>
    </w:p>
    <w:p>
      <w:pPr>
        <w:tabs>
          <w:tab w:val="left" w:pos="1800"/>
          <w:tab w:val="left" w:pos="5580"/>
        </w:tabs>
        <w:spacing w:line="360" w:lineRule="auto"/>
        <w:rPr>
          <w:rFonts w:ascii="宋体" w:hAnsi="宋体" w:eastAsia="宋体" w:cs="Times New Roman"/>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snapToGrid w:val="0"/>
        <w:spacing w:line="500" w:lineRule="exact"/>
        <w:rPr>
          <w:rFonts w:ascii="宋体" w:hAnsi="宋体" w:eastAsia="宋体" w:cs="宋体"/>
          <w:szCs w:val="21"/>
          <w:lang w:val="zh-CN"/>
        </w:rPr>
      </w:pPr>
    </w:p>
    <w:p>
      <w:pPr>
        <w:spacing w:line="360" w:lineRule="auto"/>
        <w:rPr>
          <w:rFonts w:ascii="宋体" w:hAnsi="宋体" w:eastAsia="宋体" w:cs="Times New Roman"/>
          <w:b/>
          <w:bCs/>
          <w:color w:val="000000"/>
          <w:sz w:val="36"/>
          <w:szCs w:val="36"/>
        </w:rPr>
      </w:pPr>
      <w:r>
        <w:rPr>
          <w:rFonts w:hint="eastAsia" w:ascii="宋体" w:hAnsi="宋体" w:eastAsia="宋体" w:cs="宋体"/>
          <w:szCs w:val="21"/>
          <w:lang w:val="zh-CN"/>
        </w:rPr>
        <w:t>说明：所投产品节能认证证书须附后。</w:t>
      </w: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spacing w:line="360" w:lineRule="auto"/>
        <w:jc w:val="center"/>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cs="Times New Roman"/>
          <w:b/>
          <w:bCs/>
          <w:color w:val="000000"/>
          <w:sz w:val="28"/>
          <w:szCs w:val="28"/>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tabs>
          <w:tab w:val="left" w:pos="1800"/>
          <w:tab w:val="left" w:pos="5580"/>
        </w:tabs>
        <w:spacing w:line="360" w:lineRule="auto"/>
        <w:rPr>
          <w:rFonts w:ascii="宋体" w:hAnsi="宋体" w:eastAsia="宋体" w:cs="Times New Roman"/>
          <w:color w:val="000000"/>
          <w:szCs w:val="21"/>
        </w:rPr>
      </w:pPr>
      <w:r>
        <w:rPr>
          <w:rFonts w:hint="eastAsia" w:ascii="宋体" w:hAnsi="宋体" w:eastAsia="宋体" w:cs="Times New Roman"/>
          <w:color w:val="000000"/>
          <w:szCs w:val="21"/>
        </w:rPr>
        <w:t>项目名称：</w:t>
      </w:r>
    </w:p>
    <w:p>
      <w:pPr>
        <w:tabs>
          <w:tab w:val="left" w:pos="1800"/>
          <w:tab w:val="left" w:pos="5580"/>
        </w:tabs>
        <w:spacing w:line="360" w:lineRule="auto"/>
        <w:rPr>
          <w:rFonts w:ascii="宋体" w:hAnsi="宋体" w:eastAsia="宋体" w:cs="Times New Roman"/>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snapToGrid w:val="0"/>
        <w:spacing w:line="500" w:lineRule="exact"/>
        <w:rPr>
          <w:rFonts w:ascii="宋体" w:hAnsi="宋体" w:eastAsia="宋体" w:cs="宋体"/>
          <w:szCs w:val="21"/>
          <w:lang w:val="zh-CN"/>
        </w:rPr>
      </w:pPr>
    </w:p>
    <w:p>
      <w:pPr>
        <w:ind w:left="630" w:hanging="630" w:hangingChars="300"/>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ind w:left="630" w:hanging="630" w:hangingChars="300"/>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p>
    <w:p>
      <w:pPr>
        <w:autoSpaceDE w:val="0"/>
        <w:autoSpaceDN w:val="0"/>
        <w:adjustRightInd w:val="0"/>
        <w:spacing w:line="360" w:lineRule="auto"/>
        <w:jc w:val="center"/>
        <w:outlineLvl w:val="0"/>
        <w:rPr>
          <w:rFonts w:hint="eastAsia" w:ascii="宋体" w:hAnsi="宋体" w:eastAsia="宋体" w:cs="Times New Roman"/>
          <w:b/>
          <w:bCs/>
          <w:color w:val="000000" w:themeColor="text1"/>
          <w:sz w:val="24"/>
        </w:rPr>
      </w:pPr>
      <w:r>
        <w:rPr>
          <w:rFonts w:hint="eastAsia" w:ascii="宋体" w:hAnsi="宋体" w:eastAsia="宋体" w:cs="Times New Roman"/>
          <w:b/>
          <w:bCs/>
          <w:color w:val="000000" w:themeColor="text1"/>
          <w:sz w:val="24"/>
          <w:lang w:val="en-US" w:eastAsia="zh-CN"/>
        </w:rPr>
        <w:t>4.9 中小企业声明函（货物）</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i w:val="0"/>
          <w:iCs w:val="0"/>
          <w:color w:val="000000" w:themeColor="text1"/>
          <w:sz w:val="21"/>
          <w:szCs w:val="21"/>
        </w:rPr>
      </w:pPr>
      <w:r>
        <w:rPr>
          <w:rFonts w:hint="eastAsia" w:ascii="宋体" w:hAnsi="宋体" w:eastAsia="宋体" w:cs="宋体"/>
          <w:i w:val="0"/>
          <w:iCs w:val="0"/>
          <w:color w:val="000000" w:themeColor="text1"/>
          <w:kern w:val="0"/>
          <w:sz w:val="21"/>
          <w:szCs w:val="21"/>
          <w:lang w:val="en-US" w:eastAsia="zh-CN" w:bidi="ar"/>
        </w:rPr>
        <w:t>本公司（联合体）郑重声明，根据《政府采购促进中小企业发展管理办法》（财库﹝2020﹞ 46 号）的规定，本公司（联合体）参加</w:t>
      </w:r>
      <w:r>
        <w:rPr>
          <w:rFonts w:hint="eastAsia" w:ascii="宋体" w:hAnsi="宋体" w:eastAsia="宋体" w:cs="宋体"/>
          <w:i w:val="0"/>
          <w:iCs w:val="0"/>
          <w:color w:val="000000" w:themeColor="text1"/>
          <w:kern w:val="0"/>
          <w:sz w:val="21"/>
          <w:szCs w:val="21"/>
          <w:u w:val="single"/>
          <w:lang w:val="en-US" w:eastAsia="zh-CN" w:bidi="ar"/>
        </w:rPr>
        <w:t>（单位名称）</w:t>
      </w:r>
      <w:r>
        <w:rPr>
          <w:rFonts w:hint="eastAsia" w:ascii="宋体" w:hAnsi="宋体" w:eastAsia="宋体" w:cs="宋体"/>
          <w:i w:val="0"/>
          <w:iCs w:val="0"/>
          <w:color w:val="000000" w:themeColor="text1"/>
          <w:kern w:val="0"/>
          <w:sz w:val="21"/>
          <w:szCs w:val="21"/>
          <w:lang w:val="en-US" w:eastAsia="zh-CN" w:bidi="ar"/>
        </w:rPr>
        <w:t>的</w:t>
      </w:r>
      <w:r>
        <w:rPr>
          <w:rFonts w:hint="eastAsia" w:ascii="宋体" w:hAnsi="宋体" w:eastAsia="宋体" w:cs="宋体"/>
          <w:i w:val="0"/>
          <w:iCs w:val="0"/>
          <w:color w:val="000000" w:themeColor="text1"/>
          <w:kern w:val="0"/>
          <w:sz w:val="21"/>
          <w:szCs w:val="21"/>
          <w:u w:val="single"/>
          <w:lang w:val="en-US" w:eastAsia="zh-CN" w:bidi="ar"/>
        </w:rPr>
        <w:t>（项目名称）</w:t>
      </w:r>
      <w:r>
        <w:rPr>
          <w:rFonts w:hint="eastAsia" w:ascii="宋体" w:hAnsi="宋体" w:eastAsia="宋体" w:cs="宋体"/>
          <w:i w:val="0"/>
          <w:iCs w:val="0"/>
          <w:color w:val="000000" w:themeColor="text1"/>
          <w:kern w:val="0"/>
          <w:sz w:val="21"/>
          <w:szCs w:val="21"/>
          <w:lang w:val="en-US" w:eastAsia="zh-CN" w:bidi="ar"/>
        </w:rPr>
        <w:t xml:space="preserve">采购活动，提供的货物全部 由符合政策要求的中小企业制造。相关企业（含联合体中的中小企业、签订分包意向协议的中小 企业）的具体情况如下：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i w:val="0"/>
          <w:iCs w:val="0"/>
          <w:color w:val="000000" w:themeColor="text1"/>
          <w:sz w:val="21"/>
          <w:szCs w:val="21"/>
        </w:rPr>
      </w:pPr>
      <w:r>
        <w:rPr>
          <w:rFonts w:hint="eastAsia" w:ascii="宋体" w:hAnsi="宋体" w:eastAsia="宋体" w:cs="宋体"/>
          <w:i w:val="0"/>
          <w:iCs w:val="0"/>
          <w:color w:val="000000" w:themeColor="text1"/>
          <w:kern w:val="0"/>
          <w:sz w:val="21"/>
          <w:szCs w:val="21"/>
          <w:lang w:val="en-US" w:eastAsia="zh-CN" w:bidi="ar"/>
        </w:rPr>
        <w:t xml:space="preserve">1. </w:t>
      </w:r>
      <w:r>
        <w:rPr>
          <w:rFonts w:hint="eastAsia" w:ascii="宋体" w:hAnsi="宋体" w:eastAsia="宋体" w:cs="宋体"/>
          <w:i w:val="0"/>
          <w:iCs w:val="0"/>
          <w:color w:val="000000" w:themeColor="text1"/>
          <w:kern w:val="0"/>
          <w:sz w:val="21"/>
          <w:szCs w:val="21"/>
          <w:u w:val="single"/>
          <w:lang w:val="en-US" w:eastAsia="zh-CN" w:bidi="ar"/>
        </w:rPr>
        <w:t>（标的名称）</w:t>
      </w:r>
      <w:r>
        <w:rPr>
          <w:rFonts w:hint="eastAsia" w:ascii="宋体" w:hAnsi="宋体" w:eastAsia="宋体" w:cs="宋体"/>
          <w:i w:val="0"/>
          <w:iCs w:val="0"/>
          <w:color w:val="000000" w:themeColor="text1"/>
          <w:kern w:val="0"/>
          <w:sz w:val="21"/>
          <w:szCs w:val="21"/>
          <w:lang w:val="en-US" w:eastAsia="zh-CN" w:bidi="ar"/>
        </w:rPr>
        <w:t>，属于</w:t>
      </w:r>
      <w:r>
        <w:rPr>
          <w:rFonts w:hint="eastAsia" w:ascii="宋体" w:hAnsi="宋体" w:eastAsia="宋体" w:cs="宋体"/>
          <w:i w:val="0"/>
          <w:iCs w:val="0"/>
          <w:color w:val="000000" w:themeColor="text1"/>
          <w:kern w:val="0"/>
          <w:sz w:val="21"/>
          <w:szCs w:val="21"/>
          <w:u w:val="single"/>
          <w:lang w:val="en-US" w:eastAsia="zh-CN" w:bidi="ar"/>
        </w:rPr>
        <w:t>（采购文件中明确的所属行业）</w:t>
      </w:r>
      <w:r>
        <w:rPr>
          <w:rFonts w:hint="eastAsia" w:ascii="宋体" w:hAnsi="宋体" w:eastAsia="宋体" w:cs="宋体"/>
          <w:i w:val="0"/>
          <w:iCs w:val="0"/>
          <w:color w:val="000000" w:themeColor="text1"/>
          <w:kern w:val="0"/>
          <w:sz w:val="21"/>
          <w:szCs w:val="21"/>
          <w:lang w:val="en-US" w:eastAsia="zh-CN" w:bidi="ar"/>
        </w:rPr>
        <w:t>行业；制造商为（</w:t>
      </w:r>
      <w:r>
        <w:rPr>
          <w:rFonts w:hint="eastAsia" w:ascii="宋体" w:hAnsi="宋体" w:eastAsia="宋体" w:cs="宋体"/>
          <w:i w:val="0"/>
          <w:iCs w:val="0"/>
          <w:color w:val="000000" w:themeColor="text1"/>
          <w:kern w:val="0"/>
          <w:sz w:val="21"/>
          <w:szCs w:val="21"/>
          <w:u w:val="single"/>
          <w:lang w:val="en-US" w:eastAsia="zh-CN" w:bidi="ar"/>
        </w:rPr>
        <w:t>企业名称）</w:t>
      </w:r>
      <w:r>
        <w:rPr>
          <w:rFonts w:hint="eastAsia" w:ascii="宋体" w:hAnsi="宋体" w:eastAsia="宋体" w:cs="宋体"/>
          <w:i w:val="0"/>
          <w:iCs w:val="0"/>
          <w:color w:val="000000" w:themeColor="text1"/>
          <w:kern w:val="0"/>
          <w:sz w:val="21"/>
          <w:szCs w:val="21"/>
          <w:lang w:val="en-US" w:eastAsia="zh-CN" w:bidi="ar"/>
        </w:rPr>
        <w:t>，从业人员</w:t>
      </w:r>
      <w:r>
        <w:rPr>
          <w:rFonts w:hint="eastAsia" w:ascii="宋体" w:hAnsi="宋体" w:eastAsia="宋体" w:cs="宋体"/>
          <w:i w:val="0"/>
          <w:iCs w:val="0"/>
          <w:color w:val="000000" w:themeColor="text1"/>
          <w:kern w:val="0"/>
          <w:sz w:val="21"/>
          <w:szCs w:val="21"/>
          <w:u w:val="single"/>
          <w:lang w:val="en-US" w:eastAsia="zh-CN" w:bidi="ar"/>
        </w:rPr>
        <w:t xml:space="preserve">     </w:t>
      </w:r>
      <w:r>
        <w:rPr>
          <w:rFonts w:hint="eastAsia" w:ascii="宋体" w:hAnsi="宋体" w:eastAsia="宋体" w:cs="宋体"/>
          <w:i w:val="0"/>
          <w:iCs w:val="0"/>
          <w:color w:val="000000" w:themeColor="text1"/>
          <w:kern w:val="0"/>
          <w:sz w:val="21"/>
          <w:szCs w:val="21"/>
          <w:lang w:val="en-US" w:eastAsia="zh-CN" w:bidi="ar"/>
        </w:rPr>
        <w:t>人，营业收入为</w:t>
      </w:r>
      <w:r>
        <w:rPr>
          <w:rFonts w:hint="eastAsia" w:ascii="宋体" w:hAnsi="宋体" w:eastAsia="宋体" w:cs="宋体"/>
          <w:i w:val="0"/>
          <w:iCs w:val="0"/>
          <w:color w:val="000000" w:themeColor="text1"/>
          <w:kern w:val="0"/>
          <w:sz w:val="21"/>
          <w:szCs w:val="21"/>
          <w:u w:val="single"/>
          <w:lang w:val="en-US" w:eastAsia="zh-CN" w:bidi="ar"/>
        </w:rPr>
        <w:t xml:space="preserve">     </w:t>
      </w:r>
      <w:r>
        <w:rPr>
          <w:rFonts w:hint="eastAsia" w:ascii="宋体" w:hAnsi="宋体" w:eastAsia="宋体" w:cs="宋体"/>
          <w:i w:val="0"/>
          <w:iCs w:val="0"/>
          <w:color w:val="000000" w:themeColor="text1"/>
          <w:kern w:val="0"/>
          <w:sz w:val="21"/>
          <w:szCs w:val="21"/>
          <w:lang w:val="en-US" w:eastAsia="zh-CN" w:bidi="ar"/>
        </w:rPr>
        <w:t>万元，资产总额为</w:t>
      </w:r>
      <w:r>
        <w:rPr>
          <w:rFonts w:hint="eastAsia" w:ascii="宋体" w:hAnsi="宋体" w:eastAsia="宋体" w:cs="宋体"/>
          <w:i w:val="0"/>
          <w:iCs w:val="0"/>
          <w:color w:val="000000" w:themeColor="text1"/>
          <w:kern w:val="0"/>
          <w:sz w:val="21"/>
          <w:szCs w:val="21"/>
          <w:u w:val="single"/>
          <w:lang w:val="en-US" w:eastAsia="zh-CN" w:bidi="ar"/>
        </w:rPr>
        <w:t xml:space="preserve">     </w:t>
      </w:r>
      <w:r>
        <w:rPr>
          <w:rFonts w:hint="eastAsia" w:ascii="宋体" w:hAnsi="宋体" w:eastAsia="宋体" w:cs="宋体"/>
          <w:i w:val="0"/>
          <w:iCs w:val="0"/>
          <w:color w:val="000000" w:themeColor="text1"/>
          <w:kern w:val="0"/>
          <w:sz w:val="21"/>
          <w:szCs w:val="21"/>
          <w:lang w:val="en-US" w:eastAsia="zh-CN" w:bidi="ar"/>
        </w:rPr>
        <w:t>万元，属于</w:t>
      </w:r>
      <w:r>
        <w:rPr>
          <w:rFonts w:hint="eastAsia" w:ascii="宋体" w:hAnsi="宋体" w:eastAsia="宋体" w:cs="宋体"/>
          <w:i w:val="0"/>
          <w:iCs w:val="0"/>
          <w:color w:val="000000" w:themeColor="text1"/>
          <w:kern w:val="0"/>
          <w:sz w:val="21"/>
          <w:szCs w:val="21"/>
          <w:u w:val="single"/>
          <w:lang w:val="en-US" w:eastAsia="zh-CN" w:bidi="ar"/>
        </w:rPr>
        <w:t>（中型企业、小型企业、微型企业）</w:t>
      </w:r>
      <w:r>
        <w:rPr>
          <w:rFonts w:hint="eastAsia" w:ascii="宋体" w:hAnsi="宋体" w:eastAsia="宋体" w:cs="宋体"/>
          <w:i w:val="0"/>
          <w:iCs w:val="0"/>
          <w:color w:val="000000" w:themeColor="text1"/>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i w:val="0"/>
          <w:iCs w:val="0"/>
          <w:color w:val="000000" w:themeColor="text1"/>
          <w:sz w:val="21"/>
          <w:szCs w:val="21"/>
        </w:rPr>
      </w:pPr>
      <w:r>
        <w:rPr>
          <w:rFonts w:hint="eastAsia" w:ascii="宋体" w:hAnsi="宋体" w:eastAsia="宋体" w:cs="宋体"/>
          <w:i w:val="0"/>
          <w:iCs w:val="0"/>
          <w:color w:val="000000" w:themeColor="text1"/>
          <w:kern w:val="0"/>
          <w:sz w:val="21"/>
          <w:szCs w:val="21"/>
          <w:lang w:val="en-US" w:eastAsia="zh-CN" w:bidi="ar"/>
        </w:rPr>
        <w:t xml:space="preserve">2. </w:t>
      </w:r>
      <w:r>
        <w:rPr>
          <w:rFonts w:hint="eastAsia" w:ascii="宋体" w:hAnsi="宋体" w:eastAsia="宋体" w:cs="宋体"/>
          <w:i w:val="0"/>
          <w:iCs w:val="0"/>
          <w:color w:val="000000" w:themeColor="text1"/>
          <w:kern w:val="0"/>
          <w:sz w:val="21"/>
          <w:szCs w:val="21"/>
          <w:u w:val="single"/>
          <w:lang w:val="en-US" w:eastAsia="zh-CN" w:bidi="ar"/>
        </w:rPr>
        <w:t>（标的名称）</w:t>
      </w:r>
      <w:r>
        <w:rPr>
          <w:rFonts w:hint="eastAsia" w:ascii="宋体" w:hAnsi="宋体" w:eastAsia="宋体" w:cs="宋体"/>
          <w:i w:val="0"/>
          <w:iCs w:val="0"/>
          <w:color w:val="000000" w:themeColor="text1"/>
          <w:kern w:val="0"/>
          <w:sz w:val="21"/>
          <w:szCs w:val="21"/>
          <w:lang w:val="en-US" w:eastAsia="zh-CN" w:bidi="ar"/>
        </w:rPr>
        <w:t>，属于</w:t>
      </w:r>
      <w:r>
        <w:rPr>
          <w:rFonts w:hint="eastAsia" w:ascii="宋体" w:hAnsi="宋体" w:eastAsia="宋体" w:cs="宋体"/>
          <w:i w:val="0"/>
          <w:iCs w:val="0"/>
          <w:color w:val="000000" w:themeColor="text1"/>
          <w:kern w:val="0"/>
          <w:sz w:val="21"/>
          <w:szCs w:val="21"/>
          <w:u w:val="single"/>
          <w:lang w:val="en-US" w:eastAsia="zh-CN" w:bidi="ar"/>
        </w:rPr>
        <w:t>（采购文件中明确的所属行业）</w:t>
      </w:r>
      <w:r>
        <w:rPr>
          <w:rFonts w:hint="eastAsia" w:ascii="宋体" w:hAnsi="宋体" w:eastAsia="宋体" w:cs="宋体"/>
          <w:i w:val="0"/>
          <w:iCs w:val="0"/>
          <w:color w:val="000000" w:themeColor="text1"/>
          <w:kern w:val="0"/>
          <w:sz w:val="21"/>
          <w:szCs w:val="21"/>
          <w:lang w:val="en-US" w:eastAsia="zh-CN" w:bidi="ar"/>
        </w:rPr>
        <w:t>行业；制造商为（</w:t>
      </w:r>
      <w:r>
        <w:rPr>
          <w:rFonts w:hint="eastAsia" w:ascii="宋体" w:hAnsi="宋体" w:eastAsia="宋体" w:cs="宋体"/>
          <w:i w:val="0"/>
          <w:iCs w:val="0"/>
          <w:color w:val="000000" w:themeColor="text1"/>
          <w:kern w:val="0"/>
          <w:sz w:val="21"/>
          <w:szCs w:val="21"/>
          <w:u w:val="single"/>
          <w:lang w:val="en-US" w:eastAsia="zh-CN" w:bidi="ar"/>
        </w:rPr>
        <w:t>企业名称）</w:t>
      </w:r>
      <w:r>
        <w:rPr>
          <w:rFonts w:hint="eastAsia" w:ascii="宋体" w:hAnsi="宋体" w:eastAsia="宋体" w:cs="宋体"/>
          <w:i w:val="0"/>
          <w:iCs w:val="0"/>
          <w:color w:val="000000" w:themeColor="text1"/>
          <w:kern w:val="0"/>
          <w:sz w:val="21"/>
          <w:szCs w:val="21"/>
          <w:lang w:val="en-US" w:eastAsia="zh-CN" w:bidi="ar"/>
        </w:rPr>
        <w:t>，从业人员</w:t>
      </w:r>
      <w:r>
        <w:rPr>
          <w:rFonts w:hint="eastAsia" w:ascii="宋体" w:hAnsi="宋体" w:eastAsia="宋体" w:cs="宋体"/>
          <w:i w:val="0"/>
          <w:iCs w:val="0"/>
          <w:color w:val="000000" w:themeColor="text1"/>
          <w:kern w:val="0"/>
          <w:sz w:val="21"/>
          <w:szCs w:val="21"/>
          <w:u w:val="single"/>
          <w:lang w:val="en-US" w:eastAsia="zh-CN" w:bidi="ar"/>
        </w:rPr>
        <w:t xml:space="preserve">     </w:t>
      </w:r>
      <w:r>
        <w:rPr>
          <w:rFonts w:hint="eastAsia" w:ascii="宋体" w:hAnsi="宋体" w:eastAsia="宋体" w:cs="宋体"/>
          <w:i w:val="0"/>
          <w:iCs w:val="0"/>
          <w:color w:val="000000" w:themeColor="text1"/>
          <w:kern w:val="0"/>
          <w:sz w:val="21"/>
          <w:szCs w:val="21"/>
          <w:lang w:val="en-US" w:eastAsia="zh-CN" w:bidi="ar"/>
        </w:rPr>
        <w:t>人，营业收入为</w:t>
      </w:r>
      <w:r>
        <w:rPr>
          <w:rFonts w:hint="eastAsia" w:ascii="宋体" w:hAnsi="宋体" w:eastAsia="宋体" w:cs="宋体"/>
          <w:i w:val="0"/>
          <w:iCs w:val="0"/>
          <w:color w:val="000000" w:themeColor="text1"/>
          <w:kern w:val="0"/>
          <w:sz w:val="21"/>
          <w:szCs w:val="21"/>
          <w:u w:val="single"/>
          <w:lang w:val="en-US" w:eastAsia="zh-CN" w:bidi="ar"/>
        </w:rPr>
        <w:t xml:space="preserve">     </w:t>
      </w:r>
      <w:r>
        <w:rPr>
          <w:rFonts w:hint="eastAsia" w:ascii="宋体" w:hAnsi="宋体" w:eastAsia="宋体" w:cs="宋体"/>
          <w:i w:val="0"/>
          <w:iCs w:val="0"/>
          <w:color w:val="000000" w:themeColor="text1"/>
          <w:kern w:val="0"/>
          <w:sz w:val="21"/>
          <w:szCs w:val="21"/>
          <w:lang w:val="en-US" w:eastAsia="zh-CN" w:bidi="ar"/>
        </w:rPr>
        <w:t>万元，资产总额为</w:t>
      </w:r>
      <w:r>
        <w:rPr>
          <w:rFonts w:hint="eastAsia" w:ascii="宋体" w:hAnsi="宋体" w:eastAsia="宋体" w:cs="宋体"/>
          <w:i w:val="0"/>
          <w:iCs w:val="0"/>
          <w:color w:val="000000" w:themeColor="text1"/>
          <w:kern w:val="0"/>
          <w:sz w:val="21"/>
          <w:szCs w:val="21"/>
          <w:u w:val="single"/>
          <w:lang w:val="en-US" w:eastAsia="zh-CN" w:bidi="ar"/>
        </w:rPr>
        <w:t xml:space="preserve">     </w:t>
      </w:r>
      <w:r>
        <w:rPr>
          <w:rFonts w:hint="eastAsia" w:ascii="宋体" w:hAnsi="宋体" w:eastAsia="宋体" w:cs="宋体"/>
          <w:i w:val="0"/>
          <w:iCs w:val="0"/>
          <w:color w:val="000000" w:themeColor="text1"/>
          <w:kern w:val="0"/>
          <w:sz w:val="21"/>
          <w:szCs w:val="21"/>
          <w:lang w:val="en-US" w:eastAsia="zh-CN" w:bidi="ar"/>
        </w:rPr>
        <w:t>万元，属于</w:t>
      </w:r>
      <w:r>
        <w:rPr>
          <w:rFonts w:hint="eastAsia" w:ascii="宋体" w:hAnsi="宋体" w:eastAsia="宋体" w:cs="宋体"/>
          <w:i w:val="0"/>
          <w:iCs w:val="0"/>
          <w:color w:val="000000" w:themeColor="text1"/>
          <w:kern w:val="0"/>
          <w:sz w:val="21"/>
          <w:szCs w:val="21"/>
          <w:u w:val="single"/>
          <w:lang w:val="en-US" w:eastAsia="zh-CN" w:bidi="ar"/>
        </w:rPr>
        <w:t>（中型企业、小型企业、微型企业）</w:t>
      </w:r>
      <w:r>
        <w:rPr>
          <w:rFonts w:hint="eastAsia" w:ascii="宋体" w:hAnsi="宋体" w:eastAsia="宋体" w:cs="宋体"/>
          <w:i w:val="0"/>
          <w:iCs w:val="0"/>
          <w:color w:val="000000" w:themeColor="text1"/>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i w:val="0"/>
          <w:iCs w:val="0"/>
          <w:color w:val="000000" w:themeColor="text1"/>
          <w:sz w:val="21"/>
          <w:szCs w:val="21"/>
        </w:rPr>
      </w:pPr>
      <w:r>
        <w:rPr>
          <w:rFonts w:hint="eastAsia" w:ascii="宋体" w:hAnsi="宋体" w:eastAsia="宋体" w:cs="宋体"/>
          <w:i w:val="0"/>
          <w:iCs w:val="0"/>
          <w:color w:val="000000" w:themeColor="text1"/>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themeColor="text1"/>
          <w:kern w:val="0"/>
          <w:sz w:val="21"/>
          <w:szCs w:val="21"/>
          <w:lang w:val="en-US" w:eastAsia="zh-CN" w:bidi="ar"/>
        </w:rPr>
      </w:pPr>
      <w:r>
        <w:rPr>
          <w:rFonts w:hint="eastAsia" w:ascii="宋体" w:hAnsi="宋体" w:eastAsia="宋体" w:cs="宋体"/>
          <w:color w:val="000000" w:themeColor="text1"/>
          <w:kern w:val="0"/>
          <w:sz w:val="21"/>
          <w:szCs w:val="21"/>
          <w:lang w:val="en-US" w:eastAsia="zh-CN" w:bidi="ar"/>
        </w:rPr>
        <w:t xml:space="preserve">以上企业，不属于大企业的分支机构，不存在控股股东为大企业的情形，也不存在与大企 业的负责人为同一人的情形。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 xml:space="preserve">企业名称（盖章）：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 xml:space="preserve">日期：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kern w:val="0"/>
          <w:sz w:val="21"/>
          <w:szCs w:val="21"/>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kern w:val="0"/>
          <w:sz w:val="21"/>
          <w:szCs w:val="21"/>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kern w:val="0"/>
          <w:sz w:val="21"/>
          <w:szCs w:val="21"/>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 xml:space="preserve">说明：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 xml:space="preserve">1、从业人员、营业收入、资产总额填报上一年度数据，无上一年度数据的新成立企业可不填报。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 xml:space="preserve">2、中小企业参加政府采购活动，应当出具《中小企业声明函》，否则不得享受相关中小企业扶持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lang w:val="en-US" w:eastAsia="zh-CN" w:bidi="ar"/>
        </w:rPr>
        <w:t>政策。</w:t>
      </w:r>
    </w:p>
    <w:p>
      <w:pPr>
        <w:pStyle w:val="11"/>
        <w:rPr>
          <w:rFonts w:hint="eastAsia" w:ascii="宋体" w:hAnsi="宋体" w:eastAsia="宋体" w:cs="宋体"/>
          <w:sz w:val="20"/>
        </w:rPr>
      </w:pPr>
    </w:p>
    <w:p>
      <w:pPr>
        <w:pStyle w:val="12"/>
        <w:rPr>
          <w:rFonts w:hint="eastAsia" w:ascii="宋体" w:hAnsi="宋体" w:eastAsia="宋体" w:cs="宋体"/>
          <w:sz w:val="20"/>
        </w:rPr>
      </w:pPr>
    </w:p>
    <w:p>
      <w:pPr>
        <w:pStyle w:val="13"/>
        <w:rPr>
          <w:rFonts w:hint="eastAsia" w:ascii="宋体" w:hAnsi="宋体" w:eastAsia="宋体" w:cs="宋体"/>
          <w:sz w:val="20"/>
        </w:rPr>
      </w:pPr>
    </w:p>
    <w:p>
      <w:pPr>
        <w:rPr>
          <w:rFonts w:hint="eastAsia"/>
        </w:rPr>
      </w:pPr>
    </w:p>
    <w:p>
      <w:pPr>
        <w:autoSpaceDE w:val="0"/>
        <w:autoSpaceDN w:val="0"/>
        <w:adjustRightInd w:val="0"/>
        <w:spacing w:line="360" w:lineRule="auto"/>
        <w:jc w:val="center"/>
        <w:outlineLvl w:val="0"/>
        <w:rPr>
          <w:rFonts w:ascii="宋体" w:hAnsi="宋体" w:eastAsia="宋体" w:cs="Times New Roman"/>
          <w:b/>
          <w:bCs/>
          <w:color w:val="000000"/>
          <w:sz w:val="24"/>
        </w:rPr>
      </w:pPr>
      <w:bookmarkStart w:id="15" w:name="OLE_LINK13"/>
      <w:bookmarkStart w:id="16" w:name="OLE_LINK14"/>
      <w:r>
        <w:rPr>
          <w:rFonts w:hint="eastAsia" w:ascii="宋体" w:hAnsi="宋体" w:eastAsia="宋体" w:cs="Times New Roman"/>
          <w:b/>
          <w:bCs/>
          <w:color w:val="000000"/>
          <w:sz w:val="24"/>
        </w:rPr>
        <w:t>4.10 残疾人福利性单位声明函</w:t>
      </w:r>
    </w:p>
    <w:bookmarkEnd w:id="15"/>
    <w:bookmarkEnd w:id="16"/>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本单位对上述声明的真实性负责。如有虚假，将依法承担相应责任。</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480" w:lineRule="auto"/>
        <w:ind w:left="4358" w:leftChars="2075"/>
        <w:rPr>
          <w:rFonts w:ascii="宋体" w:hAnsi="宋体" w:eastAsia="宋体" w:cs="Arial"/>
          <w:color w:val="000000"/>
          <w:szCs w:val="21"/>
        </w:rPr>
      </w:pPr>
      <w:r>
        <w:rPr>
          <w:rFonts w:hint="eastAsia" w:ascii="宋体" w:hAnsi="宋体" w:eastAsia="宋体" w:cs="Arial"/>
          <w:color w:val="000000"/>
          <w:szCs w:val="21"/>
        </w:rPr>
        <w:t>单位名称（盖章）：</w:t>
      </w:r>
    </w:p>
    <w:p>
      <w:pPr>
        <w:spacing w:line="480" w:lineRule="auto"/>
        <w:ind w:left="4358" w:leftChars="2075"/>
        <w:rPr>
          <w:rFonts w:ascii="宋体" w:hAnsi="宋体" w:eastAsia="宋体" w:cs="Arial"/>
          <w:color w:val="000000"/>
          <w:szCs w:val="21"/>
        </w:rPr>
      </w:pPr>
      <w:r>
        <w:rPr>
          <w:rFonts w:hint="eastAsia" w:ascii="宋体" w:hAnsi="宋体" w:eastAsia="宋体" w:cs="Arial"/>
          <w:color w:val="000000"/>
          <w:szCs w:val="21"/>
        </w:rPr>
        <w:t xml:space="preserve"> 日    期：      年    月    日</w:t>
      </w:r>
    </w:p>
    <w:p>
      <w:pPr>
        <w:spacing w:line="480" w:lineRule="auto"/>
        <w:ind w:left="4358" w:leftChars="2075"/>
        <w:rPr>
          <w:rFonts w:ascii="宋体" w:hAnsi="宋体" w:eastAsia="宋体" w:cs="Arial"/>
          <w:color w:val="000000"/>
          <w:szCs w:val="21"/>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autoSpaceDE w:val="0"/>
        <w:autoSpaceDN w:val="0"/>
        <w:adjustRightInd w:val="0"/>
        <w:spacing w:line="360" w:lineRule="auto"/>
        <w:jc w:val="center"/>
        <w:outlineLvl w:val="0"/>
        <w:rPr>
          <w:rFonts w:ascii="宋体" w:hAnsi="宋体" w:eastAsia="宋体" w:cs="Times New Roman"/>
          <w:b/>
          <w:bCs/>
          <w:color w:val="000000"/>
          <w:sz w:val="24"/>
        </w:rPr>
      </w:pPr>
    </w:p>
    <w:p>
      <w:pPr>
        <w:autoSpaceDE w:val="0"/>
        <w:autoSpaceDN w:val="0"/>
        <w:adjustRightInd w:val="0"/>
        <w:spacing w:line="360" w:lineRule="auto"/>
        <w:jc w:val="center"/>
        <w:outlineLvl w:val="0"/>
        <w:rPr>
          <w:rFonts w:ascii="宋体" w:hAnsi="宋体" w:eastAsia="宋体" w:cs="Times New Roman"/>
          <w:b/>
          <w:bCs/>
          <w:color w:val="000000"/>
          <w:sz w:val="24"/>
        </w:rPr>
      </w:pPr>
      <w:r>
        <w:rPr>
          <w:rFonts w:hint="eastAsia" w:ascii="宋体" w:hAnsi="宋体" w:eastAsia="宋体" w:cs="Times New Roman"/>
          <w:b/>
          <w:bCs/>
          <w:color w:val="000000"/>
          <w:sz w:val="24"/>
        </w:rPr>
        <w:t xml:space="preserve">4.11 所投产品符合国家强制性要求承诺函 </w:t>
      </w:r>
    </w:p>
    <w:p>
      <w:pPr>
        <w:autoSpaceDE w:val="0"/>
        <w:autoSpaceDN w:val="0"/>
        <w:adjustRightInd w:val="0"/>
        <w:spacing w:line="360" w:lineRule="auto"/>
        <w:jc w:val="center"/>
        <w:outlineLvl w:val="0"/>
        <w:rPr>
          <w:rFonts w:ascii="宋体" w:hAnsi="宋体" w:eastAsia="宋体" w:cs="Times New Roman"/>
          <w:b/>
          <w:bCs/>
          <w:color w:val="000000"/>
          <w:sz w:val="28"/>
          <w:szCs w:val="28"/>
        </w:rPr>
      </w:pPr>
    </w:p>
    <w:p>
      <w:pPr>
        <w:spacing w:line="360" w:lineRule="auto"/>
        <w:jc w:val="center"/>
        <w:rPr>
          <w:rFonts w:ascii="宋体" w:hAnsi="宋体" w:eastAsia="宋体" w:cs="Arial"/>
          <w:color w:val="000000"/>
          <w:kern w:val="0"/>
          <w:szCs w:val="21"/>
        </w:rPr>
      </w:pPr>
      <w:r>
        <w:rPr>
          <w:rFonts w:hint="eastAsia" w:ascii="宋体" w:hAnsi="宋体" w:eastAsia="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cs="Times New Roman"/>
          <w:b/>
          <w:bCs/>
          <w:color w:val="000000"/>
          <w:sz w:val="36"/>
          <w:szCs w:val="36"/>
        </w:rPr>
      </w:pPr>
    </w:p>
    <w:p>
      <w:pPr>
        <w:widowControl/>
        <w:spacing w:before="100" w:beforeAutospacing="1" w:after="100" w:afterAutospacing="1" w:line="360" w:lineRule="auto"/>
        <w:jc w:val="center"/>
        <w:rPr>
          <w:rFonts w:ascii="宋体" w:hAnsi="宋体" w:eastAsia="宋体" w:cs="Times New Roman"/>
          <w:b/>
          <w:bCs/>
          <w:color w:val="000000"/>
          <w:sz w:val="36"/>
          <w:szCs w:val="36"/>
        </w:rPr>
      </w:pPr>
    </w:p>
    <w:p>
      <w:pPr>
        <w:rPr>
          <w:rFonts w:ascii="Calibri" w:hAnsi="Calibri" w:eastAsia="宋体" w:cs="Times New Roman"/>
        </w:rPr>
      </w:pPr>
    </w:p>
    <w:p>
      <w:pPr>
        <w:rPr>
          <w:rFonts w:ascii="Calibri" w:hAnsi="Calibri" w:eastAsia="宋体" w:cs="Times New Roma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autoSpaceDE w:val="0"/>
        <w:autoSpaceDN w:val="0"/>
        <w:adjustRightInd w:val="0"/>
        <w:spacing w:line="360" w:lineRule="auto"/>
        <w:jc w:val="center"/>
        <w:rPr>
          <w:rFonts w:ascii="宋体" w:hAnsi="宋体" w:eastAsia="宋体" w:cs="黑体"/>
          <w:b/>
          <w:bCs/>
          <w:sz w:val="15"/>
          <w:szCs w:val="15"/>
          <w:lang w:val="zh-CN"/>
        </w:rPr>
      </w:pPr>
    </w:p>
    <w:p>
      <w:pPr>
        <w:rPr>
          <w:szCs w:val="21"/>
        </w:rPr>
      </w:pPr>
    </w:p>
    <w:p>
      <w:pPr>
        <w:rPr>
          <w:szCs w:val="21"/>
        </w:rPr>
      </w:pPr>
    </w:p>
    <w:p>
      <w:pPr>
        <w:rPr>
          <w:szCs w:val="21"/>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五、</w:t>
      </w:r>
      <w:r>
        <w:rPr>
          <w:rFonts w:cs="黑体" w:asciiTheme="minorEastAsia" w:hAnsiTheme="minorEastAsia"/>
          <w:b/>
          <w:bCs/>
          <w:sz w:val="32"/>
          <w:szCs w:val="32"/>
          <w:lang w:val="zh-CN"/>
        </w:rPr>
        <w:t>其他资料（若有）</w:t>
      </w:r>
    </w:p>
    <w:p>
      <w:pPr>
        <w:rPr>
          <w:szCs w:val="21"/>
        </w:rPr>
      </w:pPr>
    </w:p>
    <w:p>
      <w:pPr>
        <w:rPr>
          <w:szCs w:val="21"/>
        </w:rPr>
      </w:pPr>
    </w:p>
    <w:p>
      <w:pPr>
        <w:rPr>
          <w:szCs w:val="21"/>
        </w:rPr>
      </w:pPr>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Cs w:val="21"/>
        </w:rPr>
      </w:pPr>
      <w:r>
        <w:rPr>
          <w:rFonts w:ascii="宋体" w:hAnsi="宋体"/>
          <w:b/>
          <w:bCs/>
          <w:szCs w:val="21"/>
        </w:rPr>
        <w:t> </w:t>
      </w: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sectPr>
      <w:footerReference r:id="rId5" w:type="default"/>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Noto Sans CJK JP Regular">
    <w:altName w:val="Courier New"/>
    <w:panose1 w:val="00000000000000000000"/>
    <w:charset w:val="00"/>
    <w:family w:val="swiss"/>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42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E03F19B"/>
    <w:multiLevelType w:val="singleLevel"/>
    <w:tmpl w:val="0E03F19B"/>
    <w:lvl w:ilvl="0" w:tentative="0">
      <w:start w:val="3"/>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65"/>
      <w:suff w:val="nothing"/>
      <w:lvlText w:val="%1、"/>
      <w:lvlJc w:val="left"/>
    </w:lvl>
  </w:abstractNum>
  <w:abstractNum w:abstractNumId="6">
    <w:nsid w:val="7D242C66"/>
    <w:multiLevelType w:val="multilevel"/>
    <w:tmpl w:val="7D242C66"/>
    <w:lvl w:ilvl="0" w:tentative="0">
      <w:start w:val="1"/>
      <w:numFmt w:val="decimal"/>
      <w:lvlText w:val="%1."/>
      <w:lvlJc w:val="left"/>
      <w:pPr>
        <w:ind w:left="846"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55C2"/>
    <w:rsid w:val="00001638"/>
    <w:rsid w:val="00003ED8"/>
    <w:rsid w:val="0000422F"/>
    <w:rsid w:val="00005E59"/>
    <w:rsid w:val="000100C4"/>
    <w:rsid w:val="000144F8"/>
    <w:rsid w:val="000149D7"/>
    <w:rsid w:val="0001503A"/>
    <w:rsid w:val="00015B40"/>
    <w:rsid w:val="00017158"/>
    <w:rsid w:val="00017E4E"/>
    <w:rsid w:val="000206E3"/>
    <w:rsid w:val="00022431"/>
    <w:rsid w:val="00022A0C"/>
    <w:rsid w:val="0002486A"/>
    <w:rsid w:val="00031B9C"/>
    <w:rsid w:val="00042CF2"/>
    <w:rsid w:val="000433BC"/>
    <w:rsid w:val="00043C89"/>
    <w:rsid w:val="00044D5C"/>
    <w:rsid w:val="00056AE7"/>
    <w:rsid w:val="00056B60"/>
    <w:rsid w:val="000622E1"/>
    <w:rsid w:val="00062B84"/>
    <w:rsid w:val="00066F19"/>
    <w:rsid w:val="00071A33"/>
    <w:rsid w:val="000725FE"/>
    <w:rsid w:val="00074131"/>
    <w:rsid w:val="000759E8"/>
    <w:rsid w:val="00081551"/>
    <w:rsid w:val="0008327B"/>
    <w:rsid w:val="0008507D"/>
    <w:rsid w:val="00085367"/>
    <w:rsid w:val="00087524"/>
    <w:rsid w:val="00087C77"/>
    <w:rsid w:val="000909E6"/>
    <w:rsid w:val="00092A59"/>
    <w:rsid w:val="00094B65"/>
    <w:rsid w:val="00094E78"/>
    <w:rsid w:val="000960A4"/>
    <w:rsid w:val="00097C26"/>
    <w:rsid w:val="000A0DD4"/>
    <w:rsid w:val="000A25B7"/>
    <w:rsid w:val="000A4BAE"/>
    <w:rsid w:val="000B144B"/>
    <w:rsid w:val="000B2B8D"/>
    <w:rsid w:val="000B4491"/>
    <w:rsid w:val="000B458E"/>
    <w:rsid w:val="000B757B"/>
    <w:rsid w:val="000C0A5C"/>
    <w:rsid w:val="000C0B52"/>
    <w:rsid w:val="000C0B7C"/>
    <w:rsid w:val="000C5695"/>
    <w:rsid w:val="000C5CAE"/>
    <w:rsid w:val="000C669D"/>
    <w:rsid w:val="000C6F44"/>
    <w:rsid w:val="000D4EAB"/>
    <w:rsid w:val="000D52A6"/>
    <w:rsid w:val="000D701D"/>
    <w:rsid w:val="000E119F"/>
    <w:rsid w:val="000E20C1"/>
    <w:rsid w:val="000E2BB7"/>
    <w:rsid w:val="000E3D5A"/>
    <w:rsid w:val="000F02D1"/>
    <w:rsid w:val="000F096C"/>
    <w:rsid w:val="000F4CB4"/>
    <w:rsid w:val="000F682F"/>
    <w:rsid w:val="000F6D7C"/>
    <w:rsid w:val="00101B76"/>
    <w:rsid w:val="001024BE"/>
    <w:rsid w:val="00107CB3"/>
    <w:rsid w:val="0011788B"/>
    <w:rsid w:val="001210D8"/>
    <w:rsid w:val="001224B0"/>
    <w:rsid w:val="001260AF"/>
    <w:rsid w:val="00133765"/>
    <w:rsid w:val="00135915"/>
    <w:rsid w:val="00135C42"/>
    <w:rsid w:val="00137611"/>
    <w:rsid w:val="0013773C"/>
    <w:rsid w:val="0014167E"/>
    <w:rsid w:val="00143DB1"/>
    <w:rsid w:val="0014473A"/>
    <w:rsid w:val="00145F66"/>
    <w:rsid w:val="0014672D"/>
    <w:rsid w:val="00147B64"/>
    <w:rsid w:val="00151F65"/>
    <w:rsid w:val="00152BF4"/>
    <w:rsid w:val="00154858"/>
    <w:rsid w:val="00154ABF"/>
    <w:rsid w:val="00157527"/>
    <w:rsid w:val="00160B7F"/>
    <w:rsid w:val="0016139D"/>
    <w:rsid w:val="00170FB5"/>
    <w:rsid w:val="00176AA6"/>
    <w:rsid w:val="00180B4F"/>
    <w:rsid w:val="00180BC9"/>
    <w:rsid w:val="0018209C"/>
    <w:rsid w:val="00184640"/>
    <w:rsid w:val="0018521B"/>
    <w:rsid w:val="00186162"/>
    <w:rsid w:val="001877B3"/>
    <w:rsid w:val="00192A50"/>
    <w:rsid w:val="00194573"/>
    <w:rsid w:val="00195114"/>
    <w:rsid w:val="00195273"/>
    <w:rsid w:val="001A06D2"/>
    <w:rsid w:val="001A3D2A"/>
    <w:rsid w:val="001A43EC"/>
    <w:rsid w:val="001B1337"/>
    <w:rsid w:val="001B3C96"/>
    <w:rsid w:val="001B5936"/>
    <w:rsid w:val="001B5D13"/>
    <w:rsid w:val="001C1519"/>
    <w:rsid w:val="001C437C"/>
    <w:rsid w:val="001C54D0"/>
    <w:rsid w:val="001C78B5"/>
    <w:rsid w:val="001D0708"/>
    <w:rsid w:val="001D5DFE"/>
    <w:rsid w:val="001D76F9"/>
    <w:rsid w:val="001E1827"/>
    <w:rsid w:val="001E2FCE"/>
    <w:rsid w:val="001E6A28"/>
    <w:rsid w:val="001E7FF7"/>
    <w:rsid w:val="001F07DD"/>
    <w:rsid w:val="001F3434"/>
    <w:rsid w:val="001F5512"/>
    <w:rsid w:val="001F5CCE"/>
    <w:rsid w:val="001F61ED"/>
    <w:rsid w:val="002002AB"/>
    <w:rsid w:val="002018EB"/>
    <w:rsid w:val="002056F9"/>
    <w:rsid w:val="00210200"/>
    <w:rsid w:val="00212FC4"/>
    <w:rsid w:val="00213F26"/>
    <w:rsid w:val="00214A9F"/>
    <w:rsid w:val="0021583C"/>
    <w:rsid w:val="00220B84"/>
    <w:rsid w:val="00221033"/>
    <w:rsid w:val="002238FA"/>
    <w:rsid w:val="002256E2"/>
    <w:rsid w:val="002316EE"/>
    <w:rsid w:val="002326A5"/>
    <w:rsid w:val="00232AE4"/>
    <w:rsid w:val="00232B30"/>
    <w:rsid w:val="00234A64"/>
    <w:rsid w:val="0024277B"/>
    <w:rsid w:val="00243A78"/>
    <w:rsid w:val="00243E96"/>
    <w:rsid w:val="00245D09"/>
    <w:rsid w:val="00247280"/>
    <w:rsid w:val="002531B0"/>
    <w:rsid w:val="002577A0"/>
    <w:rsid w:val="00260068"/>
    <w:rsid w:val="00261D47"/>
    <w:rsid w:val="00262CF3"/>
    <w:rsid w:val="002635AD"/>
    <w:rsid w:val="00265923"/>
    <w:rsid w:val="00270817"/>
    <w:rsid w:val="00271552"/>
    <w:rsid w:val="00271DBF"/>
    <w:rsid w:val="00275783"/>
    <w:rsid w:val="002779E4"/>
    <w:rsid w:val="00296BA5"/>
    <w:rsid w:val="002A0C00"/>
    <w:rsid w:val="002A7F29"/>
    <w:rsid w:val="002B17F6"/>
    <w:rsid w:val="002B343D"/>
    <w:rsid w:val="002B4184"/>
    <w:rsid w:val="002B43F5"/>
    <w:rsid w:val="002B47E3"/>
    <w:rsid w:val="002C4807"/>
    <w:rsid w:val="002D0A11"/>
    <w:rsid w:val="002D22A0"/>
    <w:rsid w:val="002D3D1F"/>
    <w:rsid w:val="002D63DB"/>
    <w:rsid w:val="002D6797"/>
    <w:rsid w:val="002E608A"/>
    <w:rsid w:val="002E6DDD"/>
    <w:rsid w:val="002F02A1"/>
    <w:rsid w:val="002F37A8"/>
    <w:rsid w:val="002F4BD4"/>
    <w:rsid w:val="002F7A76"/>
    <w:rsid w:val="00300206"/>
    <w:rsid w:val="00302FC0"/>
    <w:rsid w:val="0030669A"/>
    <w:rsid w:val="00306F33"/>
    <w:rsid w:val="0031004D"/>
    <w:rsid w:val="0031334E"/>
    <w:rsid w:val="00314506"/>
    <w:rsid w:val="00316F7B"/>
    <w:rsid w:val="00322BFC"/>
    <w:rsid w:val="00327D4E"/>
    <w:rsid w:val="003300A1"/>
    <w:rsid w:val="003331B4"/>
    <w:rsid w:val="003333AD"/>
    <w:rsid w:val="00334D49"/>
    <w:rsid w:val="00335F02"/>
    <w:rsid w:val="003373D8"/>
    <w:rsid w:val="0034066E"/>
    <w:rsid w:val="003407FC"/>
    <w:rsid w:val="00341B3E"/>
    <w:rsid w:val="003463FF"/>
    <w:rsid w:val="00351A0D"/>
    <w:rsid w:val="00353E56"/>
    <w:rsid w:val="00354107"/>
    <w:rsid w:val="00360063"/>
    <w:rsid w:val="003612AA"/>
    <w:rsid w:val="003625BC"/>
    <w:rsid w:val="0036749D"/>
    <w:rsid w:val="00372294"/>
    <w:rsid w:val="003725D3"/>
    <w:rsid w:val="0037479D"/>
    <w:rsid w:val="00375003"/>
    <w:rsid w:val="003755A1"/>
    <w:rsid w:val="00377A2C"/>
    <w:rsid w:val="00380C3A"/>
    <w:rsid w:val="003828C1"/>
    <w:rsid w:val="00386FE2"/>
    <w:rsid w:val="003878DD"/>
    <w:rsid w:val="003906BC"/>
    <w:rsid w:val="00391455"/>
    <w:rsid w:val="0039178C"/>
    <w:rsid w:val="00392509"/>
    <w:rsid w:val="0039266A"/>
    <w:rsid w:val="00392FDF"/>
    <w:rsid w:val="00394909"/>
    <w:rsid w:val="003970E8"/>
    <w:rsid w:val="003A040A"/>
    <w:rsid w:val="003A0781"/>
    <w:rsid w:val="003A71CD"/>
    <w:rsid w:val="003B0310"/>
    <w:rsid w:val="003B113B"/>
    <w:rsid w:val="003B375C"/>
    <w:rsid w:val="003B758E"/>
    <w:rsid w:val="003C472C"/>
    <w:rsid w:val="003C48D9"/>
    <w:rsid w:val="003D0BC0"/>
    <w:rsid w:val="003D0E60"/>
    <w:rsid w:val="003D12DE"/>
    <w:rsid w:val="003D1DF0"/>
    <w:rsid w:val="003D6115"/>
    <w:rsid w:val="003D65E4"/>
    <w:rsid w:val="003D7355"/>
    <w:rsid w:val="003E1A17"/>
    <w:rsid w:val="003E2203"/>
    <w:rsid w:val="003E25B5"/>
    <w:rsid w:val="003F4025"/>
    <w:rsid w:val="003F7FD2"/>
    <w:rsid w:val="00401BF2"/>
    <w:rsid w:val="00403645"/>
    <w:rsid w:val="004043DF"/>
    <w:rsid w:val="00404C1A"/>
    <w:rsid w:val="00406981"/>
    <w:rsid w:val="00406F76"/>
    <w:rsid w:val="00406FCF"/>
    <w:rsid w:val="00411DC7"/>
    <w:rsid w:val="004137A8"/>
    <w:rsid w:val="004173DF"/>
    <w:rsid w:val="00420ABB"/>
    <w:rsid w:val="004230C6"/>
    <w:rsid w:val="00424919"/>
    <w:rsid w:val="00425A4F"/>
    <w:rsid w:val="004267B7"/>
    <w:rsid w:val="00433A25"/>
    <w:rsid w:val="00437D91"/>
    <w:rsid w:val="00442542"/>
    <w:rsid w:val="00442858"/>
    <w:rsid w:val="004435B9"/>
    <w:rsid w:val="00444627"/>
    <w:rsid w:val="00444F85"/>
    <w:rsid w:val="00445C73"/>
    <w:rsid w:val="004525B5"/>
    <w:rsid w:val="00452FD2"/>
    <w:rsid w:val="004548AF"/>
    <w:rsid w:val="0046040D"/>
    <w:rsid w:val="004628CB"/>
    <w:rsid w:val="00465640"/>
    <w:rsid w:val="00465DEE"/>
    <w:rsid w:val="004662D7"/>
    <w:rsid w:val="00467754"/>
    <w:rsid w:val="0047100B"/>
    <w:rsid w:val="00473969"/>
    <w:rsid w:val="004742AC"/>
    <w:rsid w:val="004763F8"/>
    <w:rsid w:val="00476A53"/>
    <w:rsid w:val="00482C17"/>
    <w:rsid w:val="004850D5"/>
    <w:rsid w:val="00490D74"/>
    <w:rsid w:val="00493A08"/>
    <w:rsid w:val="00494638"/>
    <w:rsid w:val="00497576"/>
    <w:rsid w:val="004A1082"/>
    <w:rsid w:val="004A2617"/>
    <w:rsid w:val="004A4937"/>
    <w:rsid w:val="004A72BC"/>
    <w:rsid w:val="004B14F9"/>
    <w:rsid w:val="004B69D8"/>
    <w:rsid w:val="004C1D67"/>
    <w:rsid w:val="004C4405"/>
    <w:rsid w:val="004C75CB"/>
    <w:rsid w:val="004D33E1"/>
    <w:rsid w:val="004D48FE"/>
    <w:rsid w:val="004E7590"/>
    <w:rsid w:val="004F27B5"/>
    <w:rsid w:val="004F576E"/>
    <w:rsid w:val="004F7C9F"/>
    <w:rsid w:val="00500084"/>
    <w:rsid w:val="00501A88"/>
    <w:rsid w:val="00501C6C"/>
    <w:rsid w:val="00501E7B"/>
    <w:rsid w:val="00501E7F"/>
    <w:rsid w:val="00502830"/>
    <w:rsid w:val="00504189"/>
    <w:rsid w:val="005121F4"/>
    <w:rsid w:val="005130C6"/>
    <w:rsid w:val="00513319"/>
    <w:rsid w:val="005133F3"/>
    <w:rsid w:val="005205BA"/>
    <w:rsid w:val="0052514C"/>
    <w:rsid w:val="00534031"/>
    <w:rsid w:val="0053444B"/>
    <w:rsid w:val="005373D8"/>
    <w:rsid w:val="00540710"/>
    <w:rsid w:val="00541966"/>
    <w:rsid w:val="00541DB4"/>
    <w:rsid w:val="005422D7"/>
    <w:rsid w:val="0054252F"/>
    <w:rsid w:val="00550C25"/>
    <w:rsid w:val="005512A0"/>
    <w:rsid w:val="0055185C"/>
    <w:rsid w:val="00555D46"/>
    <w:rsid w:val="0056006B"/>
    <w:rsid w:val="005608E4"/>
    <w:rsid w:val="00564352"/>
    <w:rsid w:val="005645FA"/>
    <w:rsid w:val="00576EE5"/>
    <w:rsid w:val="00577A42"/>
    <w:rsid w:val="0058392F"/>
    <w:rsid w:val="00585C77"/>
    <w:rsid w:val="00586E4E"/>
    <w:rsid w:val="005936DC"/>
    <w:rsid w:val="00593875"/>
    <w:rsid w:val="00595024"/>
    <w:rsid w:val="005A197A"/>
    <w:rsid w:val="005A5703"/>
    <w:rsid w:val="005A6339"/>
    <w:rsid w:val="005B34FC"/>
    <w:rsid w:val="005B3A4B"/>
    <w:rsid w:val="005C0109"/>
    <w:rsid w:val="005C0F16"/>
    <w:rsid w:val="005C496D"/>
    <w:rsid w:val="005D0EDA"/>
    <w:rsid w:val="005D17E4"/>
    <w:rsid w:val="005D2055"/>
    <w:rsid w:val="005D4804"/>
    <w:rsid w:val="005E0BC6"/>
    <w:rsid w:val="005E37F3"/>
    <w:rsid w:val="005E4687"/>
    <w:rsid w:val="005E6034"/>
    <w:rsid w:val="005E7165"/>
    <w:rsid w:val="005E7775"/>
    <w:rsid w:val="005F218C"/>
    <w:rsid w:val="0060022B"/>
    <w:rsid w:val="006003EB"/>
    <w:rsid w:val="006015BC"/>
    <w:rsid w:val="00602621"/>
    <w:rsid w:val="00602F8F"/>
    <w:rsid w:val="00603C53"/>
    <w:rsid w:val="0060447E"/>
    <w:rsid w:val="00607496"/>
    <w:rsid w:val="00607D89"/>
    <w:rsid w:val="006103BD"/>
    <w:rsid w:val="006135EE"/>
    <w:rsid w:val="0061577C"/>
    <w:rsid w:val="00616F06"/>
    <w:rsid w:val="00620936"/>
    <w:rsid w:val="00630BB2"/>
    <w:rsid w:val="00631DBE"/>
    <w:rsid w:val="00632C5B"/>
    <w:rsid w:val="00632EB3"/>
    <w:rsid w:val="006340DA"/>
    <w:rsid w:val="00636AAD"/>
    <w:rsid w:val="006377FD"/>
    <w:rsid w:val="00637A30"/>
    <w:rsid w:val="006427F2"/>
    <w:rsid w:val="00644DFA"/>
    <w:rsid w:val="00645532"/>
    <w:rsid w:val="0064732B"/>
    <w:rsid w:val="006518CC"/>
    <w:rsid w:val="00655520"/>
    <w:rsid w:val="00656C7E"/>
    <w:rsid w:val="00664DA1"/>
    <w:rsid w:val="0066517A"/>
    <w:rsid w:val="00667952"/>
    <w:rsid w:val="006720EC"/>
    <w:rsid w:val="0068257C"/>
    <w:rsid w:val="00683873"/>
    <w:rsid w:val="00683E55"/>
    <w:rsid w:val="00683F50"/>
    <w:rsid w:val="00686C19"/>
    <w:rsid w:val="0068716E"/>
    <w:rsid w:val="0069411B"/>
    <w:rsid w:val="00694B07"/>
    <w:rsid w:val="006A0140"/>
    <w:rsid w:val="006A4688"/>
    <w:rsid w:val="006A7DF1"/>
    <w:rsid w:val="006C27B6"/>
    <w:rsid w:val="006C27E5"/>
    <w:rsid w:val="006C4355"/>
    <w:rsid w:val="006C49F6"/>
    <w:rsid w:val="006C5BF0"/>
    <w:rsid w:val="006D28BB"/>
    <w:rsid w:val="006D3E47"/>
    <w:rsid w:val="006D6115"/>
    <w:rsid w:val="006D6B89"/>
    <w:rsid w:val="006E005D"/>
    <w:rsid w:val="006E31FA"/>
    <w:rsid w:val="006F5886"/>
    <w:rsid w:val="006F6FCE"/>
    <w:rsid w:val="006F725B"/>
    <w:rsid w:val="0070414D"/>
    <w:rsid w:val="00705481"/>
    <w:rsid w:val="007060F2"/>
    <w:rsid w:val="00714CDC"/>
    <w:rsid w:val="00714F26"/>
    <w:rsid w:val="007154B8"/>
    <w:rsid w:val="00717AAB"/>
    <w:rsid w:val="00720607"/>
    <w:rsid w:val="00721720"/>
    <w:rsid w:val="00721C78"/>
    <w:rsid w:val="007241DA"/>
    <w:rsid w:val="00727E76"/>
    <w:rsid w:val="007302C5"/>
    <w:rsid w:val="00731443"/>
    <w:rsid w:val="0073222A"/>
    <w:rsid w:val="007356AF"/>
    <w:rsid w:val="00736094"/>
    <w:rsid w:val="0074067C"/>
    <w:rsid w:val="00742C40"/>
    <w:rsid w:val="00742F76"/>
    <w:rsid w:val="00745C30"/>
    <w:rsid w:val="007466B5"/>
    <w:rsid w:val="00751E61"/>
    <w:rsid w:val="007562D8"/>
    <w:rsid w:val="0076090E"/>
    <w:rsid w:val="0076235B"/>
    <w:rsid w:val="00766E1A"/>
    <w:rsid w:val="0077259D"/>
    <w:rsid w:val="00774038"/>
    <w:rsid w:val="00780CE1"/>
    <w:rsid w:val="00781923"/>
    <w:rsid w:val="00784E70"/>
    <w:rsid w:val="00786EA7"/>
    <w:rsid w:val="00790367"/>
    <w:rsid w:val="007944B5"/>
    <w:rsid w:val="00795EEE"/>
    <w:rsid w:val="00796243"/>
    <w:rsid w:val="00796F5D"/>
    <w:rsid w:val="00797C41"/>
    <w:rsid w:val="007A3F1C"/>
    <w:rsid w:val="007B1F5A"/>
    <w:rsid w:val="007B21B0"/>
    <w:rsid w:val="007B4753"/>
    <w:rsid w:val="007B4999"/>
    <w:rsid w:val="007B5344"/>
    <w:rsid w:val="007B585F"/>
    <w:rsid w:val="007C126D"/>
    <w:rsid w:val="007C2915"/>
    <w:rsid w:val="007C4C44"/>
    <w:rsid w:val="007C58F6"/>
    <w:rsid w:val="007E567F"/>
    <w:rsid w:val="007E730D"/>
    <w:rsid w:val="007F2012"/>
    <w:rsid w:val="007F362C"/>
    <w:rsid w:val="007F6481"/>
    <w:rsid w:val="008015A2"/>
    <w:rsid w:val="00803129"/>
    <w:rsid w:val="008045E0"/>
    <w:rsid w:val="00816F48"/>
    <w:rsid w:val="0081700C"/>
    <w:rsid w:val="00820194"/>
    <w:rsid w:val="00820A5A"/>
    <w:rsid w:val="00823DF0"/>
    <w:rsid w:val="00824B66"/>
    <w:rsid w:val="00827536"/>
    <w:rsid w:val="00830B83"/>
    <w:rsid w:val="0083492E"/>
    <w:rsid w:val="00850637"/>
    <w:rsid w:val="00851FE5"/>
    <w:rsid w:val="00852B8D"/>
    <w:rsid w:val="00852D20"/>
    <w:rsid w:val="00853A79"/>
    <w:rsid w:val="00855E68"/>
    <w:rsid w:val="00856543"/>
    <w:rsid w:val="00857EF3"/>
    <w:rsid w:val="00862164"/>
    <w:rsid w:val="00870428"/>
    <w:rsid w:val="00872E0B"/>
    <w:rsid w:val="00873380"/>
    <w:rsid w:val="00873DDF"/>
    <w:rsid w:val="00876267"/>
    <w:rsid w:val="00880613"/>
    <w:rsid w:val="00880A98"/>
    <w:rsid w:val="00883C76"/>
    <w:rsid w:val="0088437F"/>
    <w:rsid w:val="00886347"/>
    <w:rsid w:val="00891ADA"/>
    <w:rsid w:val="00891BBA"/>
    <w:rsid w:val="008922AA"/>
    <w:rsid w:val="008A3C24"/>
    <w:rsid w:val="008B402E"/>
    <w:rsid w:val="008B4933"/>
    <w:rsid w:val="008C0D48"/>
    <w:rsid w:val="008C45D9"/>
    <w:rsid w:val="008C518C"/>
    <w:rsid w:val="008C70F7"/>
    <w:rsid w:val="008D1FBC"/>
    <w:rsid w:val="008E15B4"/>
    <w:rsid w:val="008E5482"/>
    <w:rsid w:val="008E7155"/>
    <w:rsid w:val="008F0359"/>
    <w:rsid w:val="008F14ED"/>
    <w:rsid w:val="008F26DB"/>
    <w:rsid w:val="008F3161"/>
    <w:rsid w:val="008F506F"/>
    <w:rsid w:val="008F6FCD"/>
    <w:rsid w:val="00900DD8"/>
    <w:rsid w:val="00904EDA"/>
    <w:rsid w:val="009070BC"/>
    <w:rsid w:val="00911F61"/>
    <w:rsid w:val="00912ABE"/>
    <w:rsid w:val="00913578"/>
    <w:rsid w:val="009145B3"/>
    <w:rsid w:val="00914A08"/>
    <w:rsid w:val="00914C08"/>
    <w:rsid w:val="00915747"/>
    <w:rsid w:val="00917505"/>
    <w:rsid w:val="00920A03"/>
    <w:rsid w:val="00921546"/>
    <w:rsid w:val="00921EED"/>
    <w:rsid w:val="009228BB"/>
    <w:rsid w:val="009228DF"/>
    <w:rsid w:val="00923489"/>
    <w:rsid w:val="00930A35"/>
    <w:rsid w:val="0093246C"/>
    <w:rsid w:val="0093378B"/>
    <w:rsid w:val="009339A2"/>
    <w:rsid w:val="009344E7"/>
    <w:rsid w:val="0093464F"/>
    <w:rsid w:val="00935129"/>
    <w:rsid w:val="009367F5"/>
    <w:rsid w:val="009426A2"/>
    <w:rsid w:val="00942AC6"/>
    <w:rsid w:val="00942C2D"/>
    <w:rsid w:val="00947B6E"/>
    <w:rsid w:val="00951D3D"/>
    <w:rsid w:val="00953B05"/>
    <w:rsid w:val="00954850"/>
    <w:rsid w:val="009616EE"/>
    <w:rsid w:val="0096378E"/>
    <w:rsid w:val="009648F3"/>
    <w:rsid w:val="00965837"/>
    <w:rsid w:val="00966CE7"/>
    <w:rsid w:val="00971235"/>
    <w:rsid w:val="00971363"/>
    <w:rsid w:val="00971B49"/>
    <w:rsid w:val="009754D6"/>
    <w:rsid w:val="00976EFB"/>
    <w:rsid w:val="00977A53"/>
    <w:rsid w:val="00980960"/>
    <w:rsid w:val="009815F5"/>
    <w:rsid w:val="00983302"/>
    <w:rsid w:val="00985DC8"/>
    <w:rsid w:val="009935D9"/>
    <w:rsid w:val="00995E05"/>
    <w:rsid w:val="009A466D"/>
    <w:rsid w:val="009B110D"/>
    <w:rsid w:val="009B3199"/>
    <w:rsid w:val="009B3F92"/>
    <w:rsid w:val="009B4988"/>
    <w:rsid w:val="009C12AB"/>
    <w:rsid w:val="009C56F7"/>
    <w:rsid w:val="009C59F4"/>
    <w:rsid w:val="009D1D5F"/>
    <w:rsid w:val="009D4514"/>
    <w:rsid w:val="009D6ACC"/>
    <w:rsid w:val="009E00AC"/>
    <w:rsid w:val="009E082E"/>
    <w:rsid w:val="009E13F1"/>
    <w:rsid w:val="009E323D"/>
    <w:rsid w:val="009E4A47"/>
    <w:rsid w:val="009E5304"/>
    <w:rsid w:val="009E5DAD"/>
    <w:rsid w:val="009E5E6B"/>
    <w:rsid w:val="009F184E"/>
    <w:rsid w:val="009F1C27"/>
    <w:rsid w:val="009F50DE"/>
    <w:rsid w:val="009F5244"/>
    <w:rsid w:val="009F6105"/>
    <w:rsid w:val="009F76DF"/>
    <w:rsid w:val="009F7A42"/>
    <w:rsid w:val="00A01687"/>
    <w:rsid w:val="00A02702"/>
    <w:rsid w:val="00A0508F"/>
    <w:rsid w:val="00A07B4A"/>
    <w:rsid w:val="00A1315B"/>
    <w:rsid w:val="00A14C5A"/>
    <w:rsid w:val="00A14DE9"/>
    <w:rsid w:val="00A16316"/>
    <w:rsid w:val="00A2698B"/>
    <w:rsid w:val="00A3203C"/>
    <w:rsid w:val="00A326E5"/>
    <w:rsid w:val="00A32DC2"/>
    <w:rsid w:val="00A34E25"/>
    <w:rsid w:val="00A372D4"/>
    <w:rsid w:val="00A4599F"/>
    <w:rsid w:val="00A46AAB"/>
    <w:rsid w:val="00A519DC"/>
    <w:rsid w:val="00A64299"/>
    <w:rsid w:val="00A65D41"/>
    <w:rsid w:val="00A6621E"/>
    <w:rsid w:val="00A70297"/>
    <w:rsid w:val="00A70A4B"/>
    <w:rsid w:val="00A70FAF"/>
    <w:rsid w:val="00A726A4"/>
    <w:rsid w:val="00A756A3"/>
    <w:rsid w:val="00A75BE8"/>
    <w:rsid w:val="00A768D5"/>
    <w:rsid w:val="00A774B5"/>
    <w:rsid w:val="00A77697"/>
    <w:rsid w:val="00A81E3F"/>
    <w:rsid w:val="00A82DDF"/>
    <w:rsid w:val="00A876E6"/>
    <w:rsid w:val="00A90389"/>
    <w:rsid w:val="00A90EBE"/>
    <w:rsid w:val="00A9158D"/>
    <w:rsid w:val="00A91A7F"/>
    <w:rsid w:val="00A955C2"/>
    <w:rsid w:val="00A96AAA"/>
    <w:rsid w:val="00AA1DDA"/>
    <w:rsid w:val="00AA25F0"/>
    <w:rsid w:val="00AA4EDB"/>
    <w:rsid w:val="00AA684C"/>
    <w:rsid w:val="00AA6A85"/>
    <w:rsid w:val="00AA7C66"/>
    <w:rsid w:val="00AB284A"/>
    <w:rsid w:val="00AB64A7"/>
    <w:rsid w:val="00AC24F1"/>
    <w:rsid w:val="00AC345F"/>
    <w:rsid w:val="00AD1B6F"/>
    <w:rsid w:val="00AD1CD1"/>
    <w:rsid w:val="00AE249B"/>
    <w:rsid w:val="00AE4763"/>
    <w:rsid w:val="00AE5B54"/>
    <w:rsid w:val="00AF36A1"/>
    <w:rsid w:val="00AF79A2"/>
    <w:rsid w:val="00AF7D26"/>
    <w:rsid w:val="00B00EA6"/>
    <w:rsid w:val="00B04C67"/>
    <w:rsid w:val="00B04F54"/>
    <w:rsid w:val="00B05181"/>
    <w:rsid w:val="00B05869"/>
    <w:rsid w:val="00B1261F"/>
    <w:rsid w:val="00B143BD"/>
    <w:rsid w:val="00B20163"/>
    <w:rsid w:val="00B20376"/>
    <w:rsid w:val="00B237EF"/>
    <w:rsid w:val="00B40BCA"/>
    <w:rsid w:val="00B4685A"/>
    <w:rsid w:val="00B5259B"/>
    <w:rsid w:val="00B53E68"/>
    <w:rsid w:val="00B54D0D"/>
    <w:rsid w:val="00B54F8C"/>
    <w:rsid w:val="00B567B2"/>
    <w:rsid w:val="00B57039"/>
    <w:rsid w:val="00B6576E"/>
    <w:rsid w:val="00B70C56"/>
    <w:rsid w:val="00B71F1F"/>
    <w:rsid w:val="00B73EAC"/>
    <w:rsid w:val="00B81749"/>
    <w:rsid w:val="00B82013"/>
    <w:rsid w:val="00B8549B"/>
    <w:rsid w:val="00B8685F"/>
    <w:rsid w:val="00B90679"/>
    <w:rsid w:val="00B9068C"/>
    <w:rsid w:val="00B919A9"/>
    <w:rsid w:val="00B91A5A"/>
    <w:rsid w:val="00B91F6A"/>
    <w:rsid w:val="00B97BA9"/>
    <w:rsid w:val="00BA4DEB"/>
    <w:rsid w:val="00BA6729"/>
    <w:rsid w:val="00BA7BBA"/>
    <w:rsid w:val="00BA7D28"/>
    <w:rsid w:val="00BB2EE8"/>
    <w:rsid w:val="00BB4414"/>
    <w:rsid w:val="00BC3953"/>
    <w:rsid w:val="00BC5C01"/>
    <w:rsid w:val="00BC7725"/>
    <w:rsid w:val="00BC7AC7"/>
    <w:rsid w:val="00BD2CB7"/>
    <w:rsid w:val="00BD6E9F"/>
    <w:rsid w:val="00BE0ED4"/>
    <w:rsid w:val="00BE3D32"/>
    <w:rsid w:val="00BE42CE"/>
    <w:rsid w:val="00BE7BF7"/>
    <w:rsid w:val="00BF03BA"/>
    <w:rsid w:val="00BF0859"/>
    <w:rsid w:val="00BF0FD5"/>
    <w:rsid w:val="00BF4961"/>
    <w:rsid w:val="00BF4D0B"/>
    <w:rsid w:val="00C0331F"/>
    <w:rsid w:val="00C04AA8"/>
    <w:rsid w:val="00C06899"/>
    <w:rsid w:val="00C07115"/>
    <w:rsid w:val="00C176C2"/>
    <w:rsid w:val="00C20CA7"/>
    <w:rsid w:val="00C22DC1"/>
    <w:rsid w:val="00C336A7"/>
    <w:rsid w:val="00C37638"/>
    <w:rsid w:val="00C3777E"/>
    <w:rsid w:val="00C37EC1"/>
    <w:rsid w:val="00C44BB4"/>
    <w:rsid w:val="00C4572D"/>
    <w:rsid w:val="00C470DF"/>
    <w:rsid w:val="00C4791E"/>
    <w:rsid w:val="00C5222F"/>
    <w:rsid w:val="00C52581"/>
    <w:rsid w:val="00C551EE"/>
    <w:rsid w:val="00C603B4"/>
    <w:rsid w:val="00C60980"/>
    <w:rsid w:val="00C62275"/>
    <w:rsid w:val="00C62EBD"/>
    <w:rsid w:val="00C64931"/>
    <w:rsid w:val="00C70DB4"/>
    <w:rsid w:val="00C71115"/>
    <w:rsid w:val="00C7275A"/>
    <w:rsid w:val="00C761A7"/>
    <w:rsid w:val="00C82826"/>
    <w:rsid w:val="00C8485E"/>
    <w:rsid w:val="00C85F32"/>
    <w:rsid w:val="00C8785C"/>
    <w:rsid w:val="00C87C62"/>
    <w:rsid w:val="00C911FF"/>
    <w:rsid w:val="00C9179D"/>
    <w:rsid w:val="00C92578"/>
    <w:rsid w:val="00C93FA4"/>
    <w:rsid w:val="00C9561D"/>
    <w:rsid w:val="00C964D2"/>
    <w:rsid w:val="00C96804"/>
    <w:rsid w:val="00C9742B"/>
    <w:rsid w:val="00CA2499"/>
    <w:rsid w:val="00CA5B54"/>
    <w:rsid w:val="00CA5CDD"/>
    <w:rsid w:val="00CA6434"/>
    <w:rsid w:val="00CA6C5D"/>
    <w:rsid w:val="00CB134A"/>
    <w:rsid w:val="00CC10CA"/>
    <w:rsid w:val="00CC3028"/>
    <w:rsid w:val="00CD01AA"/>
    <w:rsid w:val="00CD0BCD"/>
    <w:rsid w:val="00CD2A67"/>
    <w:rsid w:val="00CD3548"/>
    <w:rsid w:val="00CD4460"/>
    <w:rsid w:val="00CE6F0C"/>
    <w:rsid w:val="00CF3AB1"/>
    <w:rsid w:val="00CF6BC8"/>
    <w:rsid w:val="00CF725F"/>
    <w:rsid w:val="00CF740B"/>
    <w:rsid w:val="00D033D7"/>
    <w:rsid w:val="00D03E34"/>
    <w:rsid w:val="00D0455E"/>
    <w:rsid w:val="00D07C0E"/>
    <w:rsid w:val="00D15813"/>
    <w:rsid w:val="00D21C6A"/>
    <w:rsid w:val="00D23132"/>
    <w:rsid w:val="00D23FF2"/>
    <w:rsid w:val="00D2620D"/>
    <w:rsid w:val="00D33BAE"/>
    <w:rsid w:val="00D36DDF"/>
    <w:rsid w:val="00D36E39"/>
    <w:rsid w:val="00D40FDB"/>
    <w:rsid w:val="00D41D78"/>
    <w:rsid w:val="00D45C2A"/>
    <w:rsid w:val="00D473ED"/>
    <w:rsid w:val="00D51525"/>
    <w:rsid w:val="00D51EF7"/>
    <w:rsid w:val="00D52FBB"/>
    <w:rsid w:val="00D56F31"/>
    <w:rsid w:val="00D57460"/>
    <w:rsid w:val="00D60302"/>
    <w:rsid w:val="00D6037E"/>
    <w:rsid w:val="00D64B21"/>
    <w:rsid w:val="00D66471"/>
    <w:rsid w:val="00D6678B"/>
    <w:rsid w:val="00D72D63"/>
    <w:rsid w:val="00D7414C"/>
    <w:rsid w:val="00D759A1"/>
    <w:rsid w:val="00D77F59"/>
    <w:rsid w:val="00D80D54"/>
    <w:rsid w:val="00D846BC"/>
    <w:rsid w:val="00D875AD"/>
    <w:rsid w:val="00D90E84"/>
    <w:rsid w:val="00D91BFF"/>
    <w:rsid w:val="00D9501E"/>
    <w:rsid w:val="00DA2CF5"/>
    <w:rsid w:val="00DA37E6"/>
    <w:rsid w:val="00DA5F68"/>
    <w:rsid w:val="00DB7E22"/>
    <w:rsid w:val="00DC01A0"/>
    <w:rsid w:val="00DC0C6E"/>
    <w:rsid w:val="00DC1F58"/>
    <w:rsid w:val="00DC31CB"/>
    <w:rsid w:val="00DC362C"/>
    <w:rsid w:val="00DC4FE7"/>
    <w:rsid w:val="00DC571B"/>
    <w:rsid w:val="00DC5952"/>
    <w:rsid w:val="00DD1C1E"/>
    <w:rsid w:val="00DD1D04"/>
    <w:rsid w:val="00DD21FB"/>
    <w:rsid w:val="00DD3CFE"/>
    <w:rsid w:val="00DD5DA3"/>
    <w:rsid w:val="00DE06CF"/>
    <w:rsid w:val="00DE0BD9"/>
    <w:rsid w:val="00DE14C9"/>
    <w:rsid w:val="00DE15A3"/>
    <w:rsid w:val="00DE3479"/>
    <w:rsid w:val="00DE605F"/>
    <w:rsid w:val="00DF2808"/>
    <w:rsid w:val="00DF2CF5"/>
    <w:rsid w:val="00E007C0"/>
    <w:rsid w:val="00E021DE"/>
    <w:rsid w:val="00E100AA"/>
    <w:rsid w:val="00E13994"/>
    <w:rsid w:val="00E14603"/>
    <w:rsid w:val="00E15E98"/>
    <w:rsid w:val="00E16B2A"/>
    <w:rsid w:val="00E207C0"/>
    <w:rsid w:val="00E27D47"/>
    <w:rsid w:val="00E340CA"/>
    <w:rsid w:val="00E3779F"/>
    <w:rsid w:val="00E40071"/>
    <w:rsid w:val="00E40163"/>
    <w:rsid w:val="00E41399"/>
    <w:rsid w:val="00E42632"/>
    <w:rsid w:val="00E51146"/>
    <w:rsid w:val="00E539D0"/>
    <w:rsid w:val="00E53FCF"/>
    <w:rsid w:val="00E55029"/>
    <w:rsid w:val="00E63D2F"/>
    <w:rsid w:val="00E654B0"/>
    <w:rsid w:val="00E6622D"/>
    <w:rsid w:val="00E67EB9"/>
    <w:rsid w:val="00E76B89"/>
    <w:rsid w:val="00E77BC9"/>
    <w:rsid w:val="00E77C58"/>
    <w:rsid w:val="00E82122"/>
    <w:rsid w:val="00E92193"/>
    <w:rsid w:val="00E92F97"/>
    <w:rsid w:val="00E9376D"/>
    <w:rsid w:val="00E97AA1"/>
    <w:rsid w:val="00EA0D23"/>
    <w:rsid w:val="00EA1FF8"/>
    <w:rsid w:val="00EA2676"/>
    <w:rsid w:val="00EA4C28"/>
    <w:rsid w:val="00EA5A3A"/>
    <w:rsid w:val="00EB63F9"/>
    <w:rsid w:val="00EB740B"/>
    <w:rsid w:val="00EC22E0"/>
    <w:rsid w:val="00EC6329"/>
    <w:rsid w:val="00ED1B99"/>
    <w:rsid w:val="00ED279C"/>
    <w:rsid w:val="00ED31D4"/>
    <w:rsid w:val="00ED342A"/>
    <w:rsid w:val="00ED3B9D"/>
    <w:rsid w:val="00ED5055"/>
    <w:rsid w:val="00ED64A3"/>
    <w:rsid w:val="00ED6AF8"/>
    <w:rsid w:val="00EE1903"/>
    <w:rsid w:val="00EE26B3"/>
    <w:rsid w:val="00EE2DA2"/>
    <w:rsid w:val="00EE5C08"/>
    <w:rsid w:val="00EE61C7"/>
    <w:rsid w:val="00EE6476"/>
    <w:rsid w:val="00EF4B84"/>
    <w:rsid w:val="00EF5663"/>
    <w:rsid w:val="00F0177A"/>
    <w:rsid w:val="00F017D9"/>
    <w:rsid w:val="00F06903"/>
    <w:rsid w:val="00F06C86"/>
    <w:rsid w:val="00F06EA1"/>
    <w:rsid w:val="00F107C7"/>
    <w:rsid w:val="00F14EC4"/>
    <w:rsid w:val="00F17475"/>
    <w:rsid w:val="00F20D3B"/>
    <w:rsid w:val="00F2454E"/>
    <w:rsid w:val="00F24653"/>
    <w:rsid w:val="00F24C96"/>
    <w:rsid w:val="00F25F1B"/>
    <w:rsid w:val="00F271A9"/>
    <w:rsid w:val="00F33D3C"/>
    <w:rsid w:val="00F35763"/>
    <w:rsid w:val="00F36540"/>
    <w:rsid w:val="00F4250C"/>
    <w:rsid w:val="00F4549D"/>
    <w:rsid w:val="00F466EF"/>
    <w:rsid w:val="00F46D57"/>
    <w:rsid w:val="00F47426"/>
    <w:rsid w:val="00F5319B"/>
    <w:rsid w:val="00F5402C"/>
    <w:rsid w:val="00F55F4E"/>
    <w:rsid w:val="00F5692A"/>
    <w:rsid w:val="00F61600"/>
    <w:rsid w:val="00F6268A"/>
    <w:rsid w:val="00F65AE4"/>
    <w:rsid w:val="00F66603"/>
    <w:rsid w:val="00F66D50"/>
    <w:rsid w:val="00F70F6F"/>
    <w:rsid w:val="00F73073"/>
    <w:rsid w:val="00F7639F"/>
    <w:rsid w:val="00F76552"/>
    <w:rsid w:val="00F76DBE"/>
    <w:rsid w:val="00F81A5C"/>
    <w:rsid w:val="00F83542"/>
    <w:rsid w:val="00F839B5"/>
    <w:rsid w:val="00F84C83"/>
    <w:rsid w:val="00F857E5"/>
    <w:rsid w:val="00F91C0D"/>
    <w:rsid w:val="00F94A5E"/>
    <w:rsid w:val="00F97932"/>
    <w:rsid w:val="00FA0500"/>
    <w:rsid w:val="00FA0CBC"/>
    <w:rsid w:val="00FA1C3D"/>
    <w:rsid w:val="00FA309A"/>
    <w:rsid w:val="00FB0350"/>
    <w:rsid w:val="00FB7F6F"/>
    <w:rsid w:val="00FC2A96"/>
    <w:rsid w:val="00FC306A"/>
    <w:rsid w:val="00FC47DB"/>
    <w:rsid w:val="00FC6D08"/>
    <w:rsid w:val="00FC7FAC"/>
    <w:rsid w:val="00FD0BA5"/>
    <w:rsid w:val="00FD1542"/>
    <w:rsid w:val="00FD4443"/>
    <w:rsid w:val="00FD4E70"/>
    <w:rsid w:val="00FD505C"/>
    <w:rsid w:val="00FD5717"/>
    <w:rsid w:val="00FD5A76"/>
    <w:rsid w:val="00FD7B69"/>
    <w:rsid w:val="00FE155D"/>
    <w:rsid w:val="00FE2B82"/>
    <w:rsid w:val="00FE45EA"/>
    <w:rsid w:val="00FE49E1"/>
    <w:rsid w:val="00FE577B"/>
    <w:rsid w:val="00FE6FBA"/>
    <w:rsid w:val="00FE7873"/>
    <w:rsid w:val="00FF6ACF"/>
    <w:rsid w:val="01A656A5"/>
    <w:rsid w:val="04B93EB9"/>
    <w:rsid w:val="10A61CAF"/>
    <w:rsid w:val="1AC954E1"/>
    <w:rsid w:val="26572182"/>
    <w:rsid w:val="282A6ED4"/>
    <w:rsid w:val="2B84765C"/>
    <w:rsid w:val="322376F0"/>
    <w:rsid w:val="43DF7A62"/>
    <w:rsid w:val="442533F6"/>
    <w:rsid w:val="4F7B6F5E"/>
    <w:rsid w:val="501B4EAF"/>
    <w:rsid w:val="5DCC527A"/>
    <w:rsid w:val="614F569A"/>
    <w:rsid w:val="66BF4D8A"/>
    <w:rsid w:val="69317154"/>
    <w:rsid w:val="695C2285"/>
    <w:rsid w:val="6B0D5847"/>
    <w:rsid w:val="72575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251"/>
    <w:semiHidden/>
    <w:unhideWhenUsed/>
    <w:qFormat/>
    <w:uiPriority w:val="99"/>
    <w:rPr>
      <w:rFonts w:ascii="宋体" w:eastAsia="宋体"/>
      <w:sz w:val="18"/>
      <w:szCs w:val="18"/>
    </w:rPr>
  </w:style>
  <w:style w:type="paragraph" w:styleId="9">
    <w:name w:val="annotation text"/>
    <w:basedOn w:val="1"/>
    <w:link w:val="260"/>
    <w:semiHidden/>
    <w:unhideWhenUsed/>
    <w:qFormat/>
    <w:uiPriority w:val="99"/>
    <w:pPr>
      <w:jc w:val="left"/>
    </w:pPr>
  </w:style>
  <w:style w:type="paragraph" w:styleId="10">
    <w:name w:val="Body Text 3"/>
    <w:basedOn w:val="1"/>
    <w:link w:val="42"/>
    <w:qFormat/>
    <w:uiPriority w:val="0"/>
    <w:rPr>
      <w:rFonts w:ascii="Times New Roman" w:hAnsi="Times New Roman" w:eastAsia="宋体" w:cs="Times New Roman"/>
      <w:color w:val="FF0000"/>
      <w:sz w:val="24"/>
      <w:szCs w:val="24"/>
    </w:rPr>
  </w:style>
  <w:style w:type="paragraph" w:styleId="11">
    <w:name w:val="Body Text"/>
    <w:basedOn w:val="1"/>
    <w:next w:val="12"/>
    <w:link w:val="43"/>
    <w:semiHidden/>
    <w:unhideWhenUsed/>
    <w:qFormat/>
    <w:uiPriority w:val="99"/>
    <w:pPr>
      <w:spacing w:after="120"/>
    </w:pPr>
  </w:style>
  <w:style w:type="paragraph" w:customStyle="1" w:styleId="12">
    <w:name w:val="style4"/>
    <w:basedOn w:val="1"/>
    <w:next w:val="13"/>
    <w:qFormat/>
    <w:uiPriority w:val="0"/>
    <w:pPr>
      <w:widowControl/>
      <w:autoSpaceDE/>
      <w:autoSpaceDN/>
      <w:spacing w:before="280" w:after="280" w:line="240" w:lineRule="auto"/>
      <w:ind w:left="0" w:firstLine="0"/>
      <w:jc w:val="both"/>
    </w:pPr>
    <w:rPr>
      <w:rFonts w:ascii="宋体" w:eastAsia="宋体"/>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link w:val="67"/>
    <w:qFormat/>
    <w:uiPriority w:val="0"/>
    <w:pPr>
      <w:adjustRightInd w:val="0"/>
      <w:spacing w:after="120" w:line="360" w:lineRule="atLeast"/>
      <w:ind w:left="420" w:leftChars="200"/>
      <w:jc w:val="left"/>
      <w:textAlignment w:val="baseline"/>
    </w:pPr>
    <w:rPr>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ody Text Indent 2"/>
    <w:basedOn w:val="1"/>
    <w:link w:val="69"/>
    <w:semiHidden/>
    <w:unhideWhenUsed/>
    <w:qFormat/>
    <w:uiPriority w:val="99"/>
    <w:pPr>
      <w:spacing w:line="440" w:lineRule="exact"/>
      <w:ind w:firstLine="560" w:firstLineChars="200"/>
    </w:pPr>
    <w:rPr>
      <w:rFonts w:ascii="仿宋_GB2312" w:eastAsia="仿宋_GB2312"/>
      <w:sz w:val="28"/>
    </w:rPr>
  </w:style>
  <w:style w:type="paragraph" w:styleId="20">
    <w:name w:val="Balloon Text"/>
    <w:basedOn w:val="1"/>
    <w:link w:val="68"/>
    <w:semiHidden/>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6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annotation subject"/>
    <w:basedOn w:val="9"/>
    <w:next w:val="9"/>
    <w:link w:val="261"/>
    <w:semiHidden/>
    <w:unhideWhenUsed/>
    <w:qFormat/>
    <w:uiPriority w:val="99"/>
    <w:rPr>
      <w:b/>
      <w:bCs/>
    </w:rPr>
  </w:style>
  <w:style w:type="paragraph" w:styleId="27">
    <w:name w:val="Body Text First Indent"/>
    <w:basedOn w:val="11"/>
    <w:link w:val="51"/>
    <w:qFormat/>
    <w:uiPriority w:val="0"/>
    <w:pPr>
      <w:ind w:firstLine="420" w:firstLineChars="100"/>
    </w:pPr>
    <w:rPr>
      <w:rFonts w:ascii="宋体" w:hAnsi="Times New Roman" w:eastAsia="宋体" w:cs="Times New Roman"/>
      <w:kern w:val="0"/>
      <w:sz w:val="34"/>
      <w:szCs w:val="20"/>
    </w:rPr>
  </w:style>
  <w:style w:type="paragraph" w:styleId="28">
    <w:name w:val="Body Text First Indent 2"/>
    <w:basedOn w:val="14"/>
    <w:link w:val="252"/>
    <w:semiHidden/>
    <w:unhideWhenUsed/>
    <w:qFormat/>
    <w:uiPriority w:val="99"/>
    <w:pPr>
      <w:adjustRightInd/>
      <w:spacing w:line="240" w:lineRule="auto"/>
      <w:ind w:firstLine="420" w:firstLineChars="200"/>
      <w:jc w:val="both"/>
      <w:textAlignment w:val="auto"/>
    </w:pPr>
    <w:rPr>
      <w:sz w:val="21"/>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rPr>
  </w:style>
  <w:style w:type="character" w:styleId="35">
    <w:name w:val="Emphasis"/>
    <w:basedOn w:val="31"/>
    <w:qFormat/>
    <w:uiPriority w:val="20"/>
  </w:style>
  <w:style w:type="character" w:styleId="36">
    <w:name w:val="Hyperlink"/>
    <w:basedOn w:val="31"/>
    <w:unhideWhenUsed/>
    <w:qFormat/>
    <w:uiPriority w:val="99"/>
    <w:rPr>
      <w:color w:val="000000"/>
      <w:u w:val="none"/>
    </w:rPr>
  </w:style>
  <w:style w:type="character" w:styleId="37">
    <w:name w:val="annotation reference"/>
    <w:basedOn w:val="31"/>
    <w:semiHidden/>
    <w:unhideWhenUsed/>
    <w:qFormat/>
    <w:uiPriority w:val="99"/>
    <w:rPr>
      <w:sz w:val="21"/>
      <w:szCs w:val="21"/>
    </w:rPr>
  </w:style>
  <w:style w:type="character" w:customStyle="1" w:styleId="38">
    <w:name w:val="标题 1 Char"/>
    <w:basedOn w:val="31"/>
    <w:link w:val="3"/>
    <w:qFormat/>
    <w:uiPriority w:val="9"/>
    <w:rPr>
      <w:rFonts w:ascii="Calibri" w:hAnsi="Calibri" w:eastAsia="宋体" w:cs="Times New Roman"/>
      <w:b/>
      <w:bCs/>
      <w:kern w:val="44"/>
      <w:sz w:val="44"/>
      <w:szCs w:val="44"/>
    </w:rPr>
  </w:style>
  <w:style w:type="character" w:customStyle="1" w:styleId="39">
    <w:name w:val="标题 2 Char"/>
    <w:basedOn w:val="31"/>
    <w:link w:val="4"/>
    <w:qFormat/>
    <w:uiPriority w:val="0"/>
    <w:rPr>
      <w:rFonts w:ascii="Arial" w:hAnsi="Arial" w:eastAsia="黑体" w:cs="Times New Roman"/>
      <w:b/>
      <w:bCs/>
      <w:sz w:val="32"/>
      <w:szCs w:val="32"/>
    </w:rPr>
  </w:style>
  <w:style w:type="character" w:customStyle="1" w:styleId="40">
    <w:name w:val="标题 3 Char"/>
    <w:basedOn w:val="31"/>
    <w:link w:val="5"/>
    <w:qFormat/>
    <w:uiPriority w:val="0"/>
    <w:rPr>
      <w:rFonts w:ascii="宋体" w:hAnsi="宋体" w:eastAsia="宋体" w:cs="Times New Roman"/>
      <w:b/>
      <w:color w:val="000000"/>
      <w:kern w:val="0"/>
      <w:sz w:val="24"/>
      <w:szCs w:val="20"/>
      <w:lang w:val="en-GB"/>
    </w:rPr>
  </w:style>
  <w:style w:type="character" w:customStyle="1" w:styleId="41">
    <w:name w:val="标题 4 Char"/>
    <w:basedOn w:val="31"/>
    <w:link w:val="2"/>
    <w:qFormat/>
    <w:uiPriority w:val="0"/>
    <w:rPr>
      <w:rFonts w:ascii="Arial" w:hAnsi="Arial" w:eastAsia="黑体" w:cs="Times New Roman"/>
      <w:b/>
      <w:bCs/>
      <w:sz w:val="28"/>
      <w:szCs w:val="28"/>
    </w:rPr>
  </w:style>
  <w:style w:type="character" w:customStyle="1" w:styleId="42">
    <w:name w:val="正文文本 3 Char"/>
    <w:basedOn w:val="31"/>
    <w:link w:val="10"/>
    <w:qFormat/>
    <w:uiPriority w:val="0"/>
    <w:rPr>
      <w:rFonts w:ascii="Times New Roman" w:hAnsi="Times New Roman" w:eastAsia="宋体" w:cs="Times New Roman"/>
      <w:color w:val="FF0000"/>
      <w:sz w:val="24"/>
      <w:szCs w:val="24"/>
    </w:rPr>
  </w:style>
  <w:style w:type="character" w:customStyle="1" w:styleId="43">
    <w:name w:val="正文文本 Char"/>
    <w:basedOn w:val="31"/>
    <w:link w:val="11"/>
    <w:semiHidden/>
    <w:qFormat/>
    <w:uiPriority w:val="99"/>
  </w:style>
  <w:style w:type="character" w:customStyle="1" w:styleId="44">
    <w:name w:val="正文文本缩进 Char1"/>
    <w:basedOn w:val="31"/>
    <w:semiHidden/>
    <w:qFormat/>
    <w:uiPriority w:val="99"/>
  </w:style>
  <w:style w:type="character" w:customStyle="1" w:styleId="45">
    <w:name w:val="纯文本 Char"/>
    <w:basedOn w:val="31"/>
    <w:link w:val="17"/>
    <w:qFormat/>
    <w:uiPriority w:val="0"/>
    <w:rPr>
      <w:rFonts w:eastAsia="宋体"/>
      <w:sz w:val="24"/>
    </w:rPr>
  </w:style>
  <w:style w:type="character" w:customStyle="1" w:styleId="46">
    <w:name w:val="日期 Char"/>
    <w:basedOn w:val="31"/>
    <w:link w:val="18"/>
    <w:qFormat/>
    <w:uiPriority w:val="99"/>
  </w:style>
  <w:style w:type="character" w:customStyle="1" w:styleId="47">
    <w:name w:val="批注框文本 Char1"/>
    <w:basedOn w:val="31"/>
    <w:semiHidden/>
    <w:qFormat/>
    <w:uiPriority w:val="99"/>
    <w:rPr>
      <w:sz w:val="18"/>
      <w:szCs w:val="18"/>
    </w:rPr>
  </w:style>
  <w:style w:type="character" w:customStyle="1" w:styleId="48">
    <w:name w:val="页脚 Char"/>
    <w:basedOn w:val="31"/>
    <w:link w:val="21"/>
    <w:qFormat/>
    <w:uiPriority w:val="99"/>
    <w:rPr>
      <w:sz w:val="18"/>
      <w:szCs w:val="18"/>
    </w:rPr>
  </w:style>
  <w:style w:type="character" w:customStyle="1" w:styleId="49">
    <w:name w:val="页眉 Char"/>
    <w:basedOn w:val="31"/>
    <w:link w:val="22"/>
    <w:qFormat/>
    <w:uiPriority w:val="99"/>
    <w:rPr>
      <w:sz w:val="18"/>
      <w:szCs w:val="18"/>
    </w:rPr>
  </w:style>
  <w:style w:type="character" w:customStyle="1" w:styleId="50">
    <w:name w:val="HTML 预设格式 Char1"/>
    <w:basedOn w:val="31"/>
    <w:semiHidden/>
    <w:qFormat/>
    <w:uiPriority w:val="99"/>
    <w:rPr>
      <w:rFonts w:ascii="Courier New" w:hAnsi="Courier New" w:cs="Courier New"/>
      <w:sz w:val="20"/>
      <w:szCs w:val="20"/>
    </w:rPr>
  </w:style>
  <w:style w:type="character" w:customStyle="1" w:styleId="51">
    <w:name w:val="正文首行缩进 Char"/>
    <w:basedOn w:val="43"/>
    <w:link w:val="27"/>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4">
    <w:name w:val="列出段落1"/>
    <w:basedOn w:val="1"/>
    <w:qFormat/>
    <w:uiPriority w:val="34"/>
    <w:pPr>
      <w:ind w:firstLine="420" w:firstLineChars="200"/>
    </w:p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1"/>
    <w:qFormat/>
    <w:uiPriority w:val="0"/>
  </w:style>
  <w:style w:type="paragraph" w:customStyle="1" w:styleId="6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HTML 预设格式 Char"/>
    <w:basedOn w:val="31"/>
    <w:link w:val="24"/>
    <w:semiHidden/>
    <w:qFormat/>
    <w:uiPriority w:val="99"/>
    <w:rPr>
      <w:rFonts w:ascii="宋体" w:hAnsi="宋体" w:eastAsia="宋体" w:cs="宋体"/>
      <w:kern w:val="0"/>
      <w:sz w:val="24"/>
      <w:szCs w:val="24"/>
    </w:rPr>
  </w:style>
  <w:style w:type="character" w:customStyle="1" w:styleId="67">
    <w:name w:val="正文文本缩进 Char"/>
    <w:link w:val="14"/>
    <w:qFormat/>
    <w:uiPriority w:val="0"/>
    <w:rPr>
      <w:sz w:val="24"/>
    </w:rPr>
  </w:style>
  <w:style w:type="character" w:customStyle="1" w:styleId="68">
    <w:name w:val="批注框文本 Char"/>
    <w:basedOn w:val="31"/>
    <w:link w:val="20"/>
    <w:semiHidden/>
    <w:qFormat/>
    <w:uiPriority w:val="99"/>
    <w:rPr>
      <w:sz w:val="18"/>
      <w:szCs w:val="18"/>
    </w:rPr>
  </w:style>
  <w:style w:type="character" w:customStyle="1" w:styleId="69">
    <w:name w:val="正文文本缩进 2 Char"/>
    <w:basedOn w:val="31"/>
    <w:link w:val="19"/>
    <w:semiHidden/>
    <w:qFormat/>
    <w:uiPriority w:val="99"/>
    <w:rPr>
      <w:rFonts w:ascii="仿宋_GB2312" w:eastAsia="仿宋_GB2312"/>
      <w:kern w:val="2"/>
      <w:sz w:val="28"/>
      <w:szCs w:val="22"/>
    </w:rPr>
  </w:style>
  <w:style w:type="character" w:customStyle="1" w:styleId="70">
    <w:name w:val="标题 2 Char1"/>
    <w:basedOn w:val="31"/>
    <w:qFormat/>
    <w:uiPriority w:val="0"/>
    <w:rPr>
      <w:rFonts w:ascii="Arial" w:hAnsi="Arial" w:eastAsia="黑体" w:cs="Times New Roman"/>
      <w:b/>
      <w:bCs/>
      <w:kern w:val="0"/>
      <w:sz w:val="32"/>
      <w:szCs w:val="32"/>
    </w:rPr>
  </w:style>
  <w:style w:type="character" w:customStyle="1" w:styleId="71">
    <w:name w:val="hover25"/>
    <w:basedOn w:val="31"/>
    <w:qFormat/>
    <w:uiPriority w:val="0"/>
  </w:style>
  <w:style w:type="character" w:customStyle="1" w:styleId="72">
    <w:name w:val="green"/>
    <w:basedOn w:val="31"/>
    <w:qFormat/>
    <w:uiPriority w:val="0"/>
    <w:rPr>
      <w:color w:val="66AE00"/>
      <w:sz w:val="18"/>
      <w:szCs w:val="18"/>
    </w:rPr>
  </w:style>
  <w:style w:type="character" w:customStyle="1" w:styleId="73">
    <w:name w:val="green1"/>
    <w:basedOn w:val="31"/>
    <w:qFormat/>
    <w:uiPriority w:val="0"/>
    <w:rPr>
      <w:color w:val="66AE00"/>
      <w:sz w:val="18"/>
      <w:szCs w:val="18"/>
    </w:rPr>
  </w:style>
  <w:style w:type="character" w:customStyle="1" w:styleId="74">
    <w:name w:val="red"/>
    <w:basedOn w:val="31"/>
    <w:qFormat/>
    <w:uiPriority w:val="0"/>
    <w:rPr>
      <w:color w:val="FF0000"/>
      <w:sz w:val="18"/>
      <w:szCs w:val="18"/>
    </w:rPr>
  </w:style>
  <w:style w:type="character" w:customStyle="1" w:styleId="75">
    <w:name w:val="red1"/>
    <w:basedOn w:val="31"/>
    <w:qFormat/>
    <w:uiPriority w:val="0"/>
    <w:rPr>
      <w:color w:val="FF0000"/>
      <w:sz w:val="18"/>
      <w:szCs w:val="18"/>
    </w:rPr>
  </w:style>
  <w:style w:type="character" w:customStyle="1" w:styleId="76">
    <w:name w:val="red2"/>
    <w:basedOn w:val="31"/>
    <w:qFormat/>
    <w:uiPriority w:val="0"/>
    <w:rPr>
      <w:color w:val="FF0000"/>
    </w:rPr>
  </w:style>
  <w:style w:type="character" w:customStyle="1" w:styleId="77">
    <w:name w:val="blue"/>
    <w:basedOn w:val="31"/>
    <w:qFormat/>
    <w:uiPriority w:val="0"/>
    <w:rPr>
      <w:color w:val="0371C6"/>
      <w:sz w:val="21"/>
      <w:szCs w:val="21"/>
    </w:rPr>
  </w:style>
  <w:style w:type="character" w:customStyle="1" w:styleId="78">
    <w:name w:val="right"/>
    <w:basedOn w:val="31"/>
    <w:qFormat/>
    <w:uiPriority w:val="0"/>
    <w:rPr>
      <w:color w:val="999999"/>
      <w:sz w:val="18"/>
      <w:szCs w:val="18"/>
    </w:rPr>
  </w:style>
  <w:style w:type="character" w:customStyle="1" w:styleId="79">
    <w:name w:val="gb-jt"/>
    <w:basedOn w:val="31"/>
    <w:qFormat/>
    <w:uiPriority w:val="0"/>
  </w:style>
  <w:style w:type="paragraph" w:customStyle="1" w:styleId="80">
    <w:name w:val="List Paragraph1"/>
    <w:basedOn w:val="1"/>
    <w:qFormat/>
    <w:uiPriority w:val="99"/>
    <w:pPr>
      <w:ind w:firstLine="420" w:firstLineChars="200"/>
    </w:pPr>
    <w:rPr>
      <w:rFonts w:ascii="Times New Roman" w:hAnsi="Times New Roman" w:eastAsia="宋体" w:cs="Times New Roman"/>
      <w:szCs w:val="24"/>
    </w:rPr>
  </w:style>
  <w:style w:type="paragraph" w:customStyle="1" w:styleId="81">
    <w:name w:val="样式 标题 3 + (中文) 黑体 小四 非加粗 段前: 7.8 磅 段后: 0 磅 行距: 固定值 20 磅"/>
    <w:basedOn w:val="5"/>
    <w:qFormat/>
    <w:uiPriority w:val="0"/>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8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纯文本1"/>
    <w:basedOn w:val="1"/>
    <w:qFormat/>
    <w:uiPriority w:val="0"/>
    <w:rPr>
      <w:rFonts w:ascii="Calibri" w:hAnsi="Calibri" w:eastAsia="宋体" w:cs="黑体"/>
      <w:sz w:val="24"/>
    </w:rPr>
  </w:style>
  <w:style w:type="paragraph" w:customStyle="1" w:styleId="84">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5">
    <w:name w:val="font6"/>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86">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rPr>
  </w:style>
  <w:style w:type="paragraph" w:customStyle="1" w:styleId="87">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88">
    <w:name w:val="font9"/>
    <w:basedOn w:val="1"/>
    <w:qFormat/>
    <w:uiPriority w:val="0"/>
    <w:pPr>
      <w:widowControl/>
      <w:spacing w:before="100" w:beforeAutospacing="1" w:after="100" w:afterAutospacing="1"/>
      <w:jc w:val="left"/>
    </w:pPr>
    <w:rPr>
      <w:rFonts w:ascii="仿宋_GB2312" w:hAnsi="宋体" w:eastAsia="仿宋_GB2312" w:cs="宋体"/>
      <w:color w:val="999999"/>
      <w:kern w:val="0"/>
      <w:sz w:val="20"/>
      <w:szCs w:val="20"/>
    </w:rPr>
  </w:style>
  <w:style w:type="paragraph" w:customStyle="1" w:styleId="89">
    <w:name w:val="font10"/>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90">
    <w:name w:val="font11"/>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1">
    <w:name w:val="font12"/>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92">
    <w:name w:val="font13"/>
    <w:basedOn w:val="1"/>
    <w:qFormat/>
    <w:uiPriority w:val="0"/>
    <w:pPr>
      <w:widowControl/>
      <w:spacing w:before="100" w:beforeAutospacing="1" w:after="100" w:afterAutospacing="1"/>
      <w:jc w:val="left"/>
    </w:pPr>
    <w:rPr>
      <w:rFonts w:ascii="Calibri" w:hAnsi="Calibri" w:eastAsia="宋体" w:cs="宋体"/>
      <w:color w:val="000000"/>
      <w:kern w:val="0"/>
      <w:szCs w:val="21"/>
    </w:rPr>
  </w:style>
  <w:style w:type="paragraph" w:customStyle="1" w:styleId="93">
    <w:name w:val="font14"/>
    <w:basedOn w:val="1"/>
    <w:qFormat/>
    <w:uiPriority w:val="0"/>
    <w:pPr>
      <w:widowControl/>
      <w:spacing w:before="100" w:beforeAutospacing="1" w:after="100" w:afterAutospacing="1"/>
      <w:jc w:val="left"/>
    </w:pPr>
    <w:rPr>
      <w:rFonts w:ascii="仿宋" w:hAnsi="仿宋" w:eastAsia="仿宋" w:cs="宋体"/>
      <w:b/>
      <w:bCs/>
      <w:color w:val="000000"/>
      <w:kern w:val="0"/>
      <w:sz w:val="22"/>
    </w:rPr>
  </w:style>
  <w:style w:type="paragraph" w:customStyle="1" w:styleId="94">
    <w:name w:val="font15"/>
    <w:basedOn w:val="1"/>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95">
    <w:name w:val="font16"/>
    <w:basedOn w:val="1"/>
    <w:qFormat/>
    <w:uiPriority w:val="0"/>
    <w:pPr>
      <w:widowControl/>
      <w:spacing w:before="100" w:beforeAutospacing="1" w:after="100" w:afterAutospacing="1"/>
      <w:jc w:val="left"/>
    </w:pPr>
    <w:rPr>
      <w:rFonts w:ascii="Calibri" w:hAnsi="Calibri" w:eastAsia="宋体" w:cs="宋体"/>
      <w:kern w:val="0"/>
      <w:sz w:val="20"/>
      <w:szCs w:val="20"/>
    </w:rPr>
  </w:style>
  <w:style w:type="paragraph" w:customStyle="1" w:styleId="96">
    <w:name w:val="font17"/>
    <w:basedOn w:val="1"/>
    <w:qFormat/>
    <w:uiPriority w:val="0"/>
    <w:pPr>
      <w:widowControl/>
      <w:spacing w:before="100" w:beforeAutospacing="1" w:after="100" w:afterAutospacing="1"/>
      <w:jc w:val="left"/>
    </w:pPr>
    <w:rPr>
      <w:rFonts w:ascii="仿宋_GB2312" w:hAnsi="宋体" w:eastAsia="仿宋_GB2312" w:cs="宋体"/>
      <w:b/>
      <w:bCs/>
      <w:color w:val="FF0000"/>
      <w:kern w:val="0"/>
      <w:sz w:val="20"/>
      <w:szCs w:val="20"/>
      <w:u w:val="single"/>
    </w:rPr>
  </w:style>
  <w:style w:type="paragraph" w:customStyle="1" w:styleId="97">
    <w:name w:val="font18"/>
    <w:basedOn w:val="1"/>
    <w:qFormat/>
    <w:uiPriority w:val="0"/>
    <w:pPr>
      <w:widowControl/>
      <w:spacing w:before="100" w:beforeAutospacing="1" w:after="100" w:afterAutospacing="1"/>
      <w:jc w:val="left"/>
    </w:pPr>
    <w:rPr>
      <w:rFonts w:ascii="Calibri" w:hAnsi="Calibri" w:eastAsia="宋体" w:cs="宋体"/>
      <w:color w:val="000000"/>
      <w:kern w:val="0"/>
      <w:sz w:val="28"/>
      <w:szCs w:val="28"/>
    </w:rPr>
  </w:style>
  <w:style w:type="paragraph" w:customStyle="1" w:styleId="98">
    <w:name w:val="font19"/>
    <w:basedOn w:val="1"/>
    <w:qFormat/>
    <w:uiPriority w:val="0"/>
    <w:pPr>
      <w:widowControl/>
      <w:spacing w:before="100" w:beforeAutospacing="1" w:after="100" w:afterAutospacing="1"/>
      <w:jc w:val="left"/>
    </w:pPr>
    <w:rPr>
      <w:rFonts w:ascii="仿宋" w:hAnsi="仿宋" w:eastAsia="仿宋" w:cs="宋体"/>
      <w:b/>
      <w:bCs/>
      <w:color w:val="FF0000"/>
      <w:kern w:val="0"/>
      <w:sz w:val="22"/>
      <w:u w:val="single"/>
    </w:rPr>
  </w:style>
  <w:style w:type="paragraph" w:customStyle="1" w:styleId="99">
    <w:name w:val="font20"/>
    <w:basedOn w:val="1"/>
    <w:qFormat/>
    <w:uiPriority w:val="0"/>
    <w:pPr>
      <w:widowControl/>
      <w:spacing w:before="100" w:beforeAutospacing="1" w:after="100" w:afterAutospacing="1"/>
      <w:jc w:val="left"/>
    </w:pPr>
    <w:rPr>
      <w:rFonts w:ascii="华文中宋" w:hAnsi="华文中宋" w:eastAsia="华文中宋" w:cs="宋体"/>
      <w:color w:val="000000"/>
      <w:kern w:val="0"/>
      <w:sz w:val="32"/>
      <w:szCs w:val="32"/>
    </w:rPr>
  </w:style>
  <w:style w:type="paragraph" w:customStyle="1" w:styleId="100">
    <w:name w:val="font21"/>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u w:val="single"/>
    </w:rPr>
  </w:style>
  <w:style w:type="paragraph" w:customStyle="1" w:styleId="101">
    <w:name w:val="font22"/>
    <w:basedOn w:val="1"/>
    <w:qFormat/>
    <w:uiPriority w:val="0"/>
    <w:pPr>
      <w:widowControl/>
      <w:spacing w:before="100" w:beforeAutospacing="1" w:after="100" w:afterAutospacing="1"/>
      <w:jc w:val="left"/>
    </w:pPr>
    <w:rPr>
      <w:rFonts w:ascii="Calibri" w:hAnsi="Calibri" w:eastAsia="宋体" w:cs="宋体"/>
      <w:color w:val="000000"/>
      <w:kern w:val="0"/>
      <w:sz w:val="18"/>
      <w:szCs w:val="18"/>
    </w:rPr>
  </w:style>
  <w:style w:type="paragraph" w:customStyle="1" w:styleId="102">
    <w:name w:val="font23"/>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03">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6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0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Cs w:val="21"/>
    </w:rPr>
  </w:style>
  <w:style w:type="paragraph" w:customStyle="1" w:styleId="106">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07">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08">
    <w:name w:val="xl68"/>
    <w:basedOn w:val="1"/>
    <w:qFormat/>
    <w:uiPriority w:val="0"/>
    <w:pPr>
      <w:widowControl/>
      <w:pBdr>
        <w:top w:val="single" w:color="auto" w:sz="8" w:space="0"/>
        <w:right w:val="single" w:color="auto" w:sz="8" w:space="0"/>
      </w:pBdr>
      <w:spacing w:before="100" w:beforeAutospacing="1" w:after="100" w:afterAutospacing="1"/>
      <w:ind w:firstLine="200" w:firstLineChars="200"/>
    </w:pPr>
    <w:rPr>
      <w:rFonts w:ascii="仿宋_GB2312" w:hAnsi="宋体" w:eastAsia="仿宋_GB2312" w:cs="宋体"/>
      <w:color w:val="999999"/>
      <w:kern w:val="0"/>
      <w:sz w:val="20"/>
      <w:szCs w:val="20"/>
    </w:rPr>
  </w:style>
  <w:style w:type="paragraph" w:customStyle="1" w:styleId="109">
    <w:name w:val="xl6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0">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_GB2312" w:hAnsi="宋体" w:eastAsia="仿宋_GB2312" w:cs="宋体"/>
      <w:kern w:val="0"/>
      <w:sz w:val="20"/>
      <w:szCs w:val="20"/>
    </w:rPr>
  </w:style>
  <w:style w:type="paragraph" w:customStyle="1" w:styleId="111">
    <w:name w:val="xl7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12">
    <w:name w:val="xl72"/>
    <w:basedOn w:val="1"/>
    <w:qFormat/>
    <w:uiPriority w:val="0"/>
    <w:pPr>
      <w:widowControl/>
      <w:pBdr>
        <w:right w:val="single" w:color="auto"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3">
    <w:name w:val="xl73"/>
    <w:basedOn w:val="1"/>
    <w:qFormat/>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color w:val="000000"/>
      <w:kern w:val="0"/>
      <w:sz w:val="20"/>
      <w:szCs w:val="20"/>
    </w:rPr>
  </w:style>
  <w:style w:type="paragraph" w:customStyle="1" w:styleId="114">
    <w:name w:val="xl74"/>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15">
    <w:name w:val="xl75"/>
    <w:basedOn w:val="1"/>
    <w:qFormat/>
    <w:uiPriority w:val="0"/>
    <w:pPr>
      <w:widowControl/>
      <w:pBdr>
        <w:right w:val="single" w:color="auto" w:sz="8" w:space="0"/>
      </w:pBdr>
      <w:spacing w:before="100" w:beforeAutospacing="1" w:after="100" w:afterAutospacing="1"/>
    </w:pPr>
    <w:rPr>
      <w:rFonts w:ascii="仿宋_GB2312" w:hAnsi="宋体" w:eastAsia="仿宋_GB2312" w:cs="宋体"/>
      <w:color w:val="000000"/>
      <w:kern w:val="0"/>
      <w:sz w:val="20"/>
      <w:szCs w:val="20"/>
    </w:rPr>
  </w:style>
  <w:style w:type="paragraph" w:customStyle="1" w:styleId="116">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7">
    <w:name w:val="xl77"/>
    <w:basedOn w:val="1"/>
    <w:qFormat/>
    <w:uiPriority w:val="0"/>
    <w:pPr>
      <w:widowControl/>
      <w:pBdr>
        <w:top w:val="single" w:color="auto" w:sz="8" w:space="0"/>
        <w:right w:val="single" w:color="auto" w:sz="8" w:space="0"/>
      </w:pBdr>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18">
    <w:name w:val="xl78"/>
    <w:basedOn w:val="1"/>
    <w:qFormat/>
    <w:uiPriority w:val="0"/>
    <w:pPr>
      <w:widowControl/>
      <w:pBdr>
        <w:right w:val="single" w:color="auto" w:sz="8" w:space="0"/>
      </w:pBdr>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19">
    <w:name w:val="xl79"/>
    <w:basedOn w:val="1"/>
    <w:qFormat/>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20">
    <w:name w:val="xl80"/>
    <w:basedOn w:val="1"/>
    <w:qFormat/>
    <w:uiPriority w:val="0"/>
    <w:pPr>
      <w:widowControl/>
      <w:pBdr>
        <w:top w:val="single" w:color="auto" w:sz="8" w:space="0"/>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21">
    <w:name w:val="xl81"/>
    <w:basedOn w:val="1"/>
    <w:qFormat/>
    <w:uiPriority w:val="0"/>
    <w:pPr>
      <w:widowControl/>
      <w:pBdr>
        <w:right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22">
    <w:name w:val="xl82"/>
    <w:basedOn w:val="1"/>
    <w:qFormat/>
    <w:uiPriority w:val="0"/>
    <w:pPr>
      <w:widowControl/>
      <w:pBdr>
        <w:top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23">
    <w:name w:val="xl83"/>
    <w:basedOn w:val="1"/>
    <w:qFormat/>
    <w:uiPriority w:val="0"/>
    <w:pPr>
      <w:widowControl/>
      <w:pBdr>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24">
    <w:name w:val="xl84"/>
    <w:basedOn w:val="1"/>
    <w:qFormat/>
    <w:uiPriority w:val="0"/>
    <w:pPr>
      <w:widowControl/>
      <w:pBdr>
        <w:top w:val="single" w:color="auto" w:sz="8" w:space="0"/>
      </w:pBdr>
      <w:spacing w:before="100" w:beforeAutospacing="1" w:after="100" w:afterAutospacing="1"/>
    </w:pPr>
    <w:rPr>
      <w:rFonts w:ascii="仿宋_GB2312" w:hAnsi="宋体" w:eastAsia="仿宋_GB2312" w:cs="宋体"/>
      <w:color w:val="999999"/>
      <w:kern w:val="0"/>
      <w:sz w:val="20"/>
      <w:szCs w:val="20"/>
    </w:rPr>
  </w:style>
  <w:style w:type="paragraph" w:customStyle="1" w:styleId="125">
    <w:name w:val="xl85"/>
    <w:basedOn w:val="1"/>
    <w:qFormat/>
    <w:uiPriority w:val="0"/>
    <w:pPr>
      <w:widowControl/>
      <w:spacing w:before="100" w:beforeAutospacing="1" w:after="100" w:afterAutospacing="1"/>
    </w:pPr>
    <w:rPr>
      <w:rFonts w:ascii="仿宋_GB2312" w:hAnsi="宋体" w:eastAsia="仿宋_GB2312" w:cs="宋体"/>
      <w:kern w:val="0"/>
      <w:sz w:val="20"/>
      <w:szCs w:val="20"/>
    </w:rPr>
  </w:style>
  <w:style w:type="paragraph" w:customStyle="1" w:styleId="126">
    <w:name w:val="xl8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27">
    <w:name w:val="xl87"/>
    <w:basedOn w:val="1"/>
    <w:qFormat/>
    <w:uiPriority w:val="0"/>
    <w:pPr>
      <w:widowControl/>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28">
    <w:name w:val="xl88"/>
    <w:basedOn w:val="1"/>
    <w:qFormat/>
    <w:uiPriority w:val="0"/>
    <w:pPr>
      <w:widowControl/>
      <w:pBdr>
        <w:bottom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29">
    <w:name w:val="xl89"/>
    <w:basedOn w:val="1"/>
    <w:qFormat/>
    <w:uiPriority w:val="0"/>
    <w:pPr>
      <w:widowControl/>
      <w:spacing w:before="100" w:beforeAutospacing="1" w:after="100" w:afterAutospacing="1"/>
    </w:pPr>
    <w:rPr>
      <w:rFonts w:ascii="仿宋_GB2312" w:hAnsi="宋体" w:eastAsia="仿宋_GB2312" w:cs="宋体"/>
      <w:b/>
      <w:bCs/>
      <w:kern w:val="0"/>
      <w:sz w:val="20"/>
      <w:szCs w:val="20"/>
    </w:rPr>
  </w:style>
  <w:style w:type="paragraph" w:customStyle="1" w:styleId="130">
    <w:name w:val="xl90"/>
    <w:basedOn w:val="1"/>
    <w:qFormat/>
    <w:uiPriority w:val="0"/>
    <w:pPr>
      <w:widowControl/>
      <w:spacing w:before="100" w:beforeAutospacing="1" w:after="100" w:afterAutospacing="1"/>
    </w:pPr>
    <w:rPr>
      <w:rFonts w:ascii="仿宋_GB2312" w:hAnsi="宋体" w:eastAsia="仿宋_GB2312" w:cs="宋体"/>
      <w:color w:val="000000"/>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333333"/>
      <w:kern w:val="0"/>
      <w:sz w:val="20"/>
      <w:szCs w:val="20"/>
    </w:rPr>
  </w:style>
  <w:style w:type="paragraph" w:customStyle="1" w:styleId="135">
    <w:name w:val="xl95"/>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pPr>
    <w:rPr>
      <w:rFonts w:ascii="仿宋_GB2312" w:hAnsi="宋体" w:eastAsia="仿宋_GB2312" w:cs="宋体"/>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b/>
      <w:bCs/>
      <w:kern w:val="0"/>
      <w:sz w:val="20"/>
      <w:szCs w:val="20"/>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0"/>
      <w:szCs w:val="20"/>
    </w:rPr>
  </w:style>
  <w:style w:type="paragraph" w:customStyle="1" w:styleId="139">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40">
    <w:name w:val="xl100"/>
    <w:basedOn w:val="1"/>
    <w:qFormat/>
    <w:uiPriority w:val="0"/>
    <w:pPr>
      <w:widowControl/>
      <w:pBdr>
        <w:top w:val="single" w:color="auto" w:sz="8" w:space="0"/>
        <w:right w:val="single" w:color="auto" w:sz="8" w:space="0"/>
      </w:pBdr>
      <w:spacing w:before="100" w:beforeAutospacing="1" w:after="100" w:afterAutospacing="1"/>
    </w:pPr>
    <w:rPr>
      <w:rFonts w:ascii="宋体" w:hAnsi="宋体" w:eastAsia="宋体" w:cs="宋体"/>
      <w:kern w:val="0"/>
      <w:sz w:val="18"/>
      <w:szCs w:val="18"/>
    </w:rPr>
  </w:style>
  <w:style w:type="paragraph" w:customStyle="1" w:styleId="141">
    <w:name w:val="xl101"/>
    <w:basedOn w:val="1"/>
    <w:qFormat/>
    <w:uiPriority w:val="0"/>
    <w:pPr>
      <w:widowControl/>
      <w:pBdr>
        <w:top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142">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8"/>
      <w:szCs w:val="18"/>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8"/>
      <w:szCs w:val="28"/>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8"/>
      <w:szCs w:val="28"/>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7">
    <w:name w:val="xl107"/>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148">
    <w:name w:val="xl108"/>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49">
    <w:name w:val="xl109"/>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50">
    <w:name w:val="xl11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51">
    <w:name w:val="xl111"/>
    <w:basedOn w:val="1"/>
    <w:qFormat/>
    <w:uiPriority w:val="0"/>
    <w:pPr>
      <w:widowControl/>
      <w:pBdr>
        <w:bottom w:val="single" w:color="auto" w:sz="8" w:space="0"/>
      </w:pBdr>
      <w:spacing w:before="100" w:beforeAutospacing="1" w:after="100" w:afterAutospacing="1"/>
      <w:jc w:val="left"/>
    </w:pPr>
    <w:rPr>
      <w:rFonts w:ascii="宋体" w:hAnsi="宋体" w:eastAsia="宋体" w:cs="宋体"/>
      <w:kern w:val="0"/>
      <w:sz w:val="28"/>
      <w:szCs w:val="28"/>
    </w:rPr>
  </w:style>
  <w:style w:type="paragraph" w:customStyle="1" w:styleId="152">
    <w:name w:val="xl112"/>
    <w:basedOn w:val="1"/>
    <w:qFormat/>
    <w:uiPriority w:val="0"/>
    <w:pPr>
      <w:widowControl/>
      <w:spacing w:before="100" w:beforeAutospacing="1" w:after="100" w:afterAutospacing="1"/>
    </w:pPr>
    <w:rPr>
      <w:rFonts w:ascii="宋体" w:hAnsi="宋体" w:eastAsia="宋体" w:cs="宋体"/>
      <w:kern w:val="0"/>
      <w:szCs w:val="21"/>
    </w:rPr>
  </w:style>
  <w:style w:type="paragraph" w:customStyle="1" w:styleId="153">
    <w:name w:val="xl113"/>
    <w:basedOn w:val="1"/>
    <w:qFormat/>
    <w:uiPriority w:val="0"/>
    <w:pPr>
      <w:widowControl/>
      <w:spacing w:before="100" w:beforeAutospacing="1" w:after="100" w:afterAutospacing="1"/>
    </w:pPr>
    <w:rPr>
      <w:rFonts w:ascii="Calibri" w:hAnsi="Calibri" w:eastAsia="宋体" w:cs="宋体"/>
      <w:kern w:val="0"/>
      <w:szCs w:val="21"/>
    </w:rPr>
  </w:style>
  <w:style w:type="paragraph" w:customStyle="1" w:styleId="154">
    <w:name w:val="xl114"/>
    <w:basedOn w:val="1"/>
    <w:qFormat/>
    <w:uiPriority w:val="0"/>
    <w:pPr>
      <w:widowControl/>
      <w:spacing w:before="100" w:beforeAutospacing="1" w:after="100" w:afterAutospacing="1"/>
    </w:pPr>
    <w:rPr>
      <w:rFonts w:ascii="仿宋" w:hAnsi="仿宋" w:eastAsia="仿宋" w:cs="宋体"/>
      <w:b/>
      <w:bCs/>
      <w:kern w:val="0"/>
      <w:sz w:val="24"/>
      <w:szCs w:val="24"/>
    </w:rPr>
  </w:style>
  <w:style w:type="paragraph" w:customStyle="1" w:styleId="155">
    <w:name w:val="xl115"/>
    <w:basedOn w:val="1"/>
    <w:qFormat/>
    <w:uiPriority w:val="0"/>
    <w:pPr>
      <w:widowControl/>
      <w:spacing w:before="100" w:beforeAutospacing="1" w:after="100" w:afterAutospacing="1"/>
    </w:pPr>
    <w:rPr>
      <w:rFonts w:ascii="仿宋" w:hAnsi="仿宋" w:eastAsia="仿宋" w:cs="宋体"/>
      <w:kern w:val="0"/>
      <w:sz w:val="24"/>
      <w:szCs w:val="24"/>
    </w:rPr>
  </w:style>
  <w:style w:type="paragraph" w:customStyle="1" w:styleId="156">
    <w:name w:val="xl116"/>
    <w:basedOn w:val="1"/>
    <w:qFormat/>
    <w:uiPriority w:val="0"/>
    <w:pPr>
      <w:widowControl/>
      <w:pBdr>
        <w:top w:val="single" w:color="auto" w:sz="8" w:space="0"/>
        <w:bottom w:val="single" w:color="auto" w:sz="8" w:space="0"/>
      </w:pBdr>
      <w:spacing w:before="100" w:beforeAutospacing="1" w:after="100" w:afterAutospacing="1"/>
    </w:pPr>
    <w:rPr>
      <w:rFonts w:ascii="仿宋_GB2312" w:hAnsi="宋体" w:eastAsia="仿宋_GB2312" w:cs="宋体"/>
      <w:kern w:val="0"/>
      <w:sz w:val="20"/>
      <w:szCs w:val="20"/>
    </w:rPr>
  </w:style>
  <w:style w:type="paragraph" w:customStyle="1" w:styleId="157">
    <w:name w:val="xl117"/>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100" w:firstLineChars="100"/>
    </w:pPr>
    <w:rPr>
      <w:rFonts w:ascii="仿宋_GB2312" w:hAnsi="宋体" w:eastAsia="仿宋_GB2312" w:cs="宋体"/>
      <w:kern w:val="0"/>
      <w:sz w:val="20"/>
      <w:szCs w:val="20"/>
    </w:rPr>
  </w:style>
  <w:style w:type="paragraph" w:customStyle="1" w:styleId="158">
    <w:name w:val="xl118"/>
    <w:basedOn w:val="1"/>
    <w:qFormat/>
    <w:uiPriority w:val="0"/>
    <w:pPr>
      <w:widowControl/>
      <w:pBdr>
        <w:bottom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59">
    <w:name w:val="xl119"/>
    <w:basedOn w:val="1"/>
    <w:qFormat/>
    <w:uiPriority w:val="0"/>
    <w:pPr>
      <w:widowControl/>
      <w:pBdr>
        <w:top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60">
    <w:name w:val="xl120"/>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61">
    <w:name w:val="xl121"/>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2">
    <w:name w:val="xl122"/>
    <w:basedOn w:val="1"/>
    <w:qFormat/>
    <w:uiPriority w:val="0"/>
    <w:pPr>
      <w:widowControl/>
      <w:pBdr>
        <w:bottom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63">
    <w:name w:val="xl123"/>
    <w:basedOn w:val="1"/>
    <w:qFormat/>
    <w:uiPriority w:val="0"/>
    <w:pPr>
      <w:widowControl/>
      <w:pBdr>
        <w:right w:val="single" w:color="auto" w:sz="8" w:space="0"/>
      </w:pBdr>
      <w:spacing w:before="100" w:beforeAutospacing="1" w:after="100" w:afterAutospacing="1"/>
      <w:ind w:firstLine="200" w:firstLineChars="200"/>
    </w:pPr>
    <w:rPr>
      <w:rFonts w:ascii="仿宋_GB2312" w:hAnsi="宋体" w:eastAsia="仿宋_GB2312" w:cs="宋体"/>
      <w:b/>
      <w:bCs/>
      <w:kern w:val="0"/>
      <w:sz w:val="20"/>
      <w:szCs w:val="20"/>
    </w:rPr>
  </w:style>
  <w:style w:type="paragraph" w:customStyle="1" w:styleId="164">
    <w:name w:val="xl124"/>
    <w:basedOn w:val="1"/>
    <w:qFormat/>
    <w:uiPriority w:val="0"/>
    <w:pPr>
      <w:widowControl/>
      <w:pBdr>
        <w:right w:val="single" w:color="auto" w:sz="8" w:space="0"/>
      </w:pBdr>
      <w:spacing w:before="100" w:beforeAutospacing="1" w:after="100" w:afterAutospacing="1"/>
    </w:pPr>
    <w:rPr>
      <w:rFonts w:ascii="仿宋_GB2312" w:hAnsi="宋体" w:eastAsia="仿宋_GB2312" w:cs="宋体"/>
      <w:b/>
      <w:bCs/>
      <w:kern w:val="0"/>
      <w:sz w:val="20"/>
      <w:szCs w:val="20"/>
    </w:rPr>
  </w:style>
  <w:style w:type="paragraph" w:customStyle="1" w:styleId="165">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66">
    <w:name w:val="xl12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6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168">
    <w:name w:val="xl128"/>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pPr>
    <w:rPr>
      <w:rFonts w:ascii="宋体" w:hAnsi="宋体" w:eastAsia="宋体" w:cs="宋体"/>
      <w:kern w:val="0"/>
      <w:sz w:val="18"/>
      <w:szCs w:val="18"/>
    </w:rPr>
  </w:style>
  <w:style w:type="paragraph" w:customStyle="1" w:styleId="16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70">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7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17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7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76">
    <w:name w:val="xl1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7">
    <w:name w:val="xl1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8">
    <w:name w:val="xl138"/>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9">
    <w:name w:val="xl139"/>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80">
    <w:name w:val="xl14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81">
    <w:name w:val="xl14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82">
    <w:name w:val="xl14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183">
    <w:name w:val="xl143"/>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184">
    <w:name w:val="xl144"/>
    <w:basedOn w:val="1"/>
    <w:qFormat/>
    <w:uiPriority w:val="0"/>
    <w:pPr>
      <w:widowControl/>
      <w:pBdr>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85">
    <w:name w:val="xl14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8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7">
    <w:name w:val="xl1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9">
    <w:name w:val="xl14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90">
    <w:name w:val="xl150"/>
    <w:basedOn w:val="1"/>
    <w:qFormat/>
    <w:uiPriority w:val="0"/>
    <w:pPr>
      <w:widowControl/>
      <w:spacing w:before="100" w:beforeAutospacing="1" w:after="100" w:afterAutospacing="1"/>
      <w:jc w:val="center"/>
      <w:textAlignment w:val="center"/>
    </w:pPr>
    <w:rPr>
      <w:rFonts w:ascii="宋体" w:hAnsi="宋体" w:eastAsia="宋体" w:cs="宋体"/>
      <w:kern w:val="0"/>
      <w:szCs w:val="21"/>
    </w:rPr>
  </w:style>
  <w:style w:type="paragraph" w:customStyle="1" w:styleId="191">
    <w:name w:val="xl151"/>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92">
    <w:name w:val="xl152"/>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93">
    <w:name w:val="xl15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94">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95">
    <w:name w:val="xl155"/>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_GB2312" w:hAnsi="宋体" w:eastAsia="仿宋_GB2312" w:cs="宋体"/>
      <w:kern w:val="0"/>
      <w:sz w:val="20"/>
      <w:szCs w:val="20"/>
    </w:rPr>
  </w:style>
  <w:style w:type="paragraph" w:customStyle="1" w:styleId="196">
    <w:name w:val="xl15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97">
    <w:name w:val="xl157"/>
    <w:basedOn w:val="1"/>
    <w:qFormat/>
    <w:uiPriority w:val="0"/>
    <w:pPr>
      <w:widowControl/>
      <w:pBdr>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98">
    <w:name w:val="xl15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199">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00">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01">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999999"/>
      <w:kern w:val="0"/>
      <w:sz w:val="20"/>
      <w:szCs w:val="20"/>
    </w:rPr>
  </w:style>
  <w:style w:type="paragraph" w:customStyle="1" w:styleId="202">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999999"/>
      <w:kern w:val="0"/>
      <w:sz w:val="20"/>
      <w:szCs w:val="20"/>
    </w:rPr>
  </w:style>
  <w:style w:type="paragraph" w:customStyle="1" w:styleId="203">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999999"/>
      <w:kern w:val="0"/>
      <w:sz w:val="20"/>
      <w:szCs w:val="20"/>
    </w:rPr>
  </w:style>
  <w:style w:type="paragraph" w:customStyle="1" w:styleId="204">
    <w:name w:val="xl1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205">
    <w:name w:val="xl1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206">
    <w:name w:val="xl16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07">
    <w:name w:val="xl167"/>
    <w:basedOn w:val="1"/>
    <w:qFormat/>
    <w:uiPriority w:val="0"/>
    <w:pPr>
      <w:widowControl/>
      <w:pBdr>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08">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333333"/>
      <w:kern w:val="0"/>
      <w:sz w:val="20"/>
      <w:szCs w:val="20"/>
    </w:rPr>
  </w:style>
  <w:style w:type="paragraph" w:customStyle="1" w:styleId="209">
    <w:name w:val="xl16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333333"/>
      <w:kern w:val="0"/>
      <w:sz w:val="20"/>
      <w:szCs w:val="20"/>
    </w:rPr>
  </w:style>
  <w:style w:type="paragraph" w:customStyle="1" w:styleId="210">
    <w:name w:val="xl1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11">
    <w:name w:val="xl1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12">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213">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214">
    <w:name w:val="xl1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215">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8"/>
      <w:szCs w:val="28"/>
    </w:rPr>
  </w:style>
  <w:style w:type="paragraph" w:customStyle="1" w:styleId="216">
    <w:name w:val="xl1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17">
    <w:name w:val="xl1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18">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19">
    <w:name w:val="xl1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0">
    <w:name w:val="xl18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1">
    <w:name w:val="xl181"/>
    <w:basedOn w:val="1"/>
    <w:qFormat/>
    <w:uiPriority w:val="0"/>
    <w:pPr>
      <w:widowControl/>
      <w:pBdr>
        <w:lef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2">
    <w:name w:val="xl18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23">
    <w:name w:val="xl183"/>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24">
    <w:name w:val="xl184"/>
    <w:basedOn w:val="1"/>
    <w:qFormat/>
    <w:uiPriority w:val="0"/>
    <w:pPr>
      <w:widowControl/>
      <w:pBdr>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25">
    <w:name w:val="xl1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26">
    <w:name w:val="xl186"/>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27">
    <w:name w:val="xl18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28">
    <w:name w:val="xl1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29">
    <w:name w:val="xl189"/>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30">
    <w:name w:val="xl190"/>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31">
    <w:name w:val="xl191"/>
    <w:basedOn w:val="1"/>
    <w:qFormat/>
    <w:uiPriority w:val="0"/>
    <w:pPr>
      <w:widowControl/>
      <w:pBdr>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32">
    <w:name w:val="xl192"/>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33">
    <w:name w:val="xl193"/>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234">
    <w:name w:val="xl194"/>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100" w:firstLineChars="100"/>
      <w:textAlignment w:val="center"/>
    </w:pPr>
    <w:rPr>
      <w:rFonts w:ascii="仿宋_GB2312" w:hAnsi="宋体" w:eastAsia="仿宋_GB2312" w:cs="宋体"/>
      <w:kern w:val="0"/>
      <w:sz w:val="20"/>
      <w:szCs w:val="20"/>
    </w:rPr>
  </w:style>
  <w:style w:type="paragraph" w:customStyle="1" w:styleId="235">
    <w:name w:val="xl19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3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237">
    <w:name w:val="xl19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38">
    <w:name w:val="xl1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39">
    <w:name w:val="xl1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40">
    <w:name w:val="xl200"/>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41">
    <w:name w:val="xl20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42">
    <w:name w:val="xl20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43">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44">
    <w:name w:val="NormalCharacter"/>
    <w:qFormat/>
    <w:uiPriority w:val="0"/>
  </w:style>
  <w:style w:type="paragraph" w:customStyle="1" w:styleId="245">
    <w:name w:val="UserStyle_39"/>
    <w:basedOn w:val="1"/>
    <w:qFormat/>
    <w:uiPriority w:val="0"/>
    <w:pPr>
      <w:widowControl/>
      <w:ind w:firstLine="420" w:firstLineChars="200"/>
      <w:textAlignment w:val="baseline"/>
    </w:pPr>
    <w:rPr>
      <w:rFonts w:ascii="Calibri" w:hAnsi="Calibri" w:eastAsia="宋体" w:cs="Times New Roman"/>
    </w:rPr>
  </w:style>
  <w:style w:type="paragraph" w:customStyle="1" w:styleId="246">
    <w:name w:val="UserStyle_33"/>
    <w:basedOn w:val="1"/>
    <w:qFormat/>
    <w:uiPriority w:val="0"/>
    <w:pPr>
      <w:widowControl/>
      <w:textAlignment w:val="baseline"/>
    </w:pPr>
    <w:rPr>
      <w:rFonts w:ascii="Calibri" w:hAnsi="Calibri" w:eastAsia="宋体" w:cs="Times New Roman"/>
      <w:sz w:val="24"/>
      <w:szCs w:val="24"/>
    </w:rPr>
  </w:style>
  <w:style w:type="character" w:customStyle="1" w:styleId="247">
    <w:name w:val="UserStyle_9"/>
    <w:link w:val="248"/>
    <w:qFormat/>
    <w:uiPriority w:val="0"/>
    <w:rPr>
      <w:rFonts w:eastAsia="宋体"/>
      <w:sz w:val="24"/>
    </w:rPr>
  </w:style>
  <w:style w:type="paragraph" w:customStyle="1" w:styleId="248">
    <w:name w:val="UserStyle_10"/>
    <w:basedOn w:val="1"/>
    <w:link w:val="247"/>
    <w:qFormat/>
    <w:uiPriority w:val="0"/>
    <w:pPr>
      <w:widowControl/>
      <w:textAlignment w:val="baseline"/>
    </w:pPr>
    <w:rPr>
      <w:rFonts w:eastAsia="宋体"/>
      <w:kern w:val="0"/>
      <w:sz w:val="24"/>
      <w:szCs w:val="20"/>
    </w:rPr>
  </w:style>
  <w:style w:type="paragraph" w:customStyle="1" w:styleId="249">
    <w:name w:val="BodyText1I"/>
    <w:basedOn w:val="1"/>
    <w:next w:val="1"/>
    <w:link w:val="250"/>
    <w:qFormat/>
    <w:uiPriority w:val="0"/>
    <w:pPr>
      <w:widowControl/>
      <w:spacing w:after="120"/>
      <w:ind w:firstLine="420" w:firstLineChars="100"/>
      <w:textAlignment w:val="baseline"/>
    </w:pPr>
    <w:rPr>
      <w:rFonts w:ascii="宋体" w:hAnsi="Times New Roman" w:eastAsia="宋体"/>
      <w:kern w:val="0"/>
      <w:sz w:val="34"/>
      <w:szCs w:val="20"/>
    </w:rPr>
  </w:style>
  <w:style w:type="character" w:customStyle="1" w:styleId="250">
    <w:name w:val="UserStyle_13"/>
    <w:basedOn w:val="31"/>
    <w:link w:val="249"/>
    <w:qFormat/>
    <w:uiPriority w:val="0"/>
    <w:rPr>
      <w:rFonts w:ascii="宋体" w:hAnsi="Times New Roman" w:eastAsia="宋体"/>
      <w:sz w:val="34"/>
    </w:rPr>
  </w:style>
  <w:style w:type="character" w:customStyle="1" w:styleId="251">
    <w:name w:val="文档结构图 Char"/>
    <w:basedOn w:val="31"/>
    <w:link w:val="8"/>
    <w:semiHidden/>
    <w:qFormat/>
    <w:uiPriority w:val="99"/>
    <w:rPr>
      <w:rFonts w:ascii="宋体" w:eastAsia="宋体"/>
      <w:kern w:val="2"/>
      <w:sz w:val="18"/>
      <w:szCs w:val="18"/>
    </w:rPr>
  </w:style>
  <w:style w:type="character" w:customStyle="1" w:styleId="252">
    <w:name w:val="正文首行缩进 2 Char"/>
    <w:basedOn w:val="44"/>
    <w:link w:val="28"/>
    <w:semiHidden/>
    <w:qFormat/>
    <w:uiPriority w:val="99"/>
    <w:rPr>
      <w:kern w:val="2"/>
      <w:sz w:val="21"/>
      <w:szCs w:val="22"/>
    </w:rPr>
  </w:style>
  <w:style w:type="paragraph" w:customStyle="1" w:styleId="253">
    <w:name w:val="二级条标题"/>
    <w:basedOn w:val="1"/>
    <w:next w:val="1"/>
    <w:qFormat/>
    <w:uiPriority w:val="0"/>
    <w:pPr>
      <w:widowControl/>
      <w:spacing w:beforeLines="50" w:afterLines="50"/>
      <w:ind w:left="2552"/>
      <w:jc w:val="left"/>
      <w:outlineLvl w:val="3"/>
    </w:pPr>
    <w:rPr>
      <w:rFonts w:ascii="黑体" w:eastAsia="黑体" w:cs="黑体"/>
      <w:szCs w:val="21"/>
    </w:rPr>
  </w:style>
  <w:style w:type="paragraph" w:customStyle="1" w:styleId="254">
    <w:name w:val="三级条标题"/>
    <w:basedOn w:val="253"/>
    <w:next w:val="1"/>
    <w:qFormat/>
    <w:uiPriority w:val="0"/>
    <w:pPr>
      <w:outlineLvl w:val="4"/>
    </w:p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56">
    <w:name w:val="red3"/>
    <w:basedOn w:val="31"/>
    <w:qFormat/>
    <w:uiPriority w:val="0"/>
    <w:rPr>
      <w:color w:val="FF0000"/>
    </w:rPr>
  </w:style>
  <w:style w:type="character" w:customStyle="1" w:styleId="257">
    <w:name w:val="active4"/>
    <w:basedOn w:val="31"/>
    <w:qFormat/>
    <w:uiPriority w:val="0"/>
    <w:rPr>
      <w:color w:val="FFFFFF"/>
      <w:shd w:val="clear" w:color="auto" w:fill="2B7AFC"/>
    </w:rPr>
  </w:style>
  <w:style w:type="paragraph" w:customStyle="1" w:styleId="258">
    <w:name w:val="Table Paragraph"/>
    <w:basedOn w:val="1"/>
    <w:qFormat/>
    <w:uiPriority w:val="1"/>
  </w:style>
  <w:style w:type="paragraph" w:customStyle="1" w:styleId="259">
    <w:name w:val="msolistparagraph"/>
    <w:basedOn w:val="1"/>
    <w:qFormat/>
    <w:uiPriority w:val="0"/>
    <w:pPr>
      <w:ind w:firstLine="420" w:firstLineChars="200"/>
    </w:pPr>
    <w:rPr>
      <w:rFonts w:ascii="Times New Roman" w:hAnsi="Times New Roman" w:eastAsia="宋体" w:cs="Times New Roman"/>
      <w:szCs w:val="24"/>
    </w:rPr>
  </w:style>
  <w:style w:type="character" w:customStyle="1" w:styleId="260">
    <w:name w:val="批注文字 Char"/>
    <w:basedOn w:val="31"/>
    <w:link w:val="9"/>
    <w:semiHidden/>
    <w:qFormat/>
    <w:uiPriority w:val="99"/>
    <w:rPr>
      <w:kern w:val="2"/>
      <w:sz w:val="21"/>
      <w:szCs w:val="22"/>
    </w:rPr>
  </w:style>
  <w:style w:type="character" w:customStyle="1" w:styleId="261">
    <w:name w:val="批注主题 Char"/>
    <w:basedOn w:val="260"/>
    <w:link w:val="26"/>
    <w:qFormat/>
    <w:uiPriority w:val="0"/>
    <w:rPr>
      <w:kern w:val="2"/>
      <w:sz w:val="21"/>
      <w:szCs w:val="22"/>
    </w:rPr>
  </w:style>
  <w:style w:type="table" w:customStyle="1" w:styleId="262">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7C63B-C2D9-4468-B4C1-41A9F05B20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34181</Words>
  <Characters>5845</Characters>
  <Lines>48</Lines>
  <Paragraphs>79</Paragraphs>
  <TotalTime>5</TotalTime>
  <ScaleCrop>false</ScaleCrop>
  <LinksUpToDate>false</LinksUpToDate>
  <CharactersWithSpaces>39947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2021-11-16T09:12:00Z</dcterms:created>
  <dc:creator>许昌市公共资源交易中心:孟莉</dc:creator>
  <cp:lastModifiedBy>shan</cp:lastModifiedBy>
  <cp:lastPrinted>2021-11-18T02:19:00Z</cp:lastPrinted>
  <dcterms:modified xsi:type="dcterms:W3CDTF">2021-11-18T02:19:08Z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93686D905BBE41DE86754E203DF9EF7D</vt:lpwstr>
  </property>
</Properties>
</file>