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b/>
          <w:color w:val="000000"/>
          <w:sz w:val="36"/>
          <w:szCs w:val="36"/>
        </w:rPr>
      </w:pPr>
    </w:p>
    <w:p>
      <w:pPr>
        <w:jc w:val="center"/>
        <w:rPr>
          <w:rFonts w:ascii="黑体" w:hAnsi="黑体" w:eastAsia="黑体" w:cs="黑体"/>
          <w:b/>
          <w:bCs/>
          <w:sz w:val="36"/>
          <w:szCs w:val="36"/>
        </w:rPr>
      </w:pPr>
      <w:r>
        <w:rPr>
          <w:rFonts w:hint="eastAsia" w:ascii="黑体" w:hAnsi="黑体" w:eastAsia="黑体" w:cs="黑体"/>
          <w:b/>
          <w:bCs/>
          <w:sz w:val="36"/>
          <w:szCs w:val="36"/>
        </w:rPr>
        <w:t>禹州市教育体育局</w:t>
      </w:r>
    </w:p>
    <w:p>
      <w:pPr>
        <w:jc w:val="center"/>
        <w:rPr>
          <w:rFonts w:ascii="黑体" w:hAnsi="黑体" w:eastAsia="黑体" w:cs="黑体"/>
          <w:b/>
          <w:bCs/>
          <w:sz w:val="36"/>
          <w:szCs w:val="36"/>
        </w:rPr>
      </w:pPr>
      <w:r>
        <w:rPr>
          <w:rFonts w:hint="eastAsia" w:ascii="黑体" w:hAnsi="黑体" w:eastAsia="黑体" w:cs="黑体"/>
          <w:b/>
          <w:bCs/>
          <w:sz w:val="36"/>
          <w:szCs w:val="36"/>
        </w:rPr>
        <w:t>河南省农村义务教育寄宿制学校“温暖工程”项目</w:t>
      </w:r>
    </w:p>
    <w:p>
      <w:pPr>
        <w:jc w:val="center"/>
        <w:rPr>
          <w:rFonts w:ascii="黑体" w:hAnsi="黑体" w:eastAsia="黑体" w:cs="宋体"/>
          <w:b/>
          <w:color w:val="000000"/>
          <w:sz w:val="36"/>
          <w:szCs w:val="36"/>
        </w:rPr>
      </w:pPr>
      <w:r>
        <w:rPr>
          <w:rFonts w:hint="eastAsia" w:ascii="黑体" w:hAnsi="黑体" w:eastAsia="黑体" w:cs="宋体"/>
          <w:b/>
          <w:color w:val="000000"/>
          <w:sz w:val="36"/>
          <w:szCs w:val="36"/>
        </w:rPr>
        <w:t>（不见面开标）</w:t>
      </w:r>
    </w:p>
    <w:p>
      <w:pPr>
        <w:spacing w:line="600" w:lineRule="exact"/>
        <w:jc w:val="center"/>
        <w:rPr>
          <w:rFonts w:ascii="黑体" w:hAnsi="黑体" w:eastAsia="黑体" w:cs="黑体"/>
          <w:b/>
          <w:bCs/>
          <w:sz w:val="36"/>
          <w:szCs w:val="36"/>
        </w:rPr>
      </w:pPr>
    </w:p>
    <w:p>
      <w:pPr>
        <w:rPr>
          <w:rFonts w:ascii="黑体" w:hAnsi="黑体" w:eastAsia="黑体" w:cs="黑体"/>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widowControl/>
        <w:shd w:val="clear" w:color="auto" w:fill="FFFFFF"/>
        <w:spacing w:line="440" w:lineRule="exact"/>
        <w:ind w:firstLine="1084" w:firstLineChars="300"/>
        <w:jc w:val="left"/>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采购编号：YZCG-G2021064</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采购单位：禹州市教育体育局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代理机构：禹州市政府采购中心</w:t>
      </w:r>
    </w:p>
    <w:p>
      <w:pPr>
        <w:ind w:firstLine="2512" w:firstLineChars="695"/>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二〇二一年十二月</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rPr>
          <w:rFonts w:cs="宋体" w:asciiTheme="majorEastAsia" w:hAnsiTheme="majorEastAsia" w:eastAsiaTheme="majorEastAsia"/>
          <w:b/>
          <w:kern w:val="0"/>
          <w:sz w:val="32"/>
          <w:szCs w:val="32"/>
        </w:rPr>
      </w:pPr>
    </w:p>
    <w:p>
      <w:pPr>
        <w:pStyle w:val="2"/>
      </w:pPr>
    </w:p>
    <w:p>
      <w:pPr>
        <w:pStyle w:val="2"/>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pStyle w:val="2"/>
      </w:pPr>
    </w:p>
    <w:p>
      <w:pPr>
        <w:spacing w:line="360" w:lineRule="auto"/>
        <w:ind w:firstLine="525" w:firstLineChars="250"/>
        <w:rPr>
          <w:rFonts w:cs="仿宋" w:asciiTheme="majorEastAsia" w:hAnsiTheme="majorEastAsia" w:eastAsiaTheme="majorEastAsia"/>
          <w:szCs w:val="21"/>
        </w:rPr>
      </w:pPr>
      <w:r>
        <w:rPr>
          <w:rFonts w:hint="eastAsia" w:cs="仿宋" w:asciiTheme="majorEastAsia" w:hAnsiTheme="majorEastAsia" w:eastAsiaTheme="majorEastAsia"/>
          <w:szCs w:val="21"/>
        </w:rPr>
        <w:t>禹州市政府采购中心受禹州市教育体育局的委托，就“禹州市教育体育局河南省农村义务教育寄宿学校“温暖工程”项目（不见面开标）”进行公开招标，欢迎合格的投标人前来投标。</w:t>
      </w:r>
    </w:p>
    <w:p>
      <w:pPr>
        <w:widowControl/>
        <w:numPr>
          <w:ilvl w:val="0"/>
          <w:numId w:val="5"/>
        </w:numPr>
        <w:shd w:val="clear" w:color="auto" w:fill="FFFFFF"/>
        <w:spacing w:line="440" w:lineRule="exact"/>
        <w:ind w:firstLine="482"/>
        <w:jc w:val="left"/>
        <w:rPr>
          <w:rFonts w:cs="仿宋" w:asciiTheme="majorEastAsia" w:hAnsiTheme="majorEastAsia" w:eastAsiaTheme="majorEastAsia"/>
          <w:szCs w:val="21"/>
        </w:rPr>
      </w:pPr>
      <w:r>
        <w:rPr>
          <w:rFonts w:hint="eastAsia" w:cs="仿宋" w:asciiTheme="majorEastAsia" w:hAnsiTheme="majorEastAsia" w:eastAsiaTheme="majorEastAsia"/>
          <w:szCs w:val="21"/>
        </w:rPr>
        <w:t>项目基本情况</w:t>
      </w:r>
    </w:p>
    <w:p>
      <w:pPr>
        <w:pStyle w:val="45"/>
        <w:widowControl/>
        <w:numPr>
          <w:ilvl w:val="0"/>
          <w:numId w:val="6"/>
        </w:numPr>
        <w:shd w:val="clear" w:color="auto" w:fill="FFFFFF"/>
        <w:spacing w:line="440" w:lineRule="exact"/>
        <w:ind w:firstLineChars="0"/>
        <w:jc w:val="left"/>
        <w:rPr>
          <w:rFonts w:cs="仿宋" w:asciiTheme="majorEastAsia" w:hAnsiTheme="majorEastAsia" w:eastAsiaTheme="majorEastAsia"/>
          <w:szCs w:val="21"/>
        </w:rPr>
      </w:pPr>
      <w:r>
        <w:rPr>
          <w:rFonts w:hint="eastAsia" w:cs="仿宋" w:asciiTheme="majorEastAsia" w:hAnsiTheme="majorEastAsia" w:eastAsiaTheme="majorEastAsia"/>
          <w:szCs w:val="21"/>
        </w:rPr>
        <w:t>采购人：</w:t>
      </w:r>
      <w:r>
        <w:rPr>
          <w:rFonts w:cs="仿宋" w:asciiTheme="majorEastAsia" w:hAnsiTheme="majorEastAsia" w:eastAsiaTheme="majorEastAsia"/>
          <w:szCs w:val="21"/>
        </w:rPr>
        <w:t xml:space="preserve"> </w:t>
      </w:r>
      <w:r>
        <w:rPr>
          <w:rFonts w:hint="eastAsia" w:cs="仿宋" w:asciiTheme="majorEastAsia" w:hAnsiTheme="majorEastAsia" w:eastAsiaTheme="majorEastAsia"/>
          <w:szCs w:val="21"/>
        </w:rPr>
        <w:t>禹州市教育体育局</w:t>
      </w:r>
    </w:p>
    <w:p>
      <w:pPr>
        <w:pStyle w:val="45"/>
        <w:widowControl/>
        <w:numPr>
          <w:ilvl w:val="0"/>
          <w:numId w:val="6"/>
        </w:numPr>
        <w:shd w:val="clear" w:color="auto" w:fill="FFFFFF"/>
        <w:spacing w:line="440" w:lineRule="exact"/>
        <w:ind w:firstLineChars="0"/>
        <w:jc w:val="left"/>
        <w:rPr>
          <w:rFonts w:cs="仿宋" w:asciiTheme="majorEastAsia" w:hAnsiTheme="majorEastAsia" w:eastAsiaTheme="majorEastAsia"/>
          <w:szCs w:val="21"/>
        </w:rPr>
      </w:pPr>
      <w:r>
        <w:rPr>
          <w:rFonts w:hint="eastAsia" w:cs="仿宋" w:asciiTheme="majorEastAsia" w:hAnsiTheme="majorEastAsia" w:eastAsiaTheme="majorEastAsia"/>
          <w:szCs w:val="21"/>
        </w:rPr>
        <w:t>项目名称：禹州市教育体育局河南省农村义务教育寄宿学校“温暖工程”项目（不见面开标）</w:t>
      </w:r>
    </w:p>
    <w:p>
      <w:pPr>
        <w:pStyle w:val="45"/>
        <w:widowControl/>
        <w:shd w:val="clear" w:color="auto" w:fill="FFFFFF"/>
        <w:spacing w:line="360" w:lineRule="auto"/>
        <w:ind w:left="120" w:leftChars="57" w:firstLine="315" w:firstLineChars="150"/>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3、采购编号：</w:t>
      </w:r>
      <w:r>
        <w:rPr>
          <w:rFonts w:hint="eastAsia" w:cs="仿宋" w:asciiTheme="majorEastAsia" w:hAnsiTheme="majorEastAsia" w:eastAsiaTheme="majorEastAsia"/>
          <w:szCs w:val="21"/>
        </w:rPr>
        <w:t>YZCG-G2021064</w:t>
      </w:r>
    </w:p>
    <w:p>
      <w:pPr>
        <w:widowControl/>
        <w:shd w:val="clear" w:color="auto" w:fill="FFFFFF"/>
        <w:spacing w:line="360" w:lineRule="auto"/>
        <w:ind w:firstLine="482"/>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4、项目需求：挂式空调 2000台</w:t>
      </w:r>
      <w:r>
        <w:rPr>
          <w:rFonts w:hint="eastAsia" w:cs="仿宋" w:asciiTheme="majorEastAsia" w:hAnsiTheme="majorEastAsia" w:eastAsiaTheme="majorEastAsia"/>
          <w:szCs w:val="21"/>
        </w:rPr>
        <w:t>（详见招标文件）</w:t>
      </w:r>
    </w:p>
    <w:p>
      <w:pPr>
        <w:pStyle w:val="2"/>
        <w:spacing w:line="360" w:lineRule="auto"/>
        <w:ind w:firstLine="525" w:firstLineChars="250"/>
        <w:rPr>
          <w:rFonts w:cs="仿宋" w:asciiTheme="majorEastAsia" w:hAnsiTheme="majorEastAsia" w:eastAsiaTheme="majorEastAsia"/>
          <w:szCs w:val="21"/>
        </w:rPr>
      </w:pPr>
      <w:r>
        <w:rPr>
          <w:rFonts w:hint="eastAsia" w:cs="仿宋" w:asciiTheme="majorEastAsia" w:hAnsiTheme="majorEastAsia" w:eastAsiaTheme="majorEastAsia"/>
          <w:szCs w:val="21"/>
        </w:rPr>
        <w:t>5、合同履约期限：合同签订后20日内完成采购、安装调试。</w:t>
      </w:r>
    </w:p>
    <w:p>
      <w:pPr>
        <w:widowControl/>
        <w:shd w:val="clear" w:color="auto" w:fill="FFFFFF"/>
        <w:spacing w:line="440" w:lineRule="exact"/>
        <w:ind w:firstLine="482"/>
        <w:jc w:val="left"/>
        <w:rPr>
          <w:rFonts w:cs="仿宋" w:asciiTheme="majorEastAsia" w:hAnsiTheme="majorEastAsia" w:eastAsiaTheme="majorEastAsia"/>
          <w:szCs w:val="21"/>
        </w:rPr>
      </w:pPr>
      <w:r>
        <w:rPr>
          <w:rFonts w:hint="eastAsia" w:cs="仿宋" w:asciiTheme="majorEastAsia" w:hAnsiTheme="majorEastAsia" w:eastAsiaTheme="majorEastAsia"/>
          <w:szCs w:val="21"/>
        </w:rPr>
        <w:t>6、采购预算：600万元</w:t>
      </w:r>
    </w:p>
    <w:p>
      <w:pPr>
        <w:widowControl/>
        <w:shd w:val="clear" w:color="auto" w:fill="FFFFFF"/>
        <w:spacing w:line="440" w:lineRule="exact"/>
        <w:ind w:firstLine="482"/>
        <w:jc w:val="left"/>
        <w:rPr>
          <w:rFonts w:asciiTheme="majorEastAsia" w:hAnsiTheme="majorEastAsia" w:eastAsiaTheme="majorEastAsia"/>
          <w:szCs w:val="21"/>
        </w:rPr>
      </w:pPr>
      <w:r>
        <w:rPr>
          <w:rFonts w:hint="eastAsia" w:cs="仿宋" w:asciiTheme="majorEastAsia" w:hAnsiTheme="majorEastAsia" w:eastAsiaTheme="majorEastAsia"/>
          <w:szCs w:val="21"/>
        </w:rPr>
        <w:t>7、最高限价：600万元</w:t>
      </w:r>
    </w:p>
    <w:p>
      <w:pPr>
        <w:widowControl/>
        <w:shd w:val="clear" w:color="auto" w:fill="FFFFFF"/>
        <w:spacing w:line="440" w:lineRule="exact"/>
        <w:ind w:firstLine="310" w:firstLineChars="147"/>
        <w:jc w:val="left"/>
        <w:rPr>
          <w:rFonts w:cs="仿宋" w:asciiTheme="majorEastAsia" w:hAnsiTheme="majorEastAsia" w:eastAsiaTheme="majorEastAsia"/>
          <w:b/>
          <w:color w:val="000000"/>
          <w:kern w:val="0"/>
          <w:szCs w:val="21"/>
        </w:rPr>
      </w:pPr>
      <w:r>
        <w:rPr>
          <w:rFonts w:hint="eastAsia" w:cs="仿宋" w:asciiTheme="majorEastAsia" w:hAnsiTheme="majorEastAsia" w:eastAsiaTheme="majorEastAsia"/>
          <w:b/>
          <w:color w:val="000000"/>
          <w:kern w:val="0"/>
          <w:szCs w:val="21"/>
        </w:rPr>
        <w:t>二、需要落实的政府采购政策</w:t>
      </w:r>
    </w:p>
    <w:p>
      <w:pPr>
        <w:widowControl/>
        <w:shd w:val="clear" w:color="auto" w:fill="FFFFFF"/>
        <w:spacing w:line="440" w:lineRule="exact"/>
        <w:ind w:firstLine="420" w:firstLineChars="200"/>
        <w:jc w:val="left"/>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本项目落实节约能源、保护环境、扶持不发达地区和少数民族地区、促进中小企业、监狱企业发展等政府采购政策。</w:t>
      </w:r>
    </w:p>
    <w:p>
      <w:pPr>
        <w:widowControl/>
        <w:shd w:val="clear" w:color="auto" w:fill="FFFFFF"/>
        <w:spacing w:line="440" w:lineRule="exact"/>
        <w:ind w:firstLine="211" w:firstLineChars="100"/>
        <w:jc w:val="left"/>
        <w:rPr>
          <w:rFonts w:cs="仿宋" w:asciiTheme="majorEastAsia" w:hAnsiTheme="majorEastAsia" w:eastAsiaTheme="majorEastAsia"/>
          <w:b/>
          <w:color w:val="000000"/>
          <w:kern w:val="0"/>
          <w:szCs w:val="21"/>
        </w:rPr>
      </w:pPr>
      <w:r>
        <w:rPr>
          <w:rFonts w:hint="eastAsia" w:cs="仿宋" w:asciiTheme="majorEastAsia" w:hAnsiTheme="majorEastAsia" w:eastAsiaTheme="majorEastAsia"/>
          <w:b/>
          <w:color w:val="000000"/>
          <w:kern w:val="0"/>
          <w:szCs w:val="21"/>
        </w:rPr>
        <w:t>三、供应商资格要求</w:t>
      </w:r>
    </w:p>
    <w:p>
      <w:pPr>
        <w:widowControl/>
        <w:numPr>
          <w:ilvl w:val="0"/>
          <w:numId w:val="7"/>
        </w:numPr>
        <w:shd w:val="clear" w:color="auto" w:fill="FFFFFF"/>
        <w:spacing w:line="440" w:lineRule="exact"/>
        <w:ind w:firstLine="420" w:firstLineChars="200"/>
        <w:jc w:val="left"/>
        <w:rPr>
          <w:rFonts w:cs="仿宋" w:asciiTheme="majorEastAsia" w:hAnsiTheme="majorEastAsia" w:eastAsiaTheme="majorEastAsia"/>
          <w:b/>
          <w:color w:val="000000"/>
          <w:kern w:val="0"/>
          <w:szCs w:val="21"/>
        </w:rPr>
      </w:pPr>
      <w:r>
        <w:rPr>
          <w:rFonts w:hint="eastAsia" w:cs="仿宋" w:asciiTheme="majorEastAsia" w:hAnsiTheme="majorEastAsia" w:eastAsiaTheme="majorEastAsia"/>
          <w:szCs w:val="21"/>
        </w:rPr>
        <w:t>符合《政府采购法》第二十二条之规定；</w:t>
      </w:r>
    </w:p>
    <w:p>
      <w:pPr>
        <w:widowControl/>
        <w:shd w:val="clear" w:color="auto" w:fill="FFFFFF"/>
        <w:spacing w:line="440" w:lineRule="exact"/>
        <w:ind w:left="480"/>
        <w:jc w:val="left"/>
        <w:rPr>
          <w:rFonts w:cs="仿宋" w:asciiTheme="majorEastAsia" w:hAnsiTheme="majorEastAsia" w:eastAsiaTheme="majorEastAsia"/>
          <w:b/>
          <w:color w:val="000000"/>
          <w:kern w:val="0"/>
          <w:szCs w:val="21"/>
        </w:rPr>
      </w:pPr>
      <w:r>
        <w:rPr>
          <w:rFonts w:hint="eastAsia" w:cs="仿宋" w:asciiTheme="majorEastAsia" w:hAnsiTheme="majorEastAsia" w:eastAsiaTheme="majorEastAsia"/>
          <w:szCs w:val="21"/>
        </w:rPr>
        <w:t>2、本项目不接受联合体投标。</w:t>
      </w:r>
    </w:p>
    <w:p>
      <w:pPr>
        <w:widowControl/>
        <w:shd w:val="clear" w:color="auto" w:fill="FFFFFF"/>
        <w:spacing w:line="440" w:lineRule="exact"/>
        <w:ind w:firstLine="482"/>
        <w:jc w:val="left"/>
        <w:rPr>
          <w:rFonts w:cs="仿宋" w:asciiTheme="majorEastAsia" w:hAnsiTheme="majorEastAsia" w:eastAsiaTheme="majorEastAsia"/>
          <w:b/>
          <w:color w:val="000000"/>
          <w:kern w:val="0"/>
          <w:szCs w:val="21"/>
        </w:rPr>
      </w:pPr>
      <w:r>
        <w:rPr>
          <w:rFonts w:hint="eastAsia" w:cs="仿宋" w:asciiTheme="majorEastAsia" w:hAnsiTheme="majorEastAsia" w:eastAsiaTheme="majorEastAsia"/>
          <w:b/>
          <w:color w:val="000000"/>
          <w:kern w:val="0"/>
          <w:szCs w:val="21"/>
        </w:rPr>
        <w:t>四、获取招标文件的方式</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cs="仿宋" w:asciiTheme="majorEastAsia" w:hAnsiTheme="majorEastAsia" w:eastAsiaTheme="majorEastAsia"/>
          <w:sz w:val="21"/>
          <w:szCs w:val="21"/>
        </w:rPr>
        <w:t>http://ggzy.xuchang.gov.cn:8088/ggzy/eps/public/RegistAllJcxx.html）</w:t>
      </w:r>
      <w:r>
        <w:rPr>
          <w:rFonts w:hint="eastAsia" w:cs="仿宋" w:asciiTheme="majorEastAsia" w:hAnsiTheme="majorEastAsia" w:eastAsiaTheme="majorEastAsia"/>
          <w:sz w:val="21"/>
          <w:szCs w:val="21"/>
        </w:rPr>
        <w:fldChar w:fldCharType="end"/>
      </w:r>
      <w:r>
        <w:rPr>
          <w:rFonts w:hint="eastAsia" w:cs="仿宋" w:asciiTheme="majorEastAsia" w:hAnsiTheme="majorEastAsia" w:eastAsiaTheme="majorEastAsia"/>
          <w:sz w:val="21"/>
          <w:szCs w:val="21"/>
        </w:rPr>
        <w:t>进行免费注册登记（详见“常见问题解答-诚信库网上注册相关资料下载”）；</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（二）在招标响应截止时间前均可登录《全国公共资源交易平台（河南省·许昌市）》“投标人/供应商登录”入口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cs="仿宋" w:asciiTheme="majorEastAsia" w:hAnsiTheme="majorEastAsia" w:eastAsiaTheme="majorEastAsia"/>
          <w:sz w:val="21"/>
          <w:szCs w:val="21"/>
        </w:rPr>
        <w:t>（http://ggzy.xuchang.gov.cn:8088/ggzy/）</w:t>
      </w:r>
      <w:r>
        <w:rPr>
          <w:rFonts w:hint="eastAsia" w:cs="仿宋" w:asciiTheme="majorEastAsia" w:hAnsiTheme="majorEastAsia" w:eastAsiaTheme="majorEastAsia"/>
          <w:sz w:val="21"/>
          <w:szCs w:val="21"/>
        </w:rPr>
        <w:fldChar w:fldCharType="end"/>
      </w:r>
      <w:r>
        <w:rPr>
          <w:rFonts w:hint="eastAsia" w:cs="仿宋" w:asciiTheme="majorEastAsia" w:hAnsiTheme="majorEastAsia" w:eastAsiaTheme="majorEastAsia"/>
          <w:sz w:val="21"/>
          <w:szCs w:val="21"/>
        </w:rPr>
        <w:t>自行下载招标文件（详见“常见问题解答-交易系统操作手册”）。</w:t>
      </w:r>
    </w:p>
    <w:p>
      <w:pPr>
        <w:widowControl/>
        <w:shd w:val="clear" w:color="auto" w:fill="FFFFFF"/>
        <w:spacing w:line="440" w:lineRule="exact"/>
        <w:ind w:firstLine="422" w:firstLineChars="200"/>
        <w:jc w:val="left"/>
        <w:rPr>
          <w:rFonts w:cs="仿宋" w:asciiTheme="majorEastAsia" w:hAnsiTheme="majorEastAsia" w:eastAsiaTheme="majorEastAsia"/>
          <w:b/>
          <w:szCs w:val="21"/>
        </w:rPr>
      </w:pPr>
      <w:r>
        <w:rPr>
          <w:rFonts w:hint="eastAsia" w:cs="仿宋" w:asciiTheme="majorEastAsia" w:hAnsiTheme="majorEastAsia" w:eastAsiaTheme="majorEastAsia"/>
          <w:b/>
          <w:szCs w:val="21"/>
        </w:rPr>
        <w:t>五、投标文件提交截止时间及开标时间</w:t>
      </w:r>
    </w:p>
    <w:p>
      <w:pPr>
        <w:spacing w:line="440" w:lineRule="exact"/>
        <w:ind w:firstLine="640"/>
        <w:rPr>
          <w:rFonts w:cs="仿宋" w:asciiTheme="majorEastAsia" w:hAnsiTheme="majorEastAsia" w:eastAsiaTheme="majorEastAsia"/>
          <w:szCs w:val="21"/>
        </w:rPr>
      </w:pPr>
      <w:r>
        <w:rPr>
          <w:rFonts w:hint="eastAsia" w:cs="仿宋" w:asciiTheme="majorEastAsia" w:hAnsiTheme="majorEastAsia" w:eastAsiaTheme="majorEastAsia"/>
          <w:szCs w:val="21"/>
        </w:rPr>
        <w:t>1、投标文件提交截止时间及开标时间：2021年12月27日 10：30 （北京时间），逾期送达或不符合规定的响应文件恕不接受。</w:t>
      </w:r>
    </w:p>
    <w:p>
      <w:pPr>
        <w:spacing w:line="440" w:lineRule="exact"/>
        <w:ind w:firstLine="640"/>
        <w:rPr>
          <w:rFonts w:cs="仿宋" w:asciiTheme="majorEastAsia" w:hAnsiTheme="majorEastAsia" w:eastAsiaTheme="majorEastAsia"/>
          <w:szCs w:val="21"/>
        </w:rPr>
      </w:pPr>
      <w:r>
        <w:rPr>
          <w:rFonts w:hint="eastAsia" w:cs="仿宋" w:asciiTheme="majorEastAsia" w:hAnsiTheme="majorEastAsia" w:eastAsiaTheme="majorEastAsia"/>
          <w:szCs w:val="21"/>
        </w:rPr>
        <w:t>2、投标文件开启时间：同投标文件提交截止时间。</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六、投标响应文件开启</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（一）投标文件开启地点：禹州市公共资源交易中心九楼第二开标室。（本项目采用远程不见面开标，供应商无须到达现场）。</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（二）本项目为全流程电子化交易项目，供应商须提交电子投标文件。</w:t>
      </w:r>
    </w:p>
    <w:p>
      <w:pPr>
        <w:pStyle w:val="25"/>
        <w:widowControl/>
        <w:shd w:val="clear" w:color="auto" w:fill="FFFFFF"/>
        <w:spacing w:line="440" w:lineRule="exact"/>
        <w:ind w:firstLine="420"/>
        <w:contextualSpacing/>
        <w:jc w:val="left"/>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1、加密电子投标文件（.file格式）须在投标文件提交截止时间（投标截止时间）前通过《全国公共资源交易平台(河南省▪许昌市)》公共资源交易系统成功上传。</w:t>
      </w:r>
    </w:p>
    <w:p>
      <w:pPr>
        <w:pStyle w:val="25"/>
        <w:widowControl/>
        <w:shd w:val="clear" w:color="auto" w:fill="FFFFFF"/>
        <w:spacing w:line="440" w:lineRule="exact"/>
        <w:ind w:firstLine="420"/>
        <w:contextualSpacing/>
        <w:jc w:val="left"/>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2、投标截止时间前，供应商</w:t>
      </w:r>
      <w:r>
        <w:rPr>
          <w:rFonts w:hint="eastAsia" w:cs="仿宋" w:asciiTheme="majorEastAsia" w:hAnsiTheme="majorEastAsia" w:eastAsiaTheme="majorEastAsia"/>
          <w:color w:val="000000"/>
          <w:sz w:val="21"/>
          <w:szCs w:val="21"/>
          <w:shd w:val="clear" w:color="auto" w:fill="FFFFFF"/>
        </w:rPr>
        <w:t>应登录不见面开标大厅，</w:t>
      </w:r>
      <w:r>
        <w:rPr>
          <w:rFonts w:hint="eastAsia" w:cs="仿宋" w:asciiTheme="majorEastAsia" w:hAnsiTheme="majorEastAsia" w:eastAsiaTheme="majorEastAsia"/>
          <w:color w:val="000000"/>
          <w:sz w:val="21"/>
          <w:szCs w:val="21"/>
        </w:rPr>
        <w:t>按照投标截止时间准时参加线上投标文件开启，在系统规定时间内对电子投标文件进行远程解密，未在规定时间内解密或因供应商原因解密失败的，其投标文件将被拒绝。</w:t>
      </w:r>
    </w:p>
    <w:p>
      <w:pPr>
        <w:pStyle w:val="25"/>
        <w:widowControl/>
        <w:shd w:val="clear" w:color="auto" w:fill="FFFFFF"/>
        <w:spacing w:line="440" w:lineRule="exact"/>
        <w:ind w:firstLine="420"/>
        <w:contextualSpacing/>
        <w:jc w:val="left"/>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3、不见面开标大厅登录：供应商</w:t>
      </w:r>
      <w:r>
        <w:rPr>
          <w:rFonts w:hint="eastAsia" w:cs="仿宋" w:asciiTheme="majorEastAsia" w:hAnsiTheme="majorEastAsia" w:eastAsiaTheme="majorEastAsia"/>
          <w:color w:val="000000"/>
          <w:sz w:val="21"/>
          <w:szCs w:val="21"/>
          <w:shd w:val="clear" w:color="auto" w:fill="FFFFFF"/>
        </w:rPr>
        <w:t>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Style w:val="33"/>
          <w:rFonts w:hint="eastAsia" w:cs="仿宋" w:asciiTheme="majorEastAsia" w:hAnsiTheme="majorEastAsia" w:eastAsiaTheme="majorEastAsia"/>
          <w:color w:val="000000"/>
          <w:sz w:val="21"/>
          <w:szCs w:val="21"/>
          <w:shd w:val="clear" w:color="auto" w:fill="FFFFFF"/>
        </w:rPr>
        <w:t>（http://ggzy.xuchang.gov.cn:8088/ggzy/）</w:t>
      </w:r>
      <w:r>
        <w:rPr>
          <w:rStyle w:val="33"/>
          <w:rFonts w:hint="eastAsia" w:cs="仿宋" w:asciiTheme="majorEastAsia" w:hAnsiTheme="majorEastAsia" w:eastAsiaTheme="majorEastAsia"/>
          <w:color w:val="000000"/>
          <w:sz w:val="21"/>
          <w:szCs w:val="21"/>
          <w:shd w:val="clear" w:color="auto" w:fill="FFFFFF"/>
        </w:rPr>
        <w:fldChar w:fldCharType="end"/>
      </w:r>
      <w:r>
        <w:rPr>
          <w:rFonts w:hint="eastAsia" w:cs="仿宋" w:asciiTheme="majorEastAsia" w:hAnsiTheme="majorEastAsia" w:eastAsiaTheme="maj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2" w:firstLineChars="200"/>
        <w:jc w:val="left"/>
        <w:rPr>
          <w:rFonts w:cs="仿宋" w:asciiTheme="majorEastAsia" w:hAnsiTheme="majorEastAsia" w:eastAsiaTheme="majorEastAsia"/>
          <w:b/>
          <w:bCs/>
          <w:color w:val="000000"/>
          <w:kern w:val="0"/>
          <w:szCs w:val="21"/>
        </w:rPr>
      </w:pPr>
      <w:r>
        <w:rPr>
          <w:rFonts w:hint="eastAsia" w:cs="仿宋" w:asciiTheme="majorEastAsia" w:hAnsiTheme="majorEastAsia" w:eastAsiaTheme="majorEastAsia"/>
          <w:b/>
          <w:bCs/>
          <w:color w:val="000000"/>
          <w:kern w:val="0"/>
          <w:szCs w:val="21"/>
        </w:rPr>
        <w:t>七、本次招标公告同时在《中国政府采购网》、《河南省政府采购网》、《全国公共资源交易平台（河南省·许昌市）》发布等。</w:t>
      </w:r>
    </w:p>
    <w:p>
      <w:pPr>
        <w:widowControl/>
        <w:shd w:val="clear" w:color="auto" w:fill="FFFFFF"/>
        <w:spacing w:line="440" w:lineRule="exact"/>
        <w:ind w:firstLine="641"/>
        <w:jc w:val="left"/>
        <w:rPr>
          <w:rFonts w:cs="仿宋" w:asciiTheme="majorEastAsia" w:hAnsiTheme="majorEastAsia" w:eastAsiaTheme="majorEastAsia"/>
          <w:b/>
          <w:bCs/>
          <w:color w:val="000000"/>
          <w:kern w:val="0"/>
          <w:szCs w:val="21"/>
        </w:rPr>
      </w:pPr>
      <w:r>
        <w:rPr>
          <w:rFonts w:hint="eastAsia" w:cs="仿宋" w:asciiTheme="majorEastAsia" w:hAnsiTheme="majorEastAsia" w:eastAsiaTheme="majorEastAsia"/>
          <w:b/>
          <w:bCs/>
          <w:color w:val="000000"/>
          <w:kern w:val="0"/>
          <w:szCs w:val="21"/>
        </w:rPr>
        <w:t>八、代理机构及采购单位地址、联系人、联系电话</w:t>
      </w:r>
    </w:p>
    <w:p>
      <w:pPr>
        <w:widowControl/>
        <w:shd w:val="clear" w:color="auto" w:fill="FFFFFF"/>
        <w:spacing w:line="440" w:lineRule="exact"/>
        <w:ind w:firstLine="641"/>
        <w:jc w:val="left"/>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（一）代理机构：禹州市政府采购中心</w:t>
      </w:r>
    </w:p>
    <w:p>
      <w:pPr>
        <w:widowControl/>
        <w:shd w:val="clear" w:color="auto" w:fill="FFFFFF"/>
        <w:spacing w:line="440" w:lineRule="exact"/>
        <w:ind w:firstLine="641"/>
        <w:jc w:val="left"/>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地址：禹州市行政服务中心楼91</w:t>
      </w:r>
      <w:r>
        <w:rPr>
          <w:rFonts w:hint="eastAsia" w:cs="仿宋" w:asciiTheme="majorEastAsia" w:hAnsiTheme="majorEastAsia" w:eastAsiaTheme="majorEastAsia"/>
          <w:color w:val="000000"/>
          <w:kern w:val="0"/>
          <w:szCs w:val="21"/>
          <w:lang w:val="en-US" w:eastAsia="zh-CN"/>
        </w:rPr>
        <w:t>1</w:t>
      </w:r>
      <w:r>
        <w:rPr>
          <w:rFonts w:hint="eastAsia" w:cs="仿宋" w:asciiTheme="majorEastAsia" w:hAnsiTheme="majorEastAsia" w:eastAsiaTheme="majorEastAsia"/>
          <w:color w:val="000000"/>
          <w:kern w:val="0"/>
          <w:szCs w:val="21"/>
        </w:rPr>
        <w:t>房间</w:t>
      </w:r>
    </w:p>
    <w:p>
      <w:pPr>
        <w:widowControl/>
        <w:shd w:val="clear" w:color="auto" w:fill="FFFFFF"/>
        <w:spacing w:line="440" w:lineRule="exact"/>
        <w:ind w:firstLine="641"/>
        <w:jc w:val="left"/>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联系人：侯女士    联系电话：0374-2077111</w:t>
      </w:r>
    </w:p>
    <w:p>
      <w:pPr>
        <w:widowControl/>
        <w:numPr>
          <w:ilvl w:val="0"/>
          <w:numId w:val="8"/>
        </w:numPr>
        <w:shd w:val="clear" w:color="auto" w:fill="FFFFFF"/>
        <w:spacing w:line="440" w:lineRule="exact"/>
        <w:ind w:firstLine="641"/>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采购单位：</w:t>
      </w:r>
      <w:r>
        <w:rPr>
          <w:rFonts w:hint="eastAsia" w:cs="仿宋" w:asciiTheme="majorEastAsia" w:hAnsiTheme="majorEastAsia" w:eastAsiaTheme="majorEastAsia"/>
          <w:szCs w:val="21"/>
        </w:rPr>
        <w:t>禹州市教育体育局</w:t>
      </w:r>
    </w:p>
    <w:p>
      <w:pPr>
        <w:widowControl/>
        <w:numPr>
          <w:ilvl w:val="0"/>
          <w:numId w:val="8"/>
        </w:numPr>
        <w:shd w:val="clear" w:color="auto" w:fill="FFFFFF"/>
        <w:spacing w:line="440" w:lineRule="exact"/>
        <w:ind w:firstLine="641"/>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地址：</w:t>
      </w:r>
      <w:r>
        <w:rPr>
          <w:rFonts w:hint="eastAsia" w:cs="仿宋" w:asciiTheme="majorEastAsia" w:hAnsiTheme="majorEastAsia" w:eastAsiaTheme="majorEastAsia"/>
          <w:szCs w:val="21"/>
        </w:rPr>
        <w:t>禹州市禹王大道东段</w:t>
      </w:r>
    </w:p>
    <w:p>
      <w:pPr>
        <w:widowControl/>
        <w:shd w:val="clear" w:color="auto" w:fill="FFFFFF"/>
        <w:spacing w:line="440" w:lineRule="exact"/>
        <w:ind w:firstLine="840" w:firstLineChars="400"/>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联系人：张先生      联系电话：0374-8880067</w:t>
      </w:r>
    </w:p>
    <w:p>
      <w:pPr>
        <w:spacing w:line="360" w:lineRule="auto"/>
        <w:rPr>
          <w:rFonts w:hAnsi="宋体"/>
          <w:b/>
          <w:sz w:val="28"/>
          <w:szCs w:val="28"/>
        </w:rPr>
      </w:pPr>
    </w:p>
    <w:p>
      <w:pPr>
        <w:spacing w:line="360" w:lineRule="auto"/>
        <w:rPr>
          <w:rFonts w:hAnsi="宋体"/>
          <w:b/>
          <w:sz w:val="28"/>
          <w:szCs w:val="28"/>
        </w:rPr>
      </w:pPr>
    </w:p>
    <w:p>
      <w:pPr>
        <w:pStyle w:val="2"/>
      </w:pPr>
    </w:p>
    <w:p>
      <w:pPr>
        <w:pStyle w:val="2"/>
      </w:pPr>
    </w:p>
    <w:p>
      <w:pPr>
        <w:pStyle w:val="2"/>
      </w:pPr>
    </w:p>
    <w:p>
      <w:pPr>
        <w:pStyle w:val="2"/>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6"/>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1.</w:t>
      </w:r>
      <w:r>
        <w:rPr>
          <w:rFonts w:hint="eastAsia" w:hAnsi="宋体"/>
          <w:b/>
          <w:color w:val="FF0000"/>
          <w:szCs w:val="21"/>
        </w:rPr>
        <w:t>投标人应按招标文件规定编制、提交、解密电子投标文件。</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2</w:t>
      </w:r>
      <w:r>
        <w:rPr>
          <w:rFonts w:asciiTheme="minorEastAsia" w:hAnsiTheme="minorEastAsia"/>
          <w:b/>
          <w:color w:val="FF0000"/>
          <w:szCs w:val="21"/>
        </w:rPr>
        <w:t>.</w:t>
      </w:r>
      <w:r>
        <w:rPr>
          <w:rFonts w:hint="eastAsia" w:hAnsi="宋体"/>
          <w:b/>
          <w:color w:val="FF0000"/>
          <w:szCs w:val="21"/>
        </w:rPr>
        <w:t>电子文件下载、制作、提交期间和远程不见面开标（</w:t>
      </w:r>
      <w:r>
        <w:rPr>
          <w:rFonts w:hint="eastAsia" w:hAnsi="宋体"/>
          <w:color w:val="FF0000"/>
          <w:szCs w:val="21"/>
        </w:rPr>
        <w:t>电子投标文件的解密</w:t>
      </w:r>
      <w:r>
        <w:rPr>
          <w:rFonts w:hint="eastAsia" w:hAnsi="宋体"/>
          <w:b/>
          <w:color w:val="FF0000"/>
          <w:szCs w:val="21"/>
        </w:rPr>
        <w:t>）环节，投标人须使用同一个</w:t>
      </w:r>
      <w:r>
        <w:rPr>
          <w:rFonts w:hAnsi="宋体"/>
          <w:b/>
          <w:color w:val="FF0000"/>
          <w:szCs w:val="21"/>
        </w:rPr>
        <w:t>CA数字证书</w:t>
      </w:r>
      <w:r>
        <w:rPr>
          <w:rFonts w:hint="eastAsia" w:hAnsi="宋体"/>
          <w:b/>
          <w:color w:val="FF0000"/>
          <w:szCs w:val="21"/>
        </w:rPr>
        <w:t>（证书须在有效期内并可正常使用）</w:t>
      </w:r>
      <w:r>
        <w:rPr>
          <w:rFonts w:hAnsi="宋体"/>
          <w:b/>
          <w:color w:val="FF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3"/>
          <w:rFonts w:hAnsi="宋体"/>
          <w:szCs w:val="21"/>
        </w:rPr>
        <w:t>http://221.14.6.70:8088/ggzy/</w:t>
      </w:r>
      <w:r>
        <w:rPr>
          <w:rStyle w:val="33"/>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FF0000"/>
          <w:szCs w:val="21"/>
        </w:rPr>
      </w:pPr>
      <w:r>
        <w:rPr>
          <w:rFonts w:hint="eastAsia" w:hAnsi="宋体"/>
          <w:color w:val="FF0000"/>
          <w:szCs w:val="21"/>
        </w:rPr>
        <w:t>一个标段对应生成一个文件夹（xxxx项目xx标段）,其中后缀名为“</w:t>
      </w:r>
      <w:r>
        <w:rPr>
          <w:rFonts w:hAnsi="宋体"/>
          <w:color w:val="FF0000"/>
          <w:szCs w:val="21"/>
        </w:rPr>
        <w:t>.file</w:t>
      </w:r>
      <w:r>
        <w:rPr>
          <w:rFonts w:hint="eastAsia" w:hAnsi="宋体"/>
          <w:color w:val="FF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w:t>
      </w:r>
      <w:r>
        <w:rPr>
          <w:rFonts w:hint="eastAsia" w:asciiTheme="minorEastAsia" w:hAnsiTheme="minorEastAsia"/>
          <w:color w:val="FF0000"/>
          <w:szCs w:val="21"/>
        </w:rPr>
        <w:t>加密</w:t>
      </w:r>
      <w:r>
        <w:rPr>
          <w:rFonts w:hint="eastAsia" w:hAnsi="宋体"/>
          <w:color w:val="FF0000"/>
          <w:szCs w:val="21"/>
        </w:rPr>
        <w:t>电子投标文件应按规定在投标截止时间</w:t>
      </w:r>
      <w:r>
        <w:rPr>
          <w:rFonts w:hint="eastAsia" w:hAnsi="宋体"/>
          <w:color w:val="000000"/>
          <w:szCs w:val="21"/>
        </w:rPr>
        <w:t>（开标时间）之前成功提交至《全国公共资源交易平台(河南省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3"/>
          <w:rFonts w:hAnsi="宋体"/>
          <w:szCs w:val="21"/>
        </w:rPr>
        <w:t>http://221.14.6.70:8088/ggzy/</w:t>
      </w:r>
      <w:r>
        <w:rPr>
          <w:rStyle w:val="33"/>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FF0000"/>
          <w:szCs w:val="21"/>
        </w:rPr>
      </w:pPr>
      <w:r>
        <w:rPr>
          <w:rFonts w:asciiTheme="minorEastAsia" w:hAnsiTheme="minorEastAsia"/>
          <w:color w:val="FF0000"/>
          <w:szCs w:val="21"/>
        </w:rPr>
        <w:t>4</w:t>
      </w:r>
      <w:r>
        <w:rPr>
          <w:rFonts w:hint="eastAsia" w:asciiTheme="minorEastAsia" w:hAnsiTheme="minorEastAsia"/>
          <w:color w:val="FF0000"/>
          <w:szCs w:val="21"/>
        </w:rPr>
        <w:t>.</w:t>
      </w:r>
      <w:r>
        <w:rPr>
          <w:rFonts w:asciiTheme="minorEastAsia" w:hAnsiTheme="minorEastAsia"/>
          <w:color w:val="FF0000"/>
          <w:szCs w:val="21"/>
        </w:rPr>
        <w:t>3</w:t>
      </w:r>
      <w:r>
        <w:rPr>
          <w:rFonts w:hint="eastAsia" w:asciiTheme="minorEastAsia" w:hAnsiTheme="minorEastAsia"/>
          <w:color w:val="FF0000"/>
          <w:szCs w:val="21"/>
        </w:rPr>
        <w:t xml:space="preserve"> 加密</w:t>
      </w:r>
      <w:r>
        <w:rPr>
          <w:rFonts w:hint="eastAsia" w:hAnsi="宋体"/>
          <w:color w:val="FF0000"/>
          <w:szCs w:val="21"/>
        </w:rPr>
        <w:t>电子投标文件成功提交后，《全国公共资源交易平台(河南省</w:t>
      </w:r>
      <w:r>
        <w:rPr>
          <w:rFonts w:hint="eastAsia" w:ascii="MS Mincho" w:hAnsi="MS Mincho" w:eastAsia="MS Mincho" w:cs="MS Mincho"/>
          <w:color w:val="FF0000"/>
          <w:szCs w:val="21"/>
        </w:rPr>
        <w:t>▪</w:t>
      </w:r>
      <w:r>
        <w:rPr>
          <w:rFonts w:hint="eastAsia" w:ascii="宋体" w:hAnsi="宋体" w:eastAsia="宋体" w:cs="宋体"/>
          <w:color w:val="FF0000"/>
          <w:szCs w:val="21"/>
        </w:rPr>
        <w:t>许昌市</w:t>
      </w:r>
      <w:r>
        <w:rPr>
          <w:rFonts w:hint="eastAsia" w:hAnsi="宋体"/>
          <w:color w:val="FF0000"/>
          <w:szCs w:val="21"/>
        </w:rPr>
        <w:t>)》公共资源交易系统（</w:t>
      </w:r>
      <w:r>
        <w:fldChar w:fldCharType="begin"/>
      </w:r>
      <w:r>
        <w:instrText xml:space="preserve"> HYPERLINK "http://221.14.6.70:8088/ggzy/" </w:instrText>
      </w:r>
      <w:r>
        <w:fldChar w:fldCharType="separate"/>
      </w:r>
      <w:r>
        <w:rPr>
          <w:rStyle w:val="33"/>
          <w:rFonts w:hAnsi="宋体"/>
          <w:color w:val="FF0000"/>
          <w:szCs w:val="21"/>
        </w:rPr>
        <w:t>http://221.14.6.70:8088/ggzy/</w:t>
      </w:r>
      <w:r>
        <w:rPr>
          <w:rStyle w:val="33"/>
          <w:rFonts w:hAnsi="宋体"/>
          <w:color w:val="FF0000"/>
          <w:szCs w:val="21"/>
        </w:rPr>
        <w:fldChar w:fldCharType="end"/>
      </w:r>
      <w:r>
        <w:rPr>
          <w:rFonts w:hint="eastAsia" w:hAnsi="宋体"/>
          <w:color w:val="FF0000"/>
          <w:szCs w:val="21"/>
        </w:rPr>
        <w:t>）</w:t>
      </w:r>
      <w:r>
        <w:rPr>
          <w:rFonts w:hint="eastAsia" w:cs="仿宋_GB2312" w:asciiTheme="minorEastAsia" w:hAnsiTheme="minorEastAsia"/>
          <w:color w:val="FF0000"/>
          <w:szCs w:val="21"/>
        </w:rPr>
        <w:t>生成“投标文件提交回执单”。</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5.远程不见面开标（</w:t>
      </w:r>
      <w:r>
        <w:rPr>
          <w:rFonts w:hint="eastAsia" w:hAnsi="宋体"/>
          <w:b/>
          <w:color w:val="FF0000"/>
          <w:szCs w:val="21"/>
        </w:rPr>
        <w:t>电子投标文件的解密</w:t>
      </w:r>
      <w:r>
        <w:rPr>
          <w:rFonts w:hint="eastAsia" w:asciiTheme="minorEastAsia" w:hAnsiTheme="minorEastAsia"/>
          <w:b/>
          <w:color w:val="FF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6.</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FF0000"/>
          <w:szCs w:val="21"/>
        </w:rPr>
      </w:pPr>
      <w:r>
        <w:rPr>
          <w:rFonts w:hint="eastAsia" w:asciiTheme="minorEastAsia" w:hAnsiTheme="minorEastAsia"/>
          <w:color w:val="FF0000"/>
          <w:szCs w:val="21"/>
        </w:rPr>
        <w:t>6.1</w:t>
      </w:r>
      <w:r>
        <w:rPr>
          <w:rFonts w:hint="eastAsia" w:hAnsi="宋体"/>
          <w:color w:val="FF0000"/>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FF0000"/>
          <w:szCs w:val="21"/>
        </w:rPr>
      </w:pPr>
      <w:r>
        <w:rPr>
          <w:rFonts w:hint="eastAsia" w:asciiTheme="minorEastAsia" w:hAnsiTheme="minorEastAsia"/>
          <w:color w:val="FF0000"/>
          <w:szCs w:val="21"/>
        </w:rPr>
        <w:t>6.2 评标期间，投标人应保持通讯手机畅通。</w:t>
      </w:r>
      <w:r>
        <w:rPr>
          <w:rFonts w:hint="eastAsia" w:cs="宋体" w:asciiTheme="minorEastAsia" w:hAnsiTheme="minorEastAsia"/>
          <w:color w:val="FF0000"/>
          <w:kern w:val="0"/>
          <w:szCs w:val="21"/>
        </w:rPr>
        <w:t>评标委员会</w:t>
      </w:r>
      <w:r>
        <w:rPr>
          <w:rFonts w:hint="eastAsia" w:asciiTheme="minorEastAsia" w:hAnsiTheme="minorEastAsia"/>
          <w:color w:val="FF0000"/>
          <w:szCs w:val="21"/>
        </w:rPr>
        <w:t>如</w:t>
      </w:r>
      <w:r>
        <w:rPr>
          <w:rFonts w:hint="eastAsia" w:cs="宋体" w:asciiTheme="minorEastAsia" w:hAnsiTheme="minorEastAsia"/>
          <w:color w:val="FF0000"/>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FF0000"/>
        </w:rPr>
      </w:pPr>
      <w:r>
        <w:rPr>
          <w:rFonts w:hint="eastAsia" w:cs="宋体" w:asciiTheme="minorEastAsia" w:hAnsiTheme="minorEastAsia"/>
          <w:color w:val="FF0000"/>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9"/>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pStyle w:val="2"/>
      </w:pPr>
    </w:p>
    <w:p>
      <w:pPr>
        <w:widowControl/>
        <w:shd w:val="clear" w:color="auto" w:fill="FFFFFF"/>
        <w:spacing w:line="560" w:lineRule="exact"/>
        <w:ind w:firstLine="600"/>
        <w:jc w:val="left"/>
        <w:rPr>
          <w:rFonts w:ascii="新宋体" w:hAnsi="新宋体" w:eastAsia="新宋体" w:cs="新宋体"/>
          <w:szCs w:val="21"/>
          <w:lang w:val="zh-CN"/>
        </w:rPr>
      </w:pPr>
      <w:r>
        <w:rPr>
          <w:rFonts w:hint="eastAsia" w:cs="黑体" w:asciiTheme="minorEastAsia" w:hAnsiTheme="minorEastAsia"/>
          <w:b/>
          <w:bCs/>
          <w:color w:val="000000"/>
          <w:sz w:val="24"/>
          <w:szCs w:val="24"/>
          <w:shd w:val="clear" w:color="auto" w:fill="FFFFFF"/>
        </w:rPr>
        <w:t>一、</w:t>
      </w:r>
      <w:r>
        <w:rPr>
          <w:rFonts w:hint="eastAsia" w:cs="黑体" w:asciiTheme="minorEastAsia" w:hAnsiTheme="minorEastAsia"/>
          <w:b/>
          <w:bCs/>
          <w:color w:val="000000"/>
          <w:szCs w:val="21"/>
          <w:shd w:val="clear" w:color="auto" w:fill="FFFFFF"/>
        </w:rPr>
        <w:t>本项目需实现的功能或者目标：</w:t>
      </w:r>
      <w:r>
        <w:rPr>
          <w:rFonts w:hint="eastAsia" w:ascii="新宋体" w:hAnsi="新宋体" w:eastAsia="新宋体" w:cs="新宋体"/>
          <w:szCs w:val="21"/>
          <w:lang w:val="zh-CN"/>
        </w:rPr>
        <w:t>解决农村义务教育寄宿制学校学生取暖问题。</w:t>
      </w:r>
    </w:p>
    <w:p>
      <w:pPr>
        <w:widowControl/>
        <w:shd w:val="clear" w:color="auto" w:fill="FFFFFF"/>
        <w:spacing w:line="360" w:lineRule="auto"/>
        <w:ind w:firstLine="628" w:firstLineChars="298"/>
        <w:contextualSpacing/>
        <w:jc w:val="left"/>
        <w:rPr>
          <w:rFonts w:cs="黑体" w:asciiTheme="minorEastAsia" w:hAnsiTheme="minorEastAsia"/>
          <w:b/>
          <w:bCs/>
          <w:color w:val="000000"/>
          <w:szCs w:val="21"/>
          <w:shd w:val="clear" w:color="auto" w:fill="FFFFFF"/>
        </w:rPr>
      </w:pPr>
      <w:r>
        <w:rPr>
          <w:rFonts w:hint="eastAsia" w:cs="黑体" w:asciiTheme="minorEastAsia" w:hAnsiTheme="minorEastAsia"/>
          <w:b/>
          <w:bCs/>
          <w:color w:val="000000"/>
          <w:szCs w:val="21"/>
          <w:shd w:val="clear" w:color="auto" w:fill="FFFFFF"/>
        </w:rPr>
        <w:t>二、采购清单：</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020"/>
        <w:gridCol w:w="4225"/>
        <w:gridCol w:w="184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新宋体" w:hAnsi="新宋体" w:eastAsia="新宋体" w:cs="新宋体"/>
                <w:b/>
                <w:szCs w:val="21"/>
                <w:lang w:val="zh-CN"/>
              </w:rPr>
            </w:pPr>
            <w:r>
              <w:rPr>
                <w:rFonts w:hint="eastAsia" w:ascii="新宋体" w:hAnsi="新宋体" w:eastAsia="新宋体" w:cs="新宋体"/>
                <w:b/>
                <w:szCs w:val="21"/>
                <w:lang w:val="zh-CN"/>
              </w:rPr>
              <w:t>序号</w:t>
            </w:r>
          </w:p>
        </w:tc>
        <w:tc>
          <w:tcPr>
            <w:tcW w:w="1020" w:type="dxa"/>
            <w:vAlign w:val="center"/>
          </w:tcPr>
          <w:p>
            <w:pPr>
              <w:jc w:val="center"/>
              <w:rPr>
                <w:rFonts w:ascii="新宋体" w:hAnsi="新宋体" w:eastAsia="新宋体" w:cs="新宋体"/>
                <w:b/>
                <w:szCs w:val="21"/>
                <w:lang w:val="zh-CN"/>
              </w:rPr>
            </w:pPr>
            <w:r>
              <w:rPr>
                <w:rFonts w:hint="eastAsia" w:ascii="新宋体" w:hAnsi="新宋体" w:eastAsia="新宋体" w:cs="新宋体"/>
                <w:b/>
                <w:szCs w:val="21"/>
                <w:lang w:val="zh-CN"/>
              </w:rPr>
              <w:t>设备</w:t>
            </w:r>
          </w:p>
          <w:p>
            <w:pPr>
              <w:jc w:val="center"/>
              <w:rPr>
                <w:rFonts w:ascii="新宋体" w:hAnsi="新宋体" w:eastAsia="新宋体" w:cs="新宋体"/>
                <w:b/>
                <w:szCs w:val="21"/>
                <w:lang w:val="zh-CN"/>
              </w:rPr>
            </w:pPr>
            <w:r>
              <w:rPr>
                <w:rFonts w:hint="eastAsia" w:ascii="新宋体" w:hAnsi="新宋体" w:eastAsia="新宋体" w:cs="新宋体"/>
                <w:b/>
                <w:szCs w:val="21"/>
                <w:lang w:val="zh-CN"/>
              </w:rPr>
              <w:t>名称</w:t>
            </w:r>
          </w:p>
        </w:tc>
        <w:tc>
          <w:tcPr>
            <w:tcW w:w="4225" w:type="dxa"/>
            <w:vAlign w:val="center"/>
          </w:tcPr>
          <w:p>
            <w:pPr>
              <w:jc w:val="center"/>
              <w:rPr>
                <w:rFonts w:ascii="新宋体" w:hAnsi="新宋体" w:eastAsia="新宋体" w:cs="新宋体"/>
                <w:b/>
                <w:szCs w:val="21"/>
                <w:lang w:val="zh-CN"/>
              </w:rPr>
            </w:pPr>
            <w:r>
              <w:rPr>
                <w:rFonts w:hint="eastAsia" w:ascii="新宋体" w:hAnsi="新宋体" w:eastAsia="新宋体" w:cs="新宋体"/>
                <w:b/>
                <w:szCs w:val="21"/>
                <w:lang w:val="zh-CN"/>
              </w:rPr>
              <w:t>详细技术参数</w:t>
            </w:r>
          </w:p>
        </w:tc>
        <w:tc>
          <w:tcPr>
            <w:tcW w:w="1843" w:type="dxa"/>
            <w:vAlign w:val="center"/>
          </w:tcPr>
          <w:p>
            <w:pPr>
              <w:jc w:val="center"/>
              <w:rPr>
                <w:rFonts w:ascii="新宋体" w:hAnsi="新宋体" w:eastAsia="新宋体" w:cs="新宋体"/>
                <w:b/>
                <w:szCs w:val="21"/>
                <w:lang w:val="zh-CN"/>
              </w:rPr>
            </w:pPr>
            <w:r>
              <w:rPr>
                <w:rFonts w:hint="eastAsia" w:ascii="新宋体" w:hAnsi="新宋体" w:eastAsia="新宋体" w:cs="新宋体"/>
                <w:b/>
                <w:szCs w:val="21"/>
                <w:lang w:val="zh-CN"/>
              </w:rPr>
              <w:t>数量</w:t>
            </w:r>
          </w:p>
        </w:tc>
        <w:tc>
          <w:tcPr>
            <w:tcW w:w="1155" w:type="dxa"/>
            <w:vAlign w:val="center"/>
          </w:tcPr>
          <w:p>
            <w:pPr>
              <w:jc w:val="center"/>
              <w:rPr>
                <w:rFonts w:ascii="新宋体" w:hAnsi="新宋体" w:eastAsia="新宋体" w:cs="新宋体"/>
                <w:b/>
                <w:szCs w:val="21"/>
                <w:lang w:val="zh-CN"/>
              </w:rPr>
            </w:pPr>
            <w:r>
              <w:rPr>
                <w:rFonts w:ascii="新宋体" w:hAnsi="新宋体" w:eastAsia="新宋体" w:cs="新宋体"/>
                <w:b/>
                <w:szCs w:val="21"/>
                <w:lang w:val="zh-CN"/>
              </w:rPr>
              <w:t>是否为</w:t>
            </w:r>
          </w:p>
          <w:p>
            <w:pPr>
              <w:jc w:val="center"/>
              <w:rPr>
                <w:rFonts w:ascii="新宋体" w:hAnsi="新宋体" w:eastAsia="新宋体" w:cs="新宋体"/>
                <w:b/>
                <w:szCs w:val="21"/>
                <w:lang w:val="zh-CN"/>
              </w:rPr>
            </w:pPr>
            <w:r>
              <w:rPr>
                <w:rFonts w:ascii="新宋体" w:hAnsi="新宋体" w:eastAsia="新宋体" w:cs="新宋体"/>
                <w:b/>
                <w:szCs w:val="21"/>
                <w:lang w:val="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新宋体" w:hAnsi="新宋体" w:eastAsia="新宋体" w:cs="新宋体"/>
                <w:szCs w:val="21"/>
                <w:lang w:val="zh-CN"/>
              </w:rPr>
            </w:pPr>
            <w:r>
              <w:rPr>
                <w:rFonts w:hint="eastAsia" w:ascii="新宋体" w:hAnsi="新宋体" w:eastAsia="新宋体" w:cs="新宋体"/>
                <w:szCs w:val="21"/>
                <w:lang w:val="zh-CN"/>
              </w:rPr>
              <w:t>1</w:t>
            </w:r>
          </w:p>
        </w:tc>
        <w:tc>
          <w:tcPr>
            <w:tcW w:w="1020" w:type="dxa"/>
            <w:vAlign w:val="center"/>
          </w:tcPr>
          <w:p>
            <w:pPr>
              <w:jc w:val="center"/>
              <w:rPr>
                <w:rFonts w:ascii="新宋体" w:hAnsi="新宋体" w:eastAsia="新宋体" w:cs="新宋体"/>
                <w:lang w:val="zh-CN"/>
              </w:rPr>
            </w:pPr>
            <w:r>
              <w:rPr>
                <w:rFonts w:hint="eastAsia" w:ascii="新宋体" w:hAnsi="新宋体" w:eastAsia="新宋体" w:cs="新宋体"/>
                <w:lang w:val="zh-CN"/>
              </w:rPr>
              <w:t>挂式</w:t>
            </w:r>
          </w:p>
          <w:p>
            <w:pPr>
              <w:jc w:val="center"/>
              <w:rPr>
                <w:rFonts w:ascii="新宋体" w:hAnsi="新宋体" w:eastAsia="新宋体" w:cs="新宋体"/>
                <w:szCs w:val="21"/>
                <w:lang w:val="zh-CN"/>
              </w:rPr>
            </w:pPr>
            <w:r>
              <w:rPr>
                <w:rFonts w:hint="eastAsia" w:ascii="新宋体" w:hAnsi="新宋体" w:eastAsia="新宋体" w:cs="新宋体"/>
                <w:lang w:val="zh-CN"/>
              </w:rPr>
              <w:t>空调</w:t>
            </w:r>
          </w:p>
        </w:tc>
        <w:tc>
          <w:tcPr>
            <w:tcW w:w="4225" w:type="dxa"/>
          </w:tcPr>
          <w:p>
            <w:pPr>
              <w:pStyle w:val="74"/>
              <w:ind w:firstLineChars="0"/>
              <w:rPr>
                <w:rFonts w:ascii="新宋体" w:hAnsi="新宋体" w:eastAsia="新宋体" w:cs="新宋体"/>
                <w:lang w:val="zh-CN"/>
              </w:rPr>
            </w:pPr>
            <w:r>
              <w:rPr>
                <w:rFonts w:hint="eastAsia" w:ascii="新宋体" w:hAnsi="新宋体" w:eastAsia="新宋体" w:cs="新宋体"/>
                <w:lang w:val="zh-CN"/>
              </w:rPr>
              <w:t>APF：≥4.8</w:t>
            </w:r>
          </w:p>
          <w:p>
            <w:pPr>
              <w:pStyle w:val="74"/>
              <w:ind w:firstLineChars="0"/>
              <w:rPr>
                <w:rFonts w:ascii="新宋体" w:hAnsi="新宋体" w:eastAsia="新宋体" w:cs="新宋体"/>
                <w:lang w:val="zh-CN"/>
              </w:rPr>
            </w:pPr>
            <w:r>
              <w:rPr>
                <w:rFonts w:hint="eastAsia" w:ascii="新宋体" w:hAnsi="新宋体" w:eastAsia="新宋体" w:cs="新宋体"/>
                <w:lang w:val="zh-CN"/>
              </w:rPr>
              <w:t>制冷量： ≥3500W</w:t>
            </w:r>
          </w:p>
          <w:p>
            <w:pPr>
              <w:pStyle w:val="74"/>
              <w:ind w:firstLineChars="0"/>
              <w:rPr>
                <w:rFonts w:ascii="新宋体" w:hAnsi="新宋体" w:eastAsia="新宋体" w:cs="新宋体"/>
                <w:lang w:val="zh-CN"/>
              </w:rPr>
            </w:pPr>
            <w:r>
              <w:rPr>
                <w:rFonts w:hint="eastAsia" w:ascii="新宋体" w:hAnsi="新宋体" w:eastAsia="新宋体" w:cs="新宋体"/>
                <w:lang w:val="zh-CN"/>
              </w:rPr>
              <w:t>制冷功率：≤900W</w:t>
            </w:r>
          </w:p>
          <w:p>
            <w:pPr>
              <w:pStyle w:val="74"/>
              <w:ind w:firstLineChars="0"/>
              <w:rPr>
                <w:rFonts w:ascii="新宋体" w:hAnsi="新宋体" w:eastAsia="新宋体" w:cs="新宋体"/>
                <w:lang w:val="zh-CN"/>
              </w:rPr>
            </w:pPr>
            <w:r>
              <w:rPr>
                <w:rFonts w:hint="eastAsia" w:ascii="新宋体" w:hAnsi="新宋体" w:eastAsia="新宋体" w:cs="新宋体"/>
                <w:lang w:val="zh-CN"/>
              </w:rPr>
              <w:t>制热量（不含电辅）：≥4900W</w:t>
            </w:r>
          </w:p>
          <w:p>
            <w:pPr>
              <w:pStyle w:val="74"/>
              <w:ind w:firstLineChars="0"/>
              <w:rPr>
                <w:rFonts w:ascii="新宋体" w:hAnsi="新宋体" w:eastAsia="新宋体" w:cs="新宋体"/>
                <w:lang w:val="zh-CN"/>
              </w:rPr>
            </w:pPr>
            <w:r>
              <w:rPr>
                <w:rFonts w:hint="eastAsia" w:ascii="新宋体" w:hAnsi="新宋体" w:eastAsia="新宋体" w:cs="新宋体"/>
                <w:lang w:val="zh-CN"/>
              </w:rPr>
              <w:t>制热功率：≤1350W</w:t>
            </w:r>
          </w:p>
          <w:p>
            <w:pPr>
              <w:pStyle w:val="74"/>
              <w:ind w:firstLineChars="0"/>
              <w:rPr>
                <w:rFonts w:ascii="新宋体" w:hAnsi="新宋体" w:eastAsia="新宋体" w:cs="新宋体"/>
                <w:lang w:val="zh-CN"/>
              </w:rPr>
            </w:pPr>
            <w:r>
              <w:rPr>
                <w:rFonts w:hint="eastAsia" w:ascii="新宋体" w:hAnsi="新宋体" w:eastAsia="新宋体" w:cs="新宋体"/>
                <w:lang w:val="zh-CN"/>
              </w:rPr>
              <w:t>电辅加热≥950W</w:t>
            </w:r>
          </w:p>
          <w:p>
            <w:pPr>
              <w:pStyle w:val="74"/>
              <w:ind w:firstLineChars="0"/>
              <w:rPr>
                <w:rFonts w:ascii="新宋体" w:hAnsi="新宋体" w:eastAsia="新宋体" w:cs="新宋体"/>
                <w:lang w:val="zh-CN"/>
              </w:rPr>
            </w:pPr>
            <w:r>
              <w:rPr>
                <w:rFonts w:hint="eastAsia" w:ascii="新宋体" w:hAnsi="新宋体" w:eastAsia="新宋体" w:cs="新宋体"/>
                <w:lang w:val="zh-CN"/>
              </w:rPr>
              <w:t>室内噪音（高风档）：≤42dB</w:t>
            </w:r>
          </w:p>
          <w:p>
            <w:pPr>
              <w:pStyle w:val="74"/>
              <w:ind w:firstLineChars="0"/>
              <w:rPr>
                <w:rFonts w:ascii="新宋体" w:hAnsi="新宋体" w:eastAsia="新宋体" w:cs="新宋体"/>
                <w:lang w:val="zh-CN"/>
              </w:rPr>
            </w:pPr>
            <w:r>
              <w:rPr>
                <w:rFonts w:hint="eastAsia" w:ascii="新宋体" w:hAnsi="新宋体" w:eastAsia="新宋体" w:cs="新宋体"/>
                <w:lang w:val="zh-CN"/>
              </w:rPr>
              <w:t>室外噪音：≤52dB</w:t>
            </w:r>
          </w:p>
          <w:p>
            <w:pPr>
              <w:pStyle w:val="74"/>
              <w:ind w:firstLineChars="0"/>
              <w:rPr>
                <w:rFonts w:ascii="新宋体" w:hAnsi="新宋体" w:eastAsia="新宋体" w:cs="新宋体"/>
                <w:lang w:val="zh-CN"/>
              </w:rPr>
            </w:pPr>
            <w:r>
              <w:rPr>
                <w:rFonts w:hint="eastAsia" w:ascii="新宋体" w:hAnsi="新宋体" w:eastAsia="新宋体" w:cs="新宋体"/>
                <w:lang w:val="zh-CN"/>
              </w:rPr>
              <w:t>循环风量：≥600（m³/h）</w:t>
            </w:r>
          </w:p>
        </w:tc>
        <w:tc>
          <w:tcPr>
            <w:tcW w:w="1843" w:type="dxa"/>
            <w:vAlign w:val="center"/>
          </w:tcPr>
          <w:p>
            <w:pPr>
              <w:jc w:val="center"/>
              <w:rPr>
                <w:rFonts w:ascii="新宋体" w:hAnsi="新宋体" w:eastAsia="新宋体" w:cs="新宋体"/>
                <w:szCs w:val="21"/>
                <w:lang w:val="zh-CN"/>
              </w:rPr>
            </w:pPr>
            <w:r>
              <w:rPr>
                <w:rFonts w:hint="eastAsia" w:ascii="新宋体" w:hAnsi="新宋体" w:eastAsia="新宋体" w:cs="新宋体"/>
                <w:szCs w:val="21"/>
                <w:lang w:val="zh-CN"/>
              </w:rPr>
              <w:t>2000台</w:t>
            </w:r>
          </w:p>
        </w:tc>
        <w:tc>
          <w:tcPr>
            <w:tcW w:w="1155" w:type="dxa"/>
            <w:vAlign w:val="center"/>
          </w:tcPr>
          <w:p>
            <w:pPr>
              <w:jc w:val="center"/>
              <w:rPr>
                <w:rFonts w:ascii="新宋体" w:hAnsi="新宋体" w:eastAsia="新宋体" w:cs="新宋体"/>
                <w:szCs w:val="21"/>
                <w:lang w:val="zh-CN"/>
              </w:rPr>
            </w:pPr>
            <w:r>
              <w:rPr>
                <w:rFonts w:ascii="新宋体" w:hAnsi="新宋体" w:eastAsia="新宋体" w:cs="新宋体"/>
                <w:szCs w:val="21"/>
                <w:lang w:val="zh-CN"/>
              </w:rPr>
              <w:t>是</w:t>
            </w:r>
          </w:p>
        </w:tc>
      </w:tr>
    </w:tbl>
    <w:p>
      <w:pPr>
        <w:pStyle w:val="2"/>
      </w:pPr>
    </w:p>
    <w:p>
      <w:pPr>
        <w:spacing w:line="360" w:lineRule="auto"/>
        <w:ind w:firstLine="422" w:firstLine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三、采购标的执行标准：</w:t>
      </w:r>
    </w:p>
    <w:p>
      <w:pPr>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1、国家标准：</w:t>
      </w:r>
    </w:p>
    <w:p>
      <w:pPr>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（1）强制性产品认证</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kern w:val="0"/>
          <w:szCs w:val="21"/>
        </w:rPr>
        <w:t>（2）信息安全产品强制性认证</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szCs w:val="21"/>
          <w:lang w:val="zh-CN"/>
        </w:rPr>
        <w:t>如供应商所投产品</w:t>
      </w:r>
      <w:r>
        <w:rPr>
          <w:rFonts w:hint="eastAsia" w:ascii="新宋体" w:hAnsi="新宋体" w:eastAsia="新宋体" w:cs="新宋体"/>
          <w:kern w:val="0"/>
          <w:szCs w:val="21"/>
        </w:rPr>
        <w:t>属于《信息安全产品强制性认证目录》，供应商不能提供超出此目录范畴外的替代品并须在响应文件中提供：</w:t>
      </w:r>
    </w:p>
    <w:p>
      <w:pPr>
        <w:wordWrap w:val="0"/>
        <w:spacing w:line="360" w:lineRule="auto"/>
        <w:ind w:firstLine="420" w:firstLineChars="200"/>
        <w:contextualSpacing/>
        <w:rPr>
          <w:rFonts w:ascii="新宋体" w:hAnsi="新宋体" w:eastAsia="新宋体" w:cs="新宋体"/>
          <w:szCs w:val="21"/>
        </w:rPr>
      </w:pPr>
      <w:r>
        <w:rPr>
          <w:rFonts w:hint="eastAsia" w:ascii="新宋体" w:hAnsi="新宋体" w:eastAsia="新宋体" w:cs="新宋体"/>
          <w:szCs w:val="21"/>
        </w:rPr>
        <w:t>①</w:t>
      </w:r>
      <w:r>
        <w:rPr>
          <w:rFonts w:hint="eastAsia" w:ascii="新宋体" w:hAnsi="新宋体" w:eastAsia="新宋体" w:cs="新宋体"/>
          <w:szCs w:val="21"/>
          <w:lang w:val="zh-CN"/>
        </w:rPr>
        <w:t>中国信息安全认证中心官网</w:t>
      </w:r>
      <w:r>
        <w:rPr>
          <w:rFonts w:hint="eastAsia" w:ascii="新宋体" w:hAnsi="新宋体" w:eastAsia="新宋体" w:cs="新宋体"/>
          <w:szCs w:val="21"/>
        </w:rPr>
        <w:t>（http://www.isccc.gov.cn/index.shtml）</w:t>
      </w:r>
      <w:r>
        <w:rPr>
          <w:rFonts w:hint="eastAsia" w:ascii="新宋体" w:hAnsi="新宋体" w:eastAsia="新宋体" w:cs="新宋体"/>
          <w:szCs w:val="21"/>
          <w:lang w:val="zh-CN"/>
        </w:rPr>
        <w:t>产品查询结果截图并加盖供应商公章</w:t>
      </w:r>
      <w:r>
        <w:rPr>
          <w:rFonts w:hint="eastAsia" w:ascii="新宋体" w:hAnsi="新宋体" w:eastAsia="新宋体" w:cs="新宋体"/>
          <w:szCs w:val="21"/>
        </w:rPr>
        <w:t>；</w:t>
      </w:r>
    </w:p>
    <w:p>
      <w:pPr>
        <w:wordWrap w:val="0"/>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②中国信息安全认证中心颁发的《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新宋体" w:hAnsi="新宋体" w:eastAsia="新宋体" w:cs="新宋体"/>
          <w:szCs w:val="21"/>
          <w:lang w:val="zh-CN"/>
        </w:rPr>
        <w:t>中国国家信息安全产品认证证书</w:t>
      </w:r>
      <w:r>
        <w:rPr>
          <w:rFonts w:hint="eastAsia" w:ascii="新宋体" w:hAnsi="新宋体" w:eastAsia="新宋体" w:cs="新宋体"/>
          <w:szCs w:val="21"/>
          <w:lang w:val="zh-CN"/>
        </w:rPr>
        <w:fldChar w:fldCharType="end"/>
      </w:r>
      <w:r>
        <w:rPr>
          <w:rFonts w:hint="eastAsia" w:ascii="新宋体" w:hAnsi="新宋体" w:eastAsia="新宋体" w:cs="新宋体"/>
          <w:szCs w:val="21"/>
          <w:lang w:val="zh-CN"/>
        </w:rPr>
        <w:t>》的原件扫描件（或图片）并加盖供应商公章。</w:t>
      </w:r>
    </w:p>
    <w:p>
      <w:pPr>
        <w:wordWrap w:val="0"/>
        <w:spacing w:line="360" w:lineRule="auto"/>
        <w:ind w:firstLine="420" w:firstLineChars="200"/>
        <w:contextualSpacing/>
        <w:rPr>
          <w:rFonts w:ascii="新宋体" w:hAnsi="新宋体" w:eastAsia="新宋体" w:cs="新宋体"/>
          <w:color w:val="000000"/>
          <w:szCs w:val="21"/>
        </w:rPr>
      </w:pPr>
      <w:r>
        <w:rPr>
          <w:rFonts w:hint="eastAsia" w:ascii="新宋体" w:hAnsi="新宋体" w:eastAsia="新宋体" w:cs="新宋体"/>
          <w:szCs w:val="21"/>
          <w:lang w:val="zh-CN"/>
        </w:rPr>
        <w:t>注：仅需提供序号</w:t>
      </w:r>
      <w:r>
        <w:rPr>
          <w:rFonts w:hint="eastAsia" w:ascii="新宋体" w:hAnsi="新宋体" w:eastAsia="新宋体" w:cs="新宋体"/>
          <w:color w:val="000000"/>
          <w:szCs w:val="21"/>
        </w:rPr>
        <w:t>①～②其中之一即可。</w:t>
      </w:r>
    </w:p>
    <w:p>
      <w:pPr>
        <w:numPr>
          <w:ilvl w:val="0"/>
          <w:numId w:val="10"/>
        </w:numPr>
        <w:spacing w:line="360" w:lineRule="auto"/>
        <w:ind w:left="420" w:left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服务标准、期限、效率等要求：</w:t>
      </w:r>
    </w:p>
    <w:p>
      <w:pPr>
        <w:pStyle w:val="45"/>
        <w:ind w:left="420" w:firstLine="0" w:firstLineChars="0"/>
        <w:rPr>
          <w:rFonts w:ascii="新宋体" w:hAnsi="新宋体" w:eastAsia="新宋体" w:cs="新宋体"/>
          <w:szCs w:val="21"/>
          <w:lang w:val="zh-CN"/>
        </w:rPr>
      </w:pPr>
      <w:r>
        <w:rPr>
          <w:rFonts w:hint="eastAsia" w:ascii="新宋体" w:hAnsi="新宋体" w:eastAsia="新宋体" w:cs="新宋体"/>
          <w:szCs w:val="21"/>
          <w:lang w:val="zh-CN"/>
        </w:rPr>
        <w:t>质保期内免费维修，质保期内发生故障或质量问题，卖方在接到通知后30分钟内进行响应，1小时到达，6小时内处理问题，否则需提供备用机直至原设备修好为止。</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五、采购标的的其他技术、服务等要求：</w:t>
      </w:r>
    </w:p>
    <w:p>
      <w:pPr>
        <w:pStyle w:val="45"/>
        <w:spacing w:line="360" w:lineRule="auto"/>
        <w:ind w:left="420" w:firstLine="0" w:firstLineChars="0"/>
        <w:rPr>
          <w:rFonts w:ascii="新宋体" w:hAnsi="新宋体" w:eastAsia="新宋体" w:cs="新宋体"/>
          <w:szCs w:val="21"/>
          <w:lang w:val="zh-CN"/>
        </w:rPr>
      </w:pPr>
      <w:r>
        <w:rPr>
          <w:rFonts w:hint="eastAsia" w:ascii="新宋体" w:hAnsi="新宋体" w:eastAsia="新宋体" w:cs="新宋体"/>
          <w:szCs w:val="21"/>
          <w:lang w:val="zh-CN"/>
        </w:rPr>
        <w:t>1、投标人须明确投标产品的厂家、产地、品牌、型号、等参数，否则为无效投标。</w:t>
      </w:r>
    </w:p>
    <w:p>
      <w:pPr>
        <w:spacing w:line="500" w:lineRule="exact"/>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2、投标人应就本项目完整投标，报价含税费、设备、材料、元件等购置、安装调试、验收、与其它施工单位协作所产生的费用等综合费用，否则为无效投标。</w:t>
      </w:r>
    </w:p>
    <w:p>
      <w:pPr>
        <w:spacing w:line="500" w:lineRule="exact"/>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3、投标人须有完整的技术方案，否则为无效投标。</w:t>
      </w:r>
    </w:p>
    <w:p>
      <w:pPr>
        <w:spacing w:line="500" w:lineRule="exact"/>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4、产品必须符合国家质量检测标准和本招标文件规定标准的全新正品现货，供货时提供随货物《产品合格证》及其它相关质量证明文件。</w:t>
      </w:r>
    </w:p>
    <w:p>
      <w:pPr>
        <w:spacing w:line="500" w:lineRule="exact"/>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5、投标人应具有完善的的售后服务，免费培训操作及维修人员，免费负责设备的安装及调试。投标人须明确质保期限，须明确维修地点、负责人、联系人和联系电话，维修点具备什么样的维修能力等详细资料。</w:t>
      </w:r>
    </w:p>
    <w:p>
      <w:pPr>
        <w:wordWrap w:val="0"/>
        <w:topLinePunct/>
        <w:snapToGrid w:val="0"/>
        <w:spacing w:line="360" w:lineRule="auto"/>
        <w:ind w:firstLine="422" w:firstLineChars="200"/>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六、验收标准：</w:t>
      </w:r>
    </w:p>
    <w:p>
      <w:pPr>
        <w:widowControl/>
        <w:shd w:val="clear" w:color="auto" w:fill="FFFFFF"/>
        <w:spacing w:line="360" w:lineRule="auto"/>
        <w:ind w:firstLine="600"/>
        <w:jc w:val="left"/>
        <w:rPr>
          <w:rFonts w:ascii="新宋体" w:hAnsi="新宋体" w:eastAsia="新宋体" w:cs="新宋体"/>
          <w:kern w:val="0"/>
          <w:szCs w:val="21"/>
        </w:rPr>
      </w:pPr>
      <w:r>
        <w:rPr>
          <w:rFonts w:hint="eastAsia" w:ascii="新宋体" w:hAnsi="新宋体" w:eastAsia="新宋体" w:cs="新宋体"/>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1、按照国家相关标准、行业标准、地方标准或者其他标准、规范验收；</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2、按照招标文件要求、投标文件响应和承诺验收；</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3、符合招标文件要求和投标文件承诺。</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560" w:lineRule="exact"/>
        <w:ind w:firstLine="600"/>
        <w:jc w:val="left"/>
        <w:rPr>
          <w:rFonts w:ascii="新宋体" w:hAnsi="新宋体" w:eastAsia="新宋体" w:cs="新宋体"/>
          <w:szCs w:val="21"/>
        </w:rPr>
      </w:pPr>
      <w:r>
        <w:rPr>
          <w:rFonts w:hint="eastAsia" w:ascii="新宋体" w:hAnsi="新宋体" w:eastAsia="新宋体" w:cs="新宋体"/>
          <w:kern w:val="0"/>
          <w:szCs w:val="21"/>
        </w:rPr>
        <w:t>（一）支付方式：</w:t>
      </w:r>
      <w:r>
        <w:rPr>
          <w:rFonts w:hint="eastAsia" w:ascii="新宋体" w:hAnsi="新宋体" w:eastAsia="新宋体" w:cs="新宋体"/>
          <w:szCs w:val="21"/>
        </w:rPr>
        <w:t>按照合同约定，经验收合格后申请支付。</w:t>
      </w:r>
    </w:p>
    <w:p>
      <w:pPr>
        <w:widowControl/>
        <w:shd w:val="clear" w:color="auto" w:fill="FFFFFF"/>
        <w:spacing w:line="560" w:lineRule="exact"/>
        <w:ind w:firstLine="600"/>
        <w:jc w:val="left"/>
        <w:rPr>
          <w:rFonts w:ascii="新宋体" w:hAnsi="新宋体" w:eastAsia="新宋体" w:cs="新宋体"/>
          <w:kern w:val="0"/>
          <w:szCs w:val="21"/>
        </w:rPr>
      </w:pPr>
      <w:r>
        <w:rPr>
          <w:rFonts w:hint="eastAsia" w:ascii="新宋体" w:hAnsi="新宋体" w:eastAsia="新宋体" w:cs="新宋体"/>
          <w:kern w:val="0"/>
          <w:szCs w:val="21"/>
        </w:rPr>
        <w:t>（二）支付时间及条件：以签订合同为准。</w:t>
      </w:r>
    </w:p>
    <w:p>
      <w:pPr>
        <w:widowControl/>
        <w:jc w:val="left"/>
        <w:rPr>
          <w:rFonts w:cs="宋体" w:asciiTheme="majorEastAsia" w:hAnsiTheme="majorEastAsia" w:eastAsiaTheme="majorEastAsia"/>
          <w:b/>
          <w:kern w:val="0"/>
          <w:szCs w:val="21"/>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8"/>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94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943" w:type="dxa"/>
          </w:tcPr>
          <w:p>
            <w:pPr>
              <w:widowControl/>
              <w:shd w:val="clear" w:color="auto" w:fill="FFFFFF"/>
              <w:spacing w:line="560" w:lineRule="exact"/>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 w:asciiTheme="majorEastAsia" w:hAnsiTheme="majorEastAsia" w:eastAsiaTheme="majorEastAsia"/>
                <w:szCs w:val="21"/>
              </w:rPr>
              <w:t>禹州市教育体育局河南省农村义务教育寄宿学校“温暖工程”项目</w:t>
            </w:r>
            <w:r>
              <w:rPr>
                <w:rFonts w:hint="eastAsia" w:cs="仿宋_GB2312" w:asciiTheme="minorEastAsia" w:hAnsiTheme="minorEastAsia"/>
                <w:szCs w:val="21"/>
              </w:rPr>
              <w:t>（不见面开标）</w:t>
            </w:r>
          </w:p>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采购编号：YZCG-G2021064</w:t>
            </w:r>
          </w:p>
          <w:p>
            <w:pPr>
              <w:widowControl/>
              <w:shd w:val="clear" w:color="auto" w:fill="FFFFFF"/>
              <w:spacing w:line="560" w:lineRule="exact"/>
              <w:jc w:val="left"/>
              <w:rPr>
                <w:rFonts w:cs="仿宋_GB2312" w:asciiTheme="minorEastAsia" w:hAnsiTheme="minorEastAsia"/>
                <w:szCs w:val="21"/>
              </w:rPr>
            </w:pPr>
            <w:r>
              <w:rPr>
                <w:rFonts w:hint="eastAsia" w:cs="仿宋_GB2312" w:asciiTheme="minorEastAsia" w:hAnsiTheme="minorEastAsia"/>
                <w:szCs w:val="21"/>
              </w:rPr>
              <w:t>交付（服务、完工）时间：签订合同后20日内完成采购、安装、调试。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943" w:type="dxa"/>
            <w:vAlign w:val="center"/>
          </w:tcPr>
          <w:p>
            <w:pPr>
              <w:pStyle w:val="25"/>
              <w:widowControl/>
              <w:shd w:val="clear" w:color="auto" w:fill="FFFFFF"/>
              <w:spacing w:line="360" w:lineRule="auto"/>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采购人：禹州市教育体育局</w:t>
            </w:r>
          </w:p>
          <w:p>
            <w:pPr>
              <w:pStyle w:val="25"/>
              <w:widowControl/>
              <w:shd w:val="clear" w:color="auto" w:fill="FFFFFF"/>
              <w:spacing w:line="360" w:lineRule="auto"/>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地址：禹州市禹王大道</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联系人：张先生  联系电话：0374-8880067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地址：禹州市行政服务中心楼91</w:t>
            </w:r>
            <w:r>
              <w:rPr>
                <w:rFonts w:hint="eastAsia" w:cs="仿宋_GB2312" w:asciiTheme="minorEastAsia" w:hAnsiTheme="minorEastAsia"/>
                <w:szCs w:val="21"/>
                <w:lang w:val="en-US" w:eastAsia="zh-CN"/>
              </w:rPr>
              <w:t>1</w:t>
            </w:r>
            <w:r>
              <w:rPr>
                <w:rFonts w:hint="eastAsia" w:cs="仿宋_GB2312" w:asciiTheme="minorEastAsia" w:hAnsiTheme="minorEastAsia"/>
                <w:szCs w:val="21"/>
              </w:rPr>
              <w:t>房间</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联系电话：0374-2077111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94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FF0000"/>
                <w:szCs w:val="21"/>
              </w:rPr>
              <w:t>①2019年度或2020年度经审计的财务报告，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600万元，超出最高限价的投标无效。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94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94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94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2021</w:t>
            </w:r>
            <w:r>
              <w:rPr>
                <w:rFonts w:hint="eastAsia" w:cs="宋体" w:asciiTheme="minorEastAsia" w:hAnsiTheme="minorEastAsia"/>
                <w:bCs/>
                <w:szCs w:val="21"/>
                <w:lang w:val="zh-CN"/>
              </w:rPr>
              <w:t xml:space="preserve">年 </w:t>
            </w:r>
            <w:r>
              <w:rPr>
                <w:rFonts w:hint="eastAsia" w:cs="宋体" w:asciiTheme="minorEastAsia" w:hAnsiTheme="minorEastAsia"/>
                <w:bCs/>
                <w:szCs w:val="21"/>
              </w:rPr>
              <w:t>12</w:t>
            </w:r>
            <w:r>
              <w:rPr>
                <w:rFonts w:hint="eastAsia" w:cs="宋体" w:asciiTheme="minorEastAsia" w:hAnsiTheme="minorEastAsia"/>
                <w:bCs/>
                <w:szCs w:val="21"/>
                <w:lang w:val="zh-CN"/>
              </w:rPr>
              <w:t>月</w:t>
            </w:r>
            <w:r>
              <w:rPr>
                <w:rFonts w:hint="eastAsia" w:cs="宋体" w:asciiTheme="minorEastAsia" w:hAnsiTheme="minorEastAsia"/>
                <w:bCs/>
                <w:szCs w:val="21"/>
              </w:rPr>
              <w:t>27</w:t>
            </w:r>
            <w:r>
              <w:rPr>
                <w:rFonts w:hint="eastAsia" w:cs="宋体" w:asciiTheme="minorEastAsia" w:hAnsiTheme="minorEastAsia"/>
                <w:bCs/>
                <w:szCs w:val="21"/>
                <w:lang w:val="zh-CN"/>
              </w:rPr>
              <w:t>日</w:t>
            </w:r>
            <w:r>
              <w:rPr>
                <w:rFonts w:hint="eastAsia" w:cs="宋体" w:asciiTheme="minorEastAsia" w:hAnsiTheme="minorEastAsia"/>
                <w:bCs/>
                <w:szCs w:val="21"/>
              </w:rPr>
              <w:t>10：30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仿宋_GB2312" w:asciiTheme="minorEastAsia" w:hAnsiTheme="minorEastAsia"/>
                <w:color w:val="FF0000"/>
                <w:szCs w:val="21"/>
              </w:rPr>
              <w:t>（本项目采用远程不见面开标，供应商无须到达现场）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94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94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943" w:type="dxa"/>
            <w:vAlign w:val="center"/>
          </w:tcPr>
          <w:p>
            <w:pPr>
              <w:autoSpaceDE w:val="0"/>
              <w:autoSpaceDN w:val="0"/>
              <w:adjustRightInd w:val="0"/>
              <w:spacing w:line="360" w:lineRule="auto"/>
              <w:rPr>
                <w:rFonts w:cs="宋体" w:asciiTheme="minorEastAsia" w:hAnsiTheme="minorEastAsia"/>
                <w:color w:val="FF0000"/>
                <w:szCs w:val="21"/>
              </w:rPr>
            </w:pPr>
            <w:r>
              <w:rPr>
                <w:rFonts w:ascii="新宋体" w:hAnsi="新宋体" w:eastAsia="新宋体"/>
                <w:b/>
                <w:color w:val="FF0000"/>
                <w:szCs w:val="21"/>
              </w:rPr>
              <w:fldChar w:fldCharType="begin"/>
            </w:r>
            <w:r>
              <w:rPr>
                <w:rFonts w:hint="eastAsia" w:ascii="新宋体" w:hAnsi="新宋体" w:eastAsia="新宋体"/>
                <w:b/>
                <w:color w:val="FF0000"/>
                <w:szCs w:val="21"/>
              </w:rPr>
              <w:instrText xml:space="preserve">eq \o\ac(□,√)</w:instrText>
            </w:r>
            <w:r>
              <w:rPr>
                <w:rFonts w:ascii="新宋体" w:hAnsi="新宋体" w:eastAsia="新宋体"/>
                <w:b/>
                <w:color w:val="FF0000"/>
                <w:szCs w:val="21"/>
              </w:rPr>
              <w:fldChar w:fldCharType="end"/>
            </w:r>
            <w:r>
              <w:rPr>
                <w:rFonts w:hint="eastAsia" w:ascii="新宋体" w:hAnsi="新宋体" w:eastAsia="新宋体"/>
                <w:color w:val="FF0000"/>
                <w:szCs w:val="21"/>
              </w:rPr>
              <w:t>电子投标文件：成功上传至《全国公共资源交易平台（河南省·许昌市）》公共资源交易系统加密电子投标文件1份</w:t>
            </w:r>
            <w:r>
              <w:rPr>
                <w:rFonts w:hint="eastAsia" w:hAnsi="宋体" w:cs="宋体"/>
                <w:color w:val="FF0000"/>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94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94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FF0000"/>
              </w:rPr>
              <w:t>否则不得享受相关中小企业扶持政策。</w:t>
            </w:r>
          </w:p>
          <w:p>
            <w:pPr>
              <w:autoSpaceDE w:val="0"/>
              <w:autoSpaceDN w:val="0"/>
              <w:adjustRightInd w:val="0"/>
              <w:spacing w:line="360" w:lineRule="auto"/>
              <w:contextualSpacing/>
              <w:rPr>
                <w:rFonts w:ascii="ˎ̥" w:hAnsi="ˎ̥"/>
                <w:color w:val="FF0000"/>
              </w:rPr>
            </w:pPr>
            <w:r>
              <w:rPr>
                <w:rFonts w:hint="eastAsia" w:ascii="ˎ̥" w:hAnsi="ˎ̥"/>
                <w:color w:val="FF0000"/>
              </w:rPr>
              <w:t>2、本次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color w:val="FF0000"/>
              </w:rPr>
            </w:pPr>
            <w:r>
              <w:rPr>
                <w:rFonts w:hint="eastAsia" w:ascii="ˎ̥" w:hAnsi="ˎ̥"/>
                <w:color w:val="FF0000"/>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FF0000"/>
              </w:rPr>
            </w:pPr>
            <w:r>
              <w:rPr>
                <w:rFonts w:hint="eastAsia" w:ascii="ˎ̥" w:hAnsi="ˎ̥"/>
                <w:color w:val="FF0000"/>
              </w:rPr>
              <w:t>4、</w:t>
            </w:r>
            <w:r>
              <w:rPr>
                <w:rFonts w:ascii="ˎ̥" w:hAnsi="ˎ̥"/>
                <w:color w:val="FF0000"/>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FF0000"/>
              </w:rPr>
            </w:pPr>
            <w:r>
              <w:rPr>
                <w:rFonts w:hint="eastAsia" w:ascii="ˎ̥" w:hAnsi="ˎ̥"/>
                <w:color w:val="FF0000"/>
              </w:rPr>
              <w:t>5、</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FF0000"/>
              </w:rPr>
            </w:pPr>
            <w:r>
              <w:rPr>
                <w:rFonts w:hint="eastAsia" w:ascii="ˎ̥" w:hAnsi="ˎ̥"/>
                <w:color w:val="FF0000"/>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color w:val="FF0000"/>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94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94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送投标报价及分项报价一览表（包含主要中标标的的名称、规格型号、数量、单价、服务要求等）电子文档，并同时电话告知交易见证</w:t>
            </w:r>
            <w:r>
              <w:rPr>
                <w:rFonts w:hint="eastAsia" w:cs="宋体" w:asciiTheme="minorEastAsia" w:hAnsiTheme="minorEastAsia"/>
                <w:bCs/>
                <w:szCs w:val="21"/>
              </w:rPr>
              <w:t>部</w:t>
            </w:r>
            <w:r>
              <w:rPr>
                <w:rFonts w:hint="eastAsia" w:cs="宋体" w:asciiTheme="minorEastAsia" w:hAnsiTheme="minorEastAsia"/>
                <w:bCs/>
                <w:szCs w:val="21"/>
                <w:lang w:val="zh-CN"/>
              </w:rPr>
              <w:t>。联系电话：0374-</w:t>
            </w:r>
            <w:r>
              <w:rPr>
                <w:rFonts w:hint="eastAsia" w:cs="宋体" w:asciiTheme="minorEastAsia" w:hAnsiTheme="minorEastAsia"/>
                <w:bCs/>
                <w:szCs w:val="21"/>
              </w:rPr>
              <w:t>2077772</w:t>
            </w:r>
            <w:r>
              <w:rPr>
                <w:rFonts w:hint="eastAsia" w:cs="宋体" w:asciiTheme="minorEastAsia" w:hAnsiTheme="minorEastAsia"/>
                <w:bCs/>
                <w:szCs w:val="21"/>
                <w:lang w:val="zh-CN"/>
              </w:rPr>
              <w:t>；邮箱：</w:t>
            </w:r>
            <w:r>
              <w:rPr>
                <w:rFonts w:hint="eastAsia" w:cs="宋体" w:asciiTheme="minorEastAsia" w:hAnsiTheme="minorEastAsia"/>
                <w:color w:val="333333"/>
                <w:szCs w:val="21"/>
              </w:rPr>
              <w:t>YZGGZY2076770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943" w:type="dxa"/>
            <w:vAlign w:val="center"/>
          </w:tcPr>
          <w:p>
            <w:pPr>
              <w:autoSpaceDE w:val="0"/>
              <w:autoSpaceDN w:val="0"/>
              <w:adjustRightInd w:val="0"/>
              <w:spacing w:line="360" w:lineRule="auto"/>
              <w:contextualSpacing/>
              <w:rPr>
                <w:rFonts w:hAnsi="宋体" w:cs="宋体"/>
                <w:color w:val="FF0000"/>
                <w:szCs w:val="21"/>
                <w:lang w:val="zh-CN"/>
              </w:rPr>
            </w:pPr>
            <w:r>
              <w:rPr>
                <w:rFonts w:cs="宋体" w:asciiTheme="minorEastAsia" w:hAnsiTheme="minorEastAsia"/>
                <w:b/>
                <w:color w:val="FF0000"/>
                <w:kern w:val="0"/>
                <w:szCs w:val="21"/>
                <w:lang w:val="zh-CN"/>
              </w:rPr>
              <w:fldChar w:fldCharType="begin"/>
            </w:r>
            <w:r>
              <w:rPr>
                <w:rFonts w:hint="eastAsia" w:cs="宋体" w:asciiTheme="minorEastAsia" w:hAnsiTheme="minorEastAsia"/>
                <w:b/>
                <w:color w:val="FF0000"/>
                <w:kern w:val="0"/>
                <w:szCs w:val="21"/>
                <w:lang w:val="zh-CN"/>
              </w:rPr>
              <w:instrText xml:space="preserve">eq \o\ac(□,</w:instrText>
            </w:r>
            <w:r>
              <w:rPr>
                <w:rFonts w:hint="eastAsia" w:cs="宋体" w:asciiTheme="minorEastAsia" w:hAnsiTheme="minorEastAsia"/>
                <w:b/>
                <w:color w:val="FF0000"/>
                <w:kern w:val="0"/>
                <w:position w:val="2"/>
                <w:szCs w:val="21"/>
                <w:lang w:val="zh-CN"/>
              </w:rPr>
              <w:instrText xml:space="preserve">√</w:instrText>
            </w:r>
            <w:r>
              <w:rPr>
                <w:rFonts w:hint="eastAsia" w:cs="宋体" w:asciiTheme="minorEastAsia" w:hAnsiTheme="minorEastAsia"/>
                <w:b/>
                <w:color w:val="FF0000"/>
                <w:kern w:val="0"/>
                <w:szCs w:val="21"/>
                <w:lang w:val="zh-CN"/>
              </w:rPr>
              <w:instrText xml:space="preserve">)</w:instrText>
            </w:r>
            <w:r>
              <w:rPr>
                <w:rFonts w:cs="宋体" w:asciiTheme="minorEastAsia" w:hAnsiTheme="minorEastAsia"/>
                <w:b/>
                <w:color w:val="FF0000"/>
                <w:kern w:val="0"/>
                <w:szCs w:val="21"/>
                <w:lang w:val="zh-CN"/>
              </w:rPr>
              <w:fldChar w:fldCharType="end"/>
            </w:r>
            <w:r>
              <w:rPr>
                <w:rFonts w:hint="eastAsia" w:cs="宋体" w:asciiTheme="minorEastAsia" w:hAnsiTheme="minorEastAsia"/>
                <w:bCs/>
                <w:color w:val="FF0000"/>
                <w:szCs w:val="21"/>
                <w:lang w:val="zh-CN"/>
              </w:rPr>
              <w:t>是。</w:t>
            </w:r>
            <w:r>
              <w:rPr>
                <w:rFonts w:hint="eastAsia" w:hAnsi="宋体" w:cs="宋体"/>
                <w:color w:val="FF0000"/>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94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pStyle w:val="2"/>
              <w:numPr>
                <w:ilvl w:val="0"/>
                <w:numId w:val="7"/>
              </w:numPr>
              <w:ind w:firstLine="0" w:firstLineChars="0"/>
            </w:pPr>
            <w:r>
              <w:rPr>
                <w:rFonts w:hint="eastAsia"/>
              </w:rPr>
              <w:t>项目编号以本项目招标文件项目编号为准。</w:t>
            </w:r>
          </w:p>
          <w:p>
            <w:pPr>
              <w:pStyle w:val="2"/>
              <w:numPr>
                <w:ilvl w:val="0"/>
                <w:numId w:val="7"/>
              </w:numPr>
              <w:ind w:firstLine="0" w:firstLineChars="0"/>
            </w:pPr>
            <w:r>
              <w:rPr>
                <w:rFonts w:hint="eastAsia"/>
              </w:rPr>
              <w:t>投标文件格式先后顺序不作废标项处理。</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5"/>
        <w:autoSpaceDE w:val="0"/>
        <w:autoSpaceDN w:val="0"/>
        <w:spacing w:line="360" w:lineRule="auto"/>
        <w:ind w:left="780"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5"/>
        <w:numPr>
          <w:ilvl w:val="1"/>
          <w:numId w:val="11"/>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autoSpaceDE w:val="0"/>
        <w:autoSpaceDN w:val="0"/>
        <w:spacing w:line="360" w:lineRule="auto"/>
        <w:ind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5"/>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5"/>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3"/>
          <w:rFonts w:cs="宋体" w:asciiTheme="minorEastAsia" w:hAnsiTheme="minorEastAsia"/>
          <w:kern w:val="0"/>
          <w:szCs w:val="21"/>
        </w:rPr>
        <w:t>www.chinanpo.gov.cn</w:t>
      </w:r>
      <w:r>
        <w:rPr>
          <w:rStyle w:val="33"/>
          <w:rFonts w:cs="宋体" w:asciiTheme="minorEastAsia" w:hAnsiTheme="minorEastAsia"/>
          <w:kern w:val="0"/>
          <w:szCs w:val="21"/>
        </w:rPr>
        <w:fldChar w:fldCharType="end"/>
      </w:r>
      <w:r>
        <w:rPr>
          <w:rFonts w:hint="eastAsia" w:cs="宋体" w:asciiTheme="minorEastAsia" w:hAnsiTheme="minorEastAsia"/>
          <w:kern w:val="0"/>
          <w:szCs w:val="21"/>
        </w:rPr>
        <w:t>）；</w:t>
      </w:r>
    </w:p>
    <w:p>
      <w:pPr>
        <w:pStyle w:val="45"/>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5"/>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5"/>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5"/>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5"/>
        <w:numPr>
          <w:ilvl w:val="1"/>
          <w:numId w:val="11"/>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5"/>
        <w:numPr>
          <w:ilvl w:val="1"/>
          <w:numId w:val="11"/>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11"/>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numPr>
          <w:ilvl w:val="0"/>
          <w:numId w:val="1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5"/>
        <w:numPr>
          <w:ilvl w:val="0"/>
          <w:numId w:val="1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5"/>
        <w:numPr>
          <w:ilvl w:val="0"/>
          <w:numId w:val="1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5"/>
        <w:numPr>
          <w:ilvl w:val="0"/>
          <w:numId w:val="1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5"/>
        <w:numPr>
          <w:ilvl w:val="0"/>
          <w:numId w:val="14"/>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不收取费用。</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5"/>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5"/>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5"/>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5"/>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5"/>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5"/>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5"/>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5"/>
        <w:numPr>
          <w:ilvl w:val="1"/>
          <w:numId w:val="11"/>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FF0000"/>
          <w:kern w:val="0"/>
          <w:szCs w:val="21"/>
        </w:rPr>
        <w:t>.file</w:t>
      </w:r>
      <w:r>
        <w:rPr>
          <w:rFonts w:hint="eastAsia" w:cs="宋体" w:asciiTheme="minorEastAsia" w:hAnsiTheme="minorEastAsia"/>
          <w:color w:val="FF0000"/>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5"/>
        <w:numPr>
          <w:ilvl w:val="0"/>
          <w:numId w:val="18"/>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5"/>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5"/>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5"/>
        <w:numPr>
          <w:ilvl w:val="1"/>
          <w:numId w:val="11"/>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5"/>
        <w:numPr>
          <w:ilvl w:val="0"/>
          <w:numId w:val="18"/>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投标人必须在“投标邀请”和“投标人须知前附表”中规定的投标截止时间前，将</w:t>
      </w:r>
      <w:r>
        <w:rPr>
          <w:rFonts w:hint="eastAsia" w:cs="仿宋_GB2312" w:asciiTheme="minorEastAsia" w:hAnsiTheme="minorEastAsia"/>
          <w:color w:val="FF0000"/>
          <w:szCs w:val="21"/>
        </w:rPr>
        <w:t>加密电子投标文件</w:t>
      </w:r>
      <w:r>
        <w:rPr>
          <w:rFonts w:hint="eastAsia" w:cs="宋体" w:asciiTheme="minorEastAsia" w:hAnsiTheme="minorEastAsia"/>
          <w:color w:val="FF0000"/>
          <w:szCs w:val="21"/>
        </w:rPr>
        <w:t>（</w:t>
      </w:r>
      <w:r>
        <w:rPr>
          <w:rFonts w:asciiTheme="minorEastAsia" w:hAnsiTheme="minorEastAsia"/>
          <w:color w:val="FF0000"/>
          <w:szCs w:val="21"/>
        </w:rPr>
        <w:t>.file</w:t>
      </w:r>
      <w:r>
        <w:rPr>
          <w:rFonts w:hint="eastAsia" w:cs="宋体" w:asciiTheme="minorEastAsia" w:hAnsiTheme="minorEastAsia"/>
          <w:color w:val="FF0000"/>
          <w:szCs w:val="21"/>
        </w:rPr>
        <w:t>格式）</w:t>
      </w:r>
      <w:r>
        <w:rPr>
          <w:rFonts w:hint="eastAsia" w:cs="仿宋_GB2312" w:asciiTheme="minorEastAsia" w:hAnsiTheme="minorEastAsia"/>
          <w:color w:val="FF0000"/>
          <w:szCs w:val="21"/>
        </w:rPr>
        <w:t>通过《全国公共资源交易平台(河南省</w:t>
      </w:r>
      <w:r>
        <w:rPr>
          <w:rFonts w:hint="eastAsia" w:ascii="MS Mincho" w:hAnsi="MS Mincho" w:eastAsia="MS Mincho" w:cs="MS Mincho"/>
          <w:color w:val="FF0000"/>
          <w:szCs w:val="21"/>
        </w:rPr>
        <w:t>▪</w:t>
      </w:r>
      <w:r>
        <w:rPr>
          <w:rFonts w:hint="eastAsia" w:ascii="宋体" w:hAnsi="宋体" w:cs="宋体"/>
          <w:color w:val="FF0000"/>
          <w:szCs w:val="21"/>
        </w:rPr>
        <w:t>许昌市</w:t>
      </w:r>
      <w:r>
        <w:rPr>
          <w:rFonts w:hint="eastAsia" w:cs="仿宋_GB2312" w:asciiTheme="minorEastAsia" w:hAnsiTheme="minorEastAsia"/>
          <w:color w:val="FF0000"/>
          <w:szCs w:val="21"/>
        </w:rPr>
        <w:t>)》公共资源交易系统成功上传。</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5"/>
        <w:numPr>
          <w:ilvl w:val="0"/>
          <w:numId w:val="19"/>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投标人应当在投标截止时间前完成电子投标文件的提交，可以补充、修改或撤回。投标截止时间前未完成电子投标文件提交的，视为撤回投标文件。</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11"/>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投标人在提交投标文件后，可以撤回其投标，但投标人必须在规定的投标截止时间前以书面形式告知招标人。</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color w:val="FF0000"/>
          <w:kern w:val="0"/>
          <w:szCs w:val="21"/>
        </w:rPr>
      </w:pPr>
      <w:r>
        <w:rPr>
          <w:rFonts w:hint="eastAsia" w:cs="宋体" w:asciiTheme="minorEastAsia" w:hAnsiTheme="minorEastAsia"/>
          <w:b/>
          <w:color w:val="FF0000"/>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5"/>
        <w:numPr>
          <w:ilvl w:val="0"/>
          <w:numId w:val="2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招标人将按招标文件规定的时间和地点组织远程不见面开标。开标由代理机构主持，投标人无须到现场。评标委员会成员不得参加开标活动。</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5"/>
        <w:numPr>
          <w:ilvl w:val="1"/>
          <w:numId w:val="11"/>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FF0000"/>
          <w:szCs w:val="21"/>
        </w:rPr>
        <w:t>投标人选择功能栏“开标记录”按钮可查看</w:t>
      </w:r>
      <w:r>
        <w:rPr>
          <w:rFonts w:hint="eastAsia" w:cs="宋体" w:asciiTheme="minorEastAsia" w:hAnsiTheme="minorEastAsia"/>
          <w:color w:val="FF0000"/>
          <w:kern w:val="0"/>
          <w:szCs w:val="21"/>
        </w:rPr>
        <w:t>投标人名称、投标价格、修改和撤回投标的通知（如有的话）和招标文件规定的需要宣布的其他内容。</w:t>
      </w:r>
    </w:p>
    <w:p>
      <w:pPr>
        <w:pStyle w:val="45"/>
        <w:numPr>
          <w:ilvl w:val="1"/>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45"/>
        <w:numPr>
          <w:ilvl w:val="1"/>
          <w:numId w:val="22"/>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5"/>
        <w:numPr>
          <w:ilvl w:val="1"/>
          <w:numId w:val="23"/>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因投标人原因电子投标文件解密失败的，其投标将被拒绝。</w:t>
      </w:r>
    </w:p>
    <w:p>
      <w:pPr>
        <w:pStyle w:val="45"/>
        <w:numPr>
          <w:ilvl w:val="1"/>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5"/>
        <w:numPr>
          <w:ilvl w:val="1"/>
          <w:numId w:val="24"/>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开标过程由采购代理机构负责记录，</w:t>
      </w:r>
      <w:r>
        <w:rPr>
          <w:rFonts w:hint="eastAsia" w:hAnsi="宋体"/>
          <w:color w:val="FF0000"/>
          <w:szCs w:val="21"/>
        </w:rPr>
        <w:t>《开标记录表》经投标人进行电子签章、</w:t>
      </w:r>
      <w:r>
        <w:rPr>
          <w:rFonts w:hint="eastAsia" w:cs="宋体" w:asciiTheme="minorEastAsia" w:hAnsiTheme="minorEastAsia"/>
          <w:color w:val="FF0000"/>
          <w:kern w:val="0"/>
          <w:szCs w:val="21"/>
        </w:rPr>
        <w:t>由参加开标相关工作人员签字确认后随采购文件一并存档。</w:t>
      </w:r>
      <w:r>
        <w:rPr>
          <w:rFonts w:hint="eastAsia" w:hAnsi="宋体"/>
          <w:color w:val="FF0000"/>
          <w:szCs w:val="21"/>
        </w:rPr>
        <w:t>投标人未电子签章的，视同认可开标结果。</w:t>
      </w:r>
    </w:p>
    <w:p>
      <w:pPr>
        <w:pStyle w:val="45"/>
        <w:numPr>
          <w:ilvl w:val="1"/>
          <w:numId w:val="24"/>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5"/>
        <w:numPr>
          <w:ilvl w:val="1"/>
          <w:numId w:val="24"/>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项目远程不见面开标活动结束时，投标人应在《开标记录表》上进行电子签章。投标人未签章的，视同认可开标结果。</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5"/>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5"/>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5"/>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5"/>
        <w:numPr>
          <w:ilvl w:val="0"/>
          <w:numId w:val="2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5"/>
        <w:numPr>
          <w:ilvl w:val="0"/>
          <w:numId w:val="2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5"/>
        <w:numPr>
          <w:ilvl w:val="0"/>
          <w:numId w:val="2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5"/>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5"/>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5"/>
        <w:numPr>
          <w:ilvl w:val="0"/>
          <w:numId w:val="2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5"/>
        <w:numPr>
          <w:ilvl w:val="0"/>
          <w:numId w:val="2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5"/>
        <w:numPr>
          <w:ilvl w:val="0"/>
          <w:numId w:val="2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5"/>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5"/>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5"/>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5"/>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5"/>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5"/>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5"/>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5"/>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5"/>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5"/>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p>
    <w:p>
      <w:pPr>
        <w:pStyle w:val="45"/>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5"/>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5"/>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5"/>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5"/>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5"/>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5"/>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5"/>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5"/>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5"/>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5"/>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5"/>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5"/>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5"/>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5"/>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5"/>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5"/>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5"/>
        <w:numPr>
          <w:ilvl w:val="0"/>
          <w:numId w:val="48"/>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5"/>
        <w:numPr>
          <w:ilvl w:val="0"/>
          <w:numId w:val="48"/>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5"/>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5"/>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5"/>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5"/>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5"/>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5"/>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5"/>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5"/>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5"/>
        <w:numPr>
          <w:ilvl w:val="0"/>
          <w:numId w:val="5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5"/>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5"/>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5"/>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5"/>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5"/>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5"/>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5"/>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5"/>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5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5"/>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5"/>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5"/>
        <w:numPr>
          <w:ilvl w:val="0"/>
          <w:numId w:val="5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5"/>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5"/>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5"/>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5"/>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5"/>
        <w:numPr>
          <w:ilvl w:val="0"/>
          <w:numId w:val="6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6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61"/>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color w:val="FF0000"/>
          <w:kern w:val="0"/>
          <w:szCs w:val="21"/>
        </w:rPr>
        <w:t>对采购文件提出质疑的，</w:t>
      </w:r>
      <w:r>
        <w:rPr>
          <w:rFonts w:cs="宋体" w:asciiTheme="minorEastAsia" w:hAnsiTheme="minorEastAsia"/>
          <w:color w:val="FF0000"/>
          <w:kern w:val="0"/>
          <w:szCs w:val="21"/>
        </w:rPr>
        <w:t>潜在</w:t>
      </w:r>
      <w:r>
        <w:rPr>
          <w:rFonts w:hint="eastAsia" w:cs="宋体" w:asciiTheme="minorEastAsia" w:hAnsiTheme="minorEastAsia"/>
          <w:color w:val="FF0000"/>
          <w:kern w:val="0"/>
          <w:szCs w:val="21"/>
        </w:rPr>
        <w:t>投标人应</w:t>
      </w:r>
      <w:r>
        <w:rPr>
          <w:rFonts w:cs="宋体" w:asciiTheme="minorEastAsia" w:hAnsiTheme="minorEastAsia"/>
          <w:color w:val="FF0000"/>
          <w:kern w:val="0"/>
          <w:szCs w:val="21"/>
        </w:rPr>
        <w:t>已依法获取采购文件</w:t>
      </w:r>
      <w:r>
        <w:rPr>
          <w:rFonts w:hint="eastAsia" w:cs="宋体" w:asciiTheme="minorEastAsia" w:hAnsiTheme="minorEastAsia"/>
          <w:color w:val="FF0000"/>
          <w:kern w:val="0"/>
          <w:szCs w:val="21"/>
        </w:rPr>
        <w:t>，且应当在</w:t>
      </w:r>
      <w:r>
        <w:rPr>
          <w:rFonts w:cs="宋体" w:asciiTheme="minorEastAsia" w:hAnsiTheme="minorEastAsia"/>
          <w:color w:val="FF0000"/>
          <w:kern w:val="0"/>
          <w:szCs w:val="21"/>
        </w:rPr>
        <w:t>获取采购文件或者采购文件公告期限届满之日起7个工作日内</w:t>
      </w:r>
      <w:r>
        <w:rPr>
          <w:rFonts w:hint="eastAsia" w:cs="宋体" w:asciiTheme="minorEastAsia" w:hAnsiTheme="minorEastAsia"/>
          <w:color w:val="FF0000"/>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FF0000"/>
          <w:kern w:val="0"/>
          <w:szCs w:val="21"/>
        </w:rPr>
        <w:t>潜在</w:t>
      </w:r>
      <w:r>
        <w:rPr>
          <w:rFonts w:hint="eastAsia" w:cs="宋体" w:asciiTheme="minorEastAsia" w:hAnsiTheme="minorEastAsia"/>
          <w:color w:val="FF0000"/>
          <w:kern w:val="0"/>
          <w:szCs w:val="21"/>
        </w:rPr>
        <w:t>投标人应及时联系招标公告中集采机构联系人查看。如未提出视为全面接受；</w:t>
      </w:r>
    </w:p>
    <w:p>
      <w:pPr>
        <w:pStyle w:val="45"/>
        <w:numPr>
          <w:ilvl w:val="0"/>
          <w:numId w:val="61"/>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5"/>
        <w:numPr>
          <w:ilvl w:val="0"/>
          <w:numId w:val="61"/>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5"/>
        <w:numPr>
          <w:ilvl w:val="1"/>
          <w:numId w:val="62"/>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5"/>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5"/>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6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6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ascii="宋体" w:hAnsi="宋体" w:eastAsia="宋体" w:cs="宋体"/>
          <w:color w:val="333333"/>
          <w:sz w:val="24"/>
          <w:szCs w:val="24"/>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pPr>
        <w:pStyle w:val="45"/>
        <w:numPr>
          <w:ilvl w:val="0"/>
          <w:numId w:val="62"/>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 xml:space="preserve"> 政府采购合同融资</w:t>
      </w:r>
    </w:p>
    <w:p>
      <w:pPr>
        <w:pStyle w:val="45"/>
        <w:numPr>
          <w:ilvl w:val="1"/>
          <w:numId w:val="64"/>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2"/>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color w:val="FF0000"/>
        </w:rPr>
        <w:t>1、本</w:t>
      </w:r>
      <w:r>
        <w:rPr>
          <w:rFonts w:hint="eastAsia" w:cs="仿宋_GB2312" w:asciiTheme="minorEastAsia" w:hAnsiTheme="minor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FF0000"/>
        </w:rPr>
      </w:pPr>
      <w:r>
        <w:rPr>
          <w:rFonts w:hint="eastAsia" w:ascii="ˎ̥" w:hAnsi="ˎ̥"/>
          <w:color w:val="FF0000"/>
        </w:rPr>
        <w:t>2、</w:t>
      </w:r>
      <w:r>
        <w:rPr>
          <w:rFonts w:ascii="ˎ̥" w:hAnsi="ˎ̥"/>
          <w:color w:val="FF0000"/>
        </w:rPr>
        <w:t>在货物采购项目中，供应商提供的货物既有中小企业制造货物，也有大型企业制造货物的，不享受</w:t>
      </w:r>
      <w:r>
        <w:rPr>
          <w:rFonts w:hint="eastAsia" w:cs="仿宋_GB2312" w:asciiTheme="minorEastAsia" w:hAnsiTheme="minorEastAsia"/>
          <w:color w:val="FF0000"/>
          <w:szCs w:val="21"/>
          <w:lang w:val="zh-CN"/>
        </w:rPr>
        <w:t>《政府采购促进中小企业发展管理办法》（财库[2020]46号）</w:t>
      </w:r>
      <w:r>
        <w:rPr>
          <w:rFonts w:ascii="ˎ̥" w:hAnsi="ˎ̥"/>
          <w:color w:val="FF0000"/>
        </w:rPr>
        <w:t>规定的中小企业扶持政策。</w:t>
      </w:r>
    </w:p>
    <w:p>
      <w:pPr>
        <w:spacing w:line="360" w:lineRule="auto"/>
        <w:ind w:firstLine="420" w:firstLineChars="200"/>
        <w:contextualSpacing/>
        <w:rPr>
          <w:rFonts w:ascii="ˎ̥" w:hAnsi="ˎ̥"/>
          <w:color w:val="FF0000"/>
        </w:rPr>
      </w:pPr>
      <w:r>
        <w:rPr>
          <w:rFonts w:hint="eastAsia" w:ascii="ˎ̥" w:hAnsi="ˎ̥"/>
          <w:color w:val="FF0000"/>
        </w:rPr>
        <w:t>3、</w:t>
      </w:r>
      <w:r>
        <w:rPr>
          <w:rFonts w:ascii="ˎ̥" w:hAnsi="ˎ̥"/>
          <w:color w:val="FF0000"/>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FF0000"/>
        </w:rPr>
      </w:pPr>
      <w:r>
        <w:rPr>
          <w:rFonts w:hint="eastAsia" w:ascii="ˎ̥" w:hAnsi="ˎ̥"/>
          <w:color w:val="FF0000"/>
        </w:rPr>
        <w:t>4、</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FF0000"/>
        </w:rPr>
      </w:pPr>
      <w:r>
        <w:rPr>
          <w:rFonts w:hint="eastAsia" w:ascii="ˎ̥" w:hAnsi="ˎ̥"/>
          <w:color w:val="FF0000"/>
        </w:rPr>
        <w:t>5、按照本次采购标的所属行业的划型标准，符合条件的中小企业应按照招标文件格式要求提供《中小企业声明函》，</w:t>
      </w:r>
      <w:r>
        <w:rPr>
          <w:rFonts w:ascii="ˎ̥" w:hAnsi="ˎ̥"/>
          <w:color w:val="FF0000"/>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color w:val="FF0000"/>
                <w:szCs w:val="21"/>
              </w:rPr>
            </w:pPr>
            <w:r>
              <w:rPr>
                <w:rFonts w:hint="eastAsia" w:asciiTheme="minorEastAsia" w:hAnsiTheme="minorEastAsia"/>
                <w:bCs/>
                <w:szCs w:val="21"/>
              </w:rPr>
              <w:t>①</w:t>
            </w:r>
            <w:r>
              <w:rPr>
                <w:rFonts w:hint="eastAsia" w:asciiTheme="minorEastAsia" w:hAnsiTheme="minorEastAsia"/>
                <w:bCs/>
                <w:color w:val="FF0000"/>
                <w:szCs w:val="21"/>
              </w:rPr>
              <w:t>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color w:val="FF0000"/>
                <w:szCs w:val="21"/>
              </w:rPr>
              <w:t>2019年度或2020年度经审计的财务报告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3"/>
                <w:rFonts w:hint="eastAsia" w:asciiTheme="minorEastAsia" w:hAnsiTheme="minorEastAsia"/>
                <w:bCs/>
                <w:szCs w:val="21"/>
              </w:rPr>
              <w:t>www.creditchina.gov.cn</w:t>
            </w:r>
            <w:r>
              <w:rPr>
                <w:rStyle w:val="33"/>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ascii="ˎ̥" w:hAnsi="ˎ̥"/>
          <w:color w:val="FF0000"/>
        </w:rPr>
      </w:pPr>
      <w:r>
        <w:rPr>
          <w:rFonts w:hint="eastAsia" w:cs="仿宋_GB2312" w:asciiTheme="minorEastAsia" w:hAnsiTheme="minorEastAsia" w:eastAsiaTheme="minorEastAsia"/>
          <w:sz w:val="21"/>
          <w:szCs w:val="21"/>
          <w:lang w:val="zh-CN"/>
        </w:rPr>
        <w:t>1）</w:t>
      </w:r>
      <w:r>
        <w:rPr>
          <w:rFonts w:hint="eastAsia" w:ascii="ˎ̥" w:hAnsi="ˎ̥"/>
          <w:color w:val="FF0000"/>
          <w:sz w:val="21"/>
          <w:szCs w:val="21"/>
        </w:rPr>
        <w:t>如果本项目非专门面向中小企业采购，对</w:t>
      </w:r>
      <w:r>
        <w:rPr>
          <w:rFonts w:ascii="ˎ̥" w:hAnsi="ˎ̥"/>
          <w:color w:val="FF0000"/>
          <w:sz w:val="21"/>
          <w:szCs w:val="21"/>
        </w:rPr>
        <w:t>符合</w:t>
      </w:r>
      <w:r>
        <w:rPr>
          <w:rFonts w:hint="eastAsia" w:ascii="ˎ̥" w:hAnsi="ˎ̥"/>
          <w:color w:val="FF0000"/>
          <w:sz w:val="21"/>
          <w:szCs w:val="21"/>
        </w:rPr>
        <w:t>《政府采购促进中小企业发展管理办法》(财库〔2020〕46号</w:t>
      </w:r>
      <w:r>
        <w:rPr>
          <w:rFonts w:ascii="ˎ̥" w:hAnsi="ˎ̥"/>
          <w:color w:val="FF0000"/>
          <w:sz w:val="21"/>
          <w:szCs w:val="21"/>
        </w:rPr>
        <w:t>规定的小微企业报价</w:t>
      </w:r>
      <w:r>
        <w:rPr>
          <w:rFonts w:hint="eastAsia" w:ascii="ˎ̥" w:hAnsi="ˎ̥"/>
          <w:color w:val="FF0000"/>
          <w:sz w:val="21"/>
          <w:szCs w:val="21"/>
        </w:rPr>
        <w:t>给予6%的扣除，用扣除后的价格参与评审。</w:t>
      </w:r>
      <w:r>
        <w:rPr>
          <w:rFonts w:ascii="ˎ̥" w:hAnsi="ˎ̥"/>
          <w:color w:val="FF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FF0000"/>
          <w:sz w:val="21"/>
          <w:szCs w:val="21"/>
        </w:rPr>
        <w:t>按照本次采购标的所属行业的划型标准，符合条件的中小企业应按照招标文件格式要求提供《中小企业声明函》，</w:t>
      </w:r>
      <w:r>
        <w:rPr>
          <w:rFonts w:ascii="ˎ̥" w:hAnsi="ˎ̥"/>
          <w:color w:val="FF0000"/>
          <w:sz w:val="21"/>
          <w:szCs w:val="21"/>
        </w:rPr>
        <w:t>否则不得享受相关中小企业扶持政策。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FF0000"/>
          <w:szCs w:val="21"/>
          <w:lang w:val="zh-CN"/>
        </w:rPr>
      </w:pPr>
      <w:r>
        <w:rPr>
          <w:rFonts w:hint="eastAsia" w:cs="仿宋_GB2312" w:asciiTheme="minorEastAsia" w:hAnsiTheme="minor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FF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8"/>
        <w:tblW w:w="8897" w:type="dxa"/>
        <w:tblInd w:w="-98" w:type="dxa"/>
        <w:tblBorders>
          <w:top w:val="none" w:color="auto" w:sz="0" w:space="0"/>
          <w:left w:val="none" w:color="auto" w:sz="0" w:space="0"/>
          <w:bottom w:val="none" w:color="auto" w:sz="0" w:space="0"/>
          <w:right w:val="none" w:color="auto" w:sz="0"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1417"/>
        <w:gridCol w:w="20"/>
        <w:gridCol w:w="20"/>
        <w:gridCol w:w="5881"/>
        <w:gridCol w:w="425"/>
        <w:gridCol w:w="1134"/>
      </w:tblGrid>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107" w:hRule="atLeast"/>
        </w:trPr>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tabs>
                <w:tab w:val="left" w:pos="1260"/>
              </w:tabs>
              <w:spacing w:line="360" w:lineRule="auto"/>
              <w:jc w:val="center"/>
              <w:rPr>
                <w:rStyle w:val="75"/>
                <w:rFonts w:ascii="宋体" w:hAnsi="宋体"/>
                <w:szCs w:val="21"/>
                <w:lang w:val="zh-CN"/>
              </w:rPr>
            </w:pPr>
            <w:r>
              <w:rPr>
                <w:rStyle w:val="75"/>
                <w:rFonts w:ascii="宋体" w:hAnsi="宋体"/>
                <w:szCs w:val="21"/>
                <w:lang w:val="zh-CN"/>
              </w:rPr>
              <w:t>分值构成</w:t>
            </w:r>
          </w:p>
          <w:p>
            <w:pPr>
              <w:tabs>
                <w:tab w:val="left" w:pos="1260"/>
              </w:tabs>
              <w:spacing w:line="360" w:lineRule="auto"/>
              <w:rPr>
                <w:rStyle w:val="75"/>
                <w:rFonts w:ascii="宋体" w:hAnsi="宋体"/>
                <w:szCs w:val="21"/>
                <w:lang w:val="zh-CN"/>
              </w:rPr>
            </w:pPr>
            <w:r>
              <w:rPr>
                <w:rStyle w:val="75"/>
                <w:rFonts w:ascii="宋体" w:hAnsi="宋体"/>
                <w:szCs w:val="21"/>
                <w:lang w:val="zh-CN"/>
              </w:rPr>
              <w:t>(总分100分)</w:t>
            </w:r>
          </w:p>
        </w:tc>
        <w:tc>
          <w:tcPr>
            <w:tcW w:w="7480" w:type="dxa"/>
            <w:gridSpan w:val="5"/>
            <w:tcBorders>
              <w:top w:val="single" w:color="000000" w:sz="8" w:space="0"/>
              <w:left w:val="nil"/>
              <w:bottom w:val="single" w:color="000000" w:sz="8" w:space="0"/>
              <w:right w:val="single" w:color="000000" w:sz="8" w:space="0"/>
            </w:tcBorders>
            <w:shd w:val="clear" w:color="auto" w:fill="FFFFFF"/>
            <w:vAlign w:val="center"/>
          </w:tcPr>
          <w:p>
            <w:pPr>
              <w:tabs>
                <w:tab w:val="left" w:pos="1260"/>
              </w:tabs>
              <w:spacing w:line="360" w:lineRule="auto"/>
              <w:ind w:firstLine="420" w:firstLineChars="200"/>
              <w:rPr>
                <w:rStyle w:val="75"/>
                <w:rFonts w:ascii="宋体" w:hAnsi="宋体"/>
                <w:szCs w:val="21"/>
                <w:lang w:val="zh-CN"/>
              </w:rPr>
            </w:pPr>
            <w:r>
              <w:rPr>
                <w:rStyle w:val="75"/>
                <w:rFonts w:ascii="宋体" w:hAnsi="宋体"/>
                <w:szCs w:val="21"/>
                <w:lang w:val="zh-CN"/>
              </w:rPr>
              <w:t>价格分值：</w:t>
            </w:r>
            <w:r>
              <w:rPr>
                <w:rStyle w:val="75"/>
                <w:rFonts w:hint="eastAsia" w:ascii="宋体" w:hAnsi="宋体"/>
                <w:szCs w:val="21"/>
              </w:rPr>
              <w:t>4</w:t>
            </w:r>
            <w:r>
              <w:rPr>
                <w:rStyle w:val="75"/>
                <w:rFonts w:ascii="宋体" w:hAnsi="宋体"/>
                <w:szCs w:val="21"/>
                <w:lang w:val="zh-CN"/>
              </w:rPr>
              <w:t>0分</w:t>
            </w:r>
          </w:p>
          <w:p>
            <w:pPr>
              <w:tabs>
                <w:tab w:val="left" w:pos="1260"/>
              </w:tabs>
              <w:spacing w:line="360" w:lineRule="auto"/>
              <w:ind w:firstLine="420" w:firstLineChars="200"/>
              <w:rPr>
                <w:rStyle w:val="75"/>
                <w:rFonts w:ascii="宋体" w:hAnsi="宋体"/>
                <w:szCs w:val="21"/>
                <w:lang w:val="zh-CN"/>
              </w:rPr>
            </w:pPr>
            <w:r>
              <w:rPr>
                <w:rStyle w:val="75"/>
                <w:rFonts w:ascii="宋体" w:hAnsi="宋体"/>
                <w:szCs w:val="21"/>
                <w:lang w:val="zh-CN"/>
              </w:rPr>
              <w:t>商务部分：</w:t>
            </w:r>
            <w:r>
              <w:rPr>
                <w:rStyle w:val="75"/>
                <w:rFonts w:hint="eastAsia" w:ascii="宋体" w:hAnsi="宋体"/>
                <w:szCs w:val="21"/>
              </w:rPr>
              <w:t>27</w:t>
            </w:r>
            <w:r>
              <w:rPr>
                <w:rStyle w:val="75"/>
                <w:rFonts w:ascii="宋体" w:hAnsi="宋体"/>
                <w:szCs w:val="21"/>
                <w:lang w:val="zh-CN"/>
              </w:rPr>
              <w:t>分</w:t>
            </w:r>
          </w:p>
          <w:p>
            <w:pPr>
              <w:tabs>
                <w:tab w:val="left" w:pos="1260"/>
              </w:tabs>
              <w:spacing w:line="360" w:lineRule="auto"/>
              <w:ind w:firstLine="420" w:firstLineChars="200"/>
              <w:rPr>
                <w:rStyle w:val="75"/>
                <w:rFonts w:ascii="宋体" w:hAnsi="宋体"/>
                <w:szCs w:val="21"/>
                <w:lang w:val="zh-CN"/>
              </w:rPr>
            </w:pPr>
            <w:r>
              <w:rPr>
                <w:rStyle w:val="75"/>
                <w:rFonts w:ascii="宋体" w:hAnsi="宋体"/>
                <w:szCs w:val="21"/>
                <w:lang w:val="zh-CN"/>
              </w:rPr>
              <w:t>技术部分：</w:t>
            </w:r>
            <w:r>
              <w:rPr>
                <w:rStyle w:val="75"/>
                <w:rFonts w:hint="eastAsia" w:ascii="宋体" w:hAnsi="宋体"/>
                <w:szCs w:val="21"/>
              </w:rPr>
              <w:t>33</w:t>
            </w:r>
            <w:r>
              <w:rPr>
                <w:rStyle w:val="75"/>
                <w:rFonts w:ascii="宋体" w:hAnsi="宋体"/>
                <w:szCs w:val="21"/>
                <w:lang w:val="zh-CN"/>
              </w:rPr>
              <w:t>分</w:t>
            </w:r>
          </w:p>
        </w:tc>
      </w:tr>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91" w:hRule="atLeast"/>
        </w:trPr>
        <w:tc>
          <w:tcPr>
            <w:tcW w:w="8897" w:type="dxa"/>
            <w:gridSpan w:val="6"/>
            <w:tcBorders>
              <w:top w:val="nil"/>
              <w:left w:val="single" w:color="000000" w:sz="8" w:space="0"/>
              <w:bottom w:val="single" w:color="000000" w:sz="8" w:space="0"/>
              <w:right w:val="single" w:color="000000" w:sz="8" w:space="0"/>
            </w:tcBorders>
            <w:shd w:val="clear" w:color="auto" w:fill="FFFFFF"/>
            <w:vAlign w:val="center"/>
          </w:tcPr>
          <w:p>
            <w:pPr>
              <w:tabs>
                <w:tab w:val="left" w:pos="1260"/>
              </w:tabs>
              <w:spacing w:line="360" w:lineRule="auto"/>
              <w:ind w:firstLine="2310" w:firstLineChars="1100"/>
              <w:rPr>
                <w:rStyle w:val="75"/>
                <w:rFonts w:ascii="宋体" w:hAnsi="宋体"/>
                <w:szCs w:val="21"/>
                <w:lang w:val="zh-CN"/>
              </w:rPr>
            </w:pPr>
            <w:r>
              <w:rPr>
                <w:rStyle w:val="75"/>
                <w:rFonts w:ascii="宋体" w:hAnsi="宋体"/>
                <w:szCs w:val="21"/>
                <w:lang w:val="zh-CN"/>
              </w:rPr>
              <w:t>一、价格部分（满分</w:t>
            </w:r>
            <w:r>
              <w:rPr>
                <w:rStyle w:val="75"/>
                <w:rFonts w:hint="eastAsia" w:ascii="宋体" w:hAnsi="宋体"/>
                <w:szCs w:val="21"/>
              </w:rPr>
              <w:t>27</w:t>
            </w:r>
            <w:r>
              <w:rPr>
                <w:rStyle w:val="75"/>
                <w:rFonts w:ascii="宋体" w:hAnsi="宋体"/>
                <w:szCs w:val="21"/>
                <w:lang w:val="zh-CN"/>
              </w:rPr>
              <w:t>分）</w:t>
            </w:r>
          </w:p>
        </w:tc>
      </w:tr>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91" w:hRule="atLeast"/>
        </w:trPr>
        <w:tc>
          <w:tcPr>
            <w:tcW w:w="1437" w:type="dxa"/>
            <w:gridSpan w:val="2"/>
            <w:tcBorders>
              <w:top w:val="nil"/>
              <w:left w:val="single" w:color="000000" w:sz="8" w:space="0"/>
              <w:bottom w:val="single" w:color="000000" w:sz="8" w:space="0"/>
              <w:right w:val="single" w:color="000000" w:sz="8" w:space="0"/>
            </w:tcBorders>
            <w:shd w:val="clear" w:color="auto" w:fill="FFFFFF"/>
            <w:vAlign w:val="center"/>
          </w:tcPr>
          <w:p>
            <w:pPr>
              <w:tabs>
                <w:tab w:val="left" w:pos="1260"/>
              </w:tabs>
              <w:spacing w:line="360" w:lineRule="auto"/>
              <w:jc w:val="center"/>
              <w:rPr>
                <w:rStyle w:val="75"/>
                <w:rFonts w:ascii="宋体" w:hAnsi="宋体"/>
                <w:szCs w:val="21"/>
                <w:lang w:val="zh-CN"/>
              </w:rPr>
            </w:pPr>
            <w:r>
              <w:rPr>
                <w:rStyle w:val="75"/>
                <w:rFonts w:ascii="宋体" w:hAnsi="宋体"/>
                <w:szCs w:val="21"/>
                <w:lang w:val="zh-CN"/>
              </w:rPr>
              <w:t>评分因素</w:t>
            </w:r>
          </w:p>
        </w:tc>
        <w:tc>
          <w:tcPr>
            <w:tcW w:w="6326" w:type="dxa"/>
            <w:gridSpan w:val="3"/>
            <w:tcBorders>
              <w:top w:val="nil"/>
              <w:left w:val="nil"/>
              <w:bottom w:val="single" w:color="000000" w:sz="8" w:space="0"/>
              <w:right w:val="single" w:color="000000" w:sz="8" w:space="0"/>
            </w:tcBorders>
            <w:shd w:val="clear" w:color="auto" w:fill="FFFFFF"/>
            <w:vAlign w:val="center"/>
          </w:tcPr>
          <w:p>
            <w:pPr>
              <w:tabs>
                <w:tab w:val="left" w:pos="1260"/>
              </w:tabs>
              <w:spacing w:line="360" w:lineRule="auto"/>
              <w:ind w:firstLine="420" w:firstLineChars="200"/>
              <w:rPr>
                <w:rStyle w:val="75"/>
                <w:rFonts w:ascii="宋体" w:hAnsi="宋体"/>
                <w:szCs w:val="21"/>
                <w:lang w:val="zh-CN"/>
              </w:rPr>
            </w:pPr>
            <w:r>
              <w:rPr>
                <w:rStyle w:val="75"/>
                <w:rFonts w:ascii="宋体" w:hAnsi="宋体"/>
                <w:szCs w:val="21"/>
                <w:lang w:val="zh-CN"/>
              </w:rPr>
              <w:t>评分标准</w:t>
            </w:r>
          </w:p>
        </w:tc>
        <w:tc>
          <w:tcPr>
            <w:tcW w:w="1134" w:type="dxa"/>
            <w:tcBorders>
              <w:top w:val="nil"/>
              <w:left w:val="nil"/>
              <w:bottom w:val="single" w:color="000000" w:sz="8" w:space="0"/>
              <w:right w:val="single" w:color="000000" w:sz="8" w:space="0"/>
            </w:tcBorders>
            <w:shd w:val="clear" w:color="auto" w:fill="FFFFFF"/>
            <w:vAlign w:val="center"/>
          </w:tcPr>
          <w:p>
            <w:pPr>
              <w:tabs>
                <w:tab w:val="left" w:pos="1260"/>
              </w:tabs>
              <w:spacing w:line="360" w:lineRule="auto"/>
              <w:ind w:firstLine="420" w:firstLineChars="200"/>
              <w:jc w:val="center"/>
              <w:rPr>
                <w:rStyle w:val="75"/>
                <w:rFonts w:ascii="宋体" w:hAnsi="宋体"/>
                <w:szCs w:val="21"/>
                <w:lang w:val="zh-CN"/>
              </w:rPr>
            </w:pPr>
            <w:r>
              <w:rPr>
                <w:rStyle w:val="75"/>
                <w:rFonts w:ascii="宋体" w:hAnsi="宋体"/>
                <w:szCs w:val="21"/>
                <w:lang w:val="zh-CN"/>
              </w:rPr>
              <w:t>分值</w:t>
            </w:r>
          </w:p>
        </w:tc>
      </w:tr>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0" w:hRule="atLeast"/>
        </w:trPr>
        <w:tc>
          <w:tcPr>
            <w:tcW w:w="1437" w:type="dxa"/>
            <w:gridSpan w:val="2"/>
            <w:tcBorders>
              <w:top w:val="nil"/>
              <w:left w:val="single" w:color="000000" w:sz="8" w:space="0"/>
              <w:bottom w:val="single" w:color="000000" w:sz="8" w:space="0"/>
              <w:right w:val="single" w:color="000000" w:sz="8" w:space="0"/>
            </w:tcBorders>
            <w:shd w:val="clear" w:color="auto" w:fill="FFFFFF"/>
            <w:vAlign w:val="center"/>
          </w:tcPr>
          <w:p>
            <w:pPr>
              <w:tabs>
                <w:tab w:val="left" w:pos="1260"/>
              </w:tabs>
              <w:spacing w:line="360" w:lineRule="auto"/>
              <w:jc w:val="center"/>
              <w:rPr>
                <w:rStyle w:val="75"/>
                <w:rFonts w:ascii="宋体" w:hAnsi="宋体"/>
                <w:szCs w:val="21"/>
                <w:lang w:val="zh-CN"/>
              </w:rPr>
            </w:pPr>
            <w:r>
              <w:rPr>
                <w:rStyle w:val="75"/>
                <w:rFonts w:ascii="宋体" w:hAnsi="宋体"/>
                <w:szCs w:val="21"/>
                <w:lang w:val="zh-CN"/>
              </w:rPr>
              <w:t>投标报价</w:t>
            </w:r>
          </w:p>
          <w:p>
            <w:pPr>
              <w:tabs>
                <w:tab w:val="left" w:pos="1260"/>
              </w:tabs>
              <w:spacing w:line="360" w:lineRule="auto"/>
              <w:jc w:val="center"/>
              <w:rPr>
                <w:rStyle w:val="75"/>
                <w:rFonts w:ascii="宋体" w:hAnsi="宋体"/>
                <w:szCs w:val="21"/>
                <w:lang w:val="zh-CN"/>
              </w:rPr>
            </w:pPr>
            <w:r>
              <w:rPr>
                <w:rStyle w:val="75"/>
                <w:rFonts w:ascii="宋体" w:hAnsi="宋体"/>
                <w:szCs w:val="21"/>
                <w:lang w:val="zh-CN"/>
              </w:rPr>
              <w:t>评分标准</w:t>
            </w:r>
          </w:p>
        </w:tc>
        <w:tc>
          <w:tcPr>
            <w:tcW w:w="6326" w:type="dxa"/>
            <w:gridSpan w:val="3"/>
            <w:tcBorders>
              <w:top w:val="nil"/>
              <w:left w:val="nil"/>
              <w:bottom w:val="single" w:color="000000" w:sz="8" w:space="0"/>
              <w:right w:val="single" w:color="000000" w:sz="8" w:space="0"/>
            </w:tcBorders>
            <w:shd w:val="clear" w:color="auto" w:fill="FFFFFF"/>
            <w:vAlign w:val="center"/>
          </w:tcPr>
          <w:p>
            <w:pPr>
              <w:tabs>
                <w:tab w:val="left" w:pos="1260"/>
              </w:tabs>
              <w:spacing w:line="360" w:lineRule="auto"/>
              <w:rPr>
                <w:rStyle w:val="75"/>
                <w:rFonts w:ascii="宋体" w:hAnsi="宋体"/>
                <w:szCs w:val="21"/>
                <w:lang w:val="zh-CN"/>
              </w:rPr>
            </w:pPr>
            <w:r>
              <w:rPr>
                <w:rStyle w:val="75"/>
                <w:rFonts w:ascii="宋体" w:hAnsi="宋体"/>
                <w:szCs w:val="21"/>
                <w:lang w:val="zh-CN"/>
              </w:rPr>
              <w:t>评标基准价：满足招标文件要求的有效投标报价中，最低的投标报价为评标基准价。</w:t>
            </w:r>
          </w:p>
          <w:p>
            <w:pPr>
              <w:tabs>
                <w:tab w:val="left" w:pos="1260"/>
              </w:tabs>
              <w:spacing w:line="360" w:lineRule="auto"/>
              <w:rPr>
                <w:rStyle w:val="75"/>
                <w:rFonts w:ascii="宋体" w:hAnsi="宋体"/>
                <w:szCs w:val="21"/>
                <w:lang w:val="zh-CN"/>
              </w:rPr>
            </w:pPr>
            <w:r>
              <w:rPr>
                <w:rStyle w:val="75"/>
                <w:rFonts w:ascii="宋体" w:hAnsi="宋体"/>
                <w:szCs w:val="21"/>
                <w:lang w:val="zh-CN"/>
              </w:rPr>
              <w:t>投标报价得分=（评标基准价/投标报价）×</w:t>
            </w:r>
            <w:r>
              <w:rPr>
                <w:rStyle w:val="75"/>
                <w:rFonts w:hint="eastAsia" w:ascii="宋体" w:hAnsi="宋体"/>
                <w:szCs w:val="21"/>
              </w:rPr>
              <w:t>4</w:t>
            </w:r>
            <w:r>
              <w:rPr>
                <w:rStyle w:val="75"/>
                <w:rFonts w:ascii="宋体" w:hAnsi="宋体"/>
                <w:szCs w:val="21"/>
                <w:lang w:val="zh-CN"/>
              </w:rPr>
              <w:t>0</w:t>
            </w:r>
          </w:p>
          <w:p>
            <w:pPr>
              <w:pStyle w:val="74"/>
              <w:ind w:firstLineChars="0"/>
              <w:rPr>
                <w:rStyle w:val="75"/>
                <w:b/>
                <w:lang w:val="zh-CN"/>
              </w:rPr>
            </w:pPr>
            <w:r>
              <w:rPr>
                <w:rStyle w:val="75"/>
                <w:b/>
                <w:lang w:val="zh-CN"/>
              </w:rPr>
              <w:t>注：当投标人的报价明显低于常规报价，评标委员会认为该投标人的最低投标报价或者某些小项报价明显不合理或者明显低于其他通过符合性审查投标人的报价，有可能影响产品质量或者不能诚信履约的，应当要求该投标人在评标现场合理的时间内提供书面说明，必要时提供相关证明材料予以解释说明（包括原料成本、加工成本、管理费用、人员成本、物流运输成本、税收等所有成本及利润），投标人不能证明其报价合理的，评标委员会将认定该投标人以低于成本价投标，报价严重不平衡、不合理，是恶意不正当竞争行为，其投标将作无效投标处理。</w:t>
            </w:r>
          </w:p>
        </w:tc>
        <w:tc>
          <w:tcPr>
            <w:tcW w:w="1134" w:type="dxa"/>
            <w:tcBorders>
              <w:top w:val="nil"/>
              <w:left w:val="nil"/>
              <w:bottom w:val="single" w:color="000000" w:sz="8" w:space="0"/>
              <w:right w:val="single" w:color="000000" w:sz="8" w:space="0"/>
            </w:tcBorders>
            <w:shd w:val="clear" w:color="auto" w:fill="FFFFFF"/>
            <w:vAlign w:val="center"/>
          </w:tcPr>
          <w:p>
            <w:pPr>
              <w:tabs>
                <w:tab w:val="left" w:pos="1260"/>
              </w:tabs>
              <w:spacing w:line="360" w:lineRule="auto"/>
              <w:ind w:firstLine="420" w:firstLineChars="200"/>
              <w:jc w:val="center"/>
              <w:rPr>
                <w:rStyle w:val="75"/>
                <w:rFonts w:ascii="宋体" w:hAnsi="宋体"/>
                <w:szCs w:val="21"/>
                <w:lang w:val="zh-CN"/>
              </w:rPr>
            </w:pPr>
            <w:r>
              <w:rPr>
                <w:rStyle w:val="75"/>
                <w:rFonts w:hint="eastAsia" w:ascii="宋体" w:hAnsi="宋体"/>
                <w:szCs w:val="21"/>
              </w:rPr>
              <w:t>40</w:t>
            </w:r>
            <w:r>
              <w:rPr>
                <w:rStyle w:val="75"/>
                <w:rFonts w:ascii="宋体" w:hAnsi="宋体"/>
                <w:szCs w:val="21"/>
                <w:lang w:val="zh-CN"/>
              </w:rPr>
              <w:t>分</w:t>
            </w:r>
          </w:p>
        </w:tc>
      </w:tr>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91" w:hRule="atLeast"/>
        </w:trPr>
        <w:tc>
          <w:tcPr>
            <w:tcW w:w="8897" w:type="dxa"/>
            <w:gridSpan w:val="6"/>
            <w:tcBorders>
              <w:top w:val="nil"/>
              <w:left w:val="single" w:color="000000" w:sz="8" w:space="0"/>
              <w:bottom w:val="single" w:color="000000" w:sz="8" w:space="0"/>
              <w:right w:val="single" w:color="000000" w:sz="8" w:space="0"/>
            </w:tcBorders>
            <w:shd w:val="clear" w:color="auto" w:fill="FFFFFF"/>
            <w:vAlign w:val="center"/>
          </w:tcPr>
          <w:p>
            <w:pPr>
              <w:tabs>
                <w:tab w:val="left" w:pos="1260"/>
              </w:tabs>
              <w:spacing w:line="360" w:lineRule="auto"/>
              <w:ind w:firstLine="2940" w:firstLineChars="1400"/>
              <w:rPr>
                <w:rStyle w:val="75"/>
                <w:rFonts w:ascii="宋体" w:hAnsi="宋体"/>
                <w:szCs w:val="21"/>
                <w:lang w:val="zh-CN"/>
              </w:rPr>
            </w:pPr>
            <w:r>
              <w:rPr>
                <w:rStyle w:val="75"/>
                <w:rFonts w:ascii="宋体" w:hAnsi="宋体"/>
                <w:szCs w:val="21"/>
                <w:lang w:val="zh-CN"/>
              </w:rPr>
              <w:t>二、商务部分（满分</w:t>
            </w:r>
            <w:r>
              <w:rPr>
                <w:rStyle w:val="75"/>
                <w:rFonts w:hint="eastAsia" w:ascii="宋体" w:hAnsi="宋体"/>
                <w:szCs w:val="21"/>
              </w:rPr>
              <w:t>27</w:t>
            </w:r>
            <w:r>
              <w:rPr>
                <w:rStyle w:val="75"/>
                <w:rFonts w:ascii="宋体" w:hAnsi="宋体"/>
                <w:szCs w:val="21"/>
                <w:lang w:val="zh-CN"/>
              </w:rPr>
              <w:t>分）</w:t>
            </w:r>
          </w:p>
        </w:tc>
      </w:tr>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91" w:hRule="atLeast"/>
        </w:trPr>
        <w:tc>
          <w:tcPr>
            <w:tcW w:w="1437" w:type="dxa"/>
            <w:gridSpan w:val="2"/>
            <w:tcBorders>
              <w:top w:val="nil"/>
              <w:left w:val="single" w:color="000000" w:sz="8" w:space="0"/>
              <w:bottom w:val="single" w:color="000000" w:sz="8" w:space="0"/>
              <w:right w:val="single" w:color="000000" w:sz="8" w:space="0"/>
            </w:tcBorders>
            <w:shd w:val="clear" w:color="auto" w:fill="FFFFFF"/>
            <w:vAlign w:val="center"/>
          </w:tcPr>
          <w:p>
            <w:pPr>
              <w:tabs>
                <w:tab w:val="left" w:pos="1260"/>
              </w:tabs>
              <w:spacing w:line="360" w:lineRule="auto"/>
              <w:jc w:val="center"/>
              <w:rPr>
                <w:rStyle w:val="75"/>
                <w:rFonts w:ascii="宋体" w:hAnsi="宋体"/>
                <w:szCs w:val="21"/>
                <w:lang w:val="zh-CN"/>
              </w:rPr>
            </w:pPr>
            <w:r>
              <w:rPr>
                <w:rStyle w:val="75"/>
                <w:rFonts w:ascii="宋体" w:hAnsi="宋体"/>
                <w:szCs w:val="21"/>
                <w:lang w:val="zh-CN"/>
              </w:rPr>
              <w:t>评分因素</w:t>
            </w:r>
          </w:p>
        </w:tc>
        <w:tc>
          <w:tcPr>
            <w:tcW w:w="5901" w:type="dxa"/>
            <w:gridSpan w:val="2"/>
            <w:tcBorders>
              <w:top w:val="nil"/>
              <w:left w:val="nil"/>
              <w:bottom w:val="single" w:color="000000" w:sz="8" w:space="0"/>
              <w:right w:val="single" w:color="000000" w:sz="8" w:space="0"/>
            </w:tcBorders>
            <w:shd w:val="clear" w:color="auto" w:fill="FFFFFF"/>
            <w:vAlign w:val="center"/>
          </w:tcPr>
          <w:p>
            <w:pPr>
              <w:tabs>
                <w:tab w:val="left" w:pos="1260"/>
              </w:tabs>
              <w:spacing w:line="360" w:lineRule="auto"/>
              <w:ind w:firstLine="1680" w:firstLineChars="800"/>
              <w:rPr>
                <w:rStyle w:val="75"/>
                <w:rFonts w:ascii="宋体" w:hAnsi="宋体"/>
                <w:szCs w:val="21"/>
                <w:lang w:val="zh-CN"/>
              </w:rPr>
            </w:pPr>
            <w:r>
              <w:rPr>
                <w:rStyle w:val="75"/>
                <w:rFonts w:ascii="宋体" w:hAnsi="宋体"/>
                <w:szCs w:val="21"/>
                <w:lang w:val="zh-CN"/>
              </w:rPr>
              <w:t>评分标准</w:t>
            </w:r>
          </w:p>
        </w:tc>
        <w:tc>
          <w:tcPr>
            <w:tcW w:w="1559" w:type="dxa"/>
            <w:gridSpan w:val="2"/>
            <w:tcBorders>
              <w:top w:val="nil"/>
              <w:left w:val="nil"/>
              <w:bottom w:val="single" w:color="000000" w:sz="8" w:space="0"/>
              <w:right w:val="single" w:color="000000" w:sz="8" w:space="0"/>
            </w:tcBorders>
            <w:shd w:val="clear" w:color="auto" w:fill="FFFFFF"/>
            <w:vAlign w:val="center"/>
          </w:tcPr>
          <w:p>
            <w:pPr>
              <w:tabs>
                <w:tab w:val="left" w:pos="1260"/>
              </w:tabs>
              <w:spacing w:line="360" w:lineRule="auto"/>
              <w:ind w:firstLine="420" w:firstLineChars="200"/>
              <w:jc w:val="center"/>
              <w:rPr>
                <w:rStyle w:val="75"/>
                <w:rFonts w:ascii="宋体" w:hAnsi="宋体"/>
                <w:szCs w:val="21"/>
                <w:lang w:val="zh-CN"/>
              </w:rPr>
            </w:pPr>
            <w:r>
              <w:rPr>
                <w:rStyle w:val="75"/>
                <w:rFonts w:ascii="宋体" w:hAnsi="宋体"/>
                <w:szCs w:val="21"/>
                <w:lang w:val="zh-CN"/>
              </w:rPr>
              <w:t>分值</w:t>
            </w:r>
          </w:p>
        </w:tc>
      </w:tr>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079" w:hRule="atLeast"/>
        </w:trPr>
        <w:tc>
          <w:tcPr>
            <w:tcW w:w="1437" w:type="dxa"/>
            <w:gridSpan w:val="2"/>
            <w:tcBorders>
              <w:top w:val="nil"/>
              <w:left w:val="single" w:color="000000" w:sz="8" w:space="0"/>
              <w:bottom w:val="single" w:color="000000" w:sz="8" w:space="0"/>
              <w:right w:val="single" w:color="000000" w:sz="8" w:space="0"/>
            </w:tcBorders>
            <w:shd w:val="clear" w:color="auto" w:fill="FFFFFF"/>
            <w:vAlign w:val="center"/>
          </w:tcPr>
          <w:p>
            <w:pPr>
              <w:tabs>
                <w:tab w:val="left" w:pos="1260"/>
              </w:tabs>
              <w:spacing w:line="360" w:lineRule="auto"/>
              <w:jc w:val="center"/>
              <w:rPr>
                <w:rStyle w:val="75"/>
                <w:rFonts w:ascii="宋体" w:hAnsi="宋体"/>
                <w:szCs w:val="21"/>
              </w:rPr>
            </w:pPr>
            <w:r>
              <w:rPr>
                <w:rStyle w:val="75"/>
                <w:rFonts w:ascii="宋体" w:hAnsi="宋体"/>
                <w:szCs w:val="21"/>
              </w:rPr>
              <w:t>企业业绩</w:t>
            </w:r>
          </w:p>
        </w:tc>
        <w:tc>
          <w:tcPr>
            <w:tcW w:w="5901" w:type="dxa"/>
            <w:gridSpan w:val="2"/>
            <w:tcBorders>
              <w:top w:val="nil"/>
              <w:left w:val="nil"/>
              <w:bottom w:val="single" w:color="000000" w:sz="8" w:space="0"/>
              <w:right w:val="single" w:color="000000" w:sz="8" w:space="0"/>
            </w:tcBorders>
            <w:shd w:val="clear" w:color="auto" w:fill="FFFFFF"/>
            <w:vAlign w:val="center"/>
          </w:tcPr>
          <w:p>
            <w:pPr>
              <w:tabs>
                <w:tab w:val="left" w:pos="1260"/>
              </w:tabs>
              <w:spacing w:line="360" w:lineRule="auto"/>
              <w:rPr>
                <w:rStyle w:val="75"/>
                <w:rFonts w:ascii="宋体" w:hAnsi="宋体"/>
                <w:szCs w:val="21"/>
                <w:lang w:val="zh-CN"/>
              </w:rPr>
            </w:pPr>
            <w:r>
              <w:rPr>
                <w:rStyle w:val="75"/>
                <w:rFonts w:ascii="宋体" w:hAnsi="宋体"/>
                <w:szCs w:val="21"/>
              </w:rPr>
              <w:t>投标人</w:t>
            </w:r>
            <w:r>
              <w:rPr>
                <w:rStyle w:val="75"/>
                <w:rFonts w:hint="eastAsia" w:ascii="宋体" w:hAnsi="宋体"/>
                <w:szCs w:val="21"/>
              </w:rPr>
              <w:t>2018年1月1日</w:t>
            </w:r>
            <w:r>
              <w:rPr>
                <w:rStyle w:val="75"/>
                <w:rFonts w:ascii="宋体" w:hAnsi="宋体"/>
                <w:szCs w:val="21"/>
              </w:rPr>
              <w:t>以来，具有类似项目的业绩合同（以合同签订时间为准）</w:t>
            </w:r>
            <w:r>
              <w:rPr>
                <w:rStyle w:val="75"/>
                <w:rFonts w:hint="eastAsia" w:ascii="宋体" w:hAnsi="宋体"/>
                <w:szCs w:val="21"/>
              </w:rPr>
              <w:t>每有</w:t>
            </w:r>
            <w:r>
              <w:rPr>
                <w:rStyle w:val="75"/>
                <w:rFonts w:ascii="宋体" w:hAnsi="宋体"/>
                <w:szCs w:val="21"/>
              </w:rPr>
              <w:t>一份得3分，最多得6分。（投标文件中提供合同</w:t>
            </w:r>
            <w:r>
              <w:rPr>
                <w:rStyle w:val="75"/>
                <w:rFonts w:hint="eastAsia" w:ascii="宋体" w:hAnsi="宋体"/>
                <w:szCs w:val="21"/>
              </w:rPr>
              <w:t>及</w:t>
            </w:r>
            <w:r>
              <w:rPr>
                <w:rStyle w:val="75"/>
                <w:rFonts w:ascii="宋体" w:hAnsi="宋体"/>
                <w:szCs w:val="21"/>
              </w:rPr>
              <w:t>中标通知书</w:t>
            </w:r>
            <w:r>
              <w:rPr>
                <w:rStyle w:val="75"/>
                <w:rFonts w:hint="eastAsia" w:ascii="宋体" w:hAnsi="宋体"/>
                <w:szCs w:val="21"/>
              </w:rPr>
              <w:t>扫描件</w:t>
            </w:r>
            <w:r>
              <w:rPr>
                <w:rStyle w:val="75"/>
                <w:rFonts w:ascii="宋体" w:hAnsi="宋体"/>
                <w:szCs w:val="21"/>
              </w:rPr>
              <w:t>）</w:t>
            </w:r>
          </w:p>
        </w:tc>
        <w:tc>
          <w:tcPr>
            <w:tcW w:w="1559" w:type="dxa"/>
            <w:gridSpan w:val="2"/>
            <w:tcBorders>
              <w:top w:val="nil"/>
              <w:left w:val="nil"/>
              <w:bottom w:val="single" w:color="000000" w:sz="8" w:space="0"/>
              <w:right w:val="single" w:color="000000" w:sz="8" w:space="0"/>
            </w:tcBorders>
            <w:shd w:val="clear" w:color="auto" w:fill="FFFFFF"/>
            <w:vAlign w:val="center"/>
          </w:tcPr>
          <w:p>
            <w:pPr>
              <w:tabs>
                <w:tab w:val="left" w:pos="1260"/>
              </w:tabs>
              <w:spacing w:line="360" w:lineRule="auto"/>
              <w:ind w:firstLine="420" w:firstLineChars="200"/>
              <w:jc w:val="center"/>
              <w:rPr>
                <w:rStyle w:val="75"/>
                <w:rFonts w:ascii="宋体" w:hAnsi="宋体"/>
                <w:szCs w:val="21"/>
                <w:lang w:val="zh-CN"/>
              </w:rPr>
            </w:pPr>
            <w:r>
              <w:rPr>
                <w:rStyle w:val="75"/>
                <w:rFonts w:ascii="宋体" w:hAnsi="宋体"/>
                <w:szCs w:val="21"/>
                <w:lang w:val="zh-CN"/>
              </w:rPr>
              <w:t>6分</w:t>
            </w:r>
          </w:p>
        </w:tc>
      </w:tr>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45" w:hRule="atLeast"/>
        </w:trPr>
        <w:tc>
          <w:tcPr>
            <w:tcW w:w="1437" w:type="dxa"/>
            <w:gridSpan w:val="2"/>
            <w:tcBorders>
              <w:top w:val="nil"/>
              <w:left w:val="single" w:color="000000" w:sz="8" w:space="0"/>
              <w:bottom w:val="single" w:color="000000" w:sz="8" w:space="0"/>
              <w:right w:val="single" w:color="000000" w:sz="8" w:space="0"/>
            </w:tcBorders>
            <w:shd w:val="clear" w:color="auto" w:fill="FFFFFF"/>
            <w:vAlign w:val="center"/>
          </w:tcPr>
          <w:p>
            <w:pPr>
              <w:tabs>
                <w:tab w:val="left" w:pos="1260"/>
              </w:tabs>
              <w:spacing w:line="360" w:lineRule="auto"/>
              <w:jc w:val="center"/>
              <w:rPr>
                <w:rStyle w:val="75"/>
                <w:rFonts w:ascii="宋体" w:hAnsi="宋体"/>
                <w:szCs w:val="21"/>
              </w:rPr>
            </w:pPr>
            <w:r>
              <w:rPr>
                <w:rStyle w:val="75"/>
                <w:rFonts w:ascii="宋体" w:hAnsi="宋体"/>
                <w:szCs w:val="21"/>
              </w:rPr>
              <w:t>产品荣誉</w:t>
            </w:r>
          </w:p>
          <w:p>
            <w:pPr>
              <w:tabs>
                <w:tab w:val="left" w:pos="1260"/>
              </w:tabs>
              <w:spacing w:line="360" w:lineRule="auto"/>
              <w:rPr>
                <w:rStyle w:val="75"/>
                <w:rFonts w:ascii="宋体" w:hAnsi="宋体"/>
                <w:szCs w:val="21"/>
                <w:lang w:val="zh-CN"/>
              </w:rPr>
            </w:pPr>
          </w:p>
        </w:tc>
        <w:tc>
          <w:tcPr>
            <w:tcW w:w="5901" w:type="dxa"/>
            <w:gridSpan w:val="2"/>
            <w:tcBorders>
              <w:top w:val="nil"/>
              <w:left w:val="nil"/>
              <w:bottom w:val="single" w:color="000000" w:sz="8" w:space="0"/>
              <w:right w:val="single" w:color="000000" w:sz="8" w:space="0"/>
            </w:tcBorders>
            <w:shd w:val="clear" w:color="auto" w:fill="FFFFFF"/>
            <w:vAlign w:val="center"/>
          </w:tcPr>
          <w:p>
            <w:pPr>
              <w:tabs>
                <w:tab w:val="left" w:pos="1260"/>
              </w:tabs>
              <w:spacing w:line="360" w:lineRule="auto"/>
            </w:pPr>
            <w:r>
              <w:t>（1）</w:t>
            </w:r>
            <w:r>
              <w:rPr>
                <w:rFonts w:hint="eastAsia"/>
              </w:rPr>
              <w:t>所投产品制造商入选工业和信息化部颁发的绿色供应链管理示范企业名单，得3分</w:t>
            </w:r>
            <w:r>
              <w:t>；</w:t>
            </w:r>
          </w:p>
          <w:p>
            <w:pPr>
              <w:tabs>
                <w:tab w:val="left" w:pos="1260"/>
              </w:tabs>
              <w:spacing w:line="360" w:lineRule="auto"/>
            </w:pPr>
            <w:r>
              <w:t>（2）投标品牌制造商连续四年获得政府采购首选品牌，得</w:t>
            </w:r>
            <w:r>
              <w:rPr>
                <w:rFonts w:hint="eastAsia"/>
              </w:rPr>
              <w:t>3</w:t>
            </w:r>
            <w:r>
              <w:t>分；</w:t>
            </w:r>
          </w:p>
          <w:p>
            <w:pPr>
              <w:tabs>
                <w:tab w:val="left" w:pos="1260"/>
              </w:tabs>
              <w:spacing w:line="360" w:lineRule="auto"/>
            </w:pPr>
            <w:r>
              <w:t>（3）所投产品制造商获得过中国相关部门颁发的“可靠性示范级证书”，</w:t>
            </w:r>
            <w:r>
              <w:rPr>
                <w:rFonts w:hint="eastAsia"/>
              </w:rPr>
              <w:t>每个</w:t>
            </w:r>
            <w:r>
              <w:t>得</w:t>
            </w:r>
            <w:r>
              <w:rPr>
                <w:rFonts w:hint="eastAsia"/>
              </w:rPr>
              <w:t>3分，最多得</w:t>
            </w:r>
            <w:r>
              <w:t>6分</w:t>
            </w:r>
            <w:r>
              <w:rPr>
                <w:rFonts w:hint="eastAsia"/>
              </w:rPr>
              <w:t>。</w:t>
            </w:r>
          </w:p>
          <w:p>
            <w:pPr>
              <w:tabs>
                <w:tab w:val="left" w:pos="1260"/>
              </w:tabs>
              <w:spacing w:line="360" w:lineRule="auto"/>
            </w:pPr>
            <w:r>
              <w:rPr>
                <w:rFonts w:hint="eastAsia"/>
              </w:rPr>
              <w:t>（4）所投产品制造商获得过国家级科技进步奖，每个</w:t>
            </w:r>
            <w:r>
              <w:t>得</w:t>
            </w:r>
            <w:r>
              <w:rPr>
                <w:rFonts w:hint="eastAsia"/>
              </w:rPr>
              <w:t>3分，最多得</w:t>
            </w:r>
            <w:r>
              <w:t>6分</w:t>
            </w:r>
            <w:r>
              <w:rPr>
                <w:rFonts w:hint="eastAsia"/>
              </w:rPr>
              <w:t>。</w:t>
            </w:r>
          </w:p>
          <w:p>
            <w:pPr>
              <w:tabs>
                <w:tab w:val="left" w:pos="1260"/>
              </w:tabs>
              <w:spacing w:line="360" w:lineRule="auto"/>
            </w:pPr>
            <w:r>
              <w:rPr>
                <w:rFonts w:hint="eastAsia"/>
              </w:rPr>
              <w:t>（5）所投产品制造商获得过家用和类似用途空调器防护管槽安装规范的先进标准证书，得3分</w:t>
            </w:r>
            <w:r>
              <w:t>。</w:t>
            </w:r>
          </w:p>
          <w:p>
            <w:pPr>
              <w:pStyle w:val="74"/>
              <w:ind w:firstLine="0" w:firstLineChars="0"/>
            </w:pPr>
            <w:r>
              <w:rPr>
                <w:rStyle w:val="75"/>
                <w:rFonts w:hint="eastAsia" w:ascii="宋体" w:hAnsi="宋体"/>
                <w:szCs w:val="21"/>
              </w:rPr>
              <w:t>注：以上需提供相关证书扫描件</w:t>
            </w:r>
          </w:p>
        </w:tc>
        <w:tc>
          <w:tcPr>
            <w:tcW w:w="1559" w:type="dxa"/>
            <w:gridSpan w:val="2"/>
            <w:tcBorders>
              <w:top w:val="nil"/>
              <w:left w:val="nil"/>
              <w:bottom w:val="single" w:color="000000" w:sz="8" w:space="0"/>
              <w:right w:val="single" w:color="000000" w:sz="8" w:space="0"/>
            </w:tcBorders>
            <w:shd w:val="clear" w:color="auto" w:fill="FFFFFF"/>
            <w:vAlign w:val="center"/>
          </w:tcPr>
          <w:p>
            <w:pPr>
              <w:tabs>
                <w:tab w:val="left" w:pos="1260"/>
              </w:tabs>
              <w:spacing w:line="360" w:lineRule="auto"/>
              <w:jc w:val="center"/>
              <w:rPr>
                <w:rStyle w:val="75"/>
                <w:rFonts w:ascii="宋体" w:hAnsi="宋体"/>
                <w:szCs w:val="21"/>
                <w:lang w:val="zh-CN"/>
              </w:rPr>
            </w:pPr>
            <w:r>
              <w:rPr>
                <w:rStyle w:val="75"/>
                <w:rFonts w:hint="eastAsia" w:ascii="宋体" w:hAnsi="宋体"/>
                <w:szCs w:val="21"/>
                <w:lang w:val="zh-CN"/>
              </w:rPr>
              <w:t>2</w:t>
            </w:r>
            <w:r>
              <w:rPr>
                <w:rStyle w:val="75"/>
                <w:rFonts w:hint="eastAsia" w:ascii="宋体" w:hAnsi="宋体"/>
                <w:szCs w:val="21"/>
              </w:rPr>
              <w:t>1</w:t>
            </w:r>
            <w:r>
              <w:rPr>
                <w:rStyle w:val="75"/>
                <w:rFonts w:ascii="宋体" w:hAnsi="宋体"/>
                <w:szCs w:val="21"/>
                <w:lang w:val="zh-CN"/>
              </w:rPr>
              <w:t>分</w:t>
            </w:r>
          </w:p>
        </w:tc>
      </w:tr>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tblCellMar>
            <w:top w:w="0" w:type="dxa"/>
            <w:left w:w="0" w:type="dxa"/>
            <w:bottom w:w="0" w:type="dxa"/>
            <w:right w:w="0" w:type="dxa"/>
          </w:tblCellMar>
        </w:tblPrEx>
        <w:trPr>
          <w:trHeight w:val="623" w:hRule="atLeast"/>
        </w:trPr>
        <w:tc>
          <w:tcPr>
            <w:tcW w:w="8897" w:type="dxa"/>
            <w:gridSpan w:val="6"/>
            <w:tcBorders>
              <w:top w:val="nil"/>
              <w:left w:val="single" w:color="000000" w:sz="8" w:space="0"/>
              <w:bottom w:val="single" w:color="000000" w:sz="8" w:space="0"/>
              <w:right w:val="single" w:color="000000" w:sz="8" w:space="0"/>
            </w:tcBorders>
            <w:shd w:val="clear" w:color="auto" w:fill="FFFFFF"/>
            <w:vAlign w:val="center"/>
          </w:tcPr>
          <w:p>
            <w:pPr>
              <w:tabs>
                <w:tab w:val="left" w:pos="1260"/>
              </w:tabs>
              <w:spacing w:line="360" w:lineRule="auto"/>
              <w:ind w:firstLine="3150" w:firstLineChars="1500"/>
              <w:rPr>
                <w:rStyle w:val="75"/>
                <w:rFonts w:ascii="宋体" w:hAnsi="宋体"/>
                <w:szCs w:val="21"/>
                <w:lang w:val="zh-CN"/>
              </w:rPr>
            </w:pPr>
            <w:r>
              <w:rPr>
                <w:rStyle w:val="75"/>
                <w:rFonts w:ascii="宋体" w:hAnsi="宋体"/>
                <w:szCs w:val="21"/>
                <w:lang w:val="zh-CN"/>
              </w:rPr>
              <w:t>三、技术部分（满分</w:t>
            </w:r>
            <w:r>
              <w:rPr>
                <w:rStyle w:val="75"/>
                <w:rFonts w:hint="eastAsia" w:ascii="宋体" w:hAnsi="宋体"/>
                <w:szCs w:val="21"/>
              </w:rPr>
              <w:t>33</w:t>
            </w:r>
            <w:r>
              <w:rPr>
                <w:rStyle w:val="75"/>
                <w:rFonts w:ascii="宋体" w:hAnsi="宋体"/>
                <w:szCs w:val="21"/>
                <w:lang w:val="zh-CN"/>
              </w:rPr>
              <w:t>分）</w:t>
            </w:r>
          </w:p>
        </w:tc>
      </w:tr>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tblCellMar>
            <w:top w:w="0" w:type="dxa"/>
            <w:left w:w="0" w:type="dxa"/>
            <w:bottom w:w="0" w:type="dxa"/>
            <w:right w:w="0" w:type="dxa"/>
          </w:tblCellMar>
        </w:tblPrEx>
        <w:trPr>
          <w:trHeight w:val="591" w:hRule="atLeast"/>
        </w:trPr>
        <w:tc>
          <w:tcPr>
            <w:tcW w:w="1457" w:type="dxa"/>
            <w:gridSpan w:val="3"/>
            <w:tcBorders>
              <w:top w:val="nil"/>
              <w:left w:val="single" w:color="000000" w:sz="8" w:space="0"/>
              <w:bottom w:val="single" w:color="000000" w:sz="8" w:space="0"/>
              <w:right w:val="single" w:color="000000" w:sz="8" w:space="0"/>
            </w:tcBorders>
            <w:shd w:val="clear" w:color="auto" w:fill="FFFFFF"/>
            <w:vAlign w:val="center"/>
          </w:tcPr>
          <w:p>
            <w:pPr>
              <w:tabs>
                <w:tab w:val="left" w:pos="1260"/>
              </w:tabs>
              <w:spacing w:line="360" w:lineRule="auto"/>
              <w:jc w:val="center"/>
              <w:rPr>
                <w:rStyle w:val="75"/>
                <w:rFonts w:ascii="宋体" w:hAnsi="宋体"/>
                <w:szCs w:val="21"/>
                <w:lang w:val="zh-CN"/>
              </w:rPr>
            </w:pPr>
            <w:r>
              <w:rPr>
                <w:rStyle w:val="75"/>
                <w:rFonts w:ascii="宋体" w:hAnsi="宋体"/>
                <w:szCs w:val="21"/>
                <w:lang w:val="zh-CN"/>
              </w:rPr>
              <w:t>评分因素</w:t>
            </w:r>
          </w:p>
        </w:tc>
        <w:tc>
          <w:tcPr>
            <w:tcW w:w="5881" w:type="dxa"/>
            <w:tcBorders>
              <w:top w:val="nil"/>
              <w:left w:val="nil"/>
              <w:bottom w:val="single" w:color="000000" w:sz="8" w:space="0"/>
              <w:right w:val="single" w:color="000000" w:sz="8" w:space="0"/>
            </w:tcBorders>
            <w:shd w:val="clear" w:color="auto" w:fill="FFFFFF"/>
            <w:vAlign w:val="center"/>
          </w:tcPr>
          <w:p>
            <w:pPr>
              <w:tabs>
                <w:tab w:val="left" w:pos="1260"/>
              </w:tabs>
              <w:spacing w:line="360" w:lineRule="auto"/>
              <w:rPr>
                <w:rStyle w:val="75"/>
                <w:rFonts w:ascii="宋体" w:hAnsi="宋体"/>
                <w:szCs w:val="21"/>
                <w:lang w:val="zh-CN"/>
              </w:rPr>
            </w:pPr>
            <w:r>
              <w:rPr>
                <w:rStyle w:val="75"/>
                <w:rFonts w:ascii="宋体" w:hAnsi="宋体"/>
                <w:szCs w:val="21"/>
                <w:lang w:val="zh-CN"/>
              </w:rPr>
              <w:t>评分标准</w:t>
            </w:r>
          </w:p>
        </w:tc>
        <w:tc>
          <w:tcPr>
            <w:tcW w:w="1559" w:type="dxa"/>
            <w:gridSpan w:val="2"/>
            <w:tcBorders>
              <w:top w:val="nil"/>
              <w:left w:val="nil"/>
              <w:bottom w:val="single" w:color="000000" w:sz="8" w:space="0"/>
              <w:right w:val="single" w:color="000000" w:sz="8" w:space="0"/>
            </w:tcBorders>
            <w:shd w:val="clear" w:color="auto" w:fill="FFFFFF"/>
            <w:vAlign w:val="center"/>
          </w:tcPr>
          <w:p>
            <w:pPr>
              <w:tabs>
                <w:tab w:val="left" w:pos="1260"/>
              </w:tabs>
              <w:spacing w:line="360" w:lineRule="auto"/>
              <w:jc w:val="center"/>
              <w:rPr>
                <w:rStyle w:val="75"/>
                <w:rFonts w:ascii="宋体" w:hAnsi="宋体"/>
                <w:szCs w:val="21"/>
                <w:lang w:val="zh-CN"/>
              </w:rPr>
            </w:pPr>
            <w:r>
              <w:rPr>
                <w:rStyle w:val="75"/>
                <w:rFonts w:ascii="宋体" w:hAnsi="宋体"/>
                <w:szCs w:val="21"/>
                <w:lang w:val="zh-CN"/>
              </w:rPr>
              <w:t>分值</w:t>
            </w:r>
          </w:p>
        </w:tc>
      </w:tr>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tblCellMar>
            <w:top w:w="0" w:type="dxa"/>
            <w:left w:w="0" w:type="dxa"/>
            <w:bottom w:w="0" w:type="dxa"/>
            <w:right w:w="0" w:type="dxa"/>
          </w:tblCellMar>
        </w:tblPrEx>
        <w:trPr>
          <w:trHeight w:val="973" w:hRule="atLeast"/>
        </w:trPr>
        <w:tc>
          <w:tcPr>
            <w:tcW w:w="1457" w:type="dxa"/>
            <w:gridSpan w:val="3"/>
            <w:tcBorders>
              <w:top w:val="nil"/>
              <w:left w:val="single" w:color="000000" w:sz="8" w:space="0"/>
              <w:bottom w:val="single" w:color="000000" w:sz="8" w:space="0"/>
              <w:right w:val="single" w:color="000000" w:sz="8" w:space="0"/>
            </w:tcBorders>
            <w:shd w:val="clear" w:color="auto" w:fill="FFFFFF"/>
            <w:vAlign w:val="center"/>
          </w:tcPr>
          <w:p>
            <w:pPr>
              <w:tabs>
                <w:tab w:val="left" w:pos="1260"/>
              </w:tabs>
              <w:spacing w:line="360" w:lineRule="auto"/>
              <w:jc w:val="center"/>
              <w:rPr>
                <w:rStyle w:val="75"/>
                <w:rFonts w:ascii="宋体" w:hAnsi="宋体"/>
                <w:szCs w:val="21"/>
              </w:rPr>
            </w:pPr>
            <w:r>
              <w:rPr>
                <w:rStyle w:val="75"/>
                <w:rFonts w:ascii="宋体" w:hAnsi="宋体"/>
                <w:szCs w:val="21"/>
              </w:rPr>
              <w:t>对招标文件的响应程度</w:t>
            </w:r>
          </w:p>
        </w:tc>
        <w:tc>
          <w:tcPr>
            <w:tcW w:w="5881" w:type="dxa"/>
            <w:tcBorders>
              <w:top w:val="nil"/>
              <w:left w:val="nil"/>
              <w:bottom w:val="single" w:color="000000" w:sz="8" w:space="0"/>
              <w:right w:val="single" w:color="000000" w:sz="8" w:space="0"/>
            </w:tcBorders>
            <w:shd w:val="clear" w:color="auto" w:fill="FFFFFF"/>
            <w:vAlign w:val="center"/>
          </w:tcPr>
          <w:p>
            <w:pPr>
              <w:tabs>
                <w:tab w:val="left" w:pos="1260"/>
              </w:tabs>
              <w:spacing w:line="360" w:lineRule="auto"/>
              <w:rPr>
                <w:rStyle w:val="75"/>
                <w:rFonts w:ascii="宋体" w:hAnsi="宋体"/>
                <w:szCs w:val="21"/>
              </w:rPr>
            </w:pPr>
            <w:r>
              <w:rPr>
                <w:rStyle w:val="75"/>
                <w:rFonts w:ascii="宋体" w:hAnsi="宋体"/>
                <w:szCs w:val="21"/>
              </w:rPr>
              <w:t>投标人所投标产品技术参数指标全部满足的，得</w:t>
            </w:r>
            <w:r>
              <w:rPr>
                <w:rStyle w:val="75"/>
                <w:rFonts w:hint="eastAsia" w:ascii="宋体" w:hAnsi="宋体"/>
                <w:szCs w:val="21"/>
              </w:rPr>
              <w:t>18</w:t>
            </w:r>
            <w:r>
              <w:rPr>
                <w:rStyle w:val="75"/>
                <w:rFonts w:ascii="宋体" w:hAnsi="宋体"/>
                <w:szCs w:val="21"/>
              </w:rPr>
              <w:t>分；</w:t>
            </w:r>
          </w:p>
          <w:p>
            <w:pPr>
              <w:tabs>
                <w:tab w:val="left" w:pos="1260"/>
              </w:tabs>
              <w:spacing w:line="360" w:lineRule="auto"/>
              <w:rPr>
                <w:rStyle w:val="75"/>
                <w:rFonts w:ascii="宋体" w:hAnsi="宋体"/>
                <w:szCs w:val="21"/>
              </w:rPr>
            </w:pPr>
            <w:r>
              <w:rPr>
                <w:rStyle w:val="75"/>
                <w:rFonts w:ascii="宋体" w:hAnsi="宋体"/>
                <w:szCs w:val="21"/>
              </w:rPr>
              <w:t>技术参数指标中每有一项指标不满足的扣</w:t>
            </w:r>
            <w:r>
              <w:rPr>
                <w:rStyle w:val="75"/>
                <w:rFonts w:hint="eastAsia" w:ascii="宋体" w:hAnsi="宋体"/>
                <w:szCs w:val="21"/>
              </w:rPr>
              <w:t>2</w:t>
            </w:r>
            <w:r>
              <w:rPr>
                <w:rStyle w:val="75"/>
                <w:rFonts w:ascii="宋体" w:hAnsi="宋体"/>
                <w:szCs w:val="21"/>
              </w:rPr>
              <w:t>分，扣完为止</w:t>
            </w:r>
            <w:r>
              <w:rPr>
                <w:rStyle w:val="75"/>
                <w:rFonts w:hint="eastAsia" w:ascii="宋体" w:hAnsi="宋体"/>
                <w:szCs w:val="21"/>
              </w:rPr>
              <w:t>。</w:t>
            </w:r>
          </w:p>
          <w:p>
            <w:pPr>
              <w:tabs>
                <w:tab w:val="left" w:pos="1260"/>
              </w:tabs>
              <w:spacing w:line="360" w:lineRule="auto"/>
              <w:rPr>
                <w:rStyle w:val="75"/>
                <w:rFonts w:ascii="宋体" w:hAnsi="宋体"/>
                <w:szCs w:val="21"/>
              </w:rPr>
            </w:pPr>
            <w:r>
              <w:rPr>
                <w:rStyle w:val="75"/>
                <w:rFonts w:ascii="宋体" w:hAnsi="宋体"/>
                <w:szCs w:val="21"/>
              </w:rPr>
              <w:t>技术参数以CNAS机构出具的认证报告或检测报告里面的铭牌值为准，须提供原件的扫描件或图片</w:t>
            </w:r>
            <w:r>
              <w:rPr>
                <w:rStyle w:val="75"/>
                <w:rFonts w:hint="eastAsia" w:ascii="宋体" w:hAnsi="宋体"/>
                <w:szCs w:val="21"/>
              </w:rPr>
              <w:t>。</w:t>
            </w:r>
          </w:p>
        </w:tc>
        <w:tc>
          <w:tcPr>
            <w:tcW w:w="1559" w:type="dxa"/>
            <w:gridSpan w:val="2"/>
            <w:tcBorders>
              <w:top w:val="nil"/>
              <w:left w:val="nil"/>
              <w:bottom w:val="single" w:color="000000" w:sz="8" w:space="0"/>
              <w:right w:val="single" w:color="000000" w:sz="8" w:space="0"/>
            </w:tcBorders>
            <w:shd w:val="clear" w:color="auto" w:fill="FFFFFF"/>
            <w:vAlign w:val="center"/>
          </w:tcPr>
          <w:p>
            <w:pPr>
              <w:tabs>
                <w:tab w:val="left" w:pos="1260"/>
              </w:tabs>
              <w:spacing w:line="360" w:lineRule="auto"/>
              <w:jc w:val="center"/>
              <w:rPr>
                <w:rStyle w:val="75"/>
                <w:rFonts w:ascii="宋体" w:hAnsi="宋体"/>
                <w:szCs w:val="21"/>
                <w:lang w:val="zh-CN"/>
              </w:rPr>
            </w:pPr>
            <w:r>
              <w:rPr>
                <w:rStyle w:val="75"/>
                <w:rFonts w:hint="eastAsia" w:ascii="宋体" w:hAnsi="宋体"/>
                <w:szCs w:val="21"/>
              </w:rPr>
              <w:t>18</w:t>
            </w:r>
            <w:r>
              <w:rPr>
                <w:rStyle w:val="75"/>
                <w:rFonts w:ascii="宋体" w:hAnsi="宋体"/>
                <w:szCs w:val="21"/>
                <w:lang w:val="zh-CN"/>
              </w:rPr>
              <w:t>分</w:t>
            </w:r>
          </w:p>
        </w:tc>
      </w:tr>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tblCellMar>
            <w:top w:w="0" w:type="dxa"/>
            <w:left w:w="0" w:type="dxa"/>
            <w:bottom w:w="0" w:type="dxa"/>
            <w:right w:w="0" w:type="dxa"/>
          </w:tblCellMar>
        </w:tblPrEx>
        <w:trPr>
          <w:trHeight w:val="4451" w:hRule="atLeast"/>
        </w:trPr>
        <w:tc>
          <w:tcPr>
            <w:tcW w:w="1457" w:type="dxa"/>
            <w:gridSpan w:val="3"/>
            <w:tcBorders>
              <w:top w:val="nil"/>
              <w:left w:val="single" w:color="000000" w:sz="8" w:space="0"/>
              <w:bottom w:val="single" w:color="000000" w:sz="8" w:space="0"/>
              <w:right w:val="single" w:color="000000" w:sz="8" w:space="0"/>
            </w:tcBorders>
            <w:shd w:val="clear" w:color="auto" w:fill="FFFFFF"/>
            <w:vAlign w:val="center"/>
          </w:tcPr>
          <w:p>
            <w:pPr>
              <w:tabs>
                <w:tab w:val="left" w:pos="1260"/>
              </w:tabs>
              <w:spacing w:line="360" w:lineRule="auto"/>
              <w:jc w:val="center"/>
              <w:rPr>
                <w:rStyle w:val="75"/>
                <w:rFonts w:ascii="宋体" w:hAnsi="宋体"/>
                <w:szCs w:val="21"/>
              </w:rPr>
            </w:pPr>
            <w:r>
              <w:rPr>
                <w:rStyle w:val="75"/>
                <w:rFonts w:ascii="宋体" w:hAnsi="宋体"/>
                <w:szCs w:val="21"/>
              </w:rPr>
              <w:t>服务方案</w:t>
            </w:r>
          </w:p>
          <w:p>
            <w:pPr>
              <w:tabs>
                <w:tab w:val="left" w:pos="1260"/>
              </w:tabs>
              <w:spacing w:line="360" w:lineRule="auto"/>
              <w:jc w:val="center"/>
              <w:rPr>
                <w:rStyle w:val="75"/>
                <w:rFonts w:ascii="宋体" w:hAnsi="宋体"/>
                <w:szCs w:val="21"/>
              </w:rPr>
            </w:pPr>
            <w:r>
              <w:rPr>
                <w:rStyle w:val="75"/>
                <w:rFonts w:hint="eastAsia" w:ascii="宋体" w:hAnsi="宋体"/>
                <w:szCs w:val="21"/>
              </w:rPr>
              <w:t>及售后承诺</w:t>
            </w:r>
          </w:p>
        </w:tc>
        <w:tc>
          <w:tcPr>
            <w:tcW w:w="5881" w:type="dxa"/>
            <w:tcBorders>
              <w:top w:val="nil"/>
              <w:left w:val="nil"/>
              <w:bottom w:val="single" w:color="000000" w:sz="8" w:space="0"/>
              <w:right w:val="single" w:color="000000" w:sz="8" w:space="0"/>
            </w:tcBorders>
            <w:shd w:val="clear" w:color="auto" w:fill="FFFFFF"/>
            <w:vAlign w:val="center"/>
          </w:tcPr>
          <w:p>
            <w:pPr>
              <w:tabs>
                <w:tab w:val="left" w:pos="1260"/>
              </w:tabs>
              <w:spacing w:line="360" w:lineRule="auto"/>
              <w:rPr>
                <w:rStyle w:val="75"/>
                <w:rFonts w:ascii="宋体" w:hAnsi="宋体"/>
                <w:szCs w:val="21"/>
              </w:rPr>
            </w:pPr>
            <w:r>
              <w:rPr>
                <w:rStyle w:val="75"/>
                <w:rFonts w:ascii="宋体" w:hAnsi="宋体"/>
                <w:szCs w:val="21"/>
              </w:rPr>
              <w:t>1、为提高服务及安装保障，投标单位取得所投品牌的厂家服务承诺函得</w:t>
            </w:r>
            <w:r>
              <w:rPr>
                <w:rStyle w:val="75"/>
                <w:rFonts w:hint="eastAsia" w:ascii="宋体" w:hAnsi="宋体"/>
                <w:szCs w:val="21"/>
              </w:rPr>
              <w:t>4</w:t>
            </w:r>
            <w:r>
              <w:rPr>
                <w:rStyle w:val="75"/>
                <w:rFonts w:ascii="宋体" w:hAnsi="宋体"/>
                <w:szCs w:val="21"/>
              </w:rPr>
              <w:t>分；</w:t>
            </w:r>
          </w:p>
          <w:p>
            <w:pPr>
              <w:tabs>
                <w:tab w:val="left" w:pos="1260"/>
              </w:tabs>
              <w:spacing w:line="360" w:lineRule="auto"/>
              <w:rPr>
                <w:rStyle w:val="75"/>
                <w:rFonts w:ascii="宋体" w:hAnsi="宋体"/>
                <w:szCs w:val="21"/>
              </w:rPr>
            </w:pPr>
            <w:r>
              <w:rPr>
                <w:rStyle w:val="75"/>
                <w:rFonts w:ascii="宋体" w:hAnsi="宋体"/>
                <w:szCs w:val="21"/>
              </w:rPr>
              <w:t>2、针对本项目工期和质量要求，投标人提供的供货、质量控制措施、生产计划等安装实施方案是否科学、合理、详尽、可行。</w:t>
            </w:r>
          </w:p>
          <w:p>
            <w:pPr>
              <w:tabs>
                <w:tab w:val="left" w:pos="1260"/>
              </w:tabs>
              <w:spacing w:line="360" w:lineRule="auto"/>
              <w:rPr>
                <w:rStyle w:val="75"/>
                <w:rFonts w:ascii="宋体" w:hAnsi="宋体"/>
                <w:szCs w:val="21"/>
              </w:rPr>
            </w:pPr>
            <w:r>
              <w:rPr>
                <w:rStyle w:val="75"/>
                <w:rFonts w:ascii="宋体" w:hAnsi="宋体"/>
                <w:szCs w:val="21"/>
              </w:rPr>
              <w:t>优：</w:t>
            </w:r>
            <w:r>
              <w:rPr>
                <w:rStyle w:val="75"/>
                <w:rFonts w:hint="eastAsia" w:ascii="宋体" w:hAnsi="宋体"/>
                <w:szCs w:val="21"/>
              </w:rPr>
              <w:t>4</w:t>
            </w:r>
            <w:r>
              <w:rPr>
                <w:rStyle w:val="75"/>
                <w:rFonts w:ascii="宋体" w:hAnsi="宋体"/>
                <w:szCs w:val="21"/>
              </w:rPr>
              <w:t>-</w:t>
            </w:r>
            <w:r>
              <w:rPr>
                <w:rStyle w:val="75"/>
                <w:rFonts w:hint="eastAsia" w:ascii="宋体" w:hAnsi="宋体"/>
                <w:szCs w:val="21"/>
              </w:rPr>
              <w:t>5</w:t>
            </w:r>
            <w:r>
              <w:rPr>
                <w:rStyle w:val="75"/>
                <w:rFonts w:ascii="宋体" w:hAnsi="宋体"/>
                <w:szCs w:val="21"/>
              </w:rPr>
              <w:t>分，一般1-</w:t>
            </w:r>
            <w:r>
              <w:rPr>
                <w:rStyle w:val="75"/>
                <w:rFonts w:hint="eastAsia" w:ascii="宋体" w:hAnsi="宋体"/>
                <w:szCs w:val="21"/>
              </w:rPr>
              <w:t>3</w:t>
            </w:r>
            <w:r>
              <w:rPr>
                <w:rStyle w:val="75"/>
                <w:rFonts w:ascii="宋体" w:hAnsi="宋体"/>
                <w:szCs w:val="21"/>
              </w:rPr>
              <w:t>分</w:t>
            </w:r>
          </w:p>
          <w:p>
            <w:pPr>
              <w:tabs>
                <w:tab w:val="left" w:pos="1260"/>
              </w:tabs>
              <w:spacing w:line="360" w:lineRule="auto"/>
              <w:rPr>
                <w:rStyle w:val="75"/>
                <w:rFonts w:ascii="宋体" w:hAnsi="宋体"/>
                <w:szCs w:val="21"/>
              </w:rPr>
            </w:pPr>
            <w:r>
              <w:rPr>
                <w:rStyle w:val="75"/>
                <w:rFonts w:ascii="宋体" w:hAnsi="宋体"/>
                <w:szCs w:val="21"/>
              </w:rPr>
              <w:t>3、根据投标人提供的售后服务方案、服务方式、人员安排、响应时间、以及售后服务承诺等措施综合评分；</w:t>
            </w:r>
          </w:p>
          <w:p>
            <w:pPr>
              <w:tabs>
                <w:tab w:val="left" w:pos="1260"/>
              </w:tabs>
              <w:spacing w:line="360" w:lineRule="auto"/>
              <w:rPr>
                <w:rStyle w:val="75"/>
                <w:rFonts w:ascii="宋体" w:hAnsi="宋体"/>
                <w:szCs w:val="21"/>
              </w:rPr>
            </w:pPr>
            <w:r>
              <w:rPr>
                <w:rStyle w:val="75"/>
                <w:rFonts w:ascii="宋体" w:hAnsi="宋体"/>
                <w:szCs w:val="21"/>
              </w:rPr>
              <w:t>优：</w:t>
            </w:r>
            <w:r>
              <w:rPr>
                <w:rStyle w:val="75"/>
                <w:rFonts w:hint="eastAsia" w:ascii="宋体" w:hAnsi="宋体"/>
                <w:szCs w:val="21"/>
              </w:rPr>
              <w:t>5</w:t>
            </w:r>
            <w:r>
              <w:rPr>
                <w:rStyle w:val="75"/>
                <w:rFonts w:ascii="宋体" w:hAnsi="宋体"/>
                <w:szCs w:val="21"/>
              </w:rPr>
              <w:t>-</w:t>
            </w:r>
            <w:r>
              <w:rPr>
                <w:rStyle w:val="75"/>
                <w:rFonts w:hint="eastAsia" w:ascii="宋体" w:hAnsi="宋体"/>
                <w:szCs w:val="21"/>
              </w:rPr>
              <w:t>6</w:t>
            </w:r>
            <w:r>
              <w:rPr>
                <w:rStyle w:val="75"/>
                <w:rFonts w:ascii="宋体" w:hAnsi="宋体"/>
                <w:szCs w:val="21"/>
              </w:rPr>
              <w:t>分；一般1-</w:t>
            </w:r>
            <w:r>
              <w:rPr>
                <w:rStyle w:val="75"/>
                <w:rFonts w:hint="eastAsia" w:ascii="宋体" w:hAnsi="宋体"/>
                <w:szCs w:val="21"/>
              </w:rPr>
              <w:t>4</w:t>
            </w:r>
            <w:r>
              <w:rPr>
                <w:rStyle w:val="75"/>
                <w:rFonts w:ascii="宋体" w:hAnsi="宋体"/>
                <w:szCs w:val="21"/>
              </w:rPr>
              <w:t>分</w:t>
            </w:r>
          </w:p>
        </w:tc>
        <w:tc>
          <w:tcPr>
            <w:tcW w:w="1559" w:type="dxa"/>
            <w:gridSpan w:val="2"/>
            <w:tcBorders>
              <w:top w:val="nil"/>
              <w:left w:val="nil"/>
              <w:bottom w:val="single" w:color="000000" w:sz="8" w:space="0"/>
              <w:right w:val="single" w:color="000000" w:sz="8" w:space="0"/>
            </w:tcBorders>
            <w:shd w:val="clear" w:color="auto" w:fill="FFFFFF"/>
            <w:vAlign w:val="center"/>
          </w:tcPr>
          <w:p>
            <w:pPr>
              <w:tabs>
                <w:tab w:val="left" w:pos="1260"/>
              </w:tabs>
              <w:spacing w:line="360" w:lineRule="auto"/>
              <w:jc w:val="center"/>
              <w:rPr>
                <w:rStyle w:val="75"/>
                <w:rFonts w:ascii="宋体" w:hAnsi="宋体"/>
                <w:szCs w:val="21"/>
                <w:lang w:val="zh-CN"/>
              </w:rPr>
            </w:pPr>
            <w:r>
              <w:rPr>
                <w:rStyle w:val="75"/>
                <w:rFonts w:hint="eastAsia" w:ascii="宋体" w:hAnsi="宋体"/>
                <w:szCs w:val="21"/>
                <w:lang w:val="zh-CN"/>
              </w:rPr>
              <w:t>1</w:t>
            </w:r>
            <w:r>
              <w:rPr>
                <w:rStyle w:val="75"/>
                <w:rFonts w:hint="eastAsia" w:ascii="宋体" w:hAnsi="宋体"/>
                <w:szCs w:val="21"/>
              </w:rPr>
              <w:t>5</w:t>
            </w:r>
            <w:r>
              <w:rPr>
                <w:rStyle w:val="75"/>
                <w:rFonts w:ascii="宋体" w:hAnsi="宋体"/>
                <w:szCs w:val="21"/>
                <w:lang w:val="zh-CN"/>
              </w:rPr>
              <w:t>分</w:t>
            </w:r>
          </w:p>
        </w:tc>
      </w:tr>
    </w:tbl>
    <w:p>
      <w:pPr>
        <w:pStyle w:val="2"/>
        <w:rPr>
          <w:rFonts w:cs="仿宋_GB2312" w:asciiTheme="minorEastAsia" w:hAnsiTheme="minorEastAsia"/>
          <w:szCs w:val="21"/>
          <w:lang w:val="zh-CN"/>
        </w:rPr>
      </w:pPr>
    </w:p>
    <w:p>
      <w:pPr>
        <w:spacing w:line="360" w:lineRule="auto"/>
        <w:rPr>
          <w:rFonts w:ascii="新宋体" w:hAnsi="新宋体" w:eastAsia="新宋体" w:cs="新宋体"/>
          <w:b/>
          <w:sz w:val="24"/>
          <w:szCs w:val="24"/>
          <w:lang w:val="zh-CN"/>
        </w:rPr>
      </w:pPr>
      <w:r>
        <w:rPr>
          <w:rFonts w:hint="eastAsia" w:ascii="新宋体" w:hAnsi="新宋体" w:eastAsia="新宋体" w:cs="新宋体"/>
          <w:b/>
          <w:sz w:val="24"/>
          <w:szCs w:val="24"/>
          <w:lang w:val="zh-CN"/>
        </w:rPr>
        <w:t>其中：价格分计算（落实政府采购政策价格调整部分）</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ˎ̥" w:hAnsi="ˎ̥" w:eastAsia="宋体"/>
                <w:color w:val="FF0000"/>
                <w:szCs w:val="21"/>
              </w:rPr>
            </w:pPr>
            <w:r>
              <w:rPr>
                <w:rFonts w:hint="eastAsia" w:ascii="ˎ̥" w:hAnsi="ˎ̥" w:eastAsia="宋体"/>
                <w:color w:val="FF0000"/>
                <w:szCs w:val="21"/>
              </w:rPr>
              <w:t>对小型和微型企业报价</w:t>
            </w:r>
          </w:p>
          <w:p>
            <w:pPr>
              <w:jc w:val="center"/>
              <w:rPr>
                <w:rFonts w:ascii="宋体" w:hAnsi="宋体"/>
                <w:b/>
                <w:szCs w:val="21"/>
                <w:lang w:val="en-GB"/>
              </w:rPr>
            </w:pPr>
            <w:r>
              <w:rPr>
                <w:rFonts w:hint="eastAsia" w:ascii="ˎ̥" w:hAnsi="ˎ̥" w:eastAsia="宋体"/>
                <w:color w:val="FF0000"/>
                <w:szCs w:val="21"/>
              </w:rPr>
              <w:t>扣除6%</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w:t>
            </w:r>
            <w:r>
              <w:rPr>
                <w:rFonts w:hint="eastAsia" w:ascii="ˎ̥" w:hAnsi="ˎ̥" w:eastAsia="宋体"/>
                <w:color w:val="FF0000"/>
                <w:szCs w:val="21"/>
              </w:rPr>
              <w:t>小型和微型企业报价</w:t>
            </w:r>
            <w:r>
              <w:rPr>
                <w:rFonts w:hint="eastAsia" w:ascii="宋体" w:hAnsi="宋体"/>
                <w:color w:val="000000"/>
                <w:szCs w:val="21"/>
                <w:lang w:val="en-GB"/>
              </w:rPr>
              <w:t>×（1-</w:t>
            </w:r>
            <w:r>
              <w:rPr>
                <w:rFonts w:hint="eastAsia"/>
                <w:color w:val="000000"/>
                <w:szCs w:val="21"/>
                <w:lang w:val="en-GB"/>
              </w:rPr>
              <w:t>6%</w:t>
            </w:r>
            <w:r>
              <w:rPr>
                <w:rFonts w:hint="eastAsia" w:ascii="宋体" w:hAnsi="宋体"/>
                <w:color w:val="000000"/>
                <w:szCs w:val="21"/>
                <w:lang w:val="en-GB"/>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联合体各方均为</w:t>
            </w:r>
          </w:p>
          <w:p>
            <w:pPr>
              <w:jc w:val="center"/>
              <w:rPr>
                <w:rFonts w:ascii="宋体" w:hAnsi="宋体"/>
                <w:b/>
                <w:color w:val="000000"/>
                <w:szCs w:val="21"/>
              </w:rPr>
            </w:pPr>
            <w:r>
              <w:rPr>
                <w:rFonts w:hint="eastAsia" w:ascii="宋体" w:hAnsi="宋体"/>
                <w:color w:val="000000"/>
                <w:szCs w:val="21"/>
                <w:lang w:val="en-GB"/>
              </w:rPr>
              <w:t>小型、微型企业</w:t>
            </w:r>
          </w:p>
        </w:tc>
        <w:tc>
          <w:tcPr>
            <w:tcW w:w="2552" w:type="dxa"/>
            <w:vAlign w:val="center"/>
          </w:tcPr>
          <w:p>
            <w:pPr>
              <w:jc w:val="center"/>
              <w:rPr>
                <w:rFonts w:ascii="宋体" w:hAnsi="宋体"/>
                <w:color w:val="000000"/>
                <w:szCs w:val="21"/>
              </w:rPr>
            </w:pPr>
            <w:r>
              <w:rPr>
                <w:rFonts w:hint="eastAsia" w:ascii="ˎ̥" w:hAnsi="ˎ̥" w:eastAsia="宋体"/>
                <w:color w:val="FF0000"/>
                <w:szCs w:val="21"/>
              </w:rPr>
              <w:t>对小型和微型企业报价</w:t>
            </w:r>
          </w:p>
          <w:p>
            <w:pPr>
              <w:jc w:val="center"/>
              <w:rPr>
                <w:rFonts w:ascii="宋体" w:hAnsi="宋体"/>
                <w:szCs w:val="21"/>
              </w:rPr>
            </w:pPr>
            <w:r>
              <w:rPr>
                <w:rFonts w:hint="eastAsia" w:ascii="宋体" w:hAnsi="宋体"/>
                <w:color w:val="000000"/>
                <w:szCs w:val="21"/>
              </w:rPr>
              <w:t>扣除</w:t>
            </w:r>
            <w:r>
              <w:rPr>
                <w:rFonts w:hint="eastAsia" w:ascii="宋体" w:hAnsi="宋体"/>
                <w:szCs w:val="21"/>
              </w:rPr>
              <w:t>6%</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ascii="ˎ̥" w:hAnsi="ˎ̥" w:eastAsia="宋体"/>
                <w:color w:val="FF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eastAsia="宋体"/>
                <w:color w:val="FF0000"/>
                <w:szCs w:val="21"/>
              </w:rPr>
              <w:t>对联合体或者大中型企业的报价</w:t>
            </w:r>
            <w:r>
              <w:rPr>
                <w:rFonts w:hint="eastAsia" w:ascii="宋体" w:hAnsi="宋体"/>
                <w:color w:val="000000"/>
                <w:szCs w:val="21"/>
                <w:lang w:val="en-GB"/>
              </w:rPr>
              <w:t>扣除</w:t>
            </w:r>
            <w:r>
              <w:rPr>
                <w:rFonts w:ascii="宋体" w:hAnsi="宋体"/>
                <w:szCs w:val="21"/>
              </w:rPr>
              <w:t>2</w:t>
            </w:r>
            <w:r>
              <w:rPr>
                <w:rFonts w:hint="eastAsia" w:ascii="宋体" w:hAnsi="宋体"/>
                <w:szCs w:val="21"/>
              </w:rPr>
              <w:t>%</w:t>
            </w:r>
          </w:p>
        </w:tc>
        <w:tc>
          <w:tcPr>
            <w:tcW w:w="2835" w:type="dxa"/>
            <w:shd w:val="clear" w:color="auto" w:fill="auto"/>
            <w:vAlign w:val="center"/>
          </w:tcPr>
          <w:p>
            <w:pPr>
              <w:jc w:val="center"/>
              <w:rPr>
                <w:rFonts w:ascii="宋体" w:hAnsi="宋体"/>
                <w:b/>
                <w:color w:val="000000"/>
                <w:szCs w:val="21"/>
                <w:lang w:val="en-GB"/>
              </w:rPr>
            </w:pPr>
            <w:r>
              <w:rPr>
                <w:rFonts w:hint="eastAsia" w:ascii="宋体" w:hAnsi="宋体"/>
                <w:color w:val="000000"/>
                <w:szCs w:val="21"/>
                <w:lang w:val="en-GB"/>
              </w:rPr>
              <w:t>评标价格＝投标报价×</w:t>
            </w:r>
            <w:r>
              <w:rPr>
                <w:rFonts w:hint="eastAsia" w:ascii="宋体" w:hAnsi="宋体"/>
                <w:color w:val="000000" w:themeColor="text1"/>
                <w:szCs w:val="21"/>
              </w:rPr>
              <w:t>(1-</w:t>
            </w:r>
            <w:r>
              <w:rPr>
                <w:color w:val="000000"/>
                <w:szCs w:val="21"/>
                <w:lang w:val="en-GB"/>
              </w:rPr>
              <w:t>2</w:t>
            </w:r>
            <w:r>
              <w:rPr>
                <w:rFonts w:hint="eastAsia"/>
                <w:color w:val="000000"/>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pStyle w:val="2"/>
        <w:rPr>
          <w:lang w:val="zh-CN"/>
        </w:rPr>
      </w:pPr>
    </w:p>
    <w:p>
      <w:pPr>
        <w:pStyle w:val="2"/>
        <w:rPr>
          <w:lang w:val="zh-CN"/>
        </w:rPr>
      </w:pPr>
      <w:r>
        <w:rPr>
          <w:rFonts w:hint="eastAsia"/>
          <w:lang w:val="zh-CN"/>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r>
        <w:rPr>
          <w:rFonts w:hint="eastAsia" w:cs="宋体" w:asciiTheme="majorEastAsia" w:hAnsiTheme="majorEastAsia" w:eastAsiaTheme="majorEastAsia"/>
          <w:b/>
          <w:color w:val="FF0000"/>
          <w:kern w:val="0"/>
          <w:sz w:val="32"/>
          <w:szCs w:val="32"/>
        </w:rPr>
        <w:t>第七章 拟签订的合同文本</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25"/>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5"/>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p>
    <w:p>
      <w:pPr>
        <w:pStyle w:val="2"/>
      </w:pPr>
    </w:p>
    <w:p>
      <w:pPr>
        <w:tabs>
          <w:tab w:val="left" w:pos="1260"/>
        </w:tabs>
        <w:autoSpaceDE w:val="0"/>
        <w:autoSpaceDN w:val="0"/>
        <w:adjustRightInd w:val="0"/>
        <w:spacing w:line="360" w:lineRule="auto"/>
        <w:ind w:firstLine="2249" w:firstLineChars="700"/>
        <w:contextualSpacing/>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6274126"/>
      <w:bookmarkStart w:id="5" w:name="_Toc174185203"/>
      <w:bookmarkStart w:id="6" w:name="_Toc184023138"/>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w:t>
      </w:r>
      <w:r>
        <w:rPr>
          <w:rFonts w:asciiTheme="minorEastAsia" w:hAnsiTheme="minorEastAsia"/>
          <w:i/>
          <w:color w:val="000000"/>
          <w:szCs w:val="21"/>
          <w:u w:val="single"/>
        </w:rPr>
        <w:t>项目编号</w:t>
      </w:r>
      <w:r>
        <w:rPr>
          <w:rFonts w:hint="eastAsia" w:asciiTheme="minorEastAsia" w:hAnsiTheme="minorEastAsia"/>
          <w:color w:val="000000"/>
          <w:szCs w:val="21"/>
        </w:rPr>
        <w:t>的</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禹州</w:t>
      </w:r>
      <w:r>
        <w:rPr>
          <w:rFonts w:hint="eastAsia" w:ascii="宋体" w:hAnsi="宋体" w:eastAsia="宋体" w:cs="宋体"/>
          <w:szCs w:val="21"/>
          <w:lang w:val="zh-CN"/>
        </w:rPr>
        <w:t>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年____月日</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rPr>
              <w:t>品牌</w:t>
            </w: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ascii="宋体" w:hAnsi="宋体" w:cs="Arial"/>
          <w:color w:val="000000"/>
          <w:kern w:val="0"/>
          <w:szCs w:val="21"/>
        </w:rPr>
        <w:t>。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rPr>
        <w:t>企业名称：　　　　　　　　　</w:t>
      </w: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ind w:firstLine="2530" w:firstLineChars="900"/>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5"/>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12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01BDF"/>
    <w:multiLevelType w:val="singleLevel"/>
    <w:tmpl w:val="92D01BDF"/>
    <w:lvl w:ilvl="0" w:tentative="0">
      <w:start w:val="1"/>
      <w:numFmt w:val="chineseCounting"/>
      <w:suff w:val="space"/>
      <w:lvlText w:val="第%1章"/>
      <w:lvlJc w:val="left"/>
      <w:rPr>
        <w:rFonts w:hint="eastAsia"/>
      </w:rPr>
    </w:lvl>
  </w:abstractNum>
  <w:abstractNum w:abstractNumId="1">
    <w:nsid w:val="9499552F"/>
    <w:multiLevelType w:val="singleLevel"/>
    <w:tmpl w:val="9499552F"/>
    <w:lvl w:ilvl="0" w:tentative="0">
      <w:start w:val="1"/>
      <w:numFmt w:val="decimal"/>
      <w:suff w:val="nothing"/>
      <w:lvlText w:val="%1、"/>
      <w:lvlJc w:val="left"/>
      <w:pPr>
        <w:ind w:left="481" w:firstLine="0"/>
      </w:pPr>
      <w:rPr>
        <w:rFonts w:cs="仿宋" w:asciiTheme="majorEastAsia" w:hAnsiTheme="majorEastAsia" w:eastAsiaTheme="majorEastAsia"/>
      </w:rPr>
    </w:lvl>
  </w:abstractNum>
  <w:abstractNum w:abstractNumId="2">
    <w:nsid w:val="B336EA58"/>
    <w:multiLevelType w:val="singleLevel"/>
    <w:tmpl w:val="B336EA58"/>
    <w:lvl w:ilvl="0" w:tentative="0">
      <w:start w:val="2"/>
      <w:numFmt w:val="chineseCounting"/>
      <w:suff w:val="nothing"/>
      <w:lvlText w:val="（%1）"/>
      <w:lvlJc w:val="left"/>
      <w:rPr>
        <w:rFonts w:hint="eastAsia"/>
      </w:rPr>
    </w:lvl>
  </w:abstractNum>
  <w:abstractNum w:abstractNumId="3">
    <w:nsid w:val="EB0A31F9"/>
    <w:multiLevelType w:val="singleLevel"/>
    <w:tmpl w:val="EB0A31F9"/>
    <w:lvl w:ilvl="0" w:tentative="0">
      <w:start w:val="4"/>
      <w:numFmt w:val="chineseCounting"/>
      <w:suff w:val="nothing"/>
      <w:lvlText w:val="%1、"/>
      <w:lvlJc w:val="left"/>
      <w:rPr>
        <w:rFonts w:hint="eastAsia"/>
      </w:rPr>
    </w:lvl>
  </w:abstractNum>
  <w:abstractNum w:abstractNumId="4">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9">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9">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1">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5">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9F817C2"/>
    <w:multiLevelType w:val="singleLevel"/>
    <w:tmpl w:val="59F817C2"/>
    <w:lvl w:ilvl="0" w:tentative="0">
      <w:start w:val="2"/>
      <w:numFmt w:val="chineseCounting"/>
      <w:suff w:val="space"/>
      <w:lvlText w:val="第%1章"/>
      <w:lvlJc w:val="left"/>
    </w:lvl>
  </w:abstractNum>
  <w:abstractNum w:abstractNumId="39">
    <w:nsid w:val="59F817E8"/>
    <w:multiLevelType w:val="singleLevel"/>
    <w:tmpl w:val="59F817E8"/>
    <w:lvl w:ilvl="0" w:tentative="0">
      <w:start w:val="1"/>
      <w:numFmt w:val="chineseCounting"/>
      <w:pStyle w:val="56"/>
      <w:suff w:val="nothing"/>
      <w:lvlText w:val="%1、"/>
      <w:lvlJc w:val="left"/>
    </w:lvl>
  </w:abstractNum>
  <w:abstractNum w:abstractNumId="40">
    <w:nsid w:val="5A051E9E"/>
    <w:multiLevelType w:val="singleLevel"/>
    <w:tmpl w:val="5A051E9E"/>
    <w:lvl w:ilvl="0" w:tentative="0">
      <w:start w:val="1"/>
      <w:numFmt w:val="chineseCounting"/>
      <w:suff w:val="nothing"/>
      <w:lvlText w:val="%1、"/>
      <w:lvlJc w:val="left"/>
    </w:lvl>
  </w:abstractNum>
  <w:abstractNum w:abstractNumId="41">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4">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5">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54E26F6"/>
    <w:multiLevelType w:val="singleLevel"/>
    <w:tmpl w:val="654E26F6"/>
    <w:lvl w:ilvl="0" w:tentative="0">
      <w:start w:val="1"/>
      <w:numFmt w:val="decimal"/>
      <w:suff w:val="nothing"/>
      <w:lvlText w:val="%1、"/>
      <w:lvlJc w:val="left"/>
    </w:lvl>
  </w:abstractNum>
  <w:abstractNum w:abstractNumId="50">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51">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7">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8">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0">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2">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4"/>
  </w:num>
  <w:num w:numId="2">
    <w:abstractNumId w:val="5"/>
  </w:num>
  <w:num w:numId="3">
    <w:abstractNumId w:val="39"/>
  </w:num>
  <w:num w:numId="4">
    <w:abstractNumId w:val="0"/>
  </w:num>
  <w:num w:numId="5">
    <w:abstractNumId w:val="40"/>
  </w:num>
  <w:num w:numId="6">
    <w:abstractNumId w:val="1"/>
  </w:num>
  <w:num w:numId="7">
    <w:abstractNumId w:val="49"/>
  </w:num>
  <w:num w:numId="8">
    <w:abstractNumId w:val="2"/>
  </w:num>
  <w:num w:numId="9">
    <w:abstractNumId w:val="38"/>
  </w:num>
  <w:num w:numId="10">
    <w:abstractNumId w:val="3"/>
  </w:num>
  <w:num w:numId="11">
    <w:abstractNumId w:val="26"/>
  </w:num>
  <w:num w:numId="12">
    <w:abstractNumId w:val="52"/>
  </w:num>
  <w:num w:numId="13">
    <w:abstractNumId w:val="30"/>
  </w:num>
  <w:num w:numId="14">
    <w:abstractNumId w:val="32"/>
  </w:num>
  <w:num w:numId="15">
    <w:abstractNumId w:val="48"/>
  </w:num>
  <w:num w:numId="16">
    <w:abstractNumId w:val="18"/>
  </w:num>
  <w:num w:numId="17">
    <w:abstractNumId w:val="20"/>
  </w:num>
  <w:num w:numId="18">
    <w:abstractNumId w:val="63"/>
  </w:num>
  <w:num w:numId="19">
    <w:abstractNumId w:val="45"/>
  </w:num>
  <w:num w:numId="20">
    <w:abstractNumId w:val="60"/>
  </w:num>
  <w:num w:numId="21">
    <w:abstractNumId w:val="11"/>
  </w:num>
  <w:num w:numId="22">
    <w:abstractNumId w:val="13"/>
  </w:num>
  <w:num w:numId="23">
    <w:abstractNumId w:val="43"/>
  </w:num>
  <w:num w:numId="24">
    <w:abstractNumId w:val="28"/>
  </w:num>
  <w:num w:numId="25">
    <w:abstractNumId w:val="41"/>
  </w:num>
  <w:num w:numId="26">
    <w:abstractNumId w:val="51"/>
  </w:num>
  <w:num w:numId="27">
    <w:abstractNumId w:val="33"/>
  </w:num>
  <w:num w:numId="28">
    <w:abstractNumId w:val="29"/>
  </w:num>
  <w:num w:numId="29">
    <w:abstractNumId w:val="8"/>
  </w:num>
  <w:num w:numId="30">
    <w:abstractNumId w:val="23"/>
  </w:num>
  <w:num w:numId="31">
    <w:abstractNumId w:val="22"/>
  </w:num>
  <w:num w:numId="32">
    <w:abstractNumId w:val="59"/>
  </w:num>
  <w:num w:numId="33">
    <w:abstractNumId w:val="53"/>
  </w:num>
  <w:num w:numId="34">
    <w:abstractNumId w:val="47"/>
  </w:num>
  <w:num w:numId="35">
    <w:abstractNumId w:val="55"/>
  </w:num>
  <w:num w:numId="36">
    <w:abstractNumId w:val="37"/>
  </w:num>
  <w:num w:numId="37">
    <w:abstractNumId w:val="14"/>
  </w:num>
  <w:num w:numId="38">
    <w:abstractNumId w:val="25"/>
  </w:num>
  <w:num w:numId="39">
    <w:abstractNumId w:val="58"/>
  </w:num>
  <w:num w:numId="40">
    <w:abstractNumId w:val="24"/>
  </w:num>
  <w:num w:numId="41">
    <w:abstractNumId w:val="27"/>
  </w:num>
  <w:num w:numId="42">
    <w:abstractNumId w:val="9"/>
  </w:num>
  <w:num w:numId="43">
    <w:abstractNumId w:val="19"/>
  </w:num>
  <w:num w:numId="44">
    <w:abstractNumId w:val="46"/>
  </w:num>
  <w:num w:numId="45">
    <w:abstractNumId w:val="35"/>
  </w:num>
  <w:num w:numId="46">
    <w:abstractNumId w:val="62"/>
  </w:num>
  <w:num w:numId="47">
    <w:abstractNumId w:val="64"/>
  </w:num>
  <w:num w:numId="48">
    <w:abstractNumId w:val="21"/>
  </w:num>
  <w:num w:numId="49">
    <w:abstractNumId w:val="15"/>
  </w:num>
  <w:num w:numId="50">
    <w:abstractNumId w:val="36"/>
  </w:num>
  <w:num w:numId="51">
    <w:abstractNumId w:val="56"/>
  </w:num>
  <w:num w:numId="52">
    <w:abstractNumId w:val="54"/>
  </w:num>
  <w:num w:numId="53">
    <w:abstractNumId w:val="44"/>
  </w:num>
  <w:num w:numId="54">
    <w:abstractNumId w:val="7"/>
  </w:num>
  <w:num w:numId="55">
    <w:abstractNumId w:val="57"/>
  </w:num>
  <w:num w:numId="56">
    <w:abstractNumId w:val="17"/>
  </w:num>
  <w:num w:numId="57">
    <w:abstractNumId w:val="6"/>
  </w:num>
  <w:num w:numId="58">
    <w:abstractNumId w:val="42"/>
  </w:num>
  <w:num w:numId="59">
    <w:abstractNumId w:val="16"/>
  </w:num>
  <w:num w:numId="60">
    <w:abstractNumId w:val="10"/>
  </w:num>
  <w:num w:numId="61">
    <w:abstractNumId w:val="50"/>
  </w:num>
  <w:num w:numId="62">
    <w:abstractNumId w:val="34"/>
  </w:num>
  <w:num w:numId="63">
    <w:abstractNumId w:val="31"/>
  </w:num>
  <w:num w:numId="64">
    <w:abstractNumId w:val="61"/>
  </w:num>
  <w:num w:numId="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0434B"/>
    <w:rsid w:val="0001093E"/>
    <w:rsid w:val="000117E8"/>
    <w:rsid w:val="0001201D"/>
    <w:rsid w:val="000172EF"/>
    <w:rsid w:val="00026D3A"/>
    <w:rsid w:val="00033285"/>
    <w:rsid w:val="000362D3"/>
    <w:rsid w:val="00036AB0"/>
    <w:rsid w:val="00037395"/>
    <w:rsid w:val="00043F25"/>
    <w:rsid w:val="000456D3"/>
    <w:rsid w:val="00052A3A"/>
    <w:rsid w:val="00054148"/>
    <w:rsid w:val="000600E4"/>
    <w:rsid w:val="000617AD"/>
    <w:rsid w:val="00062D93"/>
    <w:rsid w:val="00064683"/>
    <w:rsid w:val="0008047C"/>
    <w:rsid w:val="000813AD"/>
    <w:rsid w:val="00084158"/>
    <w:rsid w:val="0008501E"/>
    <w:rsid w:val="00093699"/>
    <w:rsid w:val="00093B6E"/>
    <w:rsid w:val="000A0ACB"/>
    <w:rsid w:val="000A1C15"/>
    <w:rsid w:val="000A200D"/>
    <w:rsid w:val="000A40AB"/>
    <w:rsid w:val="000A7111"/>
    <w:rsid w:val="000B2E5D"/>
    <w:rsid w:val="000B59E2"/>
    <w:rsid w:val="000B6F94"/>
    <w:rsid w:val="000D0F74"/>
    <w:rsid w:val="000D1301"/>
    <w:rsid w:val="000D347D"/>
    <w:rsid w:val="000D7F32"/>
    <w:rsid w:val="000E3653"/>
    <w:rsid w:val="000E550F"/>
    <w:rsid w:val="000E6758"/>
    <w:rsid w:val="000F4624"/>
    <w:rsid w:val="000F6293"/>
    <w:rsid w:val="00101B1E"/>
    <w:rsid w:val="001031CD"/>
    <w:rsid w:val="00105ABE"/>
    <w:rsid w:val="00106C30"/>
    <w:rsid w:val="00106ED5"/>
    <w:rsid w:val="00112086"/>
    <w:rsid w:val="00113E3C"/>
    <w:rsid w:val="00122589"/>
    <w:rsid w:val="001242A6"/>
    <w:rsid w:val="00126E3B"/>
    <w:rsid w:val="00127731"/>
    <w:rsid w:val="00137597"/>
    <w:rsid w:val="00142D8D"/>
    <w:rsid w:val="001462B5"/>
    <w:rsid w:val="00183C0B"/>
    <w:rsid w:val="0019024E"/>
    <w:rsid w:val="0019083B"/>
    <w:rsid w:val="001A2287"/>
    <w:rsid w:val="001A3102"/>
    <w:rsid w:val="001A331E"/>
    <w:rsid w:val="001A39CF"/>
    <w:rsid w:val="001B1A20"/>
    <w:rsid w:val="001B7160"/>
    <w:rsid w:val="001C1E79"/>
    <w:rsid w:val="001C201E"/>
    <w:rsid w:val="001D35E1"/>
    <w:rsid w:val="001D566E"/>
    <w:rsid w:val="001D59AE"/>
    <w:rsid w:val="001D5DC1"/>
    <w:rsid w:val="001E1A28"/>
    <w:rsid w:val="001F78D8"/>
    <w:rsid w:val="002020EC"/>
    <w:rsid w:val="002035C3"/>
    <w:rsid w:val="00206BF6"/>
    <w:rsid w:val="00211D48"/>
    <w:rsid w:val="00217EB9"/>
    <w:rsid w:val="0022386D"/>
    <w:rsid w:val="002302A9"/>
    <w:rsid w:val="002307D2"/>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6808"/>
    <w:rsid w:val="002A7854"/>
    <w:rsid w:val="002B5112"/>
    <w:rsid w:val="002B5CC6"/>
    <w:rsid w:val="002B6419"/>
    <w:rsid w:val="002D0ACD"/>
    <w:rsid w:val="002D16C8"/>
    <w:rsid w:val="002E0E5A"/>
    <w:rsid w:val="002E146A"/>
    <w:rsid w:val="002E1953"/>
    <w:rsid w:val="002E19A2"/>
    <w:rsid w:val="002E5834"/>
    <w:rsid w:val="002F0ADE"/>
    <w:rsid w:val="002F758D"/>
    <w:rsid w:val="003007CC"/>
    <w:rsid w:val="003026E2"/>
    <w:rsid w:val="00302E6E"/>
    <w:rsid w:val="00315B95"/>
    <w:rsid w:val="003209FF"/>
    <w:rsid w:val="00322CFC"/>
    <w:rsid w:val="00326E53"/>
    <w:rsid w:val="00333D5C"/>
    <w:rsid w:val="00340CF2"/>
    <w:rsid w:val="0034249D"/>
    <w:rsid w:val="003439EC"/>
    <w:rsid w:val="00343C83"/>
    <w:rsid w:val="00343DC6"/>
    <w:rsid w:val="00352120"/>
    <w:rsid w:val="003531F3"/>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2593"/>
    <w:rsid w:val="003C432B"/>
    <w:rsid w:val="003C446C"/>
    <w:rsid w:val="003C62A3"/>
    <w:rsid w:val="003D03F3"/>
    <w:rsid w:val="003E306C"/>
    <w:rsid w:val="003F3627"/>
    <w:rsid w:val="003F632A"/>
    <w:rsid w:val="0040687E"/>
    <w:rsid w:val="00420AE3"/>
    <w:rsid w:val="00424417"/>
    <w:rsid w:val="00425C40"/>
    <w:rsid w:val="00427B9A"/>
    <w:rsid w:val="004320F0"/>
    <w:rsid w:val="00432F6C"/>
    <w:rsid w:val="00433675"/>
    <w:rsid w:val="00436F30"/>
    <w:rsid w:val="00443A0C"/>
    <w:rsid w:val="00444950"/>
    <w:rsid w:val="004476DC"/>
    <w:rsid w:val="00453318"/>
    <w:rsid w:val="0046431C"/>
    <w:rsid w:val="00464B8D"/>
    <w:rsid w:val="004670F0"/>
    <w:rsid w:val="00473635"/>
    <w:rsid w:val="00480323"/>
    <w:rsid w:val="00481D4E"/>
    <w:rsid w:val="0048402A"/>
    <w:rsid w:val="0049371C"/>
    <w:rsid w:val="004A02A9"/>
    <w:rsid w:val="004A1869"/>
    <w:rsid w:val="004A6C18"/>
    <w:rsid w:val="004B0847"/>
    <w:rsid w:val="004B1195"/>
    <w:rsid w:val="004B2C06"/>
    <w:rsid w:val="004B63AC"/>
    <w:rsid w:val="004C4834"/>
    <w:rsid w:val="004C50BA"/>
    <w:rsid w:val="004D6447"/>
    <w:rsid w:val="004E0C5A"/>
    <w:rsid w:val="004E0CA3"/>
    <w:rsid w:val="004E592E"/>
    <w:rsid w:val="004E70FD"/>
    <w:rsid w:val="004E792C"/>
    <w:rsid w:val="004F24CE"/>
    <w:rsid w:val="004F2681"/>
    <w:rsid w:val="004F6C11"/>
    <w:rsid w:val="005018F1"/>
    <w:rsid w:val="00502570"/>
    <w:rsid w:val="00504B08"/>
    <w:rsid w:val="00511027"/>
    <w:rsid w:val="005145BA"/>
    <w:rsid w:val="005254B5"/>
    <w:rsid w:val="00531E7A"/>
    <w:rsid w:val="0053242C"/>
    <w:rsid w:val="005336BC"/>
    <w:rsid w:val="0054080C"/>
    <w:rsid w:val="00541A67"/>
    <w:rsid w:val="00547E10"/>
    <w:rsid w:val="00552323"/>
    <w:rsid w:val="00556964"/>
    <w:rsid w:val="00556BB5"/>
    <w:rsid w:val="005616AE"/>
    <w:rsid w:val="00563C67"/>
    <w:rsid w:val="00583E58"/>
    <w:rsid w:val="005900E9"/>
    <w:rsid w:val="005965CF"/>
    <w:rsid w:val="005A142B"/>
    <w:rsid w:val="005B3264"/>
    <w:rsid w:val="005B3C17"/>
    <w:rsid w:val="005B61CB"/>
    <w:rsid w:val="005C20FE"/>
    <w:rsid w:val="005C4F0F"/>
    <w:rsid w:val="005C6472"/>
    <w:rsid w:val="005D0785"/>
    <w:rsid w:val="005D3FE2"/>
    <w:rsid w:val="005E1EEC"/>
    <w:rsid w:val="005E3FAA"/>
    <w:rsid w:val="005E60FE"/>
    <w:rsid w:val="005E781B"/>
    <w:rsid w:val="005F4263"/>
    <w:rsid w:val="005F6BFD"/>
    <w:rsid w:val="0061174C"/>
    <w:rsid w:val="0061264C"/>
    <w:rsid w:val="00620A5F"/>
    <w:rsid w:val="00625884"/>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256E"/>
    <w:rsid w:val="0068518E"/>
    <w:rsid w:val="00685863"/>
    <w:rsid w:val="00687264"/>
    <w:rsid w:val="00690B8E"/>
    <w:rsid w:val="00691436"/>
    <w:rsid w:val="00693064"/>
    <w:rsid w:val="006A3C57"/>
    <w:rsid w:val="006A5E16"/>
    <w:rsid w:val="006B4FF5"/>
    <w:rsid w:val="006B7B09"/>
    <w:rsid w:val="006E1E91"/>
    <w:rsid w:val="006E67C2"/>
    <w:rsid w:val="006F0467"/>
    <w:rsid w:val="006F463F"/>
    <w:rsid w:val="00701C4A"/>
    <w:rsid w:val="00702AED"/>
    <w:rsid w:val="00704489"/>
    <w:rsid w:val="00710043"/>
    <w:rsid w:val="00713846"/>
    <w:rsid w:val="00713F05"/>
    <w:rsid w:val="00722B16"/>
    <w:rsid w:val="00726B6F"/>
    <w:rsid w:val="00727E24"/>
    <w:rsid w:val="00730378"/>
    <w:rsid w:val="007328EA"/>
    <w:rsid w:val="007353FD"/>
    <w:rsid w:val="0074134F"/>
    <w:rsid w:val="00743A93"/>
    <w:rsid w:val="00743FD6"/>
    <w:rsid w:val="0074469F"/>
    <w:rsid w:val="00752E82"/>
    <w:rsid w:val="00753A0C"/>
    <w:rsid w:val="00760005"/>
    <w:rsid w:val="00760802"/>
    <w:rsid w:val="00760CBE"/>
    <w:rsid w:val="00761CCF"/>
    <w:rsid w:val="0077030F"/>
    <w:rsid w:val="00774E59"/>
    <w:rsid w:val="00776300"/>
    <w:rsid w:val="007767CC"/>
    <w:rsid w:val="00780670"/>
    <w:rsid w:val="00784980"/>
    <w:rsid w:val="0079234D"/>
    <w:rsid w:val="00793D5F"/>
    <w:rsid w:val="0079599A"/>
    <w:rsid w:val="00797241"/>
    <w:rsid w:val="007A1725"/>
    <w:rsid w:val="007B1714"/>
    <w:rsid w:val="007B50C9"/>
    <w:rsid w:val="007B6C10"/>
    <w:rsid w:val="007C0A19"/>
    <w:rsid w:val="007C0E40"/>
    <w:rsid w:val="007C0EAB"/>
    <w:rsid w:val="007C1243"/>
    <w:rsid w:val="007C3019"/>
    <w:rsid w:val="007C50FB"/>
    <w:rsid w:val="007C5F39"/>
    <w:rsid w:val="007C6247"/>
    <w:rsid w:val="007C6C16"/>
    <w:rsid w:val="007D330A"/>
    <w:rsid w:val="007D3ED3"/>
    <w:rsid w:val="007E0773"/>
    <w:rsid w:val="007E55EC"/>
    <w:rsid w:val="007E5F3F"/>
    <w:rsid w:val="007E6384"/>
    <w:rsid w:val="00800F49"/>
    <w:rsid w:val="00805439"/>
    <w:rsid w:val="00805FF3"/>
    <w:rsid w:val="00816ACB"/>
    <w:rsid w:val="008175BA"/>
    <w:rsid w:val="008175D0"/>
    <w:rsid w:val="00820F2B"/>
    <w:rsid w:val="00821065"/>
    <w:rsid w:val="0083105C"/>
    <w:rsid w:val="00831E22"/>
    <w:rsid w:val="008342D3"/>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4B0E"/>
    <w:rsid w:val="008A54AB"/>
    <w:rsid w:val="008B5BCD"/>
    <w:rsid w:val="008C137D"/>
    <w:rsid w:val="008C16B9"/>
    <w:rsid w:val="008C4DEF"/>
    <w:rsid w:val="008D1DCB"/>
    <w:rsid w:val="008D2731"/>
    <w:rsid w:val="008E0D17"/>
    <w:rsid w:val="008E2018"/>
    <w:rsid w:val="008F3472"/>
    <w:rsid w:val="009019F6"/>
    <w:rsid w:val="00902F27"/>
    <w:rsid w:val="00904A3E"/>
    <w:rsid w:val="00915F4D"/>
    <w:rsid w:val="00931569"/>
    <w:rsid w:val="00932A8B"/>
    <w:rsid w:val="00937421"/>
    <w:rsid w:val="0093794A"/>
    <w:rsid w:val="00942530"/>
    <w:rsid w:val="00951B20"/>
    <w:rsid w:val="00957CFA"/>
    <w:rsid w:val="00957E4A"/>
    <w:rsid w:val="009606B7"/>
    <w:rsid w:val="009617D0"/>
    <w:rsid w:val="00961879"/>
    <w:rsid w:val="009638D6"/>
    <w:rsid w:val="00966249"/>
    <w:rsid w:val="00967604"/>
    <w:rsid w:val="00973103"/>
    <w:rsid w:val="009776F9"/>
    <w:rsid w:val="00977A5F"/>
    <w:rsid w:val="009830EE"/>
    <w:rsid w:val="00994E47"/>
    <w:rsid w:val="009963FB"/>
    <w:rsid w:val="009A0236"/>
    <w:rsid w:val="009A0A02"/>
    <w:rsid w:val="009A4D1F"/>
    <w:rsid w:val="009B0D66"/>
    <w:rsid w:val="009B288B"/>
    <w:rsid w:val="009B41A7"/>
    <w:rsid w:val="009B522B"/>
    <w:rsid w:val="009B544F"/>
    <w:rsid w:val="009C12AB"/>
    <w:rsid w:val="009C5D63"/>
    <w:rsid w:val="009C7691"/>
    <w:rsid w:val="009D15E3"/>
    <w:rsid w:val="009D1AF8"/>
    <w:rsid w:val="009D31DE"/>
    <w:rsid w:val="009D4E1C"/>
    <w:rsid w:val="009D6564"/>
    <w:rsid w:val="009E40F5"/>
    <w:rsid w:val="009E7463"/>
    <w:rsid w:val="009F22F0"/>
    <w:rsid w:val="009F739E"/>
    <w:rsid w:val="00A024FB"/>
    <w:rsid w:val="00A11A1E"/>
    <w:rsid w:val="00A1376E"/>
    <w:rsid w:val="00A15284"/>
    <w:rsid w:val="00A179C3"/>
    <w:rsid w:val="00A35D25"/>
    <w:rsid w:val="00A43B57"/>
    <w:rsid w:val="00A51FB4"/>
    <w:rsid w:val="00A557C2"/>
    <w:rsid w:val="00A55F0F"/>
    <w:rsid w:val="00A57CC6"/>
    <w:rsid w:val="00A60223"/>
    <w:rsid w:val="00A63B7A"/>
    <w:rsid w:val="00A6401D"/>
    <w:rsid w:val="00A74796"/>
    <w:rsid w:val="00A74F91"/>
    <w:rsid w:val="00A75B4A"/>
    <w:rsid w:val="00A809F7"/>
    <w:rsid w:val="00A81917"/>
    <w:rsid w:val="00A81FCE"/>
    <w:rsid w:val="00A87C83"/>
    <w:rsid w:val="00A905E6"/>
    <w:rsid w:val="00AA6ECF"/>
    <w:rsid w:val="00AB420B"/>
    <w:rsid w:val="00AB6C39"/>
    <w:rsid w:val="00AC70CB"/>
    <w:rsid w:val="00AD0AAF"/>
    <w:rsid w:val="00AD257D"/>
    <w:rsid w:val="00AD2A95"/>
    <w:rsid w:val="00AF64D1"/>
    <w:rsid w:val="00B03263"/>
    <w:rsid w:val="00B03982"/>
    <w:rsid w:val="00B102AE"/>
    <w:rsid w:val="00B10A01"/>
    <w:rsid w:val="00B14F3F"/>
    <w:rsid w:val="00B164EA"/>
    <w:rsid w:val="00B22497"/>
    <w:rsid w:val="00B36205"/>
    <w:rsid w:val="00B60B99"/>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C7EA8"/>
    <w:rsid w:val="00BD17F8"/>
    <w:rsid w:val="00BD2B31"/>
    <w:rsid w:val="00BE2E1F"/>
    <w:rsid w:val="00C00010"/>
    <w:rsid w:val="00C01D89"/>
    <w:rsid w:val="00C03601"/>
    <w:rsid w:val="00C134BB"/>
    <w:rsid w:val="00C14F19"/>
    <w:rsid w:val="00C2157A"/>
    <w:rsid w:val="00C21892"/>
    <w:rsid w:val="00C221F8"/>
    <w:rsid w:val="00C312B8"/>
    <w:rsid w:val="00C47E9F"/>
    <w:rsid w:val="00C51B18"/>
    <w:rsid w:val="00C54663"/>
    <w:rsid w:val="00C55715"/>
    <w:rsid w:val="00C71315"/>
    <w:rsid w:val="00C747C6"/>
    <w:rsid w:val="00C7743B"/>
    <w:rsid w:val="00C77C9B"/>
    <w:rsid w:val="00C82F62"/>
    <w:rsid w:val="00C851B9"/>
    <w:rsid w:val="00C85718"/>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1672B"/>
    <w:rsid w:val="00D20175"/>
    <w:rsid w:val="00D20270"/>
    <w:rsid w:val="00D21DDE"/>
    <w:rsid w:val="00D23B78"/>
    <w:rsid w:val="00D25686"/>
    <w:rsid w:val="00D34E5A"/>
    <w:rsid w:val="00D465C8"/>
    <w:rsid w:val="00D51A06"/>
    <w:rsid w:val="00D5536F"/>
    <w:rsid w:val="00D55F50"/>
    <w:rsid w:val="00D62F9D"/>
    <w:rsid w:val="00D653B3"/>
    <w:rsid w:val="00D70436"/>
    <w:rsid w:val="00D73D63"/>
    <w:rsid w:val="00D74D67"/>
    <w:rsid w:val="00D81DDE"/>
    <w:rsid w:val="00DA56DB"/>
    <w:rsid w:val="00DA6D80"/>
    <w:rsid w:val="00DA7ACF"/>
    <w:rsid w:val="00DB0ECA"/>
    <w:rsid w:val="00DB1985"/>
    <w:rsid w:val="00DB5631"/>
    <w:rsid w:val="00DC6483"/>
    <w:rsid w:val="00DD2B87"/>
    <w:rsid w:val="00DD5D5B"/>
    <w:rsid w:val="00DD5D73"/>
    <w:rsid w:val="00DE3623"/>
    <w:rsid w:val="00DE38E7"/>
    <w:rsid w:val="00DE7350"/>
    <w:rsid w:val="00DF1D7C"/>
    <w:rsid w:val="00DF2D93"/>
    <w:rsid w:val="00DF70CB"/>
    <w:rsid w:val="00E05F31"/>
    <w:rsid w:val="00E14D41"/>
    <w:rsid w:val="00E16B31"/>
    <w:rsid w:val="00E26481"/>
    <w:rsid w:val="00E3128A"/>
    <w:rsid w:val="00E36D68"/>
    <w:rsid w:val="00E4427E"/>
    <w:rsid w:val="00E547EF"/>
    <w:rsid w:val="00E6184D"/>
    <w:rsid w:val="00E64FE4"/>
    <w:rsid w:val="00E66A9F"/>
    <w:rsid w:val="00E73667"/>
    <w:rsid w:val="00E749F8"/>
    <w:rsid w:val="00E75A41"/>
    <w:rsid w:val="00E7651D"/>
    <w:rsid w:val="00E80F44"/>
    <w:rsid w:val="00E8359E"/>
    <w:rsid w:val="00E90F35"/>
    <w:rsid w:val="00E9412F"/>
    <w:rsid w:val="00EA0DBE"/>
    <w:rsid w:val="00EA2054"/>
    <w:rsid w:val="00EA280E"/>
    <w:rsid w:val="00EB636D"/>
    <w:rsid w:val="00EB67ED"/>
    <w:rsid w:val="00EC67B7"/>
    <w:rsid w:val="00EC6BD7"/>
    <w:rsid w:val="00EE7096"/>
    <w:rsid w:val="00EE73B5"/>
    <w:rsid w:val="00EF1F27"/>
    <w:rsid w:val="00EF6AB8"/>
    <w:rsid w:val="00EF7B73"/>
    <w:rsid w:val="00F00014"/>
    <w:rsid w:val="00F00A91"/>
    <w:rsid w:val="00F0302A"/>
    <w:rsid w:val="00F15BD5"/>
    <w:rsid w:val="00F1770B"/>
    <w:rsid w:val="00F239FF"/>
    <w:rsid w:val="00F2459F"/>
    <w:rsid w:val="00F255D7"/>
    <w:rsid w:val="00F37BF6"/>
    <w:rsid w:val="00F4043C"/>
    <w:rsid w:val="00F4178A"/>
    <w:rsid w:val="00F470E7"/>
    <w:rsid w:val="00F54EFE"/>
    <w:rsid w:val="00F55D64"/>
    <w:rsid w:val="00F63E36"/>
    <w:rsid w:val="00F900A6"/>
    <w:rsid w:val="00F92C9D"/>
    <w:rsid w:val="00F934D9"/>
    <w:rsid w:val="00F94FEB"/>
    <w:rsid w:val="00F963A6"/>
    <w:rsid w:val="00FA0A74"/>
    <w:rsid w:val="00FA515E"/>
    <w:rsid w:val="00FA69C2"/>
    <w:rsid w:val="00FB1462"/>
    <w:rsid w:val="00FB1E65"/>
    <w:rsid w:val="00FB45B7"/>
    <w:rsid w:val="00FB4F83"/>
    <w:rsid w:val="00FB5517"/>
    <w:rsid w:val="00FB77B6"/>
    <w:rsid w:val="00FC0D59"/>
    <w:rsid w:val="00FC2484"/>
    <w:rsid w:val="00FC685B"/>
    <w:rsid w:val="00FD2039"/>
    <w:rsid w:val="00FD631A"/>
    <w:rsid w:val="00FE098D"/>
    <w:rsid w:val="00FE4DDF"/>
    <w:rsid w:val="00FE553E"/>
    <w:rsid w:val="00FF3263"/>
    <w:rsid w:val="00FF407A"/>
    <w:rsid w:val="00FF4117"/>
    <w:rsid w:val="02840747"/>
    <w:rsid w:val="04B536B0"/>
    <w:rsid w:val="04CC142C"/>
    <w:rsid w:val="05DE2256"/>
    <w:rsid w:val="06036547"/>
    <w:rsid w:val="091F5496"/>
    <w:rsid w:val="095630A4"/>
    <w:rsid w:val="096B55F2"/>
    <w:rsid w:val="097059EA"/>
    <w:rsid w:val="0ABA3A82"/>
    <w:rsid w:val="0B3C757E"/>
    <w:rsid w:val="0C0C43B3"/>
    <w:rsid w:val="0C84298E"/>
    <w:rsid w:val="0CA1510D"/>
    <w:rsid w:val="0CD5291F"/>
    <w:rsid w:val="0D4E7545"/>
    <w:rsid w:val="0DC25C33"/>
    <w:rsid w:val="0EF72E77"/>
    <w:rsid w:val="123C0A7D"/>
    <w:rsid w:val="12B7227D"/>
    <w:rsid w:val="12C932AF"/>
    <w:rsid w:val="13CD6C7C"/>
    <w:rsid w:val="148C3ED8"/>
    <w:rsid w:val="156F0174"/>
    <w:rsid w:val="157A68EA"/>
    <w:rsid w:val="1739342D"/>
    <w:rsid w:val="180B01A6"/>
    <w:rsid w:val="182008C4"/>
    <w:rsid w:val="19703EDA"/>
    <w:rsid w:val="1B157A43"/>
    <w:rsid w:val="1B704A88"/>
    <w:rsid w:val="1C304AD0"/>
    <w:rsid w:val="1CED7F7A"/>
    <w:rsid w:val="1DFE6FFD"/>
    <w:rsid w:val="1E7772D5"/>
    <w:rsid w:val="1EC9399F"/>
    <w:rsid w:val="1F322588"/>
    <w:rsid w:val="1F54026A"/>
    <w:rsid w:val="2065251F"/>
    <w:rsid w:val="22473341"/>
    <w:rsid w:val="26766A30"/>
    <w:rsid w:val="2BB27A8A"/>
    <w:rsid w:val="2E4E7C80"/>
    <w:rsid w:val="322E1D2C"/>
    <w:rsid w:val="332E21C0"/>
    <w:rsid w:val="344F3478"/>
    <w:rsid w:val="349C31E8"/>
    <w:rsid w:val="34A0145B"/>
    <w:rsid w:val="36575D46"/>
    <w:rsid w:val="36951783"/>
    <w:rsid w:val="384D766E"/>
    <w:rsid w:val="388F0711"/>
    <w:rsid w:val="393B0401"/>
    <w:rsid w:val="398415C0"/>
    <w:rsid w:val="3B964A58"/>
    <w:rsid w:val="3C4B0E70"/>
    <w:rsid w:val="3CC1702F"/>
    <w:rsid w:val="406E78CD"/>
    <w:rsid w:val="41FA550B"/>
    <w:rsid w:val="44733299"/>
    <w:rsid w:val="463C6DB3"/>
    <w:rsid w:val="46794F93"/>
    <w:rsid w:val="47724C09"/>
    <w:rsid w:val="477C33A0"/>
    <w:rsid w:val="47D4161F"/>
    <w:rsid w:val="48334784"/>
    <w:rsid w:val="484057AE"/>
    <w:rsid w:val="496D648B"/>
    <w:rsid w:val="4B7E0CA8"/>
    <w:rsid w:val="4B9D3CA0"/>
    <w:rsid w:val="4D5B5A05"/>
    <w:rsid w:val="4E1E42C3"/>
    <w:rsid w:val="4E872575"/>
    <w:rsid w:val="501D7499"/>
    <w:rsid w:val="507A6BB9"/>
    <w:rsid w:val="51807F02"/>
    <w:rsid w:val="526D4588"/>
    <w:rsid w:val="52F548BE"/>
    <w:rsid w:val="55931354"/>
    <w:rsid w:val="56015981"/>
    <w:rsid w:val="57372FF6"/>
    <w:rsid w:val="576B28B1"/>
    <w:rsid w:val="5BF61E76"/>
    <w:rsid w:val="5C085522"/>
    <w:rsid w:val="5DA62BBC"/>
    <w:rsid w:val="5F574EA6"/>
    <w:rsid w:val="5FC02439"/>
    <w:rsid w:val="5FEC7A38"/>
    <w:rsid w:val="62E428B7"/>
    <w:rsid w:val="63AF0298"/>
    <w:rsid w:val="63E626F6"/>
    <w:rsid w:val="64074CC5"/>
    <w:rsid w:val="64F62919"/>
    <w:rsid w:val="6542412F"/>
    <w:rsid w:val="65FE437E"/>
    <w:rsid w:val="66C02337"/>
    <w:rsid w:val="67546F17"/>
    <w:rsid w:val="67D444FF"/>
    <w:rsid w:val="68DB481C"/>
    <w:rsid w:val="692E5CD4"/>
    <w:rsid w:val="6ACE1BDF"/>
    <w:rsid w:val="6B0A0BC1"/>
    <w:rsid w:val="6B5F2365"/>
    <w:rsid w:val="6C546CD9"/>
    <w:rsid w:val="6CA7253A"/>
    <w:rsid w:val="6D842A93"/>
    <w:rsid w:val="6D9269EF"/>
    <w:rsid w:val="6F2B7E66"/>
    <w:rsid w:val="72D55C8A"/>
    <w:rsid w:val="735206BD"/>
    <w:rsid w:val="748F5344"/>
    <w:rsid w:val="753A57F2"/>
    <w:rsid w:val="753B5C22"/>
    <w:rsid w:val="76C06EFB"/>
    <w:rsid w:val="77772537"/>
    <w:rsid w:val="782C63CB"/>
    <w:rsid w:val="7A960213"/>
    <w:rsid w:val="7AAF0AD4"/>
    <w:rsid w:val="7ABB1F4B"/>
    <w:rsid w:val="7B6A298F"/>
    <w:rsid w:val="7C0461C8"/>
    <w:rsid w:val="7D134DB7"/>
    <w:rsid w:val="7D183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annotation text"/>
    <w:basedOn w:val="1"/>
    <w:link w:val="73"/>
    <w:uiPriority w:val="0"/>
    <w:pPr>
      <w:jc w:val="left"/>
    </w:pPr>
    <w:rPr>
      <w:rFonts w:ascii="Times New Roman" w:hAnsi="Times New Roman" w:eastAsia="宋体" w:cs="Times New Roman"/>
      <w:szCs w:val="24"/>
    </w:rPr>
  </w:style>
  <w:style w:type="paragraph" w:styleId="10">
    <w:name w:val="Body Text 3"/>
    <w:basedOn w:val="1"/>
    <w:link w:val="53"/>
    <w:qFormat/>
    <w:uiPriority w:val="0"/>
    <w:rPr>
      <w:rFonts w:ascii="Times New Roman" w:hAnsi="Times New Roman" w:eastAsia="宋体" w:cs="Times New Roman"/>
      <w:color w:val="FF0000"/>
      <w:sz w:val="24"/>
      <w:szCs w:val="24"/>
    </w:rPr>
  </w:style>
  <w:style w:type="paragraph" w:styleId="11">
    <w:name w:val="Body Text"/>
    <w:basedOn w:val="1"/>
    <w:link w:val="57"/>
    <w:semiHidden/>
    <w:unhideWhenUsed/>
    <w:qFormat/>
    <w:uiPriority w:val="99"/>
    <w:pPr>
      <w:spacing w:after="120"/>
    </w:pPr>
  </w:style>
  <w:style w:type="paragraph" w:styleId="12">
    <w:name w:val="Body Text Indent"/>
    <w:basedOn w:val="1"/>
    <w:link w:val="62"/>
    <w:qFormat/>
    <w:uiPriority w:val="0"/>
    <w:pPr>
      <w:adjustRightInd w:val="0"/>
      <w:spacing w:after="120" w:line="360" w:lineRule="atLeast"/>
      <w:ind w:left="420" w:leftChars="200"/>
      <w:jc w:val="left"/>
      <w:textAlignment w:val="baseline"/>
    </w:pPr>
    <w:rPr>
      <w:sz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9"/>
    <w:qFormat/>
    <w:uiPriority w:val="0"/>
    <w:rPr>
      <w:rFonts w:eastAsia="宋体"/>
      <w:sz w:val="24"/>
    </w:rPr>
  </w:style>
  <w:style w:type="paragraph" w:styleId="16">
    <w:name w:val="Date"/>
    <w:basedOn w:val="1"/>
    <w:next w:val="1"/>
    <w:link w:val="40"/>
    <w:unhideWhenUsed/>
    <w:qFormat/>
    <w:uiPriority w:val="99"/>
    <w:pPr>
      <w:ind w:left="100" w:leftChars="2500"/>
    </w:pPr>
  </w:style>
  <w:style w:type="paragraph" w:styleId="17">
    <w:name w:val="Body Text Indent 2"/>
    <w:basedOn w:val="1"/>
    <w:link w:val="68"/>
    <w:semiHidden/>
    <w:unhideWhenUsed/>
    <w:uiPriority w:val="99"/>
    <w:pPr>
      <w:spacing w:after="120" w:line="480" w:lineRule="auto"/>
      <w:ind w:left="420" w:leftChars="200"/>
    </w:pPr>
  </w:style>
  <w:style w:type="paragraph" w:styleId="18">
    <w:name w:val="Balloon Text"/>
    <w:basedOn w:val="1"/>
    <w:link w:val="64"/>
    <w:semiHidden/>
    <w:unhideWhenUsed/>
    <w:qFormat/>
    <w:uiPriority w:val="99"/>
    <w:rPr>
      <w:sz w:val="18"/>
      <w:szCs w:val="18"/>
    </w:rPr>
  </w:style>
  <w:style w:type="paragraph" w:styleId="19">
    <w:name w:val="footer"/>
    <w:basedOn w:val="1"/>
    <w:link w:val="41"/>
    <w:unhideWhenUsed/>
    <w:qFormat/>
    <w:uiPriority w:val="99"/>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footnote text"/>
    <w:semiHidden/>
    <w:qFormat/>
    <w:uiPriority w:val="99"/>
    <w:pPr>
      <w:widowControl w:val="0"/>
      <w:snapToGrid w:val="0"/>
    </w:pPr>
    <w:rPr>
      <w:rFonts w:ascii="Book Antiqua" w:hAnsi="Book Antiqua" w:eastAsia="宋体" w:cs="Times New Roman"/>
      <w:kern w:val="2"/>
      <w:sz w:val="18"/>
      <w:szCs w:val="18"/>
      <w:lang w:val="en-US" w:eastAsia="zh-CN" w:bidi="ar-SA"/>
    </w:rPr>
  </w:style>
  <w:style w:type="paragraph" w:styleId="2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4">
    <w:name w:val="HTML Preformatted"/>
    <w:basedOn w:val="1"/>
    <w:link w:val="6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1"/>
    <w:link w:val="58"/>
    <w:qFormat/>
    <w:uiPriority w:val="0"/>
    <w:pPr>
      <w:ind w:firstLine="420" w:firstLineChars="100"/>
    </w:pPr>
    <w:rPr>
      <w:rFonts w:ascii="宋体" w:hAnsi="Times New Roman" w:eastAsia="宋体" w:cs="Times New Roman"/>
      <w:kern w:val="0"/>
      <w:sz w:val="34"/>
      <w:szCs w:val="20"/>
    </w:rPr>
  </w:style>
  <w:style w:type="paragraph" w:styleId="27">
    <w:name w:val="Body Text First Indent 2"/>
    <w:basedOn w:val="12"/>
    <w:link w:val="70"/>
    <w:semiHidden/>
    <w:unhideWhenUsed/>
    <w:uiPriority w:val="99"/>
    <w:pPr>
      <w:adjustRightInd/>
      <w:spacing w:line="240" w:lineRule="auto"/>
      <w:ind w:firstLine="420" w:firstLineChars="200"/>
      <w:jc w:val="both"/>
      <w:textAlignment w:val="auto"/>
    </w:pPr>
    <w:rPr>
      <w:sz w:val="21"/>
    </w:rPr>
  </w:style>
  <w:style w:type="table" w:styleId="29">
    <w:name w:val="Table Grid"/>
    <w:basedOn w:val="2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FollowedHyperlink"/>
    <w:basedOn w:val="30"/>
    <w:semiHidden/>
    <w:unhideWhenUsed/>
    <w:qFormat/>
    <w:uiPriority w:val="99"/>
    <w:rPr>
      <w:color w:val="800080" w:themeColor="followedHyperlink"/>
      <w:u w:val="single"/>
    </w:rPr>
  </w:style>
  <w:style w:type="character" w:styleId="33">
    <w:name w:val="Hyperlink"/>
    <w:basedOn w:val="30"/>
    <w:unhideWhenUsed/>
    <w:qFormat/>
    <w:uiPriority w:val="0"/>
    <w:rPr>
      <w:color w:val="0000FF"/>
      <w:u w:val="single"/>
    </w:rPr>
  </w:style>
  <w:style w:type="paragraph" w:customStyle="1" w:styleId="34">
    <w:name w:val="*正文"/>
    <w:basedOn w:val="1"/>
    <w:qFormat/>
    <w:uiPriority w:val="0"/>
    <w:pPr>
      <w:keepNext/>
      <w:keepLines/>
      <w:spacing w:line="360" w:lineRule="auto"/>
      <w:ind w:firstLine="200" w:firstLineChars="200"/>
    </w:pPr>
    <w:rPr>
      <w:rFonts w:ascii="宋体" w:hAnsi="宋体" w:eastAsia="宋体" w:cs="Times New Roman"/>
    </w:rPr>
  </w:style>
  <w:style w:type="character" w:customStyle="1" w:styleId="35">
    <w:name w:val="标题 1 Char"/>
    <w:basedOn w:val="30"/>
    <w:link w:val="3"/>
    <w:qFormat/>
    <w:uiPriority w:val="0"/>
    <w:rPr>
      <w:rFonts w:ascii="Calibri" w:hAnsi="Calibri" w:eastAsia="宋体" w:cs="Times New Roman"/>
      <w:b/>
      <w:bCs/>
      <w:kern w:val="44"/>
      <w:sz w:val="44"/>
      <w:szCs w:val="44"/>
    </w:rPr>
  </w:style>
  <w:style w:type="character" w:customStyle="1" w:styleId="36">
    <w:name w:val="标题 2 Char"/>
    <w:basedOn w:val="30"/>
    <w:link w:val="4"/>
    <w:qFormat/>
    <w:uiPriority w:val="0"/>
    <w:rPr>
      <w:rFonts w:ascii="Arial" w:hAnsi="Arial" w:eastAsia="黑体" w:cs="Times New Roman"/>
      <w:b/>
      <w:bCs/>
      <w:sz w:val="32"/>
      <w:szCs w:val="32"/>
    </w:rPr>
  </w:style>
  <w:style w:type="character" w:customStyle="1" w:styleId="37">
    <w:name w:val="标题 3 Char"/>
    <w:basedOn w:val="30"/>
    <w:link w:val="5"/>
    <w:qFormat/>
    <w:uiPriority w:val="0"/>
    <w:rPr>
      <w:rFonts w:ascii="宋体" w:hAnsi="宋体" w:eastAsia="宋体" w:cs="Times New Roman"/>
      <w:b/>
      <w:color w:val="000000"/>
      <w:kern w:val="0"/>
      <w:sz w:val="24"/>
      <w:szCs w:val="20"/>
      <w:lang w:val="en-GB"/>
    </w:rPr>
  </w:style>
  <w:style w:type="character" w:customStyle="1" w:styleId="38">
    <w:name w:val="标题 4 Char"/>
    <w:basedOn w:val="30"/>
    <w:link w:val="6"/>
    <w:qFormat/>
    <w:uiPriority w:val="0"/>
    <w:rPr>
      <w:rFonts w:ascii="Arial" w:hAnsi="Arial" w:eastAsia="黑体" w:cs="Times New Roman"/>
      <w:b/>
      <w:bCs/>
      <w:sz w:val="28"/>
      <w:szCs w:val="28"/>
    </w:rPr>
  </w:style>
  <w:style w:type="character" w:customStyle="1" w:styleId="39">
    <w:name w:val="纯文本 Char"/>
    <w:basedOn w:val="30"/>
    <w:link w:val="15"/>
    <w:qFormat/>
    <w:uiPriority w:val="0"/>
    <w:rPr>
      <w:rFonts w:eastAsia="宋体"/>
      <w:sz w:val="24"/>
    </w:rPr>
  </w:style>
  <w:style w:type="character" w:customStyle="1" w:styleId="40">
    <w:name w:val="日期 Char"/>
    <w:basedOn w:val="30"/>
    <w:link w:val="16"/>
    <w:qFormat/>
    <w:uiPriority w:val="99"/>
  </w:style>
  <w:style w:type="character" w:customStyle="1" w:styleId="41">
    <w:name w:val="页脚 Char"/>
    <w:basedOn w:val="30"/>
    <w:link w:val="19"/>
    <w:qFormat/>
    <w:uiPriority w:val="99"/>
    <w:rPr>
      <w:sz w:val="18"/>
      <w:szCs w:val="18"/>
    </w:rPr>
  </w:style>
  <w:style w:type="character" w:customStyle="1" w:styleId="42">
    <w:name w:val="页眉 Char"/>
    <w:basedOn w:val="30"/>
    <w:link w:val="20"/>
    <w:qFormat/>
    <w:uiPriority w:val="99"/>
    <w:rPr>
      <w:sz w:val="18"/>
      <w:szCs w:val="18"/>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正文文本 3 Char"/>
    <w:basedOn w:val="30"/>
    <w:link w:val="10"/>
    <w:qFormat/>
    <w:uiPriority w:val="0"/>
    <w:rPr>
      <w:rFonts w:ascii="Times New Roman" w:hAnsi="Times New Roman" w:eastAsia="宋体" w:cs="Times New Roman"/>
      <w:color w:val="FF0000"/>
      <w:sz w:val="24"/>
      <w:szCs w:val="24"/>
    </w:rPr>
  </w:style>
  <w:style w:type="character" w:customStyle="1" w:styleId="54">
    <w:name w:val="edittexttarea"/>
    <w:basedOn w:val="30"/>
    <w:qFormat/>
    <w:uiPriority w:val="0"/>
  </w:style>
  <w:style w:type="paragraph" w:customStyle="1" w:styleId="5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正文文本 Char"/>
    <w:basedOn w:val="30"/>
    <w:link w:val="11"/>
    <w:semiHidden/>
    <w:qFormat/>
    <w:uiPriority w:val="99"/>
  </w:style>
  <w:style w:type="character" w:customStyle="1" w:styleId="58">
    <w:name w:val="正文首行缩进 Char"/>
    <w:basedOn w:val="57"/>
    <w:link w:val="26"/>
    <w:qFormat/>
    <w:uiPriority w:val="0"/>
    <w:rPr>
      <w:rFonts w:ascii="宋体" w:hAnsi="Times New Roman" w:eastAsia="宋体" w:cs="Times New Roman"/>
      <w:kern w:val="0"/>
      <w:sz w:val="34"/>
      <w:szCs w:val="20"/>
    </w:rPr>
  </w:style>
  <w:style w:type="character" w:customStyle="1" w:styleId="59">
    <w:name w:val="HTML 预设格式 Char"/>
    <w:basedOn w:val="30"/>
    <w:link w:val="24"/>
    <w:semiHidden/>
    <w:qFormat/>
    <w:uiPriority w:val="99"/>
    <w:rPr>
      <w:rFonts w:ascii="宋体" w:hAnsi="宋体" w:eastAsia="宋体" w:cs="宋体"/>
      <w:kern w:val="0"/>
      <w:sz w:val="24"/>
      <w:szCs w:val="24"/>
    </w:rPr>
  </w:style>
  <w:style w:type="character" w:customStyle="1" w:styleId="60">
    <w:name w:val="HTML 预设格式 Char1"/>
    <w:basedOn w:val="30"/>
    <w:link w:val="24"/>
    <w:semiHidden/>
    <w:qFormat/>
    <w:uiPriority w:val="99"/>
    <w:rPr>
      <w:rFonts w:ascii="Courier New" w:hAnsi="Courier New" w:cs="Courier New"/>
      <w:sz w:val="20"/>
      <w:szCs w:val="20"/>
    </w:rPr>
  </w:style>
  <w:style w:type="character" w:customStyle="1" w:styleId="61">
    <w:name w:val="正文文本缩进 Char"/>
    <w:link w:val="12"/>
    <w:qFormat/>
    <w:uiPriority w:val="0"/>
    <w:rPr>
      <w:sz w:val="24"/>
    </w:rPr>
  </w:style>
  <w:style w:type="character" w:customStyle="1" w:styleId="62">
    <w:name w:val="正文文本缩进 Char1"/>
    <w:basedOn w:val="30"/>
    <w:link w:val="12"/>
    <w:semiHidden/>
    <w:qFormat/>
    <w:uiPriority w:val="99"/>
  </w:style>
  <w:style w:type="character" w:customStyle="1" w:styleId="63">
    <w:name w:val="批注框文本 Char"/>
    <w:basedOn w:val="30"/>
    <w:link w:val="18"/>
    <w:semiHidden/>
    <w:qFormat/>
    <w:uiPriority w:val="99"/>
    <w:rPr>
      <w:sz w:val="18"/>
      <w:szCs w:val="18"/>
    </w:rPr>
  </w:style>
  <w:style w:type="character" w:customStyle="1" w:styleId="64">
    <w:name w:val="批注框文本 Char1"/>
    <w:basedOn w:val="30"/>
    <w:link w:val="18"/>
    <w:semiHidden/>
    <w:qFormat/>
    <w:uiPriority w:val="99"/>
    <w:rPr>
      <w:sz w:val="18"/>
      <w:szCs w:val="18"/>
    </w:rPr>
  </w:style>
  <w:style w:type="paragraph" w:customStyle="1" w:styleId="65">
    <w:name w:val="style4"/>
    <w:basedOn w:val="1"/>
    <w:next w:val="66"/>
    <w:qFormat/>
    <w:uiPriority w:val="0"/>
    <w:pPr>
      <w:widowControl/>
      <w:spacing w:before="280" w:after="280"/>
    </w:pPr>
    <w:rPr>
      <w:rFonts w:ascii="宋体" w:hAnsi="Times New Roman" w:eastAsia="宋体" w:cs="Times New Roman"/>
      <w:sz w:val="18"/>
    </w:rPr>
  </w:style>
  <w:style w:type="paragraph" w:customStyle="1" w:styleId="6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7">
    <w:name w:val="无间隔1"/>
    <w:basedOn w:val="1"/>
    <w:qFormat/>
    <w:uiPriority w:val="1"/>
    <w:pPr>
      <w:spacing w:line="400" w:lineRule="exact"/>
    </w:pPr>
    <w:rPr>
      <w:rFonts w:ascii="Times New Roman" w:hAnsi="Times New Roman"/>
      <w:sz w:val="24"/>
      <w:szCs w:val="24"/>
    </w:rPr>
  </w:style>
  <w:style w:type="character" w:customStyle="1" w:styleId="68">
    <w:name w:val="正文文本缩进 2 Char"/>
    <w:basedOn w:val="30"/>
    <w:link w:val="17"/>
    <w:semiHidden/>
    <w:uiPriority w:val="99"/>
    <w:rPr>
      <w:kern w:val="2"/>
      <w:sz w:val="21"/>
      <w:szCs w:val="22"/>
    </w:rPr>
  </w:style>
  <w:style w:type="character" w:customStyle="1" w:styleId="69">
    <w:name w:val="font21"/>
    <w:basedOn w:val="30"/>
    <w:qFormat/>
    <w:uiPriority w:val="0"/>
    <w:rPr>
      <w:rFonts w:hint="eastAsia" w:ascii="宋体" w:hAnsi="宋体" w:eastAsia="宋体" w:cs="宋体"/>
      <w:color w:val="000000"/>
      <w:sz w:val="28"/>
      <w:szCs w:val="28"/>
      <w:u w:val="none"/>
    </w:rPr>
  </w:style>
  <w:style w:type="character" w:customStyle="1" w:styleId="70">
    <w:name w:val="正文首行缩进 2 Char"/>
    <w:basedOn w:val="62"/>
    <w:link w:val="27"/>
    <w:semiHidden/>
    <w:uiPriority w:val="99"/>
    <w:rPr>
      <w:kern w:val="2"/>
      <w:sz w:val="21"/>
      <w:szCs w:val="22"/>
    </w:rPr>
  </w:style>
  <w:style w:type="paragraph" w:customStyle="1" w:styleId="71">
    <w:name w:val="列出段落2"/>
    <w:basedOn w:val="1"/>
    <w:unhideWhenUsed/>
    <w:qFormat/>
    <w:uiPriority w:val="99"/>
    <w:pPr>
      <w:ind w:firstLine="420" w:firstLineChars="200"/>
    </w:pPr>
    <w:rPr>
      <w:rFonts w:ascii="Calibri" w:hAnsi="Calibri" w:eastAsia="宋体" w:cs="Times New Roman"/>
    </w:rPr>
  </w:style>
  <w:style w:type="paragraph" w:customStyle="1" w:styleId="72">
    <w:name w:val="Body Text First Indent1"/>
    <w:basedOn w:val="11"/>
    <w:qFormat/>
    <w:uiPriority w:val="0"/>
    <w:pPr>
      <w:autoSpaceDE w:val="0"/>
      <w:autoSpaceDN w:val="0"/>
      <w:spacing w:after="0"/>
      <w:ind w:left="134" w:firstLine="420"/>
      <w:jc w:val="left"/>
    </w:pPr>
    <w:rPr>
      <w:rFonts w:ascii="宋体" w:hAnsi="宋体" w:eastAsia="等线" w:cs="宋体"/>
      <w:kern w:val="0"/>
      <w:szCs w:val="20"/>
      <w:lang w:val="zh-CN" w:bidi="zh-CN"/>
    </w:rPr>
  </w:style>
  <w:style w:type="character" w:customStyle="1" w:styleId="73">
    <w:name w:val="批注文字 Char"/>
    <w:basedOn w:val="30"/>
    <w:link w:val="9"/>
    <w:uiPriority w:val="0"/>
    <w:rPr>
      <w:rFonts w:ascii="Times New Roman" w:hAnsi="Times New Roman" w:eastAsia="宋体" w:cs="Times New Roman"/>
      <w:kern w:val="2"/>
      <w:sz w:val="21"/>
      <w:szCs w:val="24"/>
    </w:rPr>
  </w:style>
  <w:style w:type="paragraph" w:customStyle="1" w:styleId="74">
    <w:name w:val="UserStyle_0"/>
    <w:basedOn w:val="1"/>
    <w:qFormat/>
    <w:uiPriority w:val="0"/>
    <w:pPr>
      <w:ind w:firstLine="420" w:firstLineChars="200"/>
    </w:pPr>
    <w:rPr>
      <w:rFonts w:ascii="Times New Roman" w:hAnsi="Times New Roman" w:eastAsia="宋体" w:cs="Times New Roman"/>
      <w:szCs w:val="24"/>
    </w:rPr>
  </w:style>
  <w:style w:type="character" w:customStyle="1" w:styleId="75">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5905</Words>
  <Characters>33660</Characters>
  <Lines>280</Lines>
  <Paragraphs>78</Paragraphs>
  <TotalTime>65</TotalTime>
  <ScaleCrop>false</ScaleCrop>
  <LinksUpToDate>false</LinksUpToDate>
  <CharactersWithSpaces>39487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2021-07-22T01:48:00Z</dcterms:created>
  <dc:creator>许昌市公共资源交易中心:孟莉</dc:creator>
  <cp:lastModifiedBy>Vast Liu</cp:lastModifiedBy>
  <cp:lastPrinted>2020-03-05T02:20:00Z</cp:lastPrinted>
  <dcterms:modified xsi:type="dcterms:W3CDTF">2021-12-06T07:31:11Z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CC9D5507CC8B468DA1B96175D02FDC22</vt:lpwstr>
  </property>
</Properties>
</file>