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30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长招采公字【2021】042号</w:t>
      </w:r>
    </w:p>
    <w:p>
      <w:pPr>
        <w:widowControl/>
        <w:shd w:val="clear" w:color="auto" w:fill="FFFFFF"/>
        <w:spacing w:line="330" w:lineRule="atLeast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长葛市社区事务服务中心2021年城镇社区老年人日间照料中心设施设备购置（一）项目（不见面开标）评标报告</w:t>
      </w:r>
    </w:p>
    <w:p>
      <w:pPr>
        <w:pStyle w:val="20"/>
        <w:widowControl/>
        <w:numPr>
          <w:ilvl w:val="0"/>
          <w:numId w:val="1"/>
        </w:numPr>
        <w:shd w:val="clear" w:color="auto" w:fill="FFFFFF"/>
        <w:spacing w:before="226" w:line="330" w:lineRule="atLeast"/>
        <w:ind w:firstLineChars="0"/>
        <w:jc w:val="left"/>
        <w:rPr>
          <w:rFonts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项目概述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（一）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项目名称：长葛市社区事务服务中心2021年城镇社区老年人日间照料中心设施设备购置（一）项目（不见面开标）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（二）项目编号：长招采公字【2021】042号；</w:t>
      </w:r>
    </w:p>
    <w:p>
      <w:pPr>
        <w:widowControl/>
        <w:shd w:val="clear" w:color="auto" w:fill="FFFFFF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  <w:shd w:val="clear" w:color="auto" w:fill="FFFFFF"/>
        </w:rPr>
        <w:t>（三）招标公告发布日期：2021年11月5日；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（四）变更公告发布日期：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  <w:shd w:val="clear" w:color="auto" w:fill="FFFFFF"/>
        </w:rPr>
        <w:t>2021年11月18日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（五）开标日期：2021年 11月30日9时00分；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（六）采购方式：公开招标；</w:t>
      </w:r>
    </w:p>
    <w:p>
      <w:pP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（七）最高限价：1145500元</w:t>
      </w:r>
    </w:p>
    <w:p>
      <w:pP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一标包：450000元</w:t>
      </w:r>
    </w:p>
    <w:p>
      <w:pP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二标包：695500元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（八）评标办法：综合评分法；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（九）资格审查方式：资格后审；</w:t>
      </w:r>
    </w:p>
    <w:p>
      <w:pPr>
        <w:widowControl/>
        <w:shd w:val="clear" w:color="auto" w:fill="FFFFFF"/>
        <w:spacing w:before="226" w:line="330" w:lineRule="atLeast"/>
        <w:jc w:val="left"/>
        <w:rPr>
          <w:rFonts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二、投标报价</w:t>
      </w:r>
    </w:p>
    <w:p>
      <w:pPr>
        <w:widowControl/>
        <w:shd w:val="clear" w:color="auto" w:fill="FFFFFF"/>
        <w:spacing w:before="226" w:line="330" w:lineRule="atLeast"/>
        <w:jc w:val="left"/>
        <w:rPr>
          <w:rFonts w:eastAsia="黑体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一标包：</w:t>
      </w:r>
    </w:p>
    <w:tbl>
      <w:tblPr>
        <w:tblStyle w:val="11"/>
        <w:tblW w:w="8240" w:type="dxa"/>
        <w:tblInd w:w="-1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15"/>
        <w:gridCol w:w="1920"/>
        <w:gridCol w:w="25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38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19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投标总报价（元） </w:t>
            </w:r>
          </w:p>
        </w:tc>
        <w:tc>
          <w:tcPr>
            <w:tcW w:w="2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交货期（日历天）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81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河南科明电梯有限公司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446800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合同签订之日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起30日历天内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河南厚德电梯有限公司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449600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合同签订之日</w:t>
            </w:r>
          </w:p>
          <w:p>
            <w:pPr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起30日历天内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381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许昌市鑫利达电梯工程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有限公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448200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合同签订之日</w:t>
            </w:r>
          </w:p>
          <w:p>
            <w:pPr>
              <w:jc w:val="center"/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起30日历天内</w:t>
            </w:r>
          </w:p>
        </w:tc>
      </w:tr>
    </w:tbl>
    <w:p>
      <w:pPr>
        <w:widowControl/>
        <w:shd w:val="clear" w:color="auto" w:fill="FFFFFF"/>
        <w:spacing w:before="226" w:line="330" w:lineRule="atLeast"/>
        <w:jc w:val="left"/>
        <w:rPr>
          <w:rFonts w:eastAsia="黑体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二标包：</w:t>
      </w:r>
    </w:p>
    <w:tbl>
      <w:tblPr>
        <w:tblStyle w:val="11"/>
        <w:tblW w:w="8240" w:type="dxa"/>
        <w:tblInd w:w="-1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15"/>
        <w:gridCol w:w="1920"/>
        <w:gridCol w:w="25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38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19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投标总报价（元） </w:t>
            </w:r>
          </w:p>
        </w:tc>
        <w:tc>
          <w:tcPr>
            <w:tcW w:w="2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交货期（日历天）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81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许昌市第三家电商场有限公司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630000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.00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合同签订后15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日历天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381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河南鑫鼎诚科技有限公司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694200.00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同签订之日</w:t>
            </w:r>
          </w:p>
          <w:p>
            <w:pPr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起30日历天内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381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长葛市灵鹤商贸有限公司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688536.00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合同签订之日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起30日历天内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381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河南省黄河智慧城市科技有限公司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693870.00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合同签订之日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起30日历天内</w:t>
            </w:r>
          </w:p>
        </w:tc>
      </w:tr>
    </w:tbl>
    <w:p>
      <w:pPr>
        <w:widowControl/>
        <w:shd w:val="clear" w:color="auto" w:fill="FFFFFF"/>
        <w:spacing w:before="226" w:line="33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三、资格性审查</w:t>
      </w:r>
    </w:p>
    <w:p>
      <w:pPr>
        <w:widowControl/>
        <w:shd w:val="clear" w:color="auto" w:fill="FFFFFF"/>
        <w:spacing w:before="226" w:line="330" w:lineRule="atLeast"/>
        <w:ind w:firstLine="601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根据招标文件中规定的评审因素及评审标准，资格审查小组对供应商的投标文件进行资格性评审。评审情况如下：</w:t>
      </w:r>
    </w:p>
    <w:p>
      <w:pPr>
        <w:widowControl/>
        <w:shd w:val="clear" w:color="auto" w:fill="FFFFFF"/>
        <w:spacing w:before="226" w:line="330" w:lineRule="atLeast"/>
        <w:ind w:firstLine="601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一标包：</w:t>
      </w:r>
    </w:p>
    <w:tbl>
      <w:tblPr>
        <w:tblStyle w:val="11"/>
        <w:tblW w:w="9120" w:type="dxa"/>
        <w:tblInd w:w="-3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1"/>
        <w:gridCol w:w="1956"/>
        <w:gridCol w:w="3018"/>
        <w:gridCol w:w="31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通过资格审查的投标人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河南科明电梯有限公司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河南厚德电梯有限公司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许昌市鑫利达电梯工程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有限公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9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未通过资格审查的投标人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投标人名称</w:t>
            </w:r>
          </w:p>
        </w:tc>
        <w:tc>
          <w:tcPr>
            <w:tcW w:w="3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未通过原因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招标文件相应条款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</w:t>
            </w:r>
          </w:p>
        </w:tc>
        <w:tc>
          <w:tcPr>
            <w:tcW w:w="3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/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/</w:t>
            </w:r>
          </w:p>
        </w:tc>
      </w:tr>
    </w:tbl>
    <w:p>
      <w:pPr>
        <w:widowControl/>
        <w:shd w:val="clear" w:color="auto" w:fill="FFFFFF"/>
        <w:spacing w:before="226" w:line="330" w:lineRule="atLeast"/>
        <w:ind w:firstLine="601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二标包：</w:t>
      </w:r>
    </w:p>
    <w:tbl>
      <w:tblPr>
        <w:tblStyle w:val="11"/>
        <w:tblW w:w="9120" w:type="dxa"/>
        <w:tblInd w:w="-3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1"/>
        <w:gridCol w:w="1956"/>
        <w:gridCol w:w="3018"/>
        <w:gridCol w:w="31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通过资格审查的投标人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许昌市第三家电商场有限公司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河南鑫鼎诚科技有限公司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长葛市灵鹤商贸有限公司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河南省黄河智慧城市科技有限公司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9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未通过资格审查的投标人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投标人名称</w:t>
            </w:r>
          </w:p>
        </w:tc>
        <w:tc>
          <w:tcPr>
            <w:tcW w:w="3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未通过原因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招标文件相应条款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</w:t>
            </w:r>
          </w:p>
        </w:tc>
        <w:tc>
          <w:tcPr>
            <w:tcW w:w="3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/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/</w:t>
            </w:r>
          </w:p>
        </w:tc>
      </w:tr>
    </w:tbl>
    <w:p>
      <w:pPr>
        <w:widowControl/>
        <w:shd w:val="clear" w:color="auto" w:fill="FFFFFF"/>
        <w:spacing w:before="226" w:line="330" w:lineRule="atLeast"/>
        <w:jc w:val="left"/>
        <w:rPr>
          <w:rFonts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四、评审情况</w:t>
      </w:r>
    </w:p>
    <w:p>
      <w:pPr>
        <w:widowControl/>
        <w:shd w:val="clear" w:color="auto" w:fill="FFFFFF"/>
        <w:spacing w:before="226" w:line="330" w:lineRule="atLeast"/>
        <w:jc w:val="left"/>
        <w:rPr>
          <w:rFonts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一标包</w:t>
      </w:r>
    </w:p>
    <w:tbl>
      <w:tblPr>
        <w:tblStyle w:val="11"/>
        <w:tblW w:w="9165" w:type="dxa"/>
        <w:tblInd w:w="-36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81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核查</w:t>
            </w:r>
          </w:p>
        </w:tc>
        <w:tc>
          <w:tcPr>
            <w:tcW w:w="8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是否发现硬件特征码（网卡MAC地址、CPU序号、硬盘序列号等）雷同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结果</w:t>
            </w:r>
          </w:p>
        </w:tc>
        <w:tc>
          <w:tcPr>
            <w:tcW w:w="8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无雷同</w:t>
            </w:r>
          </w:p>
        </w:tc>
      </w:tr>
    </w:tbl>
    <w:p>
      <w:pPr>
        <w:widowControl/>
        <w:shd w:val="clear" w:color="auto" w:fill="FFFFFF"/>
        <w:spacing w:before="226" w:line="330" w:lineRule="atLeast"/>
        <w:jc w:val="left"/>
        <w:rPr>
          <w:rFonts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二标包</w:t>
      </w:r>
    </w:p>
    <w:tbl>
      <w:tblPr>
        <w:tblStyle w:val="11"/>
        <w:tblW w:w="9165" w:type="dxa"/>
        <w:tblInd w:w="-36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81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核查</w:t>
            </w:r>
          </w:p>
        </w:tc>
        <w:tc>
          <w:tcPr>
            <w:tcW w:w="8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是否发现硬件特征码（网卡MAC地址、CPU序号、硬盘序列号等）雷同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结果</w:t>
            </w:r>
          </w:p>
        </w:tc>
        <w:tc>
          <w:tcPr>
            <w:tcW w:w="8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无雷同</w:t>
            </w:r>
          </w:p>
        </w:tc>
      </w:tr>
    </w:tbl>
    <w:p>
      <w:pPr>
        <w:widowControl/>
        <w:shd w:val="clear" w:color="auto" w:fill="FFFFFF"/>
        <w:spacing w:line="330" w:lineRule="atLeast"/>
        <w:jc w:val="left"/>
        <w:rPr>
          <w:rFonts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（一）符合性审查</w:t>
      </w:r>
    </w:p>
    <w:p>
      <w:pPr>
        <w:widowControl/>
        <w:shd w:val="clear" w:color="auto" w:fill="FFFFFF"/>
        <w:spacing w:line="330" w:lineRule="atLeast"/>
        <w:jc w:val="left"/>
        <w:rPr>
          <w:rFonts w:eastAsia="黑体" w:cs="仿宋" w:asciiTheme="minorEastAsia" w:hAnsiTheme="minorEastAsia"/>
          <w:color w:val="000000"/>
          <w:kern w:val="0"/>
          <w:sz w:val="24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一标包</w:t>
      </w:r>
    </w:p>
    <w:tbl>
      <w:tblPr>
        <w:tblStyle w:val="11"/>
        <w:tblW w:w="9135" w:type="dxa"/>
        <w:tblInd w:w="-3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1"/>
        <w:gridCol w:w="2672"/>
        <w:gridCol w:w="2302"/>
        <w:gridCol w:w="31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通过符合性审查的投标人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未通过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shd w:val="clear" w:color="auto" w:fill="FFFFFF"/>
              </w:rPr>
              <w:t>符合性审查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的投标人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投标人名称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未通过原因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招标文件相应条款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河南科明电梯有限公司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轿厢尺寸未满足采购需求的要求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第二章采购需求，注，第5条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河南厚德电梯有限公司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轿厢尺寸未满足采购需求的要求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第二章采购需求，注，第5条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许昌市鑫利达电梯工程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有限公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轿厢尺寸未满足采购需求的要求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第二章采购需求，注，第5条</w:t>
            </w:r>
          </w:p>
        </w:tc>
      </w:tr>
    </w:tbl>
    <w:p>
      <w:pPr>
        <w:widowControl/>
        <w:shd w:val="clear" w:color="auto" w:fill="FFFFFF"/>
        <w:spacing w:line="330" w:lineRule="atLeast"/>
        <w:jc w:val="left"/>
        <w:rPr>
          <w:rFonts w:eastAsia="黑体" w:cs="仿宋" w:asciiTheme="minorEastAsia" w:hAnsiTheme="minorEastAsia"/>
          <w:color w:val="000000"/>
          <w:kern w:val="0"/>
          <w:sz w:val="24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二标包</w:t>
      </w:r>
    </w:p>
    <w:tbl>
      <w:tblPr>
        <w:tblStyle w:val="11"/>
        <w:tblW w:w="9135" w:type="dxa"/>
        <w:tblInd w:w="-3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1"/>
        <w:gridCol w:w="2246"/>
        <w:gridCol w:w="2977"/>
        <w:gridCol w:w="29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通过符合性审查的投标人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河南鑫鼎诚科技有限公司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长葛市灵鹤商贸有限公司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未通过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shd w:val="clear" w:color="auto" w:fill="FFFFFF"/>
              </w:rPr>
              <w:t>符合性审查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的投标人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投标人名称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未通过原因</w:t>
            </w:r>
          </w:p>
        </w:tc>
        <w:tc>
          <w:tcPr>
            <w:tcW w:w="2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招标文件相应条款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许昌市第三家电商场有限公司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柜机未按采购需求提供“环境标志产品认证证书”。</w:t>
            </w:r>
          </w:p>
        </w:tc>
        <w:tc>
          <w:tcPr>
            <w:tcW w:w="2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第二章采购需求，注，第2条、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河南省黄河智慧城市科技有限公司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挂机未按采购需求提供“环境标志产品认证证书”。</w:t>
            </w:r>
          </w:p>
        </w:tc>
        <w:tc>
          <w:tcPr>
            <w:tcW w:w="2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第二章采购需求，注，第2条、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长葛市灵鹤商贸有限公司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柜机未按采购需求提供“节能产品认证证书”。</w:t>
            </w:r>
          </w:p>
        </w:tc>
        <w:tc>
          <w:tcPr>
            <w:tcW w:w="2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第二章采购需求，注，第2条、</w:t>
            </w:r>
          </w:p>
        </w:tc>
      </w:tr>
    </w:tbl>
    <w:p>
      <w:pPr>
        <w:widowControl/>
        <w:shd w:val="clear" w:color="auto" w:fill="FFFFFF"/>
        <w:spacing w:line="330" w:lineRule="atLeast"/>
        <w:jc w:val="left"/>
        <w:rPr>
          <w:rFonts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（二）综合比较与评价</w:t>
      </w:r>
    </w:p>
    <w:p>
      <w:pPr>
        <w:widowControl/>
        <w:shd w:val="clear" w:color="auto" w:fill="FFFFFF"/>
        <w:spacing w:line="330" w:lineRule="atLeast"/>
        <w:jc w:val="left"/>
        <w:rPr>
          <w:rFonts w:eastAsia="黑体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一标包：投标人均未通过符合性审查，该标段废标。</w:t>
      </w:r>
    </w:p>
    <w:p>
      <w:pPr>
        <w:widowControl/>
        <w:shd w:val="clear" w:color="auto" w:fill="FFFFFF"/>
        <w:spacing w:line="330" w:lineRule="atLeast"/>
        <w:jc w:val="left"/>
        <w:rPr>
          <w:rFonts w:eastAsia="黑体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二标包：一家投标人通过符合性审查，不符合相关采购法律、法规的要求，该标段废标。</w:t>
      </w:r>
    </w:p>
    <w:p>
      <w:pPr>
        <w:widowControl/>
        <w:shd w:val="clear" w:color="auto" w:fill="FFFFFF"/>
        <w:spacing w:before="227" w:line="330" w:lineRule="atLeast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五．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shd w:val="clear" w:color="auto" w:fill="FFFFFF"/>
        </w:rPr>
        <w:t>评标委员会推荐第一中标候选人情况：无</w:t>
      </w:r>
    </w:p>
    <w:p>
      <w:pPr>
        <w:widowControl/>
        <w:shd w:val="clear" w:color="auto" w:fill="FFFFFF"/>
        <w:spacing w:before="226" w:line="330" w:lineRule="atLeast"/>
        <w:jc w:val="left"/>
        <w:rPr>
          <w:rFonts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六、投标人根据评标委员会要求进行的澄清、说明或者补正：无</w:t>
      </w:r>
    </w:p>
    <w:p>
      <w:pPr>
        <w:widowControl/>
        <w:shd w:val="clear" w:color="auto" w:fill="FFFFFF"/>
        <w:spacing w:before="226" w:line="330" w:lineRule="atLeast"/>
        <w:jc w:val="left"/>
        <w:rPr>
          <w:rFonts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七、是否存在评标委员会成员更换：无</w:t>
      </w:r>
    </w:p>
    <w:p>
      <w:pPr>
        <w:widowControl/>
        <w:shd w:val="clear" w:color="auto" w:fill="FFFFFF"/>
        <w:spacing w:before="226" w:line="330" w:lineRule="atLeast"/>
        <w:jc w:val="left"/>
        <w:rPr>
          <w:rFonts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八、评标委员会成员名单：薛金国(组长）、冼明、郭素恋、陆文静、蔡立献（采购人代表）。</w:t>
      </w:r>
    </w:p>
    <w:p>
      <w:pPr>
        <w:widowControl/>
        <w:shd w:val="clear" w:color="auto" w:fill="FFFFFF"/>
        <w:spacing w:before="226" w:line="330" w:lineRule="atLeast"/>
        <w:jc w:val="left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评标委员会成员签字：薛金国、冼明、郭素恋、陆文静、蔡立献</w:t>
      </w:r>
      <w:bookmarkStart w:id="0" w:name="_GoBack"/>
      <w:bookmarkEnd w:id="0"/>
    </w:p>
    <w:p>
      <w:pPr>
        <w:widowControl/>
        <w:shd w:val="clear" w:color="auto" w:fill="FFFFFF"/>
        <w:spacing w:before="226" w:line="330" w:lineRule="atLeast"/>
        <w:ind w:firstLine="4760" w:firstLineChars="17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</w:p>
    <w:p>
      <w:pPr>
        <w:widowControl/>
        <w:shd w:val="clear" w:color="auto" w:fill="FFFFFF"/>
        <w:spacing w:before="226" w:line="330" w:lineRule="atLeast"/>
        <w:ind w:firstLine="4760" w:firstLineChars="17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</w:p>
    <w:p>
      <w:pPr>
        <w:widowControl/>
        <w:shd w:val="clear" w:color="auto" w:fill="FFFFFF"/>
        <w:spacing w:before="226" w:line="330" w:lineRule="atLeast"/>
        <w:ind w:firstLine="4760" w:firstLineChars="17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2021年 11月 30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939688"/>
      <w:docPartObj>
        <w:docPartGallery w:val="AutoText"/>
      </w:docPartObj>
    </w:sdtPr>
    <w:sdtContent>
      <w:p>
        <w:pPr>
          <w:pStyle w:val="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656A13"/>
    <w:multiLevelType w:val="multilevel"/>
    <w:tmpl w:val="24656A13"/>
    <w:lvl w:ilvl="0" w:tentative="0">
      <w:start w:val="1"/>
      <w:numFmt w:val="japaneseCounting"/>
      <w:lvlText w:val="%1、"/>
      <w:lvlJc w:val="left"/>
      <w:pPr>
        <w:ind w:left="10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40" w:hanging="420"/>
      </w:pPr>
    </w:lvl>
    <w:lvl w:ilvl="2" w:tentative="0">
      <w:start w:val="1"/>
      <w:numFmt w:val="lowerRoman"/>
      <w:lvlText w:val="%3."/>
      <w:lvlJc w:val="right"/>
      <w:pPr>
        <w:ind w:left="1560" w:hanging="420"/>
      </w:pPr>
    </w:lvl>
    <w:lvl w:ilvl="3" w:tentative="0">
      <w:start w:val="1"/>
      <w:numFmt w:val="decimal"/>
      <w:lvlText w:val="%4."/>
      <w:lvlJc w:val="left"/>
      <w:pPr>
        <w:ind w:left="1980" w:hanging="420"/>
      </w:pPr>
    </w:lvl>
    <w:lvl w:ilvl="4" w:tentative="0">
      <w:start w:val="1"/>
      <w:numFmt w:val="lowerLetter"/>
      <w:lvlText w:val="%5)"/>
      <w:lvlJc w:val="left"/>
      <w:pPr>
        <w:ind w:left="2400" w:hanging="420"/>
      </w:pPr>
    </w:lvl>
    <w:lvl w:ilvl="5" w:tentative="0">
      <w:start w:val="1"/>
      <w:numFmt w:val="lowerRoman"/>
      <w:lvlText w:val="%6."/>
      <w:lvlJc w:val="right"/>
      <w:pPr>
        <w:ind w:left="2820" w:hanging="420"/>
      </w:pPr>
    </w:lvl>
    <w:lvl w:ilvl="6" w:tentative="0">
      <w:start w:val="1"/>
      <w:numFmt w:val="decimal"/>
      <w:lvlText w:val="%7."/>
      <w:lvlJc w:val="left"/>
      <w:pPr>
        <w:ind w:left="3240" w:hanging="420"/>
      </w:pPr>
    </w:lvl>
    <w:lvl w:ilvl="7" w:tentative="0">
      <w:start w:val="1"/>
      <w:numFmt w:val="lowerLetter"/>
      <w:lvlText w:val="%8)"/>
      <w:lvlJc w:val="left"/>
      <w:pPr>
        <w:ind w:left="3660" w:hanging="420"/>
      </w:pPr>
    </w:lvl>
    <w:lvl w:ilvl="8" w:tentative="0">
      <w:start w:val="1"/>
      <w:numFmt w:val="lowerRoman"/>
      <w:lvlText w:val="%9."/>
      <w:lvlJc w:val="right"/>
      <w:pPr>
        <w:ind w:left="40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34B2F"/>
    <w:rsid w:val="000420A1"/>
    <w:rsid w:val="00054B6B"/>
    <w:rsid w:val="000E0591"/>
    <w:rsid w:val="000E6E5B"/>
    <w:rsid w:val="001061D5"/>
    <w:rsid w:val="00117634"/>
    <w:rsid w:val="001571C8"/>
    <w:rsid w:val="00161EF5"/>
    <w:rsid w:val="00172A27"/>
    <w:rsid w:val="001C0DE4"/>
    <w:rsid w:val="001D3324"/>
    <w:rsid w:val="001F77FC"/>
    <w:rsid w:val="0023224C"/>
    <w:rsid w:val="0026242D"/>
    <w:rsid w:val="002A6B2E"/>
    <w:rsid w:val="002B0506"/>
    <w:rsid w:val="002B47F9"/>
    <w:rsid w:val="002E2677"/>
    <w:rsid w:val="002F50E6"/>
    <w:rsid w:val="00337C71"/>
    <w:rsid w:val="003477BE"/>
    <w:rsid w:val="00363A7D"/>
    <w:rsid w:val="00377420"/>
    <w:rsid w:val="003A7C67"/>
    <w:rsid w:val="003D6390"/>
    <w:rsid w:val="004216B3"/>
    <w:rsid w:val="00423913"/>
    <w:rsid w:val="00423F87"/>
    <w:rsid w:val="00432A2A"/>
    <w:rsid w:val="00454469"/>
    <w:rsid w:val="004545CC"/>
    <w:rsid w:val="00454817"/>
    <w:rsid w:val="00457163"/>
    <w:rsid w:val="00461CF3"/>
    <w:rsid w:val="00491BA2"/>
    <w:rsid w:val="00492755"/>
    <w:rsid w:val="004C085E"/>
    <w:rsid w:val="004D56B4"/>
    <w:rsid w:val="004E2E3D"/>
    <w:rsid w:val="005462F0"/>
    <w:rsid w:val="0056739B"/>
    <w:rsid w:val="005A75CF"/>
    <w:rsid w:val="005E0BBC"/>
    <w:rsid w:val="005F045F"/>
    <w:rsid w:val="0063231D"/>
    <w:rsid w:val="00644111"/>
    <w:rsid w:val="006442B9"/>
    <w:rsid w:val="00655154"/>
    <w:rsid w:val="00680782"/>
    <w:rsid w:val="006A4CFE"/>
    <w:rsid w:val="006F03A2"/>
    <w:rsid w:val="00761084"/>
    <w:rsid w:val="007B051B"/>
    <w:rsid w:val="007F3ABF"/>
    <w:rsid w:val="008068F9"/>
    <w:rsid w:val="008754C4"/>
    <w:rsid w:val="00890B12"/>
    <w:rsid w:val="0089497E"/>
    <w:rsid w:val="008B490E"/>
    <w:rsid w:val="0090107A"/>
    <w:rsid w:val="00902EB5"/>
    <w:rsid w:val="009055BB"/>
    <w:rsid w:val="00954B17"/>
    <w:rsid w:val="00971856"/>
    <w:rsid w:val="00987D30"/>
    <w:rsid w:val="009A39F0"/>
    <w:rsid w:val="00A457AC"/>
    <w:rsid w:val="00A57DD8"/>
    <w:rsid w:val="00A66BB7"/>
    <w:rsid w:val="00A70EF4"/>
    <w:rsid w:val="00A736DB"/>
    <w:rsid w:val="00AB077D"/>
    <w:rsid w:val="00AC0514"/>
    <w:rsid w:val="00AD28DA"/>
    <w:rsid w:val="00B47FEF"/>
    <w:rsid w:val="00B97F13"/>
    <w:rsid w:val="00BA481A"/>
    <w:rsid w:val="00BA5F13"/>
    <w:rsid w:val="00BB4470"/>
    <w:rsid w:val="00BB7F16"/>
    <w:rsid w:val="00BD0702"/>
    <w:rsid w:val="00BD07EA"/>
    <w:rsid w:val="00C06E9E"/>
    <w:rsid w:val="00C175EA"/>
    <w:rsid w:val="00C41FD3"/>
    <w:rsid w:val="00C450E7"/>
    <w:rsid w:val="00C521DF"/>
    <w:rsid w:val="00C62787"/>
    <w:rsid w:val="00C7120F"/>
    <w:rsid w:val="00C75AE6"/>
    <w:rsid w:val="00C9780B"/>
    <w:rsid w:val="00CC5805"/>
    <w:rsid w:val="00CD5B5E"/>
    <w:rsid w:val="00D0099E"/>
    <w:rsid w:val="00D177B9"/>
    <w:rsid w:val="00D256B8"/>
    <w:rsid w:val="00D46A6C"/>
    <w:rsid w:val="00D73227"/>
    <w:rsid w:val="00D9028D"/>
    <w:rsid w:val="00E41374"/>
    <w:rsid w:val="00E62A93"/>
    <w:rsid w:val="00E71DBB"/>
    <w:rsid w:val="00E77E42"/>
    <w:rsid w:val="00EA439F"/>
    <w:rsid w:val="00EA76D1"/>
    <w:rsid w:val="00ED2BD3"/>
    <w:rsid w:val="00F07C59"/>
    <w:rsid w:val="00F13356"/>
    <w:rsid w:val="00F23A32"/>
    <w:rsid w:val="00F37280"/>
    <w:rsid w:val="00F46636"/>
    <w:rsid w:val="00F47A35"/>
    <w:rsid w:val="00F631DA"/>
    <w:rsid w:val="00F84265"/>
    <w:rsid w:val="00FC6F60"/>
    <w:rsid w:val="022A5190"/>
    <w:rsid w:val="026E24FE"/>
    <w:rsid w:val="02700232"/>
    <w:rsid w:val="042C60BA"/>
    <w:rsid w:val="04CF0792"/>
    <w:rsid w:val="061719F8"/>
    <w:rsid w:val="067638DC"/>
    <w:rsid w:val="076A7D4B"/>
    <w:rsid w:val="08233A74"/>
    <w:rsid w:val="084D6DD2"/>
    <w:rsid w:val="08713398"/>
    <w:rsid w:val="089E68C2"/>
    <w:rsid w:val="09C74158"/>
    <w:rsid w:val="09FF0A3F"/>
    <w:rsid w:val="0A43171B"/>
    <w:rsid w:val="0BF05631"/>
    <w:rsid w:val="0DDC6D99"/>
    <w:rsid w:val="0EC22A6C"/>
    <w:rsid w:val="0FB44D2F"/>
    <w:rsid w:val="10AE2F36"/>
    <w:rsid w:val="10D8250C"/>
    <w:rsid w:val="11735556"/>
    <w:rsid w:val="12313B1A"/>
    <w:rsid w:val="14594AA8"/>
    <w:rsid w:val="150601E7"/>
    <w:rsid w:val="15E4113D"/>
    <w:rsid w:val="16DD702D"/>
    <w:rsid w:val="193266AC"/>
    <w:rsid w:val="19E15C1C"/>
    <w:rsid w:val="19E8207E"/>
    <w:rsid w:val="1A6A534B"/>
    <w:rsid w:val="1A9E6874"/>
    <w:rsid w:val="1AC03D68"/>
    <w:rsid w:val="1B0A189F"/>
    <w:rsid w:val="1BF438AF"/>
    <w:rsid w:val="1C155D28"/>
    <w:rsid w:val="1CAB3918"/>
    <w:rsid w:val="1F563857"/>
    <w:rsid w:val="1FD65C22"/>
    <w:rsid w:val="205D1875"/>
    <w:rsid w:val="209437B8"/>
    <w:rsid w:val="21AF2C39"/>
    <w:rsid w:val="22505D51"/>
    <w:rsid w:val="22932C7A"/>
    <w:rsid w:val="22A5326B"/>
    <w:rsid w:val="22BA40FC"/>
    <w:rsid w:val="234B58E9"/>
    <w:rsid w:val="24C0719A"/>
    <w:rsid w:val="24D561AA"/>
    <w:rsid w:val="27704AB7"/>
    <w:rsid w:val="277A5EC2"/>
    <w:rsid w:val="28352302"/>
    <w:rsid w:val="29160EF3"/>
    <w:rsid w:val="294224B1"/>
    <w:rsid w:val="2ACA7EB5"/>
    <w:rsid w:val="2B3E0E7A"/>
    <w:rsid w:val="2C3D38C1"/>
    <w:rsid w:val="2DC1151E"/>
    <w:rsid w:val="2DEB0ED5"/>
    <w:rsid w:val="30050A33"/>
    <w:rsid w:val="310F684D"/>
    <w:rsid w:val="34041DB1"/>
    <w:rsid w:val="34FA2F05"/>
    <w:rsid w:val="365318EF"/>
    <w:rsid w:val="36E8639B"/>
    <w:rsid w:val="376F1673"/>
    <w:rsid w:val="378478DC"/>
    <w:rsid w:val="38273EBB"/>
    <w:rsid w:val="38490FD0"/>
    <w:rsid w:val="3A3D1EAA"/>
    <w:rsid w:val="3A582D03"/>
    <w:rsid w:val="3A637C05"/>
    <w:rsid w:val="3A990208"/>
    <w:rsid w:val="3AD2670E"/>
    <w:rsid w:val="3B986E88"/>
    <w:rsid w:val="3E0D0609"/>
    <w:rsid w:val="3E1B09E5"/>
    <w:rsid w:val="3E373CD9"/>
    <w:rsid w:val="3EC26A24"/>
    <w:rsid w:val="3F560D0C"/>
    <w:rsid w:val="3FBD0808"/>
    <w:rsid w:val="418166E2"/>
    <w:rsid w:val="41C77214"/>
    <w:rsid w:val="4265708E"/>
    <w:rsid w:val="43DF7D6B"/>
    <w:rsid w:val="45085247"/>
    <w:rsid w:val="45A702C6"/>
    <w:rsid w:val="45FA73EC"/>
    <w:rsid w:val="47A60D7C"/>
    <w:rsid w:val="49504B18"/>
    <w:rsid w:val="496D7533"/>
    <w:rsid w:val="4AE71DF0"/>
    <w:rsid w:val="4AF07E8E"/>
    <w:rsid w:val="4BDB7FD6"/>
    <w:rsid w:val="4CEE3D4F"/>
    <w:rsid w:val="4E177C20"/>
    <w:rsid w:val="4E8F77BB"/>
    <w:rsid w:val="4F682055"/>
    <w:rsid w:val="50CB16E1"/>
    <w:rsid w:val="51477A84"/>
    <w:rsid w:val="545E7FFD"/>
    <w:rsid w:val="546A5AAD"/>
    <w:rsid w:val="557E140C"/>
    <w:rsid w:val="563A626F"/>
    <w:rsid w:val="571877FF"/>
    <w:rsid w:val="576A70D9"/>
    <w:rsid w:val="57DD461C"/>
    <w:rsid w:val="585539AE"/>
    <w:rsid w:val="58DE081B"/>
    <w:rsid w:val="5A12009D"/>
    <w:rsid w:val="5A331906"/>
    <w:rsid w:val="5B9F707B"/>
    <w:rsid w:val="5BDB5D05"/>
    <w:rsid w:val="5C4A0A40"/>
    <w:rsid w:val="5D435621"/>
    <w:rsid w:val="5E770FAD"/>
    <w:rsid w:val="5F1A1A6B"/>
    <w:rsid w:val="608000B2"/>
    <w:rsid w:val="658D3C69"/>
    <w:rsid w:val="67280040"/>
    <w:rsid w:val="674C5BD4"/>
    <w:rsid w:val="685026D2"/>
    <w:rsid w:val="6A4F4393"/>
    <w:rsid w:val="6B292A81"/>
    <w:rsid w:val="6C243FEF"/>
    <w:rsid w:val="6CAB1E24"/>
    <w:rsid w:val="6CE1627F"/>
    <w:rsid w:val="6DA17A46"/>
    <w:rsid w:val="6DBB049A"/>
    <w:rsid w:val="6DD46292"/>
    <w:rsid w:val="6FA03421"/>
    <w:rsid w:val="70C63652"/>
    <w:rsid w:val="71263F1A"/>
    <w:rsid w:val="72173A14"/>
    <w:rsid w:val="74182290"/>
    <w:rsid w:val="74C70940"/>
    <w:rsid w:val="75335D9D"/>
    <w:rsid w:val="75AE48D5"/>
    <w:rsid w:val="75F7251A"/>
    <w:rsid w:val="77695D41"/>
    <w:rsid w:val="776E7C04"/>
    <w:rsid w:val="78D10C75"/>
    <w:rsid w:val="798C0BFB"/>
    <w:rsid w:val="79D23483"/>
    <w:rsid w:val="7A6557EC"/>
    <w:rsid w:val="7AD302F4"/>
    <w:rsid w:val="7B464305"/>
    <w:rsid w:val="7D2614FC"/>
    <w:rsid w:val="7DA37A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99"/>
    <w:pPr>
      <w:keepNext/>
      <w:keepLines/>
      <w:adjustRightInd w:val="0"/>
      <w:spacing w:before="160" w:after="160" w:line="240" w:lineRule="atLeast"/>
      <w:ind w:left="965" w:hanging="425"/>
      <w:textAlignment w:val="baseline"/>
      <w:outlineLvl w:val="1"/>
    </w:pPr>
    <w:rPr>
      <w:rFonts w:ascii="黑体" w:hAnsi="Arial" w:eastAsia="黑体" w:cs="宋体"/>
      <w:kern w:val="0"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Message Header"/>
    <w:basedOn w:val="1"/>
    <w:next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9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paragraph" w:styleId="10">
    <w:name w:val="Body Text First Indent"/>
    <w:basedOn w:val="4"/>
    <w:unhideWhenUsed/>
    <w:qFormat/>
    <w:uiPriority w:val="99"/>
    <w:pPr>
      <w:ind w:firstLine="420" w:firstLineChars="100"/>
    </w:p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FollowedHyperlink"/>
    <w:basedOn w:val="13"/>
    <w:semiHidden/>
    <w:unhideWhenUsed/>
    <w:qFormat/>
    <w:uiPriority w:val="99"/>
    <w:rPr>
      <w:color w:val="000000"/>
      <w:u w:val="none"/>
    </w:rPr>
  </w:style>
  <w:style w:type="character" w:styleId="15">
    <w:name w:val="Emphasis"/>
    <w:basedOn w:val="13"/>
    <w:qFormat/>
    <w:uiPriority w:val="20"/>
  </w:style>
  <w:style w:type="character" w:styleId="16">
    <w:name w:val="Hyperlink"/>
    <w:basedOn w:val="13"/>
    <w:semiHidden/>
    <w:unhideWhenUsed/>
    <w:qFormat/>
    <w:uiPriority w:val="99"/>
    <w:rPr>
      <w:color w:val="000000"/>
      <w:u w:val="none"/>
    </w:rPr>
  </w:style>
  <w:style w:type="character" w:customStyle="1" w:styleId="17">
    <w:name w:val="页眉 Char"/>
    <w:basedOn w:val="13"/>
    <w:link w:val="7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3"/>
    <w:link w:val="6"/>
    <w:qFormat/>
    <w:uiPriority w:val="99"/>
    <w:rPr>
      <w:sz w:val="18"/>
      <w:szCs w:val="18"/>
    </w:rPr>
  </w:style>
  <w:style w:type="paragraph" w:customStyle="1" w:styleId="19">
    <w:name w:val="列出段落1"/>
    <w:basedOn w:val="1"/>
    <w:unhideWhenUsed/>
    <w:qFormat/>
    <w:uiPriority w:val="99"/>
    <w:pPr>
      <w:ind w:firstLine="420" w:firstLineChars="200"/>
    </w:p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1">
    <w:name w:val="批注框文本 Char"/>
    <w:basedOn w:val="13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red"/>
    <w:basedOn w:val="13"/>
    <w:qFormat/>
    <w:uiPriority w:val="0"/>
    <w:rPr>
      <w:color w:val="FF0000"/>
      <w:sz w:val="18"/>
      <w:szCs w:val="18"/>
    </w:rPr>
  </w:style>
  <w:style w:type="character" w:customStyle="1" w:styleId="23">
    <w:name w:val="red1"/>
    <w:basedOn w:val="13"/>
    <w:qFormat/>
    <w:uiPriority w:val="0"/>
    <w:rPr>
      <w:color w:val="FF0000"/>
      <w:sz w:val="18"/>
      <w:szCs w:val="18"/>
    </w:rPr>
  </w:style>
  <w:style w:type="character" w:customStyle="1" w:styleId="24">
    <w:name w:val="red2"/>
    <w:basedOn w:val="13"/>
    <w:qFormat/>
    <w:uiPriority w:val="0"/>
    <w:rPr>
      <w:color w:val="CC0000"/>
    </w:rPr>
  </w:style>
  <w:style w:type="character" w:customStyle="1" w:styleId="25">
    <w:name w:val="red3"/>
    <w:basedOn w:val="13"/>
    <w:qFormat/>
    <w:uiPriority w:val="0"/>
    <w:rPr>
      <w:color w:val="FF0000"/>
    </w:rPr>
  </w:style>
  <w:style w:type="character" w:customStyle="1" w:styleId="26">
    <w:name w:val="green"/>
    <w:basedOn w:val="13"/>
    <w:qFormat/>
    <w:uiPriority w:val="0"/>
    <w:rPr>
      <w:color w:val="66AE00"/>
      <w:sz w:val="18"/>
      <w:szCs w:val="18"/>
    </w:rPr>
  </w:style>
  <w:style w:type="character" w:customStyle="1" w:styleId="27">
    <w:name w:val="green1"/>
    <w:basedOn w:val="13"/>
    <w:qFormat/>
    <w:uiPriority w:val="0"/>
    <w:rPr>
      <w:color w:val="66AE00"/>
      <w:sz w:val="18"/>
      <w:szCs w:val="18"/>
    </w:rPr>
  </w:style>
  <w:style w:type="character" w:customStyle="1" w:styleId="28">
    <w:name w:val="hover24"/>
    <w:basedOn w:val="13"/>
    <w:qFormat/>
    <w:uiPriority w:val="0"/>
  </w:style>
  <w:style w:type="character" w:customStyle="1" w:styleId="29">
    <w:name w:val="right"/>
    <w:basedOn w:val="13"/>
    <w:qFormat/>
    <w:uiPriority w:val="0"/>
    <w:rPr>
      <w:color w:val="999999"/>
      <w:sz w:val="18"/>
      <w:szCs w:val="18"/>
    </w:rPr>
  </w:style>
  <w:style w:type="character" w:customStyle="1" w:styleId="30">
    <w:name w:val="gb-jt"/>
    <w:basedOn w:val="13"/>
    <w:qFormat/>
    <w:uiPriority w:val="0"/>
  </w:style>
  <w:style w:type="character" w:customStyle="1" w:styleId="31">
    <w:name w:val="blue"/>
    <w:basedOn w:val="13"/>
    <w:qFormat/>
    <w:uiPriority w:val="0"/>
    <w:rPr>
      <w:color w:val="0371C6"/>
      <w:sz w:val="21"/>
      <w:szCs w:val="21"/>
    </w:rPr>
  </w:style>
  <w:style w:type="character" w:customStyle="1" w:styleId="32">
    <w:name w:val="hover25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1407</Words>
  <Characters>324</Characters>
  <Lines>2</Lines>
  <Paragraphs>3</Paragraphs>
  <TotalTime>0</TotalTime>
  <ScaleCrop>false</ScaleCrop>
  <LinksUpToDate>false</LinksUpToDate>
  <CharactersWithSpaces>1728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2018-06-05T10:35:00Z</dcterms:created>
  <dc:creator>智远工程管理有限公司:康栋</dc:creator>
  <cp:lastModifiedBy>长葛市公共资源交易中心:张义顺</cp:lastModifiedBy>
  <cp:lastPrinted>2021-11-30T08:17:00Z</cp:lastPrinted>
  <dcterms:modified xsi:type="dcterms:W3CDTF">2021-12-01T00:10:38Z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8908663CCA2D46779D0A946C1D3D0DDD</vt:lpwstr>
  </property>
</Properties>
</file>