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firstLine="0" w:firstLineChars="0"/>
        <w:jc w:val="center"/>
        <w:rPr>
          <w:rFonts w:hint="eastAsia" w:ascii="黑体" w:hAnsi="黑体" w:eastAsia="黑体" w:cs="黑体"/>
          <w:bCs/>
          <w:color w:val="auto"/>
          <w:kern w:val="2"/>
          <w:sz w:val="36"/>
          <w:szCs w:val="36"/>
          <w:lang w:val="en-US" w:eastAsia="zh-CN" w:bidi="ar-SA"/>
        </w:rPr>
      </w:pPr>
      <w:r>
        <w:rPr>
          <w:rFonts w:hint="eastAsia" w:ascii="黑体" w:hAnsi="黑体" w:eastAsia="黑体" w:cs="黑体"/>
          <w:bCs/>
          <w:color w:val="auto"/>
          <w:kern w:val="2"/>
          <w:sz w:val="36"/>
          <w:szCs w:val="36"/>
          <w:lang w:val="en-US" w:eastAsia="zh-CN" w:bidi="ar-SA"/>
        </w:rPr>
        <w:t>禹州市应急管理局购置补充应急救援物资装备项目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4"/>
        <w:ind w:firstLine="0" w:firstLineChars="0"/>
        <w:rPr>
          <w:rFonts w:ascii="华文隶书" w:eastAsia="华文隶书"/>
          <w:bCs/>
          <w:color w:val="auto"/>
          <w:w w:val="90"/>
          <w:sz w:val="96"/>
        </w:rPr>
      </w:pPr>
    </w:p>
    <w:p>
      <w:pPr>
        <w:pStyle w:val="34"/>
        <w:ind w:firstLine="0" w:firstLineChars="0"/>
        <w:rPr>
          <w:rFonts w:ascii="华文隶书" w:eastAsia="华文隶书"/>
          <w:bCs/>
          <w:color w:val="auto"/>
          <w:w w:val="90"/>
          <w:sz w:val="96"/>
        </w:rPr>
      </w:pPr>
    </w:p>
    <w:p>
      <w:pPr>
        <w:pStyle w:val="35"/>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4"/>
        <w:rPr>
          <w:color w:val="auto"/>
        </w:rPr>
      </w:pPr>
    </w:p>
    <w:p>
      <w:pPr>
        <w:pStyle w:val="11"/>
        <w:numPr>
          <w:ilvl w:val="3"/>
          <w:numId w:val="0"/>
        </w:numPr>
        <w:ind w:leftChars="0"/>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w:t>
      </w:r>
      <w:r>
        <w:rPr>
          <w:rFonts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rPr>
        <w:t>YZCG-DLT2021</w:t>
      </w:r>
      <w:r>
        <w:rPr>
          <w:rFonts w:hint="eastAsia" w:asciiTheme="majorEastAsia" w:hAnsiTheme="majorEastAsia" w:eastAsiaTheme="majorEastAsia" w:cstheme="majorEastAsia"/>
          <w:b/>
          <w:bCs/>
          <w:color w:val="auto"/>
          <w:sz w:val="36"/>
          <w:szCs w:val="36"/>
          <w:lang w:val="en-US" w:eastAsia="zh-CN"/>
        </w:rPr>
        <w:t>128</w:t>
      </w:r>
    </w:p>
    <w:p>
      <w:pPr>
        <w:ind w:firstLine="1066" w:firstLineChars="295"/>
        <w:rPr>
          <w:rFonts w:eastAsia="黑体" w:asciiTheme="majorEastAsia" w:hAnsi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r>
        <w:rPr>
          <w:rFonts w:hint="eastAsia" w:ascii="黑体" w:hAnsi="黑体" w:eastAsia="黑体" w:cs="黑体"/>
          <w:bCs/>
          <w:color w:val="auto"/>
          <w:sz w:val="36"/>
          <w:szCs w:val="36"/>
          <w:lang w:val="en-US" w:eastAsia="zh-CN"/>
        </w:rPr>
        <w:t>禹州市应急管理局</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代理机构：河南呈祥工程咨询有限公司</w:t>
      </w:r>
    </w:p>
    <w:p>
      <w:pPr>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ajorEastAsia" w:hAnsiTheme="majorEastAsia" w:eastAsiaTheme="majorEastAsia" w:cstheme="majorEastAsia"/>
          <w:b/>
          <w:bCs/>
          <w:color w:val="auto"/>
          <w:sz w:val="36"/>
          <w:szCs w:val="36"/>
        </w:rPr>
        <w:t>二〇二一年</w:t>
      </w:r>
      <w:r>
        <w:rPr>
          <w:rFonts w:hint="eastAsia" w:asciiTheme="majorEastAsia" w:hAnsiTheme="majorEastAsia" w:eastAsiaTheme="majorEastAsia" w:cstheme="majorEastAsia"/>
          <w:b/>
          <w:bCs/>
          <w:color w:val="auto"/>
          <w:sz w:val="36"/>
          <w:szCs w:val="36"/>
          <w:lang w:val="en-US" w:eastAsia="zh-CN"/>
        </w:rPr>
        <w:t>十一</w:t>
      </w:r>
      <w:r>
        <w:rPr>
          <w:rFonts w:hint="eastAsia" w:asciiTheme="majorEastAsia" w:hAnsiTheme="majorEastAsia" w:eastAsiaTheme="majorEastAsia" w:cstheme="majorEastAsia"/>
          <w:b/>
          <w:bCs/>
          <w:color w:val="auto"/>
          <w:sz w:val="36"/>
          <w:szCs w:val="36"/>
          <w:lang w:eastAsia="zh-CN"/>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numPr>
          <w:ilvl w:val="0"/>
          <w:numId w:val="0"/>
        </w:numPr>
        <w:jc w:val="center"/>
        <w:rPr>
          <w:color w:val="auto"/>
        </w:rPr>
      </w:pPr>
      <w:r>
        <w:rPr>
          <w:rFonts w:hint="eastAsia" w:cs="宋体" w:asciiTheme="majorEastAsia" w:hAnsiTheme="majorEastAsia" w:eastAsiaTheme="majorEastAsia"/>
          <w:b/>
          <w:color w:val="auto"/>
          <w:kern w:val="0"/>
          <w:sz w:val="32"/>
          <w:szCs w:val="32"/>
          <w:lang w:eastAsia="zh-CN"/>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河南呈祥工程咨询有限公司受</w:t>
      </w:r>
      <w:r>
        <w:rPr>
          <w:rFonts w:hint="eastAsia" w:ascii="宋体" w:hAnsi="宋体" w:cs="Arial"/>
          <w:color w:val="444444"/>
          <w:kern w:val="0"/>
          <w:sz w:val="21"/>
          <w:szCs w:val="21"/>
          <w:vertAlign w:val="baseline"/>
          <w:lang w:val="en-US" w:eastAsia="zh-CN" w:bidi="ar-SA"/>
        </w:rPr>
        <w:t>禹州市应急管理局</w:t>
      </w:r>
      <w:r>
        <w:rPr>
          <w:rFonts w:hint="eastAsia" w:ascii="宋体" w:hAnsi="宋体" w:eastAsia="宋体" w:cs="宋体"/>
          <w:color w:val="auto"/>
          <w:szCs w:val="21"/>
          <w:shd w:val="clear" w:color="auto" w:fill="FFFFFF"/>
        </w:rPr>
        <w:t>的委托，就“</w:t>
      </w:r>
      <w:r>
        <w:rPr>
          <w:rFonts w:hint="eastAsia" w:ascii="宋体" w:hAnsi="宋体" w:eastAsia="宋体" w:cs="宋体"/>
          <w:color w:val="auto"/>
          <w:szCs w:val="21"/>
          <w:shd w:val="clear" w:color="auto" w:fill="FFFFFF"/>
          <w:lang w:val="en-US" w:eastAsia="zh-CN"/>
        </w:rPr>
        <w:t>禹州市应急管理局购置补充应急救援物资装备项目</w:t>
      </w:r>
      <w:r>
        <w:rPr>
          <w:rFonts w:hint="eastAsia" w:ascii="宋体" w:hAnsi="宋体" w:cs="Arial"/>
          <w:color w:val="444444"/>
          <w:kern w:val="0"/>
          <w:sz w:val="21"/>
          <w:szCs w:val="21"/>
          <w:vertAlign w:val="baseline"/>
          <w:lang w:val="en-US" w:eastAsia="zh-CN" w:bidi="ar-SA"/>
        </w:rPr>
        <w:t xml:space="preserve"> </w:t>
      </w:r>
      <w:r>
        <w:rPr>
          <w:rFonts w:hint="eastAsia" w:ascii="宋体" w:hAnsi="宋体" w:eastAsia="宋体" w:cs="宋体"/>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cs="Arial"/>
          <w:color w:val="auto"/>
          <w:kern w:val="0"/>
          <w:sz w:val="21"/>
          <w:szCs w:val="21"/>
          <w:vertAlign w:val="baseline"/>
          <w:lang w:val="en-US" w:eastAsia="zh-CN" w:bidi="ar-SA"/>
        </w:rPr>
      </w:pPr>
      <w:r>
        <w:rPr>
          <w:rFonts w:hint="eastAsia" w:ascii="宋体" w:hAnsi="宋体" w:eastAsia="宋体" w:cs="宋体"/>
          <w:color w:val="auto"/>
          <w:szCs w:val="21"/>
          <w:shd w:val="clear" w:color="auto" w:fill="FFFFFF"/>
        </w:rPr>
        <w:t>1、采购人：</w:t>
      </w:r>
      <w:r>
        <w:rPr>
          <w:rFonts w:hint="eastAsia" w:ascii="宋体" w:hAnsi="宋体" w:cs="Arial"/>
          <w:color w:val="444444"/>
          <w:kern w:val="0"/>
          <w:sz w:val="21"/>
          <w:szCs w:val="21"/>
          <w:vertAlign w:val="baseline"/>
          <w:lang w:val="en-US" w:eastAsia="zh-CN" w:bidi="ar-SA"/>
        </w:rPr>
        <w:t>禹州市应急管理局</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2、项目名称：</w:t>
      </w:r>
      <w:r>
        <w:rPr>
          <w:rFonts w:hint="eastAsia" w:ascii="宋体" w:hAnsi="宋体" w:eastAsia="宋体" w:cs="宋体"/>
          <w:color w:val="auto"/>
          <w:szCs w:val="21"/>
          <w:shd w:val="clear" w:color="auto" w:fill="FFFFFF"/>
          <w:lang w:val="en-US" w:eastAsia="zh-CN"/>
        </w:rPr>
        <w:t xml:space="preserve">禹州市应急管理局购置补充应急救援物资装备项目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3、采购编号：YZCG-DLT202</w:t>
      </w:r>
      <w:r>
        <w:rPr>
          <w:rFonts w:hint="eastAsia" w:ascii="宋体" w:hAnsi="宋体" w:eastAsia="宋体" w:cs="宋体"/>
          <w:color w:val="auto"/>
          <w:szCs w:val="21"/>
          <w:shd w:val="clear" w:color="auto" w:fill="FFFFFF"/>
          <w:lang w:val="en-US" w:eastAsia="zh-CN"/>
        </w:rPr>
        <w:t xml:space="preserve">1128 </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val="en-US" w:eastAsia="zh-CN"/>
        </w:rPr>
        <w:t>禹州市应急管理局购置补充应急救援物资装备项目</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1998350.00</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6、</w:t>
      </w:r>
      <w:r>
        <w:rPr>
          <w:rFonts w:hint="eastAsia" w:cs="仿宋_GB2312" w:asciiTheme="minorEastAsia" w:hAnsiTheme="minorEastAsia"/>
          <w:color w:val="auto"/>
          <w:szCs w:val="21"/>
        </w:rPr>
        <w:t>交付（服务、完工）时间</w:t>
      </w:r>
      <w:r>
        <w:rPr>
          <w:rFonts w:hint="eastAsia" w:ascii="宋体" w:hAnsi="宋体" w:eastAsia="宋体" w:cs="宋体"/>
          <w:color w:val="auto"/>
          <w:szCs w:val="21"/>
          <w:shd w:val="clear" w:color="auto" w:fill="FFFFFF"/>
        </w:rPr>
        <w:t>：签订合同后</w:t>
      </w:r>
      <w:r>
        <w:rPr>
          <w:rFonts w:hint="eastAsia" w:ascii="宋体" w:hAnsi="宋体" w:eastAsia="宋体" w:cs="宋体"/>
          <w:color w:val="auto"/>
          <w:szCs w:val="21"/>
          <w:shd w:val="clear" w:color="auto" w:fill="FFFFFF"/>
          <w:lang w:val="en-US" w:eastAsia="zh-CN"/>
        </w:rPr>
        <w:t>15</w:t>
      </w:r>
      <w:r>
        <w:rPr>
          <w:rFonts w:hint="eastAsia" w:ascii="宋体" w:hAnsi="宋体" w:eastAsia="宋体" w:cs="宋体"/>
          <w:color w:val="auto"/>
          <w:szCs w:val="21"/>
          <w:shd w:val="clear" w:color="auto" w:fill="FFFFFF"/>
        </w:rPr>
        <w:t>日内完成</w:t>
      </w:r>
      <w:r>
        <w:rPr>
          <w:rFonts w:hint="eastAsia" w:ascii="宋体" w:hAnsi="宋体" w:eastAsia="宋体" w:cs="宋体"/>
          <w:color w:val="auto"/>
          <w:szCs w:val="21"/>
          <w:shd w:val="clear" w:color="auto" w:fill="FFFFFF"/>
          <w:lang w:val="en-US" w:eastAsia="zh-CN"/>
        </w:rPr>
        <w:t xml:space="preserve"> </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符合《政府采购法》第二十二条之规定</w:t>
      </w:r>
      <w:r>
        <w:rPr>
          <w:rFonts w:hint="eastAsia" w:ascii="宋体" w:hAnsi="宋体" w:eastAsia="宋体" w:cs="宋体"/>
          <w:b w:val="0"/>
          <w:bCs w:val="0"/>
          <w:color w:val="auto"/>
          <w:kern w:val="2"/>
          <w:sz w:val="21"/>
          <w:szCs w:val="21"/>
          <w:shd w:val="clear" w:color="auto" w:fill="FFFFFF"/>
          <w:lang w:val="en-US" w:eastAsia="zh-CN" w:bidi="ar-SA"/>
        </w:rPr>
        <w:t>；</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（二）在谈判响应截止时间前均可登录《全国公共资源交易平台（河南省·许昌市）》“投标人/供应商登录”入口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自行免费下载竞争性谈判文件（详见“常见问题解答-交易系统操作手册”）。</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（三）谈判文件每份售价人民币</w:t>
      </w:r>
      <w:r>
        <w:rPr>
          <w:rFonts w:hint="eastAsia" w:ascii="宋体" w:hAnsi="宋体" w:eastAsia="宋体" w:cs="宋体"/>
          <w:color w:val="auto"/>
          <w:szCs w:val="21"/>
          <w:shd w:val="clear" w:color="auto" w:fill="FFFFFF"/>
          <w:lang w:val="en-US" w:eastAsia="zh-CN"/>
        </w:rPr>
        <w:t>0</w:t>
      </w:r>
      <w:r>
        <w:rPr>
          <w:rFonts w:hint="eastAsia" w:ascii="宋体" w:hAnsi="宋体" w:eastAsia="宋体" w:cs="宋体"/>
          <w:color w:val="auto"/>
          <w:szCs w:val="21"/>
          <w:shd w:val="clear" w:color="auto" w:fill="FFFFFF"/>
        </w:rPr>
        <w:t>元。</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1、响应文件提交截止时间及谈判响应截止时间、谈判时间：2021年</w:t>
      </w:r>
      <w:r>
        <w:rPr>
          <w:rFonts w:hint="eastAsia" w:ascii="宋体" w:hAnsi="宋体" w:eastAsia="宋体" w:cs="宋体"/>
          <w:color w:val="auto"/>
          <w:szCs w:val="21"/>
          <w:shd w:val="clear" w:color="auto" w:fill="FFFFFF"/>
          <w:lang w:val="en-US" w:eastAsia="zh-CN"/>
        </w:rPr>
        <w:t>12</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8</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w:t>
      </w:r>
      <w:r>
        <w:rPr>
          <w:rFonts w:hint="eastAsia" w:ascii="宋体" w:hAnsi="宋体" w:eastAsia="宋体" w:cs="宋体"/>
          <w:color w:val="auto"/>
          <w:szCs w:val="21"/>
          <w:shd w:val="clear" w:color="auto" w:fill="FFFFFF"/>
        </w:rPr>
        <w:t xml:space="preserve"> :</w:t>
      </w:r>
      <w:r>
        <w:rPr>
          <w:rFonts w:hint="eastAsia" w:ascii="宋体" w:hAnsi="宋体" w:eastAsia="宋体" w:cs="宋体"/>
          <w:color w:val="auto"/>
          <w:szCs w:val="21"/>
          <w:shd w:val="clear" w:color="auto" w:fill="FFFFFF"/>
          <w:lang w:val="en-US" w:eastAsia="zh-CN"/>
        </w:rPr>
        <w:t>30</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（一）谈判响应文件开启地点：禹州市公共资源交易中心九楼第</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开标室。（本项目采用远程不见面谈判，供应商无须到达现场）。</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 本项目为全流程电子化交易项目，供应商须提交电子响应文件。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3、不见面开标大厅登录：供应商使用CA数字证书登录全国公共资源交易平台（河南省·许昌市）——进入公共资源交易系统</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cs="Arial"/>
          <w:color w:val="auto"/>
          <w:kern w:val="0"/>
          <w:sz w:val="21"/>
          <w:szCs w:val="21"/>
          <w:vertAlign w:val="baseline"/>
          <w:lang w:val="en-US" w:eastAsia="zh-CN" w:bidi="ar-SA"/>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 xml:space="preserve">禹州市应急管理局  </w:t>
      </w:r>
    </w:p>
    <w:p>
      <w:pPr>
        <w:spacing w:line="440" w:lineRule="exact"/>
        <w:ind w:firstLine="420" w:firstLineChars="200"/>
        <w:rPr>
          <w:rFonts w:hint="eastAsia" w:ascii="宋体" w:hAnsi="宋体" w:cs="Arial"/>
          <w:color w:val="auto"/>
          <w:kern w:val="0"/>
          <w:sz w:val="21"/>
          <w:szCs w:val="21"/>
          <w:vertAlign w:val="baseline"/>
          <w:lang w:val="en-US" w:eastAsia="zh-CN" w:bidi="ar-SA"/>
        </w:rPr>
      </w:pPr>
      <w:r>
        <w:rPr>
          <w:rFonts w:hint="eastAsia" w:ascii="宋体" w:hAnsi="宋体" w:eastAsia="宋体" w:cs="宋体"/>
          <w:color w:val="auto"/>
          <w:szCs w:val="21"/>
          <w:shd w:val="clear" w:color="auto" w:fill="FFFFFF"/>
        </w:rPr>
        <w:t>地址：禹州市颍川路与行政北路交汇处</w:t>
      </w:r>
      <w:r>
        <w:rPr>
          <w:rFonts w:hint="eastAsia" w:ascii="宋体" w:hAnsi="宋体" w:cs="Arial"/>
          <w:color w:val="auto"/>
          <w:kern w:val="0"/>
          <w:sz w:val="21"/>
          <w:szCs w:val="21"/>
          <w:vertAlign w:val="baseline"/>
          <w:lang w:val="en-US" w:eastAsia="zh-CN" w:bidi="ar-SA"/>
        </w:rPr>
        <w:t xml:space="preserve">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贺先生</w:t>
      </w:r>
      <w:r>
        <w:rPr>
          <w:rFonts w:hint="eastAsia" w:ascii="宋体" w:hAnsi="宋体" w:eastAsia="宋体" w:cs="宋体"/>
          <w:color w:val="auto"/>
          <w:szCs w:val="21"/>
          <w:shd w:val="clear" w:color="auto" w:fill="FFFFFF"/>
          <w:lang w:val="en-US" w:eastAsia="zh-CN"/>
        </w:rPr>
        <w:t xml:space="preserve"> </w:t>
      </w:r>
    </w:p>
    <w:p>
      <w:pPr>
        <w:spacing w:line="440" w:lineRule="exact"/>
        <w:ind w:firstLine="420" w:firstLineChars="200"/>
        <w:rPr>
          <w:rFonts w:hint="default" w:eastAsia="宋体"/>
          <w:color w:val="auto"/>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03748810069 </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代理机构：河南呈祥工程咨询有限公司</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shd w:val="clear" w:color="auto" w:fill="FFFFFF"/>
          <w:lang w:eastAsia="zh-CN"/>
        </w:rPr>
        <w:t>河南省平顶山市汝州市朝阳东路与云禅大道交叉口春禾国贸十楼</w:t>
      </w:r>
      <w:r>
        <w:rPr>
          <w:rFonts w:hint="eastAsia" w:ascii="宋体" w:hAnsi="宋体" w:eastAsia="宋体" w:cs="宋体"/>
          <w:color w:val="auto"/>
          <w:szCs w:val="21"/>
          <w:shd w:val="clear" w:color="auto" w:fill="FFFFFF"/>
          <w:lang w:val="en-US" w:eastAsia="zh-CN"/>
        </w:rPr>
        <w:t xml:space="preserve">1012 </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漫</w:t>
      </w:r>
      <w:r>
        <w:rPr>
          <w:rFonts w:hint="eastAsia" w:ascii="宋体" w:hAnsi="宋体" w:eastAsia="宋体" w:cs="宋体"/>
          <w:color w:val="auto"/>
          <w:szCs w:val="21"/>
          <w:shd w:val="clear" w:color="auto" w:fill="FFFFFF"/>
        </w:rPr>
        <w:t>女士</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0375-3320091</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监督单位：禹州市政府采购监督管理办公室 </w:t>
      </w:r>
    </w:p>
    <w:p>
      <w:pPr>
        <w:pStyle w:val="34"/>
        <w:ind w:firstLine="0" w:firstLineChars="0"/>
        <w:rPr>
          <w:rFonts w:hint="eastAsia" w:eastAsiaTheme="minorEastAsia"/>
          <w:color w:val="auto"/>
          <w:lang w:eastAsia="zh-CN"/>
        </w:rPr>
      </w:pPr>
    </w:p>
    <w:p>
      <w:pPr>
        <w:pStyle w:val="34"/>
        <w:ind w:firstLine="0" w:firstLineChars="0"/>
        <w:rPr>
          <w:rFonts w:hint="eastAsia" w:eastAsiaTheme="minorEastAsia"/>
          <w:color w:val="auto"/>
          <w:lang w:eastAsia="zh-CN"/>
        </w:rPr>
      </w:pPr>
    </w:p>
    <w:p>
      <w:pPr>
        <w:pStyle w:val="34"/>
        <w:ind w:firstLine="0" w:firstLineChars="0"/>
        <w:rPr>
          <w:rFonts w:hint="eastAsia" w:eastAsiaTheme="minorEastAsia"/>
          <w:color w:val="auto"/>
          <w:lang w:eastAsia="zh-CN"/>
        </w:rPr>
      </w:pPr>
    </w:p>
    <w:p>
      <w:pPr>
        <w:pStyle w:val="34"/>
        <w:ind w:firstLine="0" w:firstLineChars="0"/>
        <w:rPr>
          <w:rFonts w:hint="eastAsia" w:eastAsiaTheme="minorEastAsia"/>
          <w:color w:val="auto"/>
          <w:lang w:eastAsia="zh-CN"/>
        </w:rPr>
      </w:pPr>
    </w:p>
    <w:p>
      <w:pPr>
        <w:pStyle w:val="34"/>
        <w:ind w:firstLine="0" w:firstLineChars="0"/>
        <w:rPr>
          <w:rFonts w:hint="eastAsia" w:eastAsiaTheme="minorEastAsia"/>
          <w:color w:val="auto"/>
          <w:lang w:eastAsia="zh-CN"/>
        </w:rPr>
      </w:pPr>
    </w:p>
    <w:p>
      <w:pPr>
        <w:pStyle w:val="34"/>
        <w:ind w:firstLine="0" w:firstLineChars="0"/>
        <w:rPr>
          <w:rFonts w:hint="eastAsia" w:eastAsiaTheme="minorEastAsia"/>
          <w:color w:val="auto"/>
          <w:lang w:eastAsia="zh-CN"/>
        </w:rPr>
      </w:pPr>
    </w:p>
    <w:p>
      <w:pPr>
        <w:pStyle w:val="34"/>
        <w:ind w:firstLine="0" w:firstLineChars="0"/>
        <w:rPr>
          <w:color w:val="auto"/>
        </w:rPr>
      </w:pPr>
    </w:p>
    <w:p>
      <w:pPr>
        <w:spacing w:line="360" w:lineRule="auto"/>
        <w:rPr>
          <w:rFonts w:hAnsi="宋体"/>
          <w:b/>
          <w:color w:val="auto"/>
          <w:sz w:val="21"/>
          <w:szCs w:val="21"/>
        </w:rPr>
      </w:pPr>
      <w:r>
        <w:rPr>
          <w:rFonts w:hint="eastAsia" w:hAnsi="宋体"/>
          <w:b/>
          <w:color w:val="auto"/>
          <w:sz w:val="21"/>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hAnsi="宋体"/>
          <w:color w:val="auto"/>
          <w:szCs w:val="21"/>
        </w:rPr>
        <w:t>http://221.14.6.70:8088/ggzy/</w:t>
      </w:r>
      <w:r>
        <w:rPr>
          <w:rStyle w:val="33"/>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提交方式：供应商须使用CA数字证书登录《全国公共资源交易平台(河南省▪许昌市)》公共资源交易系统（http://ggzy.xuchang.gov.cn:8088/ggzy/）进行最后报价，最后报价应包括：①总报价②分项报价。</w:t>
      </w:r>
    </w:p>
    <w:p>
      <w:pPr>
        <w:tabs>
          <w:tab w:val="left" w:pos="7095"/>
        </w:tabs>
        <w:spacing w:line="360" w:lineRule="auto"/>
        <w:ind w:firstLine="420"/>
        <w:contextualSpacing/>
        <w:rPr>
          <w:rFonts w:hint="eastAsia"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hint="eastAsia"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（2）谈判小组如要求供应商提供“澄清、说明或者更正”；“按照谈判文件的变动情况和谈判小组的要求重新提交响应文件”；“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ind w:firstLine="422" w:firstLineChars="200"/>
        <w:jc w:val="both"/>
        <w:rPr>
          <w:rFonts w:hint="eastAsia" w:ascii="新宋体" w:hAnsi="新宋体" w:eastAsia="新宋体" w:cs="新宋体"/>
          <w:i w:val="0"/>
          <w:color w:val="auto"/>
          <w:kern w:val="0"/>
          <w:sz w:val="21"/>
          <w:szCs w:val="21"/>
          <w:u w:val="none"/>
          <w:lang w:val="en-US" w:eastAsia="zh-CN" w:bidi="ar"/>
        </w:rPr>
      </w:pPr>
      <w:r>
        <w:rPr>
          <w:rFonts w:hint="eastAsia" w:cs="宋体" w:asciiTheme="majorEastAsia" w:hAnsiTheme="majorEastAsia" w:eastAsiaTheme="majorEastAsia"/>
          <w:b/>
          <w:color w:val="auto"/>
          <w:kern w:val="0"/>
          <w:sz w:val="21"/>
          <w:szCs w:val="21"/>
          <w:lang w:val="en-US" w:eastAsia="zh-CN"/>
        </w:rPr>
        <w:t>一、</w:t>
      </w:r>
      <w:r>
        <w:rPr>
          <w:rFonts w:hint="eastAsia" w:ascii="新宋体" w:hAnsi="新宋体" w:eastAsia="新宋体" w:cs="新宋体"/>
          <w:i w:val="0"/>
          <w:color w:val="auto"/>
          <w:kern w:val="0"/>
          <w:sz w:val="21"/>
          <w:szCs w:val="21"/>
          <w:u w:val="none"/>
          <w:lang w:val="en-US" w:eastAsia="zh-CN" w:bidi="ar"/>
        </w:rPr>
        <w:t>采购清单</w:t>
      </w:r>
    </w:p>
    <w:tbl>
      <w:tblPr>
        <w:tblStyle w:val="27"/>
        <w:tblW w:w="8837" w:type="dxa"/>
        <w:tblInd w:w="0" w:type="dxa"/>
        <w:shd w:val="clear" w:color="auto" w:fill="auto"/>
        <w:tblLayout w:type="fixed"/>
        <w:tblCellMar>
          <w:top w:w="0" w:type="dxa"/>
          <w:left w:w="0" w:type="dxa"/>
          <w:bottom w:w="0" w:type="dxa"/>
          <w:right w:w="0" w:type="dxa"/>
        </w:tblCellMar>
      </w:tblPr>
      <w:tblGrid>
        <w:gridCol w:w="707"/>
        <w:gridCol w:w="3367"/>
        <w:gridCol w:w="825"/>
        <w:gridCol w:w="942"/>
        <w:gridCol w:w="1498"/>
        <w:gridCol w:w="1498"/>
      </w:tblGrid>
      <w:tr>
        <w:tblPrEx>
          <w:shd w:val="clear" w:color="auto" w:fill="auto"/>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序号</w:t>
            </w:r>
          </w:p>
        </w:tc>
        <w:tc>
          <w:tcPr>
            <w:tcW w:w="3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装备名称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数量</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单位</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单价（元）</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合计（元）</w:t>
            </w: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橡皮舟拖车架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8字环</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主锁</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防汛战斗服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防汛作训服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防汛组合工具包（21件套）</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7</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冲锋舟马达（雅马哈400）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8</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叉车(3吨)</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辆</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9</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切割机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多功能照明平台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11</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防爆工作灯</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12</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手提式防爆探照灯</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13</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全自动液压投石机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14</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指挥帐篷(10人）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15</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折叠桌椅（4人）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16</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指挥大衣</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件</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17</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棉大衣</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件</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18</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望远镜</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19</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消防灭火头盔</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机动链锯</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21</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防爆手持电台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22</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头灯</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23</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消防救生气垫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24</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防蜂服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件</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25</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高压水带（25型，65mm）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条</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26</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高压水带（25型，80mm）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条</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27</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消防员灭火防护头套</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28</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液压破拆工具组</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29</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无齿锯</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30</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抢险救援靴</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31</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消防灭火防护靴</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32</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15米金属拉梯</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架</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33</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液压开门器</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34</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气动切割刀</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35</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背负式消防水泵（小）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36</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肪冲枪炮弹（燃一（干粉））</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箱</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37</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干粉、水剂灭火弹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箱</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38</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电动高压喷水壶（HLSQ-7A）</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39</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控照灯（YJ7102）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40</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救生绳索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米</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64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41</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移动高压细水雾灭火机（SL-6MFS-7）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56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42</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森林消防急救药箱（科洛（迷彩））</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43</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森林消防防火头套（护林）</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44</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森林消防防烟口罩（安仪）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45</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森森消防防火头盔（护林）</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120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46</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森林消防防火护目镜（护林）</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120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47</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森林消防头灯（YJ5130A）</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120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8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48</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森林消防防火服（护林、芳纶）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49</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森林消防防火鞋（护林、防穿刺）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50</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森林消防防火手套（护林、芳纶）</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51</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森林消防定位灯（YJ4800）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52</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森林消防秋冬蓝色作训服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53</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作训鞋（3539、16武警款）</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54</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蓝色夏季短袖、短裤体能服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64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55</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升降式移动照明车（4*500W/3000W）</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2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56</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水下声纳（HDS7 15寸）</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1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57</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冲锋舟（4.8M10人）</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2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64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58</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船外机马达（雅马哈400）（40P电启动）</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2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59</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冲锋舟拖车（4.05*1.55M）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4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台</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60</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救援马甲（多功能）</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140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只</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61</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救援服（春秋、夏）</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140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62</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救援安全带（全身CE）</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20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63</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静力救援绳（CE100米12mm）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10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64</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车载中继台（全频段）</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1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65</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声纳Stardish990F</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66</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静力救援绳</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67</w:t>
            </w:r>
          </w:p>
        </w:tc>
        <w:tc>
          <w:tcPr>
            <w:tcW w:w="3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重型浮力马甲</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04" w:hRule="atLeast"/>
        </w:trPr>
        <w:tc>
          <w:tcPr>
            <w:tcW w:w="7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68</w:t>
            </w:r>
          </w:p>
        </w:tc>
        <w:tc>
          <w:tcPr>
            <w:tcW w:w="33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水下机器人NAKE1 ROV</w:t>
            </w:r>
          </w:p>
        </w:tc>
        <w:tc>
          <w:tcPr>
            <w:tcW w:w="8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套</w:t>
            </w:r>
          </w:p>
        </w:tc>
        <w:tc>
          <w:tcPr>
            <w:tcW w:w="149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c>
          <w:tcPr>
            <w:tcW w:w="149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r>
        <w:tblPrEx>
          <w:tblCellMar>
            <w:top w:w="0" w:type="dxa"/>
            <w:left w:w="0" w:type="dxa"/>
            <w:bottom w:w="0" w:type="dxa"/>
            <w:right w:w="0" w:type="dxa"/>
          </w:tblCellMar>
        </w:tblPrEx>
        <w:trPr>
          <w:trHeight w:val="414" w:hRule="atLeast"/>
        </w:trPr>
        <w:tc>
          <w:tcPr>
            <w:tcW w:w="7339" w:type="dxa"/>
            <w:gridSpan w:val="5"/>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合　　　　计</w:t>
            </w:r>
          </w:p>
        </w:tc>
        <w:tc>
          <w:tcPr>
            <w:tcW w:w="149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p>
        </w:tc>
      </w:tr>
    </w:tbl>
    <w:p>
      <w:pPr>
        <w:pStyle w:val="76"/>
        <w:ind w:left="0" w:leftChars="0" w:firstLine="502" w:firstLineChars="200"/>
        <w:jc w:val="left"/>
        <w:rPr>
          <w:color w:val="auto"/>
          <w:sz w:val="21"/>
          <w:szCs w:val="21"/>
        </w:rPr>
      </w:pPr>
      <w:r>
        <w:rPr>
          <w:rFonts w:hint="eastAsia" w:cs="微软雅黑" w:asciiTheme="minorEastAsia" w:hAnsiTheme="minorEastAsia"/>
          <w:b/>
          <w:color w:val="auto"/>
          <w:sz w:val="21"/>
          <w:szCs w:val="21"/>
        </w:rPr>
        <w:t>注：</w:t>
      </w:r>
      <w:r>
        <w:rPr>
          <w:rFonts w:hint="eastAsia" w:cs="微软雅黑" w:asciiTheme="minorEastAsia" w:hAnsiTheme="minorEastAsia"/>
          <w:b/>
          <w:color w:val="auto"/>
          <w:sz w:val="21"/>
          <w:szCs w:val="21"/>
          <w:lang w:eastAsia="zh-CN"/>
        </w:rPr>
        <w:t>文件</w:t>
      </w:r>
      <w:r>
        <w:rPr>
          <w:rFonts w:hint="eastAsia" w:cs="微软雅黑" w:asciiTheme="minorEastAsia" w:hAnsiTheme="minorEastAsia"/>
          <w:b/>
          <w:color w:val="auto"/>
          <w:sz w:val="21"/>
          <w:szCs w:val="21"/>
        </w:rPr>
        <w:t>所列技术规格或主要参数为最低要求，不允许负偏离，否则为无效响应。</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en-US" w:eastAsia="zh-CN"/>
        </w:rPr>
        <w:t>二</w:t>
      </w:r>
      <w:r>
        <w:rPr>
          <w:rFonts w:hint="eastAsia" w:cs="宋体" w:asciiTheme="minorEastAsia" w:hAnsiTheme="minorEastAsia"/>
          <w:b/>
          <w:color w:val="auto"/>
          <w:kern w:val="0"/>
          <w:szCs w:val="21"/>
          <w:lang w:val="zh-CN"/>
        </w:rPr>
        <w:t>、采购标的执行标准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wordWrap w:val="0"/>
        <w:spacing w:line="360" w:lineRule="auto"/>
        <w:ind w:firstLine="422"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三</w:t>
      </w:r>
      <w:r>
        <w:rPr>
          <w:rFonts w:hint="eastAsia" w:cs="仿宋_GB2312" w:asciiTheme="minorEastAsia" w:hAnsiTheme="minorEastAsia"/>
          <w:b/>
          <w:bCs/>
          <w:color w:val="auto"/>
          <w:szCs w:val="21"/>
          <w:lang w:val="zh-CN"/>
        </w:rPr>
        <w:t>、采购标的的其他技术、服务等要求</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zh-CN"/>
        </w:rPr>
        <w:t>1、投标人须明确投标产品的厂家、产地、品牌、型号等参数，</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zh-CN"/>
        </w:rPr>
        <w:t>2、投标人应就本项目完整投标，报价含税费等综合费用，</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3、所投产品必须符合招标文件规定标准的全新正品现货，</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4</w:t>
      </w:r>
      <w:r>
        <w:rPr>
          <w:rFonts w:hint="eastAsia" w:cs="仿宋_GB2312" w:asciiTheme="minorEastAsia" w:hAnsiTheme="minorEastAsia"/>
          <w:color w:val="auto"/>
          <w:szCs w:val="21"/>
          <w:lang w:val="zh-CN"/>
        </w:rPr>
        <w:t>、投标文件中须有详细的实施（技术）方案，</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、质保期</w:t>
      </w: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lang w:val="zh-CN"/>
        </w:rPr>
        <w:t>年，质保期内免费维修，质保期内发生故障或质量问题，卖方在接到通知后30分钟内进行响应，1小时到达，6小时内处理问题。</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rPr>
        <w:t>6</w:t>
      </w:r>
      <w:r>
        <w:rPr>
          <w:rFonts w:hint="eastAsia" w:cs="仿宋_GB2312" w:asciiTheme="minorEastAsia" w:hAnsiTheme="minorEastAsia"/>
          <w:color w:val="auto"/>
          <w:szCs w:val="21"/>
          <w:lang w:val="zh-CN"/>
        </w:rPr>
        <w:t>、中标人需按谈判文件约定时间供货，工期：签订合同后</w:t>
      </w:r>
      <w:r>
        <w:rPr>
          <w:rFonts w:hint="eastAsia" w:cs="仿宋_GB2312" w:asciiTheme="minorEastAsia" w:hAnsiTheme="minorEastAsia"/>
          <w:color w:val="auto"/>
          <w:szCs w:val="21"/>
          <w:lang w:val="en-US" w:eastAsia="zh-CN"/>
        </w:rPr>
        <w:t>15</w:t>
      </w:r>
      <w:r>
        <w:rPr>
          <w:rFonts w:hint="eastAsia" w:cs="仿宋_GB2312" w:asciiTheme="minorEastAsia" w:hAnsiTheme="minorEastAsia"/>
          <w:color w:val="auto"/>
          <w:szCs w:val="21"/>
          <w:lang w:val="zh-CN"/>
        </w:rPr>
        <w:t>日内完成全部采购内容（现场宣讲除外），逾期1天扣除合同额的5%，中标人须现场提供技术指导，直至配合完成整个项目的竣工验收等工作。</w:t>
      </w:r>
    </w:p>
    <w:p>
      <w:pPr>
        <w:pStyle w:val="55"/>
        <w:autoSpaceDE w:val="0"/>
        <w:autoSpaceDN w:val="0"/>
        <w:spacing w:line="360" w:lineRule="auto"/>
        <w:contextualSpacing/>
        <w:rPr>
          <w:rFonts w:hint="eastAsia" w:ascii="宋体" w:hAnsi="宋体" w:cs="宋体"/>
          <w:color w:val="auto"/>
          <w:kern w:val="0"/>
          <w:szCs w:val="21"/>
        </w:rPr>
      </w:pPr>
      <w:r>
        <w:rPr>
          <w:rFonts w:hint="eastAsia" w:cs="宋体" w:asciiTheme="minorEastAsia" w:hAnsiTheme="minorEastAsia"/>
          <w:color w:val="auto"/>
          <w:kern w:val="0"/>
          <w:szCs w:val="21"/>
          <w:lang w:val="en-US" w:eastAsia="zh-CN"/>
        </w:rPr>
        <w:t>7、成交单位由于自身原因造成项目延期交付使用，造成采购人损失由成交单位承担，对此作出承诺</w:t>
      </w:r>
      <w:r>
        <w:rPr>
          <w:rFonts w:hint="eastAsia" w:ascii="宋体" w:hAnsi="宋体" w:cs="宋体"/>
          <w:color w:val="auto"/>
          <w:kern w:val="0"/>
          <w:szCs w:val="21"/>
        </w:rPr>
        <w:t>。</w:t>
      </w:r>
    </w:p>
    <w:p>
      <w:pPr>
        <w:pStyle w:val="55"/>
        <w:autoSpaceDE w:val="0"/>
        <w:autoSpaceDN w:val="0"/>
        <w:spacing w:line="360" w:lineRule="auto"/>
        <w:contextualSpacing/>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8、项目履约地点：采购人指定地点。</w:t>
      </w:r>
    </w:p>
    <w:p>
      <w:pPr>
        <w:wordWrap w:val="0"/>
        <w:spacing w:line="360" w:lineRule="auto"/>
        <w:ind w:firstLine="422"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四</w:t>
      </w:r>
      <w:r>
        <w:rPr>
          <w:rFonts w:hint="eastAsia" w:cs="仿宋_GB2312" w:asciiTheme="minorEastAsia" w:hAnsiTheme="minorEastAsia"/>
          <w:b/>
          <w:bCs/>
          <w:color w:val="auto"/>
          <w:szCs w:val="21"/>
          <w:lang w:val="zh-CN"/>
        </w:rPr>
        <w:t>、验收标准</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1、按照国家相关标准、行业标准、地方标准或其他标准、规范验收。</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2、按照招标文件要求、投标文件响应和承诺验收。</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en-US" w:eastAsia="zh-CN"/>
        </w:rPr>
        <w:t>五</w:t>
      </w:r>
      <w:r>
        <w:rPr>
          <w:rFonts w:hint="eastAsia" w:cs="仿宋_GB2312" w:asciiTheme="minorEastAsia" w:hAnsiTheme="minorEastAsia"/>
          <w:color w:val="auto"/>
          <w:szCs w:val="21"/>
          <w:lang w:val="zh-CN" w:eastAsia="zh-CN"/>
        </w:rPr>
        <w:t>、资金支付</w:t>
      </w:r>
    </w:p>
    <w:p>
      <w:pPr>
        <w:wordWrap w:val="0"/>
        <w:spacing w:line="360" w:lineRule="auto"/>
        <w:ind w:firstLine="420" w:firstLineChars="200"/>
        <w:contextualSpacing/>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eastAsia="zh-CN"/>
        </w:rPr>
        <w:t>1、支付方式：按照合同约定，经验收合格后申请支付。</w:t>
      </w:r>
    </w:p>
    <w:p>
      <w:pPr>
        <w:wordWrap w:val="0"/>
        <w:spacing w:line="360" w:lineRule="auto"/>
        <w:ind w:firstLine="420" w:firstLineChars="200"/>
        <w:contextualSpacing/>
        <w:rPr>
          <w:rFonts w:hint="eastAsia" w:cs="宋体" w:asciiTheme="majorEastAsia" w:hAnsiTheme="majorEastAsia" w:eastAsiaTheme="majorEastAsia"/>
          <w:b/>
          <w:color w:val="auto"/>
          <w:kern w:val="0"/>
          <w:sz w:val="32"/>
          <w:szCs w:val="32"/>
        </w:rPr>
      </w:pPr>
      <w:r>
        <w:rPr>
          <w:rFonts w:hint="eastAsia" w:cs="仿宋_GB2312" w:asciiTheme="minorEastAsia" w:hAnsiTheme="minorEastAsia"/>
          <w:color w:val="auto"/>
          <w:szCs w:val="21"/>
          <w:lang w:val="zh-CN" w:eastAsia="zh-CN"/>
        </w:rPr>
        <w:t>2、支付时间及条件：</w:t>
      </w:r>
      <w:r>
        <w:rPr>
          <w:rFonts w:hint="eastAsia" w:cs="仿宋_GB2312" w:asciiTheme="minorEastAsia" w:hAnsiTheme="minorEastAsia"/>
          <w:color w:val="auto"/>
          <w:szCs w:val="21"/>
          <w:lang w:val="en-US" w:eastAsia="zh-CN"/>
        </w:rPr>
        <w:t>双方签订合同约定</w:t>
      </w:r>
      <w:r>
        <w:rPr>
          <w:rFonts w:hint="eastAsia" w:cs="仿宋_GB2312" w:asciiTheme="minorEastAsia" w:hAnsiTheme="minorEastAsia"/>
          <w:color w:val="auto"/>
          <w:szCs w:val="21"/>
          <w:lang w:val="zh-CN" w:eastAsia="zh-CN"/>
        </w:rPr>
        <w:t>。</w:t>
      </w:r>
      <w:bookmarkStart w:id="2" w:name="_GoBack"/>
      <w:bookmarkEnd w:id="2"/>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widowControl/>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val="en-US" w:eastAsia="zh-CN"/>
              </w:rPr>
              <w:t>禹州市应急管理局购置补充应急救援物资装备项目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widowControl/>
              <w:spacing w:line="360" w:lineRule="auto"/>
              <w:jc w:val="left"/>
              <w:rPr>
                <w:rFonts w:hint="eastAsia" w:ascii="宋体" w:hAnsi="宋体" w:cs="Arial"/>
                <w:color w:val="auto"/>
                <w:kern w:val="0"/>
                <w:sz w:val="21"/>
                <w:szCs w:val="21"/>
                <w:vertAlign w:val="baseline"/>
                <w:lang w:val="en-US" w:eastAsia="zh-CN" w:bidi="ar-SA"/>
              </w:rPr>
            </w:pPr>
            <w:r>
              <w:rPr>
                <w:rFonts w:hint="eastAsia" w:ascii="宋体" w:hAnsi="宋体" w:cs="Arial"/>
                <w:color w:val="auto"/>
                <w:kern w:val="0"/>
                <w:sz w:val="21"/>
                <w:szCs w:val="21"/>
                <w:vertAlign w:val="baseline"/>
                <w:lang w:val="en-US" w:eastAsia="zh-CN" w:bidi="ar-SA"/>
              </w:rPr>
              <w:t xml:space="preserve">采购单位：禹州市应急管理局  </w:t>
            </w:r>
          </w:p>
          <w:p>
            <w:pPr>
              <w:widowControl/>
              <w:spacing w:line="360" w:lineRule="auto"/>
              <w:jc w:val="left"/>
              <w:rPr>
                <w:rFonts w:hint="eastAsia" w:cs="仿宋_GB2312" w:asciiTheme="minorEastAsia" w:hAnsiTheme="minorEastAsia"/>
                <w:color w:val="auto"/>
                <w:szCs w:val="21"/>
                <w:lang w:eastAsia="zh-CN"/>
              </w:rPr>
            </w:pPr>
            <w:r>
              <w:rPr>
                <w:rFonts w:hint="eastAsia" w:ascii="宋体" w:hAnsi="宋体" w:cs="Arial"/>
                <w:color w:val="auto"/>
                <w:kern w:val="0"/>
                <w:sz w:val="21"/>
                <w:szCs w:val="21"/>
                <w:vertAlign w:val="baseline"/>
                <w:lang w:val="en-US" w:eastAsia="zh-CN" w:bidi="ar-SA"/>
              </w:rPr>
              <w:t xml:space="preserve">地址：禹州市颍川路与行政北路交汇处  </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default" w:cs="仿宋_GB2312" w:asciiTheme="minorEastAsia" w:hAnsiTheme="minorEastAsia" w:eastAsiaTheme="minorEastAsia"/>
                <w:color w:val="auto"/>
                <w:szCs w:val="21"/>
                <w:lang w:val="en-US" w:eastAsia="zh-CN"/>
              </w:rPr>
              <w:t xml:space="preserve">联系人：贺先生 </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default" w:cs="仿宋_GB2312" w:asciiTheme="minorEastAsia" w:hAnsiTheme="minorEastAsia" w:eastAsiaTheme="minorEastAsia"/>
                <w:color w:val="auto"/>
                <w:szCs w:val="21"/>
                <w:lang w:val="en-US" w:eastAsia="zh-CN"/>
              </w:rPr>
              <w:t>联系电话：0374</w:t>
            </w:r>
            <w:r>
              <w:rPr>
                <w:rFonts w:hint="eastAsia" w:cs="仿宋_GB2312" w:asciiTheme="minorEastAsia" w:hAnsiTheme="minorEastAsia"/>
                <w:color w:val="auto"/>
                <w:szCs w:val="21"/>
                <w:lang w:val="en-US" w:eastAsia="zh-CN"/>
              </w:rPr>
              <w:t>-</w:t>
            </w:r>
            <w:r>
              <w:rPr>
                <w:rFonts w:hint="default" w:cs="仿宋_GB2312" w:asciiTheme="minorEastAsia" w:hAnsiTheme="minorEastAsia" w:eastAsiaTheme="minorEastAsia"/>
                <w:color w:val="auto"/>
                <w:szCs w:val="21"/>
                <w:lang w:val="en-US" w:eastAsia="zh-CN"/>
              </w:rPr>
              <w:t xml:space="preserve">8810069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代理机构：河南呈祥工程咨询有限公司</w:t>
            </w:r>
          </w:p>
          <w:p>
            <w:pPr>
              <w:autoSpaceDE w:val="0"/>
              <w:autoSpaceDN w:val="0"/>
              <w:adjustRightInd w:val="0"/>
              <w:spacing w:line="360" w:lineRule="auto"/>
              <w:jc w:val="left"/>
              <w:rPr>
                <w:rFonts w:hint="eastAsia" w:cs="仿宋_GB2312" w:asciiTheme="minorEastAsia" w:hAnsiTheme="minorEastAsia"/>
                <w:color w:val="auto"/>
                <w:szCs w:val="21"/>
                <w:lang w:eastAsia="zh-CN"/>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eastAsia="zh-CN"/>
              </w:rPr>
              <w:t>平顶山市汝州市朝阳东路与云禅大道交叉口春禾国贸十楼</w:t>
            </w:r>
            <w:r>
              <w:rPr>
                <w:rFonts w:hint="eastAsia" w:cs="仿宋_GB2312" w:asciiTheme="minorEastAsia" w:hAnsiTheme="minorEastAsia"/>
                <w:color w:val="auto"/>
                <w:szCs w:val="21"/>
                <w:lang w:val="en-US" w:eastAsia="zh-CN"/>
              </w:rPr>
              <w:t xml:space="preserve">1012 </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漫</w:t>
            </w:r>
            <w:r>
              <w:rPr>
                <w:rFonts w:hint="eastAsia" w:cs="仿宋_GB2312" w:asciiTheme="minorEastAsia" w:hAnsiTheme="minorEastAsia"/>
                <w:color w:val="auto"/>
                <w:szCs w:val="21"/>
              </w:rPr>
              <w:t>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cs="仿宋_GB2312" w:asciiTheme="minorEastAsia" w:hAnsiTheme="minorEastAsia"/>
                <w:color w:val="auto"/>
                <w:szCs w:val="21"/>
                <w:lang w:val="en-US" w:eastAsia="zh-CN"/>
              </w:rPr>
              <w:t>0375-3320091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4、信用信息的使用原则：经谈判小组认定的被列入失信被执行人、重大税收违法案件当事人名单、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cs="宋体" w:asciiTheme="minorEastAsia" w:hAnsiTheme="minorEastAsia"/>
                <w:b/>
                <w:bCs/>
                <w:color w:val="auto"/>
                <w:szCs w:val="21"/>
                <w:lang w:val="zh-CN" w:eastAsia="zh-CN"/>
              </w:rPr>
              <w:t>1998350.00</w:t>
            </w:r>
            <w:r>
              <w:rPr>
                <w:rFonts w:hint="eastAsia" w:cs="宋体" w:asciiTheme="minorEastAsia" w:hAnsiTheme="minorEastAsia"/>
                <w:b/>
                <w:bCs/>
                <w:color w:val="auto"/>
                <w:szCs w:val="21"/>
                <w:lang w:val="zh-CN"/>
              </w:rPr>
              <w:t>元</w:t>
            </w:r>
            <w:r>
              <w:rPr>
                <w:rFonts w:hint="eastAsia" w:cs="宋体" w:asciiTheme="minorEastAsia" w:hAnsiTheme="minorEastAsia"/>
                <w:bCs/>
                <w:color w:val="auto"/>
                <w:szCs w:val="21"/>
                <w:lang w:val="zh-CN"/>
              </w:rPr>
              <w:t>，超出预算金额的响应无效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rPr>
              <w:t>2021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12</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8：30</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 xml:space="preserve"> 2 </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3"/>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lang w:val="en-US" w:eastAsia="zh-CN"/>
              </w:rPr>
              <w:t>七</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w:t>
            </w:r>
            <w:r>
              <w:rPr>
                <w:rFonts w:hint="eastAsia" w:ascii="宋体" w:hAnsi="宋体" w:cs="宋体"/>
                <w:color w:val="auto"/>
                <w:szCs w:val="21"/>
                <w:lang w:eastAsia="zh-CN"/>
              </w:rPr>
              <w:t>参考</w:t>
            </w:r>
            <w:r>
              <w:rPr>
                <w:rFonts w:hint="eastAsia" w:ascii="宋体" w:hAnsi="宋体" w:cs="宋体"/>
                <w:color w:val="auto"/>
                <w:szCs w:val="21"/>
              </w:rPr>
              <w:t>《国家计委〈计价格〔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pStyle w:val="13"/>
              <w:spacing w:line="348" w:lineRule="auto"/>
              <w:rPr>
                <w:rFonts w:cs="宋体" w:asciiTheme="minorEastAsia" w:hAnsiTheme="minorEastAsia"/>
                <w:bCs/>
                <w:color w:val="auto"/>
                <w:szCs w:val="21"/>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w:t>
            </w:r>
            <w:r>
              <w:rPr>
                <w:rFonts w:hint="eastAsia"/>
                <w:color w:val="auto"/>
                <w:lang w:val="en-US" w:eastAsia="zh-CN"/>
              </w:rPr>
              <w:t>5</w:t>
            </w:r>
            <w:r>
              <w:rPr>
                <w:rFonts w:hint="eastAsia"/>
                <w:color w:val="auto"/>
              </w:rPr>
              <w:t>-</w:t>
            </w:r>
            <w:r>
              <w:rPr>
                <w:rFonts w:hint="eastAsia"/>
                <w:color w:val="auto"/>
                <w:lang w:val="en-US" w:eastAsia="zh-CN"/>
              </w:rPr>
              <w:t>3320091</w:t>
            </w:r>
            <w:r>
              <w:rPr>
                <w:rFonts w:hint="eastAsia" w:cs="宋体" w:asciiTheme="minorEastAsia" w:hAnsiTheme="minorEastAsia"/>
                <w:color w:val="auto"/>
                <w:szCs w:val="21"/>
                <w:lang w:val="zh-CN"/>
              </w:rPr>
              <w:t>，邮箱：</w:t>
            </w:r>
            <w:r>
              <w:rPr>
                <w:rFonts w:hint="eastAsia" w:cs="宋体" w:asciiTheme="minorEastAsia" w:hAnsiTheme="minorEastAsia"/>
                <w:color w:val="auto"/>
                <w:szCs w:val="21"/>
                <w:lang w:val="en-US" w:eastAsia="zh-CN"/>
              </w:rPr>
              <w:t>1814148727</w:t>
            </w:r>
            <w:r>
              <w:rPr>
                <w:rFonts w:hint="eastAsia" w:cs="宋体" w:asciiTheme="minorEastAsia" w:hAnsiTheme="minorEastAsia"/>
                <w:color w:val="auto"/>
                <w:szCs w:val="21"/>
              </w:rPr>
              <w:t>@</w:t>
            </w:r>
            <w:r>
              <w:rPr>
                <w:rFonts w:hint="eastAsia" w:cs="宋体" w:asciiTheme="minorEastAsia" w:hAnsiTheme="minorEastAsia"/>
                <w:color w:val="auto"/>
                <w:szCs w:val="21"/>
                <w:lang w:val="en-US" w:eastAsia="zh-CN"/>
              </w:rPr>
              <w:t>qq</w:t>
            </w:r>
            <w:r>
              <w:rPr>
                <w:rFonts w:hint="eastAsia" w:cs="宋体" w:asciiTheme="minorEastAsia" w:hAnsiTheme="minorEastAsia"/>
                <w:color w:val="auto"/>
                <w:szCs w:val="21"/>
              </w:rPr>
              <w:t>.com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wordWrap w:val="0"/>
              <w:autoSpaceDE w:val="0"/>
              <w:autoSpaceDN w:val="0"/>
              <w:adjustRightInd w:val="0"/>
              <w:spacing w:line="360" w:lineRule="auto"/>
              <w:contextualSpacing/>
              <w:rPr>
                <w:rFonts w:hint="eastAsia" w:ascii="ˎ̥" w:hAnsi="ˎ̥"/>
                <w:color w:val="auto"/>
                <w:lang w:val="zh-CN"/>
              </w:rPr>
            </w:pPr>
            <w:r>
              <w:rPr>
                <w:rFonts w:hint="eastAsia" w:ascii="ˎ̥" w:hAnsi="ˎ̥"/>
                <w:color w:val="auto"/>
                <w:lang w:val="zh-CN"/>
              </w:rPr>
              <w:t>注：</w:t>
            </w:r>
          </w:p>
          <w:p>
            <w:pPr>
              <w:wordWrap w:val="0"/>
              <w:autoSpaceDE w:val="0"/>
              <w:autoSpaceDN w:val="0"/>
              <w:adjustRightInd w:val="0"/>
              <w:spacing w:line="360" w:lineRule="auto"/>
              <w:contextualSpacing/>
              <w:rPr>
                <w:rFonts w:hint="eastAsia" w:ascii="ˎ̥" w:hAnsi="ˎ̥"/>
                <w:color w:val="auto"/>
                <w:lang w:val="zh-CN"/>
              </w:rPr>
            </w:pPr>
            <w:r>
              <w:rPr>
                <w:rFonts w:hint="eastAsia" w:ascii="ˎ̥" w:hAnsi="ˎ̥"/>
                <w:color w:val="auto"/>
              </w:rPr>
              <w:t>①谈判小组要求供应商提交最后报价时，</w:t>
            </w:r>
            <w:r>
              <w:rPr>
                <w:rFonts w:hint="eastAsia" w:ascii="ˎ̥" w:hAnsi="ˎ̥"/>
                <w:color w:val="auto"/>
                <w:lang w:val="zh-CN"/>
              </w:rPr>
              <w:t>在谈判小组规定时间内，供应商未提交最后报价则以其初次提交响应文件报价为最后报价。</w:t>
            </w:r>
          </w:p>
          <w:p>
            <w:pPr>
              <w:wordWrap w:val="0"/>
              <w:autoSpaceDE w:val="0"/>
              <w:autoSpaceDN w:val="0"/>
              <w:adjustRightInd w:val="0"/>
              <w:spacing w:line="360" w:lineRule="auto"/>
              <w:contextualSpacing/>
              <w:rPr>
                <w:rFonts w:hint="eastAsia" w:ascii="ˎ̥" w:hAnsi="ˎ̥"/>
                <w:color w:val="auto"/>
              </w:rPr>
            </w:pPr>
            <w:r>
              <w:rPr>
                <w:rFonts w:hint="eastAsia" w:ascii="ˎ̥" w:hAnsi="ˎ̥"/>
                <w:color w:val="auto"/>
              </w:rPr>
              <w:t>②采购文件第二章“采购需求”中“采购清单”以工程量清单提供的，供应商应以工程量清单方式提交最后报价。</w:t>
            </w:r>
          </w:p>
          <w:p>
            <w:pPr>
              <w:wordWrap w:val="0"/>
              <w:autoSpaceDE w:val="0"/>
              <w:autoSpaceDN w:val="0"/>
              <w:adjustRightInd w:val="0"/>
              <w:spacing w:line="360" w:lineRule="auto"/>
              <w:contextualSpacing/>
              <w:rPr>
                <w:rFonts w:ascii="ˎ̥" w:hAnsi="ˎ̥"/>
                <w:color w:val="auto"/>
              </w:rPr>
            </w:pPr>
            <w:r>
              <w:rPr>
                <w:rFonts w:hint="eastAsia" w:ascii="ˎ̥" w:hAnsi="ˎ̥"/>
                <w:color w:val="auto"/>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wordWrap w:val="0"/>
              <w:autoSpaceDE w:val="0"/>
              <w:autoSpaceDN w:val="0"/>
              <w:adjustRightInd w:val="0"/>
              <w:spacing w:line="360" w:lineRule="auto"/>
              <w:contextualSpacing/>
              <w:rPr>
                <w:rFonts w:hint="eastAsia" w:ascii="ˎ̥" w:hAnsi="ˎ̥"/>
                <w:color w:val="auto"/>
                <w:lang w:val="zh-CN"/>
              </w:rPr>
            </w:pPr>
            <w:r>
              <w:rPr>
                <w:rFonts w:hint="eastAsia" w:ascii="ˎ̥" w:hAnsi="ˎ̥"/>
                <w:color w:val="auto"/>
              </w:rPr>
              <w:t>1、按照《关于推进全流程电子化交易和在线监管工作有关问题的通知》</w:t>
            </w:r>
            <w:r>
              <w:rPr>
                <w:rFonts w:hint="eastAsia" w:ascii="ˎ̥" w:hAnsi="ˎ̥"/>
                <w:color w:val="auto"/>
                <w:lang w:val="zh-CN"/>
              </w:rPr>
              <w:t>（许公管办[2019]3号）规定：</w:t>
            </w:r>
          </w:p>
          <w:p>
            <w:pPr>
              <w:wordWrap w:val="0"/>
              <w:autoSpaceDE w:val="0"/>
              <w:autoSpaceDN w:val="0"/>
              <w:adjustRightInd w:val="0"/>
              <w:spacing w:line="360" w:lineRule="auto"/>
              <w:contextualSpacing/>
              <w:rPr>
                <w:rFonts w:ascii="ˎ̥" w:hAnsi="ˎ̥"/>
                <w:color w:val="auto"/>
              </w:rPr>
            </w:pPr>
            <w:r>
              <w:rPr>
                <w:rFonts w:hint="eastAsia" w:ascii="ˎ̥" w:hAnsi="ˎ̥"/>
                <w:color w:val="auto"/>
                <w:lang w:val="zh-CN"/>
              </w:rPr>
              <w:t>不同供应商电子投标文件制作硬件特征码（网卡MAC地址、CPU序号、硬盘序列号）均一致时，视为‘不同投标人的投标文件由同一单位或者个人编制’或‘不同投标人委托同一单位或者个人办理响应事宜’，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color w:val="auto"/>
              </w:rPr>
            </w:pPr>
            <w:r>
              <w:rPr>
                <w:rFonts w:hint="eastAsia" w:ascii="ˎ̥" w:hAnsi="ˎ̥"/>
                <w:color w:val="auto"/>
              </w:rPr>
              <w:t>2、项目编号以本谈判文件中的采购编号为准。</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firstLine="723"/>
        <w:rPr>
          <w:rFonts w:cs="宋体" w:asciiTheme="majorEastAsia" w:hAnsiTheme="majorEastAsia" w:eastAsiaTheme="majorEastAsia"/>
          <w:b/>
          <w:color w:val="auto"/>
          <w:kern w:val="0"/>
          <w:sz w:val="36"/>
          <w:szCs w:val="36"/>
        </w:rPr>
      </w:pPr>
    </w:p>
    <w:p>
      <w:pPr>
        <w:pStyle w:val="34"/>
        <w:ind w:left="0" w:leftChars="0"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5"/>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3.1</w:t>
      </w:r>
      <w:r>
        <w:rPr>
          <w:rFonts w:hint="eastAsia" w:cs="宋体" w:asciiTheme="minorEastAsia" w:hAnsiTheme="minorEastAsia"/>
          <w:color w:val="auto"/>
          <w:kern w:val="0"/>
          <w:szCs w:val="21"/>
        </w:rPr>
        <w:t>在中华人民共和国境内注册，具有本项目生产、制造、供应或实施能力，符合、承认并承诺履行本谈判文件各项规定的法人、其他组织或者自然人。</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3"/>
          <w:rFonts w:cs="宋体" w:asciiTheme="minorEastAsia" w:hAnsiTheme="minorEastAsia"/>
          <w:color w:val="auto"/>
          <w:kern w:val="0"/>
          <w:szCs w:val="21"/>
        </w:rPr>
        <w:t>www.chinanpo.gov.cn</w:t>
      </w:r>
      <w:r>
        <w:rPr>
          <w:rStyle w:val="33"/>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3.3.3信用信息查询记录和证据留存具体方式：经谈判小组确认的查询结果网页截图作为查询记录和证据，与其他采购文件一并保存；</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6.1</w:t>
      </w:r>
      <w:r>
        <w:rPr>
          <w:rFonts w:hint="eastAsia" w:cs="宋体" w:asciiTheme="minorEastAsia" w:hAnsiTheme="minorEastAsia"/>
          <w:color w:val="auto"/>
          <w:kern w:val="0"/>
          <w:szCs w:val="21"/>
        </w:rPr>
        <w:t>在响应文件中向采购人提交联合体协议书，明确联合体各方承担的工作和义务；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法律、行政法规规定的其他条件。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r>
        <w:rPr>
          <w:rFonts w:hint="eastAsia" w:cs="宋体" w:asciiTheme="minorEastAsia" w:hAnsiTheme="minorEastAsia"/>
          <w:color w:val="0000FF"/>
          <w:kern w:val="0"/>
          <w:szCs w:val="21"/>
        </w:rPr>
        <w:t>。</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5"/>
        <w:autoSpaceDE w:val="0"/>
        <w:autoSpaceDN w:val="0"/>
        <w:spacing w:line="360" w:lineRule="auto"/>
        <w:ind w:firstLine="420" w:firstLineChars="200"/>
        <w:contextualSpacing/>
        <w:rPr>
          <w:rFonts w:hint="eastAsia" w:cs="宋体" w:asciiTheme="minorEastAsia" w:hAnsiTheme="minorEastAsia"/>
          <w:b w:val="0"/>
          <w:bCs/>
          <w:color w:val="auto"/>
          <w:kern w:val="0"/>
          <w:szCs w:val="21"/>
        </w:rPr>
      </w:pPr>
      <w:r>
        <w:rPr>
          <w:rFonts w:hint="eastAsia" w:cs="宋体" w:asciiTheme="minorEastAsia" w:hAnsiTheme="minorEastAsia"/>
          <w:b w:val="0"/>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w:t>
      </w:r>
      <w:r>
        <w:rPr>
          <w:rFonts w:hint="eastAsia" w:ascii="宋体" w:hAnsi="宋体" w:cs="宋体"/>
          <w:color w:val="auto"/>
          <w:szCs w:val="21"/>
          <w:lang w:eastAsia="zh-CN"/>
        </w:rPr>
        <w:t>参考</w:t>
      </w:r>
      <w:r>
        <w:rPr>
          <w:rFonts w:hint="eastAsia" w:ascii="宋体" w:hAnsi="宋体" w:cs="宋体"/>
          <w:color w:val="auto"/>
          <w:szCs w:val="21"/>
        </w:rPr>
        <w:t>《国家计委〈计价格〔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9.</w:t>
      </w:r>
      <w:r>
        <w:rPr>
          <w:rFonts w:hint="eastAsia" w:cs="宋体" w:asciiTheme="minorEastAsia" w:hAnsiTheme="minorEastAsia"/>
          <w:b/>
          <w:color w:val="auto"/>
          <w:kern w:val="0"/>
          <w:szCs w:val="21"/>
        </w:rPr>
        <w:t>谈判文件构成</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（1）采购邀请（竞争性谈判公告）</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10.1</w:t>
      </w:r>
      <w:r>
        <w:rPr>
          <w:rFonts w:hint="eastAsia" w:cs="宋体" w:asciiTheme="minorEastAsia" w:hAnsiTheme="minorEastAsia"/>
          <w:color w:val="auto"/>
          <w:kern w:val="0"/>
          <w:szCs w:val="21"/>
        </w:rPr>
        <w:t>在谈判响应截止期前，无论出于何种原因，采购人可主动地或在解答供应商提出的澄清问题时对谈判文件进行修改。</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10.2</w:t>
      </w:r>
      <w:r>
        <w:rPr>
          <w:rFonts w:hint="eastAsia" w:cs="宋体" w:asciiTheme="minorEastAsia" w:hAnsiTheme="minorEastAsia"/>
          <w:color w:val="auto"/>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10.3</w:t>
      </w:r>
      <w:r>
        <w:rPr>
          <w:rFonts w:hint="eastAsia" w:cs="宋体" w:asciiTheme="minorEastAsia" w:hAnsiTheme="minorEastAsia"/>
          <w:color w:val="auto"/>
          <w:kern w:val="0"/>
          <w:szCs w:val="21"/>
        </w:rPr>
        <w:t>澄清或修改公告的内容为谈判文件的组成部分，并对供应商具有约束力。当谈判文件与澄清或修改公告就同一内容的表述不一致时，以最后发出的文件内容为准。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10.4</w:t>
      </w:r>
      <w:r>
        <w:rPr>
          <w:rFonts w:hint="eastAsia" w:cs="宋体" w:asciiTheme="minorEastAsia" w:hAnsiTheme="minorEastAsia"/>
          <w:color w:val="auto"/>
          <w:kern w:val="0"/>
          <w:szCs w:val="21"/>
        </w:rPr>
        <w:t>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5"/>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14.</w:t>
      </w:r>
      <w:r>
        <w:rPr>
          <w:rFonts w:hint="eastAsia" w:cs="宋体" w:asciiTheme="minorEastAsia" w:hAnsiTheme="minorEastAsia"/>
          <w:b/>
          <w:color w:val="auto"/>
          <w:kern w:val="0"/>
          <w:szCs w:val="21"/>
        </w:rPr>
        <w:t>响应文件构成</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14.1</w:t>
      </w:r>
      <w:r>
        <w:rPr>
          <w:rFonts w:hint="eastAsia" w:cs="宋体" w:asciiTheme="minorEastAsia" w:hAnsiTheme="minorEastAsia"/>
          <w:color w:val="auto"/>
          <w:kern w:val="0"/>
          <w:szCs w:val="21"/>
        </w:rPr>
        <w:t>响应文件的构成应符合法律法规及谈判文件的要求。</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14.2</w:t>
      </w:r>
      <w:r>
        <w:rPr>
          <w:rFonts w:hint="eastAsia" w:cs="宋体" w:asciiTheme="minorEastAsia" w:hAnsiTheme="minorEastAsia"/>
          <w:color w:val="auto"/>
          <w:kern w:val="0"/>
          <w:szCs w:val="21"/>
        </w:rPr>
        <w:t>供应商应当按照谈判文件的要求编制响应文件。响应文件应当对谈判文件提出的要求和条件作出明确响应。</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14.3</w:t>
      </w:r>
      <w:r>
        <w:rPr>
          <w:rFonts w:hint="eastAsia" w:cs="宋体" w:asciiTheme="minorEastAsia" w:hAnsiTheme="minorEastAsia"/>
          <w:color w:val="auto"/>
          <w:kern w:val="0"/>
          <w:szCs w:val="21"/>
        </w:rPr>
        <w:t>响应文件由资格证明材料、符合性证明材料、其它材料等组成。</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14.4</w:t>
      </w:r>
      <w:r>
        <w:rPr>
          <w:rFonts w:hint="eastAsia" w:cs="宋体" w:asciiTheme="minorEastAsia" w:hAnsiTheme="minorEastAsia"/>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14.5</w:t>
      </w:r>
      <w:r>
        <w:rPr>
          <w:rFonts w:hint="eastAsia" w:cs="宋体" w:asciiTheme="minorEastAsia" w:hAnsiTheme="minorEastAsia"/>
          <w:color w:val="auto"/>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15.</w:t>
      </w:r>
      <w:r>
        <w:rPr>
          <w:rFonts w:hint="eastAsia" w:cs="宋体" w:asciiTheme="minorEastAsia" w:hAnsiTheme="minorEastAsia"/>
          <w:b/>
          <w:color w:val="auto"/>
          <w:kern w:val="0"/>
          <w:szCs w:val="21"/>
        </w:rPr>
        <w:t>响应文件格式</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15.1</w:t>
      </w:r>
      <w:r>
        <w:rPr>
          <w:rFonts w:hint="eastAsia" w:cs="宋体" w:asciiTheme="minorEastAsia" w:hAnsiTheme="minorEastAsia"/>
          <w:color w:val="auto"/>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15.2</w:t>
      </w:r>
      <w:r>
        <w:rPr>
          <w:rFonts w:hint="eastAsia" w:cs="宋体" w:asciiTheme="minorEastAsia" w:hAnsiTheme="minorEastAsia"/>
          <w:color w:val="auto"/>
          <w:kern w:val="0"/>
          <w:szCs w:val="21"/>
        </w:rPr>
        <w:t>供应商应按谈判文件提供的格式编写响应文件。谈判文件未提供标准格式的供应商可自行拟定。</w:t>
      </w:r>
    </w:p>
    <w:p>
      <w:pPr>
        <w:pStyle w:val="55"/>
        <w:numPr>
          <w:ilvl w:val="0"/>
          <w:numId w:val="0"/>
        </w:num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16.</w:t>
      </w:r>
      <w:r>
        <w:rPr>
          <w:rFonts w:hint="eastAsia" w:cs="宋体" w:asciiTheme="minorEastAsia" w:hAnsiTheme="minorEastAsia"/>
          <w:b/>
          <w:color w:val="auto"/>
          <w:kern w:val="0"/>
          <w:szCs w:val="21"/>
        </w:rPr>
        <w:t>谈判保证金</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16.1</w:t>
      </w:r>
      <w:r>
        <w:rPr>
          <w:rFonts w:hint="eastAsia" w:cs="宋体" w:asciiTheme="minorEastAsia" w:hAnsiTheme="minorEastAsia"/>
          <w:color w:val="auto"/>
          <w:kern w:val="0"/>
          <w:szCs w:val="21"/>
        </w:rPr>
        <w:t>本项目不收取谈判保证金。</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16.2</w:t>
      </w:r>
      <w:r>
        <w:rPr>
          <w:rFonts w:hint="eastAsia" w:cs="宋体" w:asciiTheme="minorEastAsia" w:hAnsiTheme="minorEastAsia"/>
          <w:color w:val="auto"/>
          <w:kern w:val="0"/>
          <w:szCs w:val="21"/>
        </w:rPr>
        <w:t>供应商应提供谈判承诺函。</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17.</w:t>
      </w:r>
      <w:r>
        <w:rPr>
          <w:rFonts w:hint="eastAsia" w:cs="宋体" w:asciiTheme="minorEastAsia" w:hAnsiTheme="minorEastAsia"/>
          <w:b/>
          <w:color w:val="auto"/>
          <w:kern w:val="0"/>
          <w:szCs w:val="21"/>
        </w:rPr>
        <w:t>谈判文件的数量和签署盖章</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17.1</w:t>
      </w:r>
      <w:r>
        <w:rPr>
          <w:rFonts w:hint="eastAsia" w:cs="宋体" w:asciiTheme="minorEastAsia" w:hAnsiTheme="minorEastAsia"/>
          <w:color w:val="auto"/>
          <w:kern w:val="0"/>
          <w:szCs w:val="21"/>
        </w:rPr>
        <w:t>供应商应提交响应文件份数见“供应商须知前附表”。</w:t>
      </w:r>
    </w:p>
    <w:p>
      <w:pPr>
        <w:pStyle w:val="55"/>
        <w:numPr>
          <w:ilvl w:val="0"/>
          <w:numId w:val="0"/>
        </w:numPr>
        <w:autoSpaceDE w:val="0"/>
        <w:autoSpaceDN w:val="0"/>
        <w:spacing w:line="360" w:lineRule="auto"/>
        <w:ind w:leftChars="0"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lang w:val="en-US" w:eastAsia="zh-CN"/>
        </w:rPr>
        <w:t>17.2</w:t>
      </w:r>
      <w:r>
        <w:rPr>
          <w:rFonts w:hint="eastAsia" w:cs="宋体" w:asciiTheme="minorEastAsia" w:hAnsiTheme="minorEastAsia"/>
          <w:color w:val="auto"/>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18.</w:t>
      </w:r>
      <w:r>
        <w:rPr>
          <w:rFonts w:hint="eastAsia" w:cs="宋体" w:asciiTheme="minorEastAsia" w:hAnsiTheme="minorEastAsia"/>
          <w:b/>
          <w:color w:val="auto"/>
          <w:kern w:val="0"/>
          <w:szCs w:val="21"/>
        </w:rPr>
        <w:t>谈判响应截止时间</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18.1</w:t>
      </w:r>
      <w:r>
        <w:rPr>
          <w:rFonts w:hint="eastAsia" w:cs="宋体" w:asciiTheme="minorEastAsia" w:hAnsiTheme="minorEastAsia"/>
          <w:color w:val="auto"/>
          <w:kern w:val="0"/>
          <w:szCs w:val="21"/>
        </w:rPr>
        <w:t>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18.2</w:t>
      </w:r>
      <w:r>
        <w:rPr>
          <w:rFonts w:hint="eastAsia" w:cs="宋体" w:asciiTheme="minorEastAsia" w:hAnsiTheme="minorEastAsia"/>
          <w:color w:val="auto"/>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19.</w:t>
      </w:r>
      <w:r>
        <w:rPr>
          <w:rFonts w:hint="eastAsia" w:cs="宋体" w:asciiTheme="minorEastAsia" w:hAnsiTheme="minorEastAsia"/>
          <w:b/>
          <w:color w:val="auto"/>
          <w:kern w:val="0"/>
          <w:szCs w:val="21"/>
        </w:rPr>
        <w:t>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5"/>
        <w:numPr>
          <w:ilvl w:val="0"/>
          <w:numId w:val="0"/>
        </w:numPr>
        <w:autoSpaceDE w:val="0"/>
        <w:autoSpaceDN w:val="0"/>
        <w:spacing w:line="360" w:lineRule="auto"/>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20.</w:t>
      </w:r>
      <w:r>
        <w:rPr>
          <w:rFonts w:hint="eastAsia" w:cs="宋体" w:asciiTheme="minorEastAsia" w:hAnsiTheme="minorEastAsia"/>
          <w:b/>
          <w:color w:val="auto"/>
          <w:kern w:val="0"/>
          <w:szCs w:val="21"/>
        </w:rPr>
        <w:t>响应文件的修改和撤回</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20.1</w:t>
      </w:r>
      <w:r>
        <w:rPr>
          <w:rFonts w:hint="eastAsia" w:cs="宋体" w:asciiTheme="minorEastAsia" w:hAnsiTheme="minorEastAsia"/>
          <w:color w:val="auto"/>
          <w:kern w:val="0"/>
          <w:szCs w:val="21"/>
        </w:rPr>
        <w:t>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20.2</w:t>
      </w:r>
      <w:r>
        <w:rPr>
          <w:rFonts w:hint="eastAsia" w:cs="宋体" w:asciiTheme="minorEastAsia" w:hAnsiTheme="minorEastAsia"/>
          <w:color w:val="auto"/>
          <w:kern w:val="0"/>
          <w:szCs w:val="21"/>
        </w:rPr>
        <w:t>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20.3</w:t>
      </w:r>
      <w:r>
        <w:rPr>
          <w:rFonts w:hint="eastAsia" w:cs="宋体" w:asciiTheme="minorEastAsia" w:hAnsiTheme="minorEastAsia"/>
          <w:color w:val="auto"/>
          <w:kern w:val="0"/>
          <w:szCs w:val="21"/>
        </w:rPr>
        <w:t>供应商不得在响应有效期内撤销响应文件，否则供应商将承担违背响应承诺函的责任追究。</w:t>
      </w:r>
    </w:p>
    <w:p>
      <w:pPr>
        <w:pStyle w:val="55"/>
        <w:numPr>
          <w:ilvl w:val="0"/>
          <w:numId w:val="0"/>
        </w:numPr>
        <w:autoSpaceDE w:val="0"/>
        <w:autoSpaceDN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lang w:val="en-US" w:eastAsia="zh-CN"/>
        </w:rPr>
        <w:t>21.</w:t>
      </w:r>
      <w:r>
        <w:rPr>
          <w:rFonts w:hint="eastAsia" w:cs="宋体" w:asciiTheme="minorEastAsia" w:hAnsiTheme="minorEastAsia"/>
          <w:b/>
          <w:color w:val="auto"/>
          <w:kern w:val="0"/>
          <w:szCs w:val="21"/>
        </w:rPr>
        <w:t>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22.</w:t>
      </w:r>
      <w:r>
        <w:rPr>
          <w:rFonts w:hint="eastAsia" w:cs="宋体" w:asciiTheme="minorEastAsia" w:hAnsiTheme="minorEastAsia"/>
          <w:b/>
          <w:color w:val="auto"/>
          <w:kern w:val="0"/>
          <w:szCs w:val="21"/>
        </w:rPr>
        <w:t>响应文件解密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22.1</w:t>
      </w:r>
      <w:r>
        <w:rPr>
          <w:rFonts w:hint="eastAsia" w:cs="宋体" w:asciiTheme="minorEastAsia" w:hAnsiTheme="minorEastAsia"/>
          <w:color w:val="auto"/>
          <w:kern w:val="0"/>
          <w:szCs w:val="21"/>
        </w:rPr>
        <w:t>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en-US" w:eastAsia="zh-CN"/>
        </w:rPr>
        <w:t>22.2</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22.2.1</w:t>
      </w:r>
      <w:r>
        <w:rPr>
          <w:rFonts w:hint="eastAsia" w:cs="宋体" w:asciiTheme="minorEastAsia" w:hAnsiTheme="minorEastAsia"/>
          <w:color w:val="auto"/>
          <w:kern w:val="0"/>
          <w:szCs w:val="21"/>
        </w:rPr>
        <w:t>电子响应文件的解密：全流程电子化交易项目电子响应文件采用双重加密。解密需分标段进行两次解密。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22.2.2</w:t>
      </w:r>
      <w:r>
        <w:rPr>
          <w:rFonts w:hint="eastAsia" w:cs="宋体" w:asciiTheme="minorEastAsia" w:hAnsiTheme="minorEastAsia"/>
          <w:color w:val="auto"/>
          <w:kern w:val="0"/>
          <w:szCs w:val="21"/>
        </w:rPr>
        <w:t>供应商解密：供应商使用本单位CA数字证书进行远程解密。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22.2.3</w:t>
      </w:r>
      <w:r>
        <w:rPr>
          <w:rFonts w:hint="eastAsia" w:cs="宋体" w:asciiTheme="minorEastAsia" w:hAnsiTheme="minorEastAsia"/>
          <w:color w:val="auto"/>
          <w:kern w:val="0"/>
          <w:szCs w:val="21"/>
        </w:rPr>
        <w:t>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22.2.4</w:t>
      </w:r>
      <w:r>
        <w:rPr>
          <w:rFonts w:hint="eastAsia" w:asciiTheme="minorEastAsia" w:hAnsiTheme="minorEastAsia"/>
          <w:color w:val="auto"/>
          <w:szCs w:val="21"/>
        </w:rPr>
        <w:t>供应商未在规定时间内解密或</w:t>
      </w:r>
      <w:r>
        <w:rPr>
          <w:rFonts w:hint="eastAsia" w:cs="宋体" w:asciiTheme="minorEastAsia" w:hAnsiTheme="minorEastAsia"/>
          <w:color w:val="auto"/>
          <w:kern w:val="0"/>
          <w:szCs w:val="21"/>
        </w:rPr>
        <w:t>因供应商原因解密失败的，其响应文件将被拒绝。</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22.3</w:t>
      </w:r>
      <w:r>
        <w:rPr>
          <w:rFonts w:hint="eastAsia" w:cs="宋体" w:asciiTheme="minorEastAsia" w:hAnsiTheme="minorEastAsia"/>
          <w:color w:val="auto"/>
          <w:kern w:val="0"/>
          <w:szCs w:val="21"/>
        </w:rPr>
        <w:t>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22.4</w:t>
      </w:r>
      <w:r>
        <w:rPr>
          <w:rFonts w:hint="eastAsia" w:cs="宋体" w:asciiTheme="minorEastAsia" w:hAnsiTheme="minorEastAsia"/>
          <w:color w:val="auto"/>
          <w:kern w:val="0"/>
          <w:szCs w:val="21"/>
        </w:rPr>
        <w:t>响应文件解密过程由采购代理机构负责记录。</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22.5</w:t>
      </w:r>
      <w:r>
        <w:rPr>
          <w:rFonts w:hint="eastAsia" w:cs="宋体" w:asciiTheme="minorEastAsia" w:hAnsiTheme="minorEastAsia"/>
          <w:color w:val="auto"/>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asciiTheme="minorEastAsia" w:hAnsiTheme="minorEastAsia"/>
          <w:color w:val="auto"/>
          <w:szCs w:val="21"/>
          <w:lang w:val="en-US" w:eastAsia="zh-CN"/>
        </w:rPr>
        <w:t>22.6</w:t>
      </w:r>
      <w:r>
        <w:rPr>
          <w:rFonts w:hint="eastAsia" w:asciiTheme="minorEastAsia" w:hAnsiTheme="minorEastAsia"/>
          <w:color w:val="auto"/>
          <w:szCs w:val="21"/>
        </w:rPr>
        <w:t>响应文件</w:t>
      </w:r>
      <w:r>
        <w:rPr>
          <w:rFonts w:hint="eastAsia" w:hAnsi="宋体"/>
          <w:color w:val="auto"/>
          <w:szCs w:val="21"/>
        </w:rPr>
        <w:t>解密活动结束时，供应商应在《开标记录表》上进行电子签章。供应商未签章的，视同认可解密结果。</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23.</w:t>
      </w:r>
      <w:r>
        <w:rPr>
          <w:rFonts w:hint="eastAsia" w:cs="宋体" w:asciiTheme="minorEastAsia" w:hAnsiTheme="minorEastAsia"/>
          <w:b/>
          <w:color w:val="auto"/>
          <w:kern w:val="0"/>
          <w:szCs w:val="21"/>
        </w:rPr>
        <w:t>谈判小组组成</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w:t>
      </w:r>
      <w:r>
        <w:rPr>
          <w:rFonts w:hint="eastAsia" w:cs="宋体" w:asciiTheme="minorEastAsia" w:hAnsiTheme="minorEastAsia"/>
          <w:color w:val="auto"/>
          <w:kern w:val="0"/>
          <w:szCs w:val="21"/>
        </w:rPr>
        <w:t>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23.1.1</w:t>
      </w:r>
      <w:r>
        <w:rPr>
          <w:rFonts w:hint="eastAsia" w:cs="宋体" w:asciiTheme="minorEastAsia" w:hAnsiTheme="minorEastAsia"/>
          <w:color w:val="auto"/>
          <w:kern w:val="0"/>
          <w:szCs w:val="21"/>
        </w:rPr>
        <w:t>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5"/>
        <w:numPr>
          <w:ilvl w:val="1"/>
          <w:numId w:val="4"/>
        </w:numPr>
        <w:autoSpaceDE w:val="0"/>
        <w:autoSpaceDN w:val="0"/>
        <w:spacing w:line="360" w:lineRule="auto"/>
        <w:ind w:firstLineChars="0"/>
        <w:contextualSpacing/>
        <w:rPr>
          <w:rFonts w:ascii="ˎ̥" w:hAnsi="ˎ̥"/>
          <w:vanish/>
          <w:color w:val="auto"/>
        </w:rPr>
      </w:pP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23.3</w:t>
      </w:r>
      <w:r>
        <w:rPr>
          <w:rFonts w:hint="eastAsia" w:cs="宋体" w:asciiTheme="minorEastAsia" w:hAnsiTheme="minorEastAsia"/>
          <w:color w:val="auto"/>
          <w:kern w:val="0"/>
          <w:szCs w:val="21"/>
        </w:rPr>
        <w:t>谈判小组成员与供应商存在下列利害关系之一的,应当回避：</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23.3.1参加采购活动前三年内,与供应商存在劳动关系,或者担任过供应商的董事、监事,或者是供应商的控股股东或实际控制人；</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23.3.2与供应商的法定代表人或者负责人有夫妻、直系血亲、三代以内旁系血亲或者近姻亲关系；</w:t>
      </w:r>
    </w:p>
    <w:p>
      <w:pPr>
        <w:pStyle w:val="55"/>
        <w:numPr>
          <w:ilvl w:val="0"/>
          <w:numId w:val="0"/>
        </w:numPr>
        <w:autoSpaceDE w:val="0"/>
        <w:autoSpaceDN w:val="0"/>
        <w:spacing w:line="360" w:lineRule="auto"/>
        <w:ind w:leftChars="0" w:firstLine="420" w:firstLineChars="200"/>
        <w:contextualSpacing/>
        <w:rPr>
          <w:rFonts w:ascii="ˎ̥" w:hAnsi="ˎ̥"/>
          <w:color w:val="auto"/>
        </w:rPr>
      </w:pPr>
      <w:r>
        <w:rPr>
          <w:rFonts w:hint="eastAsia" w:cs="宋体" w:asciiTheme="minorEastAsia" w:hAnsiTheme="minorEastAsia"/>
          <w:color w:val="auto"/>
          <w:kern w:val="0"/>
          <w:szCs w:val="21"/>
          <w:lang w:val="en-US" w:eastAsia="zh-CN"/>
        </w:rPr>
        <w:t>23.3.3与供应</w:t>
      </w:r>
      <w:r>
        <w:rPr>
          <w:rFonts w:hint="eastAsia" w:ascii="ˎ̥" w:hAnsi="ˎ̥"/>
          <w:color w:val="auto"/>
        </w:rPr>
        <w:t>商有其他可能影响政府采购活动公平、公正进行的关系。</w:t>
      </w:r>
    </w:p>
    <w:p>
      <w:pPr>
        <w:pStyle w:val="55"/>
        <w:numPr>
          <w:ilvl w:val="0"/>
          <w:numId w:val="5"/>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23.4</w:t>
      </w:r>
      <w:r>
        <w:rPr>
          <w:rFonts w:hint="eastAsia" w:cs="宋体" w:asciiTheme="minorEastAsia" w:hAnsiTheme="minorEastAsia"/>
          <w:color w:val="auto"/>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23.5</w:t>
      </w:r>
      <w:r>
        <w:rPr>
          <w:rFonts w:hint="eastAsia" w:cs="宋体" w:asciiTheme="minorEastAsia" w:hAnsiTheme="minorEastAsia"/>
          <w:color w:val="auto"/>
          <w:kern w:val="0"/>
          <w:szCs w:val="21"/>
        </w:rPr>
        <w:t>采购人不得担任谈判小组组长。</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23.6</w:t>
      </w:r>
      <w:r>
        <w:rPr>
          <w:rFonts w:hint="eastAsia" w:cs="宋体" w:asciiTheme="minorEastAsia" w:hAnsiTheme="minorEastAsia"/>
          <w:color w:val="auto"/>
          <w:kern w:val="0"/>
          <w:szCs w:val="21"/>
        </w:rPr>
        <w:t>谈判小组成员名单在成交结果公告前应当保密。</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24.</w:t>
      </w:r>
      <w:r>
        <w:rPr>
          <w:rFonts w:hint="eastAsia" w:cs="宋体" w:asciiTheme="minorEastAsia" w:hAnsiTheme="minorEastAsia"/>
          <w:b/>
          <w:color w:val="auto"/>
          <w:kern w:val="0"/>
          <w:szCs w:val="21"/>
        </w:rPr>
        <w:t>资格审查和符合性审查</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24.1</w:t>
      </w:r>
      <w:r>
        <w:rPr>
          <w:rFonts w:hint="eastAsia" w:cs="宋体" w:asciiTheme="minorEastAsia" w:hAnsiTheme="minorEastAsia"/>
          <w:color w:val="auto"/>
          <w:kern w:val="0"/>
          <w:szCs w:val="21"/>
        </w:rPr>
        <w:t>资格审查：谈判小组依据有关法律法规和谈判文件的规定对供应商的资格进行审查。</w:t>
      </w:r>
    </w:p>
    <w:p>
      <w:pPr>
        <w:pStyle w:val="55"/>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5"/>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1"/>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24.2</w:t>
      </w:r>
      <w:r>
        <w:rPr>
          <w:rFonts w:hint="eastAsia" w:cs="宋体" w:asciiTheme="minorEastAsia" w:hAnsiTheme="minorEastAsia"/>
          <w:color w:val="auto"/>
          <w:kern w:val="0"/>
          <w:szCs w:val="21"/>
        </w:rPr>
        <w:t>符合性审查：依据谈判文件的规定，从响应文件的有效性、完整性和对谈判文件的响应程度进行审查，以确定是否对谈判文件的全部实质性要求作出响应。</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25.</w:t>
      </w:r>
      <w:r>
        <w:rPr>
          <w:rFonts w:hint="eastAsia" w:cs="宋体" w:asciiTheme="minorEastAsia" w:hAnsiTheme="minorEastAsia"/>
          <w:b/>
          <w:color w:val="auto"/>
          <w:kern w:val="0"/>
          <w:szCs w:val="21"/>
        </w:rPr>
        <w:t>响应文件的澄清</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25.2</w:t>
      </w:r>
      <w:r>
        <w:rPr>
          <w:rFonts w:hint="eastAsia" w:cs="宋体" w:asciiTheme="minorEastAsia" w:hAnsiTheme="minorEastAsia"/>
          <w:color w:val="auto"/>
          <w:kern w:val="0"/>
          <w:szCs w:val="21"/>
        </w:rPr>
        <w:t>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25.3</w:t>
      </w:r>
      <w:r>
        <w:rPr>
          <w:rFonts w:hint="eastAsia" w:cs="宋体" w:asciiTheme="minorEastAsia" w:hAnsiTheme="minorEastAsia"/>
          <w:color w:val="auto"/>
          <w:kern w:val="0"/>
          <w:szCs w:val="21"/>
        </w:rPr>
        <w:t>供应商的澄清文件是其响应文件的组成部分。</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26.</w:t>
      </w:r>
      <w:r>
        <w:rPr>
          <w:rFonts w:hint="eastAsia" w:cs="宋体" w:asciiTheme="minorEastAsia" w:hAnsiTheme="minorEastAsia"/>
          <w:b/>
          <w:color w:val="auto"/>
          <w:kern w:val="0"/>
          <w:szCs w:val="21"/>
        </w:rPr>
        <w:t>响应文件报价出现前后不一致的修正</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26.1</w:t>
      </w:r>
      <w:r>
        <w:rPr>
          <w:rFonts w:hint="eastAsia" w:cs="宋体" w:asciiTheme="minorEastAsia" w:hAnsiTheme="minorEastAsia"/>
          <w:color w:val="auto"/>
          <w:kern w:val="0"/>
          <w:szCs w:val="21"/>
        </w:rPr>
        <w:t>大写金额和小写金额不一致的，以大写金额为准；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26.2</w:t>
      </w:r>
      <w:r>
        <w:rPr>
          <w:rFonts w:hint="eastAsia" w:cs="宋体" w:asciiTheme="minorEastAsia" w:hAnsiTheme="minorEastAsia"/>
          <w:color w:val="auto"/>
          <w:kern w:val="0"/>
          <w:szCs w:val="21"/>
        </w:rPr>
        <w:t>单价金额小数点或者百分比有明显错位的，以开标一览表的总价为准，并修改单价；</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26.3</w:t>
      </w: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27.</w:t>
      </w:r>
      <w:r>
        <w:rPr>
          <w:rFonts w:hint="eastAsia" w:cs="宋体" w:asciiTheme="minorEastAsia" w:hAnsiTheme="minorEastAsia"/>
          <w:b/>
          <w:color w:val="auto"/>
          <w:kern w:val="0"/>
          <w:szCs w:val="21"/>
        </w:rPr>
        <w:t>响应无效情形</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w:t>
      </w:r>
      <w:r>
        <w:rPr>
          <w:rFonts w:hint="eastAsia" w:cs="宋体" w:asciiTheme="minorEastAsia" w:hAnsiTheme="minorEastAsia"/>
          <w:color w:val="auto"/>
          <w:kern w:val="0"/>
          <w:szCs w:val="21"/>
        </w:rPr>
        <w:t>响应文件属下列情况之一的，按照无效响应处理：</w:t>
      </w: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7"/>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5"/>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27.1.1</w:t>
      </w:r>
      <w:r>
        <w:rPr>
          <w:rFonts w:hint="eastAsia" w:cs="宋体" w:asciiTheme="minorEastAsia" w:hAnsiTheme="minorEastAsia"/>
          <w:color w:val="auto"/>
          <w:kern w:val="0"/>
          <w:szCs w:val="21"/>
        </w:rPr>
        <w:t>未按照谈判文件的规定提交谈判承诺函的；</w:t>
      </w:r>
    </w:p>
    <w:p>
      <w:pPr>
        <w:pStyle w:val="55"/>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27.1.2</w:t>
      </w:r>
      <w:r>
        <w:rPr>
          <w:rFonts w:hint="eastAsia" w:cs="宋体" w:asciiTheme="minorEastAsia" w:hAnsiTheme="minorEastAsia"/>
          <w:color w:val="auto"/>
          <w:kern w:val="0"/>
          <w:szCs w:val="21"/>
        </w:rPr>
        <w:t>响应文件未按谈判文件要求签署、盖章的；</w:t>
      </w:r>
    </w:p>
    <w:p>
      <w:pPr>
        <w:pStyle w:val="55"/>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27.1.3</w:t>
      </w:r>
      <w:r>
        <w:rPr>
          <w:rFonts w:hint="eastAsia" w:cs="宋体" w:asciiTheme="minorEastAsia" w:hAnsiTheme="minorEastAsia"/>
          <w:color w:val="auto"/>
          <w:kern w:val="0"/>
          <w:szCs w:val="21"/>
        </w:rPr>
        <w:t>不具备谈判文件中规定的资格要求的；</w:t>
      </w:r>
    </w:p>
    <w:p>
      <w:pPr>
        <w:pStyle w:val="55"/>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27.1.4</w:t>
      </w:r>
      <w:r>
        <w:rPr>
          <w:rFonts w:hint="eastAsia" w:cs="宋体" w:asciiTheme="minorEastAsia" w:hAnsiTheme="minorEastAsia"/>
          <w:color w:val="auto"/>
          <w:kern w:val="0"/>
          <w:szCs w:val="21"/>
        </w:rPr>
        <w:t>报价超过谈判文件中规定的预算金额的；</w:t>
      </w:r>
    </w:p>
    <w:p>
      <w:pPr>
        <w:pStyle w:val="55"/>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27.1.5</w:t>
      </w:r>
      <w:r>
        <w:rPr>
          <w:rFonts w:hint="eastAsia" w:cs="宋体" w:asciiTheme="minorEastAsia" w:hAnsiTheme="minorEastAsia"/>
          <w:color w:val="auto"/>
          <w:kern w:val="0"/>
          <w:szCs w:val="21"/>
        </w:rPr>
        <w:t>投标文件内容模糊清，无法辨认的；</w:t>
      </w:r>
    </w:p>
    <w:p>
      <w:pPr>
        <w:pStyle w:val="55"/>
        <w:numPr>
          <w:ilvl w:val="0"/>
          <w:numId w:val="0"/>
        </w:numPr>
        <w:autoSpaceDE w:val="0"/>
        <w:autoSpaceDN w:val="0"/>
        <w:spacing w:line="360" w:lineRule="auto"/>
        <w:ind w:left="30"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27.1.6</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w:t>
      </w:r>
      <w:r>
        <w:rPr>
          <w:rFonts w:hint="eastAsia" w:cs="宋体" w:asciiTheme="minorEastAsia" w:hAnsiTheme="minorEastAsia"/>
          <w:color w:val="auto"/>
          <w:kern w:val="0"/>
          <w:szCs w:val="21"/>
        </w:rPr>
        <w:t>有下列情形之一的，视为供应商串通谈判，其响应无效：</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27.2.1</w:t>
      </w:r>
      <w:r>
        <w:rPr>
          <w:rFonts w:hint="eastAsia" w:cs="宋体" w:asciiTheme="minorEastAsia" w:hAnsiTheme="minorEastAsia"/>
          <w:color w:val="auto"/>
          <w:kern w:val="0"/>
          <w:szCs w:val="21"/>
        </w:rPr>
        <w:t>不同供应商的响应文件由同一单位或者个人编制；</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27.2.2</w:t>
      </w:r>
      <w:r>
        <w:rPr>
          <w:rFonts w:hint="eastAsia" w:cs="宋体" w:asciiTheme="minorEastAsia" w:hAnsiTheme="minorEastAsia"/>
          <w:color w:val="auto"/>
          <w:kern w:val="0"/>
          <w:szCs w:val="21"/>
        </w:rPr>
        <w:t>不同供应商委托同一单位或者个人办理响应事宜；</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27.2.3</w:t>
      </w:r>
      <w:r>
        <w:rPr>
          <w:rFonts w:hint="eastAsia" w:cs="宋体" w:asciiTheme="minorEastAsia" w:hAnsiTheme="minorEastAsia"/>
          <w:color w:val="auto"/>
          <w:kern w:val="0"/>
          <w:szCs w:val="21"/>
        </w:rPr>
        <w:t>不同供应商的响应文件载明的项目管理成员或者联系人员为同一人；</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27.2.4</w:t>
      </w:r>
      <w:r>
        <w:rPr>
          <w:rFonts w:hint="eastAsia" w:cs="宋体" w:asciiTheme="minorEastAsia" w:hAnsiTheme="minorEastAsia"/>
          <w:color w:val="auto"/>
          <w:kern w:val="0"/>
          <w:szCs w:val="21"/>
        </w:rPr>
        <w:t>不同供应商的响应文件异常一致或者投标报价呈规律性差异；</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27.2.5</w:t>
      </w:r>
      <w:r>
        <w:rPr>
          <w:rFonts w:hint="eastAsia" w:cs="宋体" w:asciiTheme="minorEastAsia" w:hAnsiTheme="minorEastAsia"/>
          <w:color w:val="auto"/>
          <w:kern w:val="0"/>
          <w:szCs w:val="21"/>
        </w:rPr>
        <w:t>不同供应商的响应文件相互混装。</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27.3</w:t>
      </w:r>
      <w:r>
        <w:rPr>
          <w:rFonts w:hint="eastAsia" w:cs="宋体" w:asciiTheme="minorEastAsia" w:hAnsiTheme="minorEastAsia"/>
          <w:color w:val="auto"/>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28.</w:t>
      </w:r>
      <w:r>
        <w:rPr>
          <w:rFonts w:hint="eastAsia" w:cs="宋体" w:asciiTheme="minorEastAsia" w:hAnsiTheme="minorEastAsia"/>
          <w:b/>
          <w:color w:val="auto"/>
          <w:kern w:val="0"/>
          <w:szCs w:val="21"/>
        </w:rPr>
        <w:t>响应文件评审与谈判</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28.2谈判小组所有成员应当集中与单一供应商分别进行谈判，并给予所有参加谈判的供应商平等的谈判机会。</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28.3在谈判中，谈判的任何一方不得透露与谈判有关的其他供应商的技术资料、价格和其他信息。</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28.7最后报价是供应商响应文件的有效组成部分。</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28.8已提交响应文件的供应商，在提交最后报价之前，可以根据谈判情况退出谈判。</w:t>
      </w:r>
    </w:p>
    <w:p>
      <w:pPr>
        <w:pStyle w:val="55"/>
        <w:numPr>
          <w:ilvl w:val="0"/>
          <w:numId w:val="0"/>
        </w:numPr>
        <w:autoSpaceDE w:val="0"/>
        <w:autoSpaceDN w:val="0"/>
        <w:spacing w:line="360" w:lineRule="auto"/>
        <w:ind w:leftChars="0" w:firstLine="420" w:firstLineChars="200"/>
        <w:contextualSpacing/>
        <w:rPr>
          <w:rFonts w:ascii="ˎ̥" w:hAnsi="ˎ̥"/>
          <w:color w:val="auto"/>
        </w:rPr>
      </w:pPr>
      <w:r>
        <w:rPr>
          <w:rFonts w:hint="eastAsia" w:cs="宋体" w:asciiTheme="minorEastAsia" w:hAnsiTheme="minorEastAsia"/>
          <w:color w:val="auto"/>
          <w:kern w:val="0"/>
          <w:szCs w:val="21"/>
          <w:lang w:val="en-US" w:eastAsia="zh-CN"/>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29.</w:t>
      </w:r>
      <w:r>
        <w:rPr>
          <w:rFonts w:hint="eastAsia" w:cs="宋体" w:asciiTheme="minorEastAsia" w:hAnsiTheme="minorEastAsia"/>
          <w:b/>
          <w:color w:val="auto"/>
          <w:kern w:val="0"/>
          <w:szCs w:val="21"/>
        </w:rPr>
        <w:t>评审方法与提出成交候选人</w:t>
      </w:r>
    </w:p>
    <w:p>
      <w:pPr>
        <w:pStyle w:val="55"/>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30.</w:t>
      </w:r>
      <w:r>
        <w:rPr>
          <w:rFonts w:hint="eastAsia" w:cs="宋体" w:asciiTheme="minorEastAsia" w:hAnsiTheme="minorEastAsia"/>
          <w:b/>
          <w:color w:val="auto"/>
          <w:kern w:val="0"/>
          <w:szCs w:val="21"/>
        </w:rPr>
        <w:t>确定成交供应商</w:t>
      </w:r>
    </w:p>
    <w:p>
      <w:pPr>
        <w:pStyle w:val="55"/>
        <w:numPr>
          <w:ilvl w:val="0"/>
          <w:numId w:val="0"/>
        </w:numPr>
        <w:autoSpaceDE w:val="0"/>
        <w:autoSpaceDN w:val="0"/>
        <w:spacing w:line="360" w:lineRule="auto"/>
        <w:ind w:leftChars="0"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30.1采购人应当在收到评审报告后5个工作日内，从评审报告提出的成交候选人中，根据质量和服务均能满足采购文件实质性响应要求且最后报价最低的原则确定成交供应商。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31.</w:t>
      </w:r>
      <w:r>
        <w:rPr>
          <w:rFonts w:hint="eastAsia" w:cs="宋体" w:asciiTheme="minorEastAsia" w:hAnsiTheme="minorEastAsia"/>
          <w:b/>
          <w:color w:val="auto"/>
          <w:kern w:val="0"/>
          <w:szCs w:val="21"/>
        </w:rPr>
        <w:t>终止采购活动的情形</w:t>
      </w:r>
    </w:p>
    <w:p>
      <w:pPr>
        <w:pStyle w:val="55"/>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5"/>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5"/>
        <w:numPr>
          <w:ilvl w:val="0"/>
          <w:numId w:val="0"/>
        </w:numPr>
        <w:autoSpaceDE w:val="0"/>
        <w:autoSpaceDN w:val="0"/>
        <w:spacing w:line="360" w:lineRule="auto"/>
        <w:ind w:leftChars="0" w:firstLine="420" w:firstLineChars="200"/>
        <w:contextualSpacing/>
        <w:rPr>
          <w:rFonts w:asciiTheme="minorEastAsia" w:hAnsiTheme="minorEastAsia"/>
          <w:color w:val="auto"/>
        </w:rPr>
      </w:pPr>
      <w:r>
        <w:rPr>
          <w:rFonts w:hint="eastAsia" w:asciiTheme="minorEastAsia" w:hAnsiTheme="minorEastAsia"/>
          <w:color w:val="auto"/>
          <w:lang w:val="en-US" w:eastAsia="zh-CN"/>
        </w:rPr>
        <w:t>31.1</w:t>
      </w:r>
      <w:r>
        <w:rPr>
          <w:rFonts w:asciiTheme="minorEastAsia" w:hAnsiTheme="minorEastAsia"/>
          <w:color w:val="auto"/>
        </w:rPr>
        <w:t>因情况变化，不再符合规定的竞争性谈判采购方式适用情形的；</w:t>
      </w:r>
    </w:p>
    <w:p>
      <w:pPr>
        <w:pStyle w:val="55"/>
        <w:numPr>
          <w:ilvl w:val="0"/>
          <w:numId w:val="0"/>
        </w:numPr>
        <w:autoSpaceDE w:val="0"/>
        <w:autoSpaceDN w:val="0"/>
        <w:spacing w:line="360" w:lineRule="auto"/>
        <w:ind w:leftChars="0" w:firstLine="420" w:firstLineChars="200"/>
        <w:contextualSpacing/>
        <w:rPr>
          <w:rFonts w:asciiTheme="minorEastAsia" w:hAnsiTheme="minorEastAsia"/>
          <w:color w:val="auto"/>
        </w:rPr>
      </w:pPr>
      <w:r>
        <w:rPr>
          <w:rFonts w:hint="eastAsia" w:asciiTheme="minorEastAsia" w:hAnsiTheme="minorEastAsia"/>
          <w:color w:val="auto"/>
          <w:lang w:val="en-US" w:eastAsia="zh-CN"/>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5"/>
        <w:numPr>
          <w:ilvl w:val="0"/>
          <w:numId w:val="0"/>
        </w:numPr>
        <w:autoSpaceDE w:val="0"/>
        <w:autoSpaceDN w:val="0"/>
        <w:spacing w:line="360" w:lineRule="auto"/>
        <w:ind w:firstLine="420" w:firstLineChars="200"/>
        <w:contextualSpacing/>
        <w:rPr>
          <w:rFonts w:ascii="ˎ̥" w:hAnsi="ˎ̥"/>
          <w:color w:val="auto"/>
        </w:rPr>
      </w:pPr>
      <w:r>
        <w:rPr>
          <w:rFonts w:hint="eastAsia" w:asciiTheme="minorEastAsia" w:hAnsiTheme="minorEastAsia"/>
          <w:color w:val="auto"/>
          <w:lang w:val="en-US" w:eastAsia="zh-CN"/>
        </w:rPr>
        <w:t>31.3</w:t>
      </w:r>
      <w:r>
        <w:rPr>
          <w:rFonts w:hint="eastAsia" w:asciiTheme="minorEastAsia" w:hAnsiTheme="minorEastAsia"/>
          <w:color w:val="auto"/>
        </w:rPr>
        <w:t>在采购过程中符合竞争要求的供应商或者报价未超过采购预算的供应商不足3家的，但《政府采购非招标采购方式管理办法》第二十七条第二款规定的情形除外。</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32.</w:t>
      </w:r>
      <w:r>
        <w:rPr>
          <w:rFonts w:hint="eastAsia" w:cs="宋体" w:asciiTheme="minorEastAsia" w:hAnsiTheme="minorEastAsia"/>
          <w:b/>
          <w:color w:val="auto"/>
          <w:kern w:val="0"/>
          <w:szCs w:val="21"/>
        </w:rPr>
        <w:t>成交公告、发出成交通知书</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32.1</w:t>
      </w:r>
      <w:r>
        <w:rPr>
          <w:rFonts w:hint="eastAsia" w:cs="宋体" w:asciiTheme="minorEastAsia" w:hAnsiTheme="minorEastAsia"/>
          <w:color w:val="auto"/>
          <w:kern w:val="0"/>
          <w:szCs w:val="21"/>
        </w:rPr>
        <w:t>采购人确认成交供应商后，采购人在公告成交结果的同时，向成交供应商发出成交通知书。</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32.2</w:t>
      </w:r>
      <w:r>
        <w:rPr>
          <w:rFonts w:hint="eastAsia" w:cs="宋体" w:asciiTheme="minorEastAsia" w:hAnsiTheme="minorEastAsia"/>
          <w:color w:val="auto"/>
          <w:kern w:val="0"/>
          <w:szCs w:val="21"/>
        </w:rPr>
        <w:t>成交通知书发出后，采购人不得违法改变成交结果，成交供应商无正当理由不得放弃成交。</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32.3</w:t>
      </w:r>
      <w:r>
        <w:rPr>
          <w:rFonts w:hint="eastAsia" w:cs="宋体" w:asciiTheme="minorEastAsia" w:hAnsiTheme="minorEastAsia"/>
          <w:color w:val="auto"/>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33.</w:t>
      </w:r>
      <w:r>
        <w:rPr>
          <w:rFonts w:hint="eastAsia" w:cs="宋体" w:asciiTheme="minorEastAsia" w:hAnsiTheme="minorEastAsia"/>
          <w:b/>
          <w:color w:val="auto"/>
          <w:kern w:val="0"/>
          <w:szCs w:val="21"/>
        </w:rPr>
        <w:t>质疑提出与答复</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w:t>
      </w:r>
      <w:r>
        <w:rPr>
          <w:rFonts w:hint="eastAsia" w:cs="宋体" w:asciiTheme="minorEastAsia" w:hAnsiTheme="minorEastAsia"/>
          <w:color w:val="auto"/>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33.1.1</w:t>
      </w:r>
      <w:r>
        <w:rPr>
          <w:rFonts w:hint="eastAsia" w:cs="宋体" w:asciiTheme="minorEastAsia" w:hAnsiTheme="minorEastAsia"/>
          <w:color w:val="auto"/>
          <w:kern w:val="0"/>
          <w:szCs w:val="21"/>
        </w:rPr>
        <w:t>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33.1.2</w:t>
      </w:r>
      <w:r>
        <w:rPr>
          <w:rFonts w:hint="eastAsia" w:cs="宋体" w:asciiTheme="minorEastAsia" w:hAnsiTheme="minorEastAsia"/>
          <w:color w:val="auto"/>
          <w:kern w:val="0"/>
          <w:szCs w:val="21"/>
        </w:rPr>
        <w:t>对采购过程提出质疑的，为各采购程序环节结束之日起七个工作日内，以书面形式向采购人和采购代理机构一次性提出；</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33.1.3</w:t>
      </w:r>
      <w:r>
        <w:rPr>
          <w:rFonts w:hint="eastAsia" w:cs="宋体" w:asciiTheme="minorEastAsia" w:hAnsiTheme="minorEastAsia"/>
          <w:color w:val="auto"/>
          <w:kern w:val="0"/>
          <w:szCs w:val="21"/>
        </w:rPr>
        <w:t>对成交结果提出质疑的，为成交结果公告期限届满之日起七个工作日内，以书面形式向采购人和采购代理机构一次性提出。</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34.</w:t>
      </w:r>
      <w:r>
        <w:rPr>
          <w:rFonts w:hint="eastAsia" w:cs="宋体" w:asciiTheme="minorEastAsia" w:hAnsiTheme="minorEastAsia"/>
          <w:b/>
          <w:color w:val="auto"/>
          <w:kern w:val="0"/>
          <w:szCs w:val="21"/>
        </w:rPr>
        <w:t>签订合同</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5"/>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5"/>
        <w:numPr>
          <w:ilvl w:val="0"/>
          <w:numId w:val="0"/>
        </w:numPr>
        <w:autoSpaceDE w:val="0"/>
        <w:autoSpaceDN w:val="0"/>
        <w:spacing w:line="360" w:lineRule="auto"/>
        <w:ind w:left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val="en-US" w:eastAsia="zh-CN"/>
        </w:rPr>
        <w:t>35.</w:t>
      </w:r>
      <w:r>
        <w:rPr>
          <w:rFonts w:hint="eastAsia" w:cs="宋体" w:asciiTheme="minorEastAsia" w:hAnsiTheme="minorEastAsia"/>
          <w:b/>
          <w:color w:val="auto"/>
          <w:kern w:val="0"/>
          <w:szCs w:val="21"/>
        </w:rPr>
        <w:t>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5"/>
        <w:numPr>
          <w:ilvl w:val="0"/>
          <w:numId w:val="0"/>
        </w:numPr>
        <w:autoSpaceDE w:val="0"/>
        <w:autoSpaceDN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lang w:val="en-US" w:eastAsia="zh-CN"/>
        </w:rPr>
        <w:t>36.</w:t>
      </w:r>
      <w:r>
        <w:rPr>
          <w:rFonts w:hint="eastAsia" w:cs="宋体" w:asciiTheme="minorEastAsia" w:hAnsiTheme="minorEastAsia"/>
          <w:b/>
          <w:color w:val="auto"/>
          <w:kern w:val="0"/>
          <w:szCs w:val="21"/>
        </w:rPr>
        <w:t>政府采购合同融资</w:t>
      </w:r>
    </w:p>
    <w:p>
      <w:pPr>
        <w:pStyle w:val="55"/>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w:t>
      </w:r>
      <w:r>
        <w:rPr>
          <w:rFonts w:hint="eastAsia" w:cs="宋体" w:asciiTheme="minorEastAsia" w:hAnsiTheme="minorEastAsia"/>
          <w:color w:val="auto"/>
          <w:kern w:val="0"/>
          <w:szCs w:val="21"/>
          <w:lang w:val="en-US" w:eastAsia="zh-CN"/>
        </w:rPr>
        <w:t xml:space="preserve">  36.1</w:t>
      </w: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36.2</w:t>
      </w:r>
      <w:r>
        <w:rPr>
          <w:rFonts w:hint="eastAsia" w:cs="宋体" w:asciiTheme="minorEastAsia" w:hAnsiTheme="minorEastAsia"/>
          <w:color w:val="auto"/>
          <w:kern w:val="0"/>
          <w:szCs w:val="21"/>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ind w:left="964"/>
        <w:contextualSpacing/>
        <w:rPr>
          <w:color w:val="auto"/>
        </w:rPr>
      </w:pPr>
    </w:p>
    <w:p>
      <w:pPr>
        <w:rPr>
          <w:color w:val="auto"/>
        </w:rPr>
      </w:pPr>
    </w:p>
    <w:p>
      <w:pPr>
        <w:pStyle w:val="2"/>
        <w:rPr>
          <w:color w:val="auto"/>
        </w:rPr>
      </w:pPr>
    </w:p>
    <w:p>
      <w:pPr>
        <w:pStyle w:val="6"/>
        <w:rPr>
          <w:color w:val="auto"/>
        </w:rPr>
      </w:pPr>
    </w:p>
    <w:p>
      <w:pPr>
        <w:rPr>
          <w:color w:val="auto"/>
        </w:rPr>
      </w:pPr>
    </w:p>
    <w:p>
      <w:pPr>
        <w:pStyle w:val="2"/>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34"/>
        <w:rPr>
          <w:color w:val="auto"/>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hint="eastAsia"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hint="eastAsia" w:asciiTheme="minorEastAsia" w:hAnsiTheme="minorEastAsia"/>
                <w:bCs/>
                <w:color w:val="auto"/>
                <w:szCs w:val="21"/>
                <w:lang w:val="zh-CN"/>
              </w:rPr>
            </w:pPr>
            <w:r>
              <w:rPr>
                <w:rFonts w:hint="eastAsia"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Theme="minorEastAsia" w:hAnsiTheme="minorEastAsia"/>
                <w:bCs/>
                <w:color w:val="auto"/>
                <w:szCs w:val="21"/>
                <w:lang w:val="zh-CN"/>
              </w:rPr>
              <w:t>注：仅需提供序号</w:t>
            </w:r>
            <w:r>
              <w:rPr>
                <w:rFonts w:hint="eastAsia" w:asciiTheme="minorEastAsia" w:hAnsiTheme="minorEastAsia"/>
                <w:bCs/>
                <w:color w:val="auto"/>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①与本项目响应相关设备的购置发票、专业技术人员职称证书、用工合同等；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Theme="minorEastAsia" w:hAnsiTheme="minorEastAsia"/>
                <w:bCs/>
                <w:color w:val="auto"/>
                <w:szCs w:val="21"/>
                <w:lang w:val="zh-CN"/>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wordWrap w:val="0"/>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政府采购活动中查询及使用供应商信用记录的具体要求为：供应商未被列入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 “</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）严重违法失信社会组织名单的供应商</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3"/>
                <w:rFonts w:hint="eastAsia" w:asciiTheme="minorEastAsia" w:hAnsiTheme="minorEastAsia"/>
                <w:color w:val="auto"/>
                <w:szCs w:val="21"/>
              </w:rPr>
              <w:t>www.creditchina.gov.cn</w:t>
            </w:r>
            <w:r>
              <w:rPr>
                <w:rStyle w:val="33"/>
                <w:rFonts w:hint="eastAsia" w:asciiTheme="minorEastAsia" w:hAnsiTheme="minorEastAsia"/>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确认认定的被列入失信被执行人、重大税收违法案件当事人名单、政府采购严重违法失信行为记录名单的供应商，</w:t>
            </w:r>
            <w:r>
              <w:rPr>
                <w:rFonts w:hint="eastAsia" w:cs="仿宋_GB2312" w:asciiTheme="minorEastAsia" w:hAnsiTheme="minorEastAsia"/>
                <w:color w:val="auto"/>
                <w:szCs w:val="21"/>
              </w:rPr>
              <w:t>严重违法失信社会组织</w:t>
            </w:r>
            <w:r>
              <w:rPr>
                <w:rFonts w:hint="eastAsia" w:asciiTheme="minorEastAsia" w:hAnsiTheme="minorEastAsia"/>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hint="eastAsia" w:asciiTheme="minorEastAsia" w:hAnsiTheme="minorEastAsia" w:eastAsiaTheme="minorEastAsia"/>
                <w:b/>
                <w:bCs/>
                <w:color w:val="auto"/>
                <w:szCs w:val="21"/>
                <w:lang w:eastAsia="zh-CN"/>
              </w:rPr>
            </w:pPr>
            <w:r>
              <w:rPr>
                <w:rFonts w:hint="eastAsia" w:asciiTheme="minorEastAsia" w:hAnsiTheme="minorEastAsia"/>
                <w:b w:val="0"/>
                <w:bCs w:val="0"/>
                <w:color w:val="auto"/>
                <w:szCs w:val="21"/>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spacing w:line="360" w:lineRule="auto"/>
        <w:ind w:firstLine="482" w:firstLineChars="200"/>
        <w:contextualSpacing/>
        <w:rPr>
          <w:rFonts w:cs="仿宋_GB2312" w:asciiTheme="minorEastAsia" w:hAnsiTheme="minorEastAsia" w:eastAsiaTheme="minorEastAsia"/>
          <w:b/>
          <w:color w:val="auto"/>
          <w:szCs w:val="24"/>
          <w:lang w:val="zh-CN"/>
        </w:rPr>
      </w:pP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8"/>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8"/>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8"/>
        <w:spacing w:line="360" w:lineRule="auto"/>
        <w:ind w:firstLine="420" w:firstLineChars="200"/>
        <w:contextualSpacing/>
        <w:rPr>
          <w:rFonts w:hint="eastAsia" w:ascii="Arial" w:hAnsi="Arial" w:cs="Arial"/>
          <w:color w:val="auto"/>
          <w:sz w:val="21"/>
          <w:szCs w:val="21"/>
          <w:shd w:val="clear" w:color="auto" w:fill="FFFFFF"/>
          <w:lang w:val="zh-CN"/>
        </w:rPr>
      </w:pPr>
      <w:r>
        <w:rPr>
          <w:rFonts w:hint="eastAsia" w:ascii="Arial" w:hAnsi="Arial" w:cs="Arial"/>
          <w:color w:val="auto"/>
          <w:sz w:val="21"/>
          <w:szCs w:val="21"/>
          <w:shd w:val="clear" w:color="auto" w:fill="FFFFFF"/>
          <w:lang w:val="zh-CN"/>
        </w:rPr>
        <w:t>注：审查中所涉及到的证书及材料，均应在电子响应文件中提供原件扫描件（或图片）。</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pStyle w:val="18"/>
        <w:spacing w:line="360" w:lineRule="auto"/>
        <w:ind w:firstLine="420" w:firstLineChars="200"/>
        <w:contextualSpacing/>
        <w:rPr>
          <w:rFonts w:hint="eastAsia" w:ascii="Arial" w:hAnsi="Arial" w:cs="Arial"/>
          <w:color w:val="auto"/>
          <w:sz w:val="21"/>
          <w:szCs w:val="21"/>
          <w:shd w:val="clear" w:color="auto" w:fill="FFFFFF"/>
          <w:lang w:val="zh-CN"/>
        </w:rPr>
      </w:pPr>
      <w:r>
        <w:rPr>
          <w:rFonts w:hint="eastAsia" w:ascii="Arial" w:hAnsi="Arial" w:cs="Arial"/>
          <w:color w:val="auto"/>
          <w:sz w:val="21"/>
          <w:szCs w:val="21"/>
          <w:shd w:val="clear" w:color="auto" w:fill="FFFFFF"/>
          <w:lang w:val="zh-CN"/>
        </w:rPr>
        <w:t>注：仅需提供序号①～②其中之一即可。</w:t>
      </w:r>
    </w:p>
    <w:p>
      <w:pPr>
        <w:pStyle w:val="18"/>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宋体" w:hAnsi="宋体"/>
                <w:color w:val="auto"/>
                <w:szCs w:val="21"/>
                <w:lang w:val="en-GB"/>
              </w:rPr>
              <w:t>扣除6%</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扣除6%</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none"/>
                <w:lang w:val="en-GB"/>
              </w:rPr>
            </w:pPr>
            <w:r>
              <w:rPr>
                <w:rFonts w:hint="eastAsia" w:ascii="宋体" w:hAnsi="宋体"/>
                <w:color w:val="auto"/>
                <w:szCs w:val="21"/>
                <w:u w:val="none"/>
                <w:lang w:val="en-GB"/>
              </w:rPr>
              <w:t>评审价格＝响应报价—</w:t>
            </w:r>
            <w:r>
              <w:rPr>
                <w:rFonts w:hint="eastAsia" w:ascii="宋体" w:hAnsi="宋体"/>
                <w:color w:val="auto"/>
                <w:szCs w:val="21"/>
                <w:u w:val="none"/>
              </w:rPr>
              <w:t>监狱企业产品的价格</w:t>
            </w:r>
            <w:r>
              <w:rPr>
                <w:rFonts w:hint="eastAsia" w:ascii="宋体" w:hAnsi="宋体"/>
                <w:color w:val="auto"/>
                <w:szCs w:val="21"/>
                <w:u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none"/>
                <w:lang w:val="en-GB"/>
              </w:rPr>
            </w:pPr>
            <w:r>
              <w:rPr>
                <w:rFonts w:hint="eastAsia" w:ascii="宋体" w:hAnsi="宋体"/>
                <w:color w:val="auto"/>
                <w:szCs w:val="21"/>
                <w:u w:val="none"/>
                <w:lang w:val="en-GB"/>
              </w:rPr>
              <w:t>评审价格＝响应报价—</w:t>
            </w:r>
            <w:r>
              <w:rPr>
                <w:rFonts w:hint="eastAsia" w:ascii="宋体" w:hAnsi="宋体"/>
                <w:color w:val="auto"/>
                <w:szCs w:val="21"/>
                <w:u w:val="none"/>
              </w:rPr>
              <w:t>残疾人福利性单位产品的价格</w:t>
            </w:r>
            <w:r>
              <w:rPr>
                <w:rFonts w:hint="eastAsia" w:ascii="宋体" w:hAnsi="宋体"/>
                <w:color w:val="auto"/>
                <w:szCs w:val="21"/>
                <w:u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w:t>
            </w:r>
            <w:r>
              <w:rPr>
                <w:rFonts w:hint="eastAsia" w:cs="仿宋_GB2312" w:asciiTheme="minorEastAsia" w:hAnsiTheme="minorEastAsia"/>
                <w:color w:val="auto"/>
                <w:szCs w:val="21"/>
                <w:lang w:val="zh-CN"/>
              </w:rPr>
              <w:t>谈判小组审查、评价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响应文件符合谈判文件实质性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评审价格由低到高的顺序提出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8"/>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1"/>
        <w:numPr>
          <w:ilvl w:val="3"/>
          <w:numId w:val="0"/>
        </w:numPr>
        <w:ind w:leftChars="0"/>
        <w:rPr>
          <w:color w:val="auto"/>
        </w:rPr>
      </w:pPr>
    </w:p>
    <w:p>
      <w:pPr>
        <w:rPr>
          <w:color w:val="auto"/>
        </w:rPr>
      </w:pPr>
    </w:p>
    <w:p>
      <w:pPr>
        <w:pStyle w:val="2"/>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ind w:firstLine="723"/>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8"/>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8"/>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058" w:type="dxa"/>
            <w:gridSpan w:val="2"/>
            <w:tcBorders>
              <w:righ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058" w:type="dxa"/>
            <w:gridSpan w:val="2"/>
            <w:vMerge w:val="restart"/>
            <w:tcBorders>
              <w:right w:val="single" w:color="auto" w:sz="4" w:space="0"/>
            </w:tcBorders>
            <w:vAlign w:val="center"/>
          </w:tcPr>
          <w:p>
            <w:pPr>
              <w:pStyle w:val="18"/>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8"/>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367" w:leftChars="-1" w:hanging="369" w:hangingChars="176"/>
        <w:contextualSpacing/>
        <w:rPr>
          <w:rFonts w:hint="eastAsia" w:ascii="宋体" w:hAnsi="宋体" w:eastAsia="宋体" w:cstheme="minorBidi"/>
          <w:color w:val="auto"/>
          <w:kern w:val="2"/>
          <w:sz w:val="21"/>
          <w:szCs w:val="21"/>
          <w:lang w:val="en-GB" w:eastAsia="zh-CN" w:bidi="ar-SA"/>
        </w:rPr>
      </w:pPr>
      <w:r>
        <w:rPr>
          <w:rFonts w:hint="eastAsia" w:ascii="宋体" w:hAnsi="宋体" w:eastAsia="宋体" w:cstheme="minorBidi"/>
          <w:color w:val="auto"/>
          <w:kern w:val="2"/>
          <w:sz w:val="21"/>
          <w:szCs w:val="21"/>
          <w:lang w:val="en-GB" w:eastAsia="zh-CN" w:bidi="ar-SA"/>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theme="minorBidi"/>
          <w:color w:val="auto"/>
          <w:kern w:val="2"/>
          <w:sz w:val="21"/>
          <w:szCs w:val="21"/>
          <w:lang w:val="en-GB" w:eastAsia="zh-CN" w:bidi="ar-SA"/>
        </w:rPr>
      </w:pPr>
      <w:r>
        <w:rPr>
          <w:rFonts w:hint="eastAsia" w:ascii="宋体" w:hAnsi="宋体" w:eastAsia="宋体" w:cstheme="minorBidi"/>
          <w:color w:val="auto"/>
          <w:kern w:val="2"/>
          <w:sz w:val="21"/>
          <w:szCs w:val="21"/>
          <w:lang w:val="en-GB" w:eastAsia="zh-CN" w:bidi="ar-SA"/>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theme="minorBidi"/>
          <w:color w:val="auto"/>
          <w:kern w:val="2"/>
          <w:sz w:val="21"/>
          <w:szCs w:val="21"/>
          <w:lang w:val="en-GB" w:eastAsia="zh-CN" w:bidi="ar-SA"/>
        </w:rPr>
      </w:pPr>
      <w:r>
        <w:rPr>
          <w:rFonts w:hint="eastAsia" w:ascii="宋体" w:hAnsi="宋体" w:eastAsia="宋体" w:cstheme="minorBidi"/>
          <w:color w:val="auto"/>
          <w:kern w:val="2"/>
          <w:sz w:val="21"/>
          <w:szCs w:val="21"/>
          <w:lang w:val="en-GB" w:eastAsia="zh-CN" w:bidi="ar-SA"/>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theme="minorBidi"/>
          <w:color w:val="auto"/>
          <w:kern w:val="2"/>
          <w:sz w:val="21"/>
          <w:szCs w:val="21"/>
          <w:lang w:val="en-GB" w:eastAsia="zh-CN" w:bidi="ar-SA"/>
        </w:rPr>
      </w:pPr>
      <w:r>
        <w:rPr>
          <w:rFonts w:hint="eastAsia" w:ascii="宋体" w:hAnsi="宋体" w:eastAsia="宋体" w:cstheme="minorBidi"/>
          <w:color w:val="auto"/>
          <w:kern w:val="2"/>
          <w:sz w:val="21"/>
          <w:szCs w:val="21"/>
          <w:lang w:val="en-GB" w:eastAsia="zh-CN" w:bidi="ar-SA"/>
        </w:rPr>
        <w:fldChar w:fldCharType="begin"/>
      </w:r>
      <w:r>
        <w:rPr>
          <w:rFonts w:hint="eastAsia" w:ascii="宋体" w:hAnsi="宋体" w:eastAsia="宋体" w:cstheme="minorBidi"/>
          <w:color w:val="auto"/>
          <w:kern w:val="2"/>
          <w:sz w:val="21"/>
          <w:szCs w:val="21"/>
          <w:lang w:val="en-GB" w:eastAsia="zh-CN" w:bidi="ar-SA"/>
        </w:rPr>
        <w:instrText xml:space="preserve">= 4 \* GB3</w:instrText>
      </w:r>
      <w:r>
        <w:rPr>
          <w:rFonts w:hint="eastAsia" w:ascii="宋体" w:hAnsi="宋体" w:eastAsia="宋体" w:cstheme="minorBidi"/>
          <w:color w:val="auto"/>
          <w:kern w:val="2"/>
          <w:sz w:val="21"/>
          <w:szCs w:val="21"/>
          <w:lang w:val="en-GB" w:eastAsia="zh-CN" w:bidi="ar-SA"/>
        </w:rPr>
        <w:fldChar w:fldCharType="separate"/>
      </w:r>
      <w:r>
        <w:rPr>
          <w:rFonts w:hint="eastAsia" w:ascii="宋体" w:hAnsi="宋体" w:eastAsia="宋体" w:cstheme="minorBidi"/>
          <w:color w:val="auto"/>
          <w:kern w:val="2"/>
          <w:sz w:val="21"/>
          <w:szCs w:val="21"/>
          <w:lang w:val="en-GB" w:eastAsia="zh-CN" w:bidi="ar-SA"/>
        </w:rPr>
        <w:t>④</w:t>
      </w:r>
      <w:r>
        <w:rPr>
          <w:rFonts w:hint="eastAsia" w:ascii="宋体" w:hAnsi="宋体" w:eastAsia="宋体" w:cstheme="minorBidi"/>
          <w:color w:val="auto"/>
          <w:kern w:val="2"/>
          <w:sz w:val="21"/>
          <w:szCs w:val="21"/>
          <w:lang w:val="en-GB" w:eastAsia="zh-CN" w:bidi="ar-SA"/>
        </w:rPr>
        <w:fldChar w:fldCharType="end"/>
      </w:r>
      <w:r>
        <w:rPr>
          <w:rFonts w:hint="eastAsia" w:ascii="宋体" w:hAnsi="宋体" w:eastAsia="宋体" w:cstheme="minorBidi"/>
          <w:color w:val="auto"/>
          <w:kern w:val="2"/>
          <w:sz w:val="21"/>
          <w:szCs w:val="21"/>
          <w:lang w:val="en-GB" w:eastAsia="zh-CN" w:bidi="ar-SA"/>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w:t>
      </w:r>
      <w:r>
        <w:rPr>
          <w:rFonts w:hint="eastAsia" w:asciiTheme="majorEastAsia" w:hAnsiTheme="majorEastAsia" w:eastAsiaTheme="majorEastAsia"/>
          <w:b/>
          <w:snapToGrid w:val="0"/>
          <w:color w:val="auto"/>
          <w:kern w:val="0"/>
          <w:sz w:val="28"/>
          <w:szCs w:val="28"/>
          <w:lang w:val="en-US" w:eastAsia="zh-CN"/>
        </w:rPr>
        <w:t>第一次</w:t>
      </w: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hint="default" w:asciiTheme="minorEastAsia" w:hAnsiTheme="minorEastAsia" w:eastAsiaTheme="minorEastAsia"/>
          <w:b/>
          <w:snapToGrid w:val="0"/>
          <w:color w:val="auto"/>
          <w:kern w:val="0"/>
          <w:szCs w:val="21"/>
          <w:u w:val="single"/>
          <w:lang w:val="en-US" w:eastAsia="zh-CN"/>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cs="仿宋_GB2312" w:asciiTheme="minorEastAsia" w:hAnsiTheme="minorEastAsia"/>
          <w:color w:val="auto"/>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w:t>
      </w:r>
      <w:r>
        <w:rPr>
          <w:rFonts w:hint="eastAsia" w:asciiTheme="minorEastAsia" w:hAnsiTheme="minorEastAsia" w:eastAsiaTheme="minorEastAsia"/>
          <w:snapToGrid w:val="0"/>
          <w:color w:val="auto"/>
          <w:kern w:val="0"/>
          <w:sz w:val="21"/>
          <w:szCs w:val="21"/>
          <w:lang w:eastAsia="zh-CN"/>
        </w:rPr>
        <w:t>项目</w:t>
      </w:r>
      <w:r>
        <w:rPr>
          <w:rFonts w:hint="eastAsia" w:asciiTheme="minorEastAsia" w:hAnsiTheme="minorEastAsia" w:eastAsiaTheme="minorEastAsia"/>
          <w:snapToGrid w:val="0"/>
          <w:color w:val="auto"/>
          <w:kern w:val="0"/>
          <w:sz w:val="21"/>
          <w:szCs w:val="21"/>
        </w:rPr>
        <w:t>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11"/>
        <w:numPr>
          <w:ilvl w:val="3"/>
          <w:numId w:val="0"/>
        </w:numPr>
        <w:ind w:leftChars="0"/>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7"/>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u w:val="single"/>
          <w:lang w:val="en-US" w:eastAsia="zh-CN"/>
        </w:rPr>
        <w:t xml:space="preserve">       </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7"/>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firstLine="472" w:firstLineChars="225"/>
        <w:jc w:val="left"/>
        <w:rPr>
          <w:rFonts w:asciiTheme="minorEastAsia" w:hAnsiTheme="minorEastAsia"/>
          <w:color w:val="auto"/>
          <w:sz w:val="21"/>
          <w:szCs w:val="21"/>
        </w:rPr>
      </w:pPr>
    </w:p>
    <w:p>
      <w:pPr>
        <w:pStyle w:val="57"/>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7"/>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0"/>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9"/>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正</w:t>
            </w:r>
            <w:r>
              <w:rPr>
                <w:rFonts w:hint="eastAsia" w:asciiTheme="minorEastAsia" w:hAnsiTheme="minorEastAsia"/>
                <w:color w:val="auto"/>
                <w:szCs w:val="21"/>
              </w:rPr>
              <w:t>面）</w:t>
            </w:r>
          </w:p>
        </w:tc>
      </w:tr>
    </w:tbl>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11"/>
        <w:numPr>
          <w:ilvl w:val="3"/>
          <w:numId w:val="0"/>
        </w:numPr>
        <w:ind w:leftChars="0"/>
        <w:rPr>
          <w:color w:val="auto"/>
          <w:lang w:val="zh-CN"/>
        </w:rPr>
      </w:pPr>
    </w:p>
    <w:p>
      <w:pPr>
        <w:rPr>
          <w:color w:val="auto"/>
          <w:lang w:val="zh-CN"/>
        </w:rPr>
      </w:pPr>
    </w:p>
    <w:p>
      <w:pPr>
        <w:pStyle w:val="11"/>
        <w:numPr>
          <w:ilvl w:val="3"/>
          <w:numId w:val="0"/>
        </w:numPr>
        <w:ind w:leftChars="0"/>
        <w:rPr>
          <w:color w:val="auto"/>
          <w:lang w:val="zh-CN"/>
        </w:rPr>
      </w:pPr>
    </w:p>
    <w:p>
      <w:pPr>
        <w:rPr>
          <w:color w:val="auto"/>
          <w:lang w:val="zh-CN"/>
        </w:rPr>
      </w:pPr>
    </w:p>
    <w:p>
      <w:pPr>
        <w:pStyle w:val="11"/>
        <w:numPr>
          <w:ilvl w:val="3"/>
          <w:numId w:val="0"/>
        </w:numPr>
        <w:ind w:leftChars="0"/>
        <w:rPr>
          <w:color w:val="auto"/>
          <w:lang w:val="zh-CN"/>
        </w:rPr>
      </w:pPr>
    </w:p>
    <w:p>
      <w:pPr>
        <w:rPr>
          <w:color w:val="auto"/>
          <w:lang w:val="zh-CN"/>
        </w:rPr>
      </w:pPr>
    </w:p>
    <w:p>
      <w:pPr>
        <w:pStyle w:val="11"/>
        <w:numPr>
          <w:ilvl w:val="3"/>
          <w:numId w:val="0"/>
        </w:numPr>
        <w:ind w:left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lang w:val="en-US" w:eastAsia="zh-CN"/>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lang w:val="zh-CN"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3"/>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ind w:firstLine="2891" w:firstLineChars="1200"/>
        <w:rPr>
          <w:rFonts w:ascii="宋体" w:hAnsi="宋体"/>
          <w:b/>
          <w:bCs/>
          <w:color w:val="auto"/>
          <w:sz w:val="24"/>
          <w:szCs w:val="24"/>
        </w:rPr>
      </w:pPr>
    </w:p>
    <w:p>
      <w:pPr>
        <w:autoSpaceDE w:val="0"/>
        <w:autoSpaceDN w:val="0"/>
        <w:adjustRightInd w:val="0"/>
        <w:spacing w:line="360" w:lineRule="auto"/>
        <w:ind w:firstLine="2891" w:firstLineChars="1200"/>
        <w:rPr>
          <w:rFonts w:ascii="宋体" w:hAnsi="宋体"/>
          <w:b/>
          <w:bCs/>
          <w:color w:val="auto"/>
          <w:sz w:val="24"/>
          <w:szCs w:val="24"/>
        </w:rPr>
      </w:pPr>
    </w:p>
    <w:p>
      <w:pPr>
        <w:autoSpaceDE w:val="0"/>
        <w:autoSpaceDN w:val="0"/>
        <w:adjustRightInd w:val="0"/>
        <w:spacing w:line="360" w:lineRule="auto"/>
        <w:ind w:firstLine="2891" w:firstLineChars="1200"/>
        <w:rPr>
          <w:rFonts w:ascii="宋体" w:hAnsi="宋体"/>
          <w:b/>
          <w:bCs/>
          <w:color w:val="auto"/>
          <w:sz w:val="24"/>
          <w:szCs w:val="24"/>
        </w:rPr>
      </w:pPr>
    </w:p>
    <w:p>
      <w:pPr>
        <w:autoSpaceDE w:val="0"/>
        <w:autoSpaceDN w:val="0"/>
        <w:adjustRightInd w:val="0"/>
        <w:spacing w:line="360" w:lineRule="auto"/>
        <w:ind w:firstLine="2891" w:firstLineChars="1200"/>
        <w:rPr>
          <w:rFonts w:ascii="宋体" w:hAnsi="宋体"/>
          <w:b/>
          <w:bCs/>
          <w:color w:val="auto"/>
          <w:sz w:val="24"/>
          <w:szCs w:val="24"/>
        </w:rPr>
      </w:pPr>
    </w:p>
    <w:p>
      <w:pPr>
        <w:pStyle w:val="3"/>
        <w:rPr>
          <w:rFonts w:ascii="宋体" w:cs="宋体"/>
          <w:color w:val="auto"/>
          <w:sz w:val="24"/>
          <w:lang w:val="zh-CN"/>
        </w:rPr>
      </w:pPr>
    </w:p>
    <w:p>
      <w:pPr>
        <w:pStyle w:val="3"/>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11"/>
        <w:numPr>
          <w:ilvl w:val="3"/>
          <w:numId w:val="0"/>
        </w:numPr>
        <w:ind w:leftChars="0"/>
        <w:rPr>
          <w:color w:val="auto"/>
          <w:lang w:val="zh-CN"/>
        </w:rPr>
      </w:pPr>
    </w:p>
    <w:p>
      <w:pPr>
        <w:rPr>
          <w:color w:val="auto"/>
          <w:lang w:val="zh-CN"/>
        </w:rPr>
      </w:pPr>
    </w:p>
    <w:p>
      <w:pPr>
        <w:pStyle w:val="11"/>
        <w:numPr>
          <w:ilvl w:val="3"/>
          <w:numId w:val="0"/>
        </w:numPr>
        <w:ind w:leftChars="0"/>
        <w:rPr>
          <w:color w:val="auto"/>
          <w:lang w:val="zh-CN"/>
        </w:rPr>
      </w:pPr>
    </w:p>
    <w:p>
      <w:pPr>
        <w:rPr>
          <w:color w:val="auto"/>
          <w:lang w:val="zh-CN"/>
        </w:rPr>
      </w:pPr>
    </w:p>
    <w:p>
      <w:pPr>
        <w:pStyle w:val="11"/>
        <w:numPr>
          <w:ilvl w:val="3"/>
          <w:numId w:val="0"/>
        </w:numPr>
        <w:ind w:leftChars="0"/>
        <w:rPr>
          <w:color w:val="auto"/>
          <w:lang w:val="zh-CN"/>
        </w:rPr>
      </w:pPr>
    </w:p>
    <w:p>
      <w:pPr>
        <w:pStyle w:val="11"/>
        <w:numPr>
          <w:ilvl w:val="3"/>
          <w:numId w:val="0"/>
        </w:numPr>
        <w:ind w:leftChars="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w:t>
      </w:r>
      <w:r>
        <w:rPr>
          <w:rFonts w:hint="eastAsia" w:cs="黑体" w:asciiTheme="minorEastAsia" w:hAnsiTheme="minorEastAsia"/>
          <w:b/>
          <w:bCs/>
          <w:color w:val="auto"/>
          <w:sz w:val="28"/>
          <w:szCs w:val="28"/>
          <w:lang w:val="zh-CN" w:eastAsia="zh-CN"/>
        </w:rPr>
        <w:t>符合性</w:t>
      </w:r>
      <w:r>
        <w:rPr>
          <w:rFonts w:hint="eastAsia" w:cs="黑体" w:asciiTheme="minorEastAsia" w:hAnsiTheme="minorEastAsia"/>
          <w:b/>
          <w:bCs/>
          <w:color w:val="auto"/>
          <w:sz w:val="28"/>
          <w:szCs w:val="28"/>
          <w:lang w:val="zh-CN"/>
        </w:rPr>
        <w:t>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34"/>
        <w:ind w:firstLine="480"/>
        <w:rPr>
          <w:rFonts w:cs="宋体" w:asciiTheme="minorEastAsia" w:hAnsiTheme="minorEastAsia"/>
          <w:color w:val="auto"/>
          <w:sz w:val="24"/>
          <w:szCs w:val="24"/>
          <w:lang w:val="zh-CN"/>
        </w:rPr>
      </w:pPr>
    </w:p>
    <w:p>
      <w:pPr>
        <w:pStyle w:val="34"/>
        <w:ind w:firstLine="480"/>
        <w:rPr>
          <w:rFonts w:cs="宋体" w:asciiTheme="minorEastAsia" w:hAnsiTheme="minorEastAsia"/>
          <w:color w:val="auto"/>
          <w:sz w:val="24"/>
          <w:szCs w:val="24"/>
          <w:lang w:val="zh-CN"/>
        </w:rPr>
      </w:pPr>
    </w:p>
    <w:p>
      <w:pPr>
        <w:pStyle w:val="34"/>
        <w:ind w:firstLine="480"/>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11"/>
        <w:numPr>
          <w:ilvl w:val="3"/>
          <w:numId w:val="0"/>
        </w:numPr>
        <w:ind w:leftChars="0"/>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p>
    <w:p>
      <w:pPr>
        <w:pStyle w:val="11"/>
        <w:numPr>
          <w:ilvl w:val="3"/>
          <w:numId w:val="0"/>
        </w:numPr>
        <w:ind w:leftChars="0"/>
        <w:rPr>
          <w:color w:val="auto"/>
          <w:lang w:val="zh-CN"/>
        </w:rPr>
      </w:pPr>
    </w:p>
    <w:p>
      <w:pPr>
        <w:rPr>
          <w:color w:val="auto"/>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4"/>
              <w:spacing w:line="360" w:lineRule="auto"/>
              <w:rPr>
                <w:rFonts w:ascii="宋体" w:hAnsi="宋体" w:eastAsia="宋体" w:cs="Times New Roman"/>
                <w:color w:val="auto"/>
                <w:sz w:val="21"/>
                <w:szCs w:val="21"/>
              </w:rPr>
            </w:pPr>
          </w:p>
        </w:tc>
        <w:tc>
          <w:tcPr>
            <w:tcW w:w="3579" w:type="dxa"/>
            <w:vAlign w:val="center"/>
          </w:tcPr>
          <w:p>
            <w:pPr>
              <w:pStyle w:val="14"/>
              <w:spacing w:line="360" w:lineRule="auto"/>
              <w:rPr>
                <w:rFonts w:ascii="宋体" w:hAnsi="宋体" w:eastAsia="宋体" w:cs="Times New Roman"/>
                <w:color w:val="auto"/>
                <w:sz w:val="21"/>
                <w:szCs w:val="21"/>
              </w:rPr>
            </w:pPr>
          </w:p>
        </w:tc>
        <w:tc>
          <w:tcPr>
            <w:tcW w:w="1440" w:type="dxa"/>
            <w:vAlign w:val="center"/>
          </w:tcPr>
          <w:p>
            <w:pPr>
              <w:pStyle w:val="14"/>
              <w:spacing w:line="360" w:lineRule="auto"/>
              <w:rPr>
                <w:rFonts w:ascii="宋体" w:hAnsi="宋体" w:eastAsia="宋体" w:cs="Times New Roman"/>
                <w:color w:val="auto"/>
                <w:sz w:val="21"/>
                <w:szCs w:val="21"/>
              </w:rPr>
            </w:pPr>
          </w:p>
        </w:tc>
        <w:tc>
          <w:tcPr>
            <w:tcW w:w="1706" w:type="dxa"/>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4"/>
              <w:spacing w:line="360" w:lineRule="auto"/>
              <w:rPr>
                <w:rFonts w:ascii="宋体" w:hAnsi="宋体" w:eastAsia="宋体" w:cs="Times New Roman"/>
                <w:color w:val="auto"/>
                <w:sz w:val="21"/>
                <w:szCs w:val="21"/>
              </w:rPr>
            </w:pPr>
          </w:p>
        </w:tc>
        <w:tc>
          <w:tcPr>
            <w:tcW w:w="3579" w:type="dxa"/>
            <w:vAlign w:val="center"/>
          </w:tcPr>
          <w:p>
            <w:pPr>
              <w:pStyle w:val="14"/>
              <w:spacing w:line="360" w:lineRule="auto"/>
              <w:rPr>
                <w:rFonts w:ascii="宋体" w:hAnsi="宋体" w:eastAsia="宋体" w:cs="Times New Roman"/>
                <w:color w:val="auto"/>
                <w:sz w:val="21"/>
                <w:szCs w:val="21"/>
              </w:rPr>
            </w:pPr>
          </w:p>
        </w:tc>
        <w:tc>
          <w:tcPr>
            <w:tcW w:w="1440" w:type="dxa"/>
            <w:vAlign w:val="center"/>
          </w:tcPr>
          <w:p>
            <w:pPr>
              <w:pStyle w:val="14"/>
              <w:spacing w:line="360" w:lineRule="auto"/>
              <w:rPr>
                <w:rFonts w:ascii="宋体" w:hAnsi="宋体" w:eastAsia="宋体" w:cs="Times New Roman"/>
                <w:color w:val="auto"/>
                <w:sz w:val="21"/>
                <w:szCs w:val="21"/>
              </w:rPr>
            </w:pPr>
          </w:p>
        </w:tc>
        <w:tc>
          <w:tcPr>
            <w:tcW w:w="1706" w:type="dxa"/>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4"/>
              <w:spacing w:line="360" w:lineRule="auto"/>
              <w:rPr>
                <w:rFonts w:ascii="宋体" w:hAnsi="宋体" w:eastAsia="宋体" w:cs="Times New Roman"/>
                <w:color w:val="auto"/>
                <w:sz w:val="21"/>
                <w:szCs w:val="21"/>
              </w:rPr>
            </w:pPr>
          </w:p>
        </w:tc>
        <w:tc>
          <w:tcPr>
            <w:tcW w:w="3579" w:type="dxa"/>
            <w:vAlign w:val="center"/>
          </w:tcPr>
          <w:p>
            <w:pPr>
              <w:pStyle w:val="14"/>
              <w:spacing w:line="360" w:lineRule="auto"/>
              <w:rPr>
                <w:rFonts w:ascii="宋体" w:hAnsi="宋体" w:eastAsia="宋体" w:cs="Times New Roman"/>
                <w:color w:val="auto"/>
                <w:sz w:val="21"/>
                <w:szCs w:val="21"/>
              </w:rPr>
            </w:pPr>
          </w:p>
        </w:tc>
        <w:tc>
          <w:tcPr>
            <w:tcW w:w="1440" w:type="dxa"/>
            <w:vAlign w:val="center"/>
          </w:tcPr>
          <w:p>
            <w:pPr>
              <w:pStyle w:val="14"/>
              <w:spacing w:line="360" w:lineRule="auto"/>
              <w:rPr>
                <w:rFonts w:ascii="宋体" w:hAnsi="宋体" w:eastAsia="宋体" w:cs="Times New Roman"/>
                <w:color w:val="auto"/>
                <w:sz w:val="21"/>
                <w:szCs w:val="21"/>
              </w:rPr>
            </w:pPr>
          </w:p>
        </w:tc>
        <w:tc>
          <w:tcPr>
            <w:tcW w:w="1706" w:type="dxa"/>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4"/>
              <w:spacing w:line="360" w:lineRule="auto"/>
              <w:rPr>
                <w:rFonts w:ascii="宋体" w:hAnsi="宋体" w:eastAsia="宋体" w:cs="Times New Roman"/>
                <w:color w:val="auto"/>
                <w:sz w:val="21"/>
                <w:szCs w:val="21"/>
              </w:rPr>
            </w:pPr>
          </w:p>
        </w:tc>
        <w:tc>
          <w:tcPr>
            <w:tcW w:w="1518" w:type="dxa"/>
            <w:vAlign w:val="center"/>
          </w:tcPr>
          <w:p>
            <w:pPr>
              <w:pStyle w:val="14"/>
              <w:spacing w:line="360" w:lineRule="auto"/>
              <w:rPr>
                <w:rFonts w:ascii="宋体" w:hAnsi="宋体" w:eastAsia="宋体" w:cs="Times New Roman"/>
                <w:color w:val="auto"/>
                <w:sz w:val="21"/>
                <w:szCs w:val="21"/>
              </w:rPr>
            </w:pPr>
          </w:p>
        </w:tc>
        <w:tc>
          <w:tcPr>
            <w:tcW w:w="1240" w:type="dxa"/>
          </w:tcPr>
          <w:p>
            <w:pPr>
              <w:pStyle w:val="14"/>
              <w:spacing w:line="360" w:lineRule="auto"/>
              <w:rPr>
                <w:rFonts w:ascii="宋体" w:hAnsi="宋体" w:eastAsia="宋体" w:cs="Times New Roman"/>
                <w:color w:val="auto"/>
                <w:sz w:val="21"/>
                <w:szCs w:val="21"/>
              </w:rPr>
            </w:pPr>
          </w:p>
        </w:tc>
        <w:tc>
          <w:tcPr>
            <w:tcW w:w="1648" w:type="dxa"/>
          </w:tcPr>
          <w:p>
            <w:pPr>
              <w:pStyle w:val="14"/>
              <w:spacing w:line="360" w:lineRule="auto"/>
              <w:rPr>
                <w:rFonts w:ascii="宋体" w:hAnsi="宋体" w:eastAsia="宋体" w:cs="Times New Roman"/>
                <w:color w:val="auto"/>
                <w:sz w:val="21"/>
                <w:szCs w:val="21"/>
              </w:rPr>
            </w:pPr>
          </w:p>
        </w:tc>
        <w:tc>
          <w:tcPr>
            <w:tcW w:w="1600" w:type="dxa"/>
          </w:tcPr>
          <w:p>
            <w:pPr>
              <w:pStyle w:val="14"/>
              <w:spacing w:line="360" w:lineRule="auto"/>
              <w:rPr>
                <w:rFonts w:ascii="宋体" w:hAnsi="宋体" w:eastAsia="宋体" w:cs="Times New Roman"/>
                <w:color w:val="auto"/>
                <w:sz w:val="21"/>
                <w:szCs w:val="21"/>
              </w:rPr>
            </w:pPr>
          </w:p>
        </w:tc>
        <w:tc>
          <w:tcPr>
            <w:tcW w:w="1417" w:type="dxa"/>
          </w:tcPr>
          <w:p>
            <w:pPr>
              <w:pStyle w:val="14"/>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中小企业声明函（货物）</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u w:val="single"/>
          <w:lang w:val="en-US" w:eastAsia="zh-CN"/>
        </w:rPr>
        <w:t xml:space="preserve">   </w:t>
      </w:r>
      <w:r>
        <w:rPr>
          <w:color w:val="auto"/>
        </w:rPr>
        <w:t>人，营业收入为</w:t>
      </w:r>
      <w:r>
        <w:rPr>
          <w:rFonts w:hint="eastAsia"/>
          <w:color w:val="auto"/>
          <w:u w:val="single"/>
          <w:lang w:val="en-US" w:eastAsia="zh-CN"/>
        </w:rPr>
        <w:t xml:space="preserve">    </w:t>
      </w:r>
      <w:r>
        <w:rPr>
          <w:color w:val="auto"/>
        </w:rPr>
        <w:t>万元，资产总额为</w:t>
      </w:r>
      <w:r>
        <w:rPr>
          <w:rFonts w:hint="eastAsia"/>
          <w:color w:val="auto"/>
          <w:u w:val="single"/>
          <w:lang w:val="en-US" w:eastAsia="zh-CN"/>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color w:val="auto"/>
        </w:rPr>
        <w:t>企业名称（盖章）：</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w:t>
      </w:r>
      <w:r>
        <w:rPr>
          <w:rFonts w:hint="eastAsia"/>
          <w:color w:val="auto"/>
          <w:lang w:val="en-US" w:eastAsia="zh-CN"/>
        </w:rPr>
        <w:t>及相关证明材料</w:t>
      </w:r>
      <w:r>
        <w:rPr>
          <w:color w:val="auto"/>
        </w:rPr>
        <w:t>，否则不得享受相关中小企业扶持政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pStyle w:val="34"/>
        <w:ind w:left="0" w:leftChars="0" w:firstLine="0" w:firstLineChars="0"/>
        <w:rPr>
          <w:color w:val="auto"/>
        </w:rPr>
      </w:pPr>
    </w:p>
    <w:p>
      <w:pPr>
        <w:pStyle w:val="34"/>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outlineLvl w:val="0"/>
        <w:rPr>
          <w:rFonts w:hint="eastAsia" w:ascii="宋体" w:hAnsi="宋体"/>
          <w:b/>
          <w:bCs/>
          <w:color w:val="auto"/>
          <w:sz w:val="24"/>
          <w:szCs w:val="24"/>
          <w:lang w:val="en-US" w:eastAsia="zh-CN"/>
        </w:rPr>
      </w:pPr>
    </w:p>
    <w:p>
      <w:pPr>
        <w:pStyle w:val="2"/>
        <w:rPr>
          <w:rFonts w:hint="eastAsia" w:ascii="宋体" w:hAnsi="宋体"/>
          <w:b/>
          <w:bCs/>
          <w:color w:val="auto"/>
          <w:sz w:val="24"/>
          <w:szCs w:val="24"/>
          <w:lang w:val="en-US" w:eastAsia="zh-CN"/>
        </w:rPr>
      </w:pPr>
    </w:p>
    <w:p>
      <w:pPr>
        <w:pStyle w:val="6"/>
        <w:rPr>
          <w:rFonts w:hint="eastAsia"/>
          <w:lang w:val="en-US" w:eastAsia="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val="0"/>
          <w:bCs w:val="0"/>
          <w:color w:val="auto"/>
          <w:sz w:val="21"/>
          <w:szCs w:val="21"/>
        </w:rPr>
      </w:pPr>
      <w:r>
        <w:rPr>
          <w:rFonts w:ascii="宋体" w:hAnsi="宋体"/>
          <w:b w:val="0"/>
          <w:bCs w:val="0"/>
          <w:color w:val="auto"/>
          <w:sz w:val="21"/>
          <w:szCs w:val="21"/>
        </w:rPr>
        <w:t>除</w:t>
      </w:r>
      <w:r>
        <w:rPr>
          <w:rFonts w:hint="eastAsia" w:ascii="宋体" w:hAnsi="宋体"/>
          <w:b w:val="0"/>
          <w:bCs w:val="0"/>
          <w:color w:val="auto"/>
          <w:sz w:val="21"/>
          <w:szCs w:val="21"/>
        </w:rPr>
        <w:t>谈判</w:t>
      </w:r>
      <w:r>
        <w:rPr>
          <w:rFonts w:ascii="宋体" w:hAnsi="宋体"/>
          <w:b w:val="0"/>
          <w:bCs w:val="0"/>
          <w:color w:val="auto"/>
          <w:sz w:val="21"/>
          <w:szCs w:val="21"/>
        </w:rPr>
        <w:t>文件另有规定外，</w:t>
      </w:r>
      <w:r>
        <w:rPr>
          <w:rFonts w:hint="eastAsia" w:ascii="宋体" w:hAnsi="宋体"/>
          <w:b w:val="0"/>
          <w:bCs w:val="0"/>
          <w:color w:val="auto"/>
          <w:sz w:val="21"/>
          <w:szCs w:val="21"/>
        </w:rPr>
        <w:t>供应商</w:t>
      </w:r>
      <w:r>
        <w:rPr>
          <w:rFonts w:ascii="宋体" w:hAnsi="宋体"/>
          <w:b w:val="0"/>
          <w:bCs w:val="0"/>
          <w:color w:val="auto"/>
          <w:sz w:val="21"/>
          <w:szCs w:val="21"/>
        </w:rPr>
        <w:t>认为需要提交的其他证明材料或资料加盖</w:t>
      </w:r>
      <w:r>
        <w:rPr>
          <w:rFonts w:hint="eastAsia" w:ascii="宋体" w:hAnsi="宋体"/>
          <w:b w:val="0"/>
          <w:bCs w:val="0"/>
          <w:color w:val="auto"/>
          <w:sz w:val="21"/>
          <w:szCs w:val="21"/>
        </w:rPr>
        <w:t>供应商</w:t>
      </w:r>
      <w:r>
        <w:rPr>
          <w:rFonts w:ascii="宋体" w:hAnsi="宋体"/>
          <w:b w:val="0"/>
          <w:bCs w:val="0"/>
          <w:color w:val="auto"/>
          <w:sz w:val="21"/>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49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59F817E8"/>
    <w:multiLevelType w:val="singleLevel"/>
    <w:tmpl w:val="59F817E8"/>
    <w:lvl w:ilvl="0" w:tentative="0">
      <w:start w:val="1"/>
      <w:numFmt w:val="chineseCounting"/>
      <w:pStyle w:val="65"/>
      <w:suff w:val="nothing"/>
      <w:lvlText w:val="%1、"/>
      <w:lvlJc w:val="left"/>
    </w:lvl>
  </w:abstractNum>
  <w:abstractNum w:abstractNumId="6">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0"/>
  </w:num>
  <w:num w:numId="2">
    <w:abstractNumId w:val="1"/>
  </w:num>
  <w:num w:numId="3">
    <w:abstractNumId w:val="5"/>
  </w:num>
  <w:num w:numId="4">
    <w:abstractNumId w:val="8"/>
  </w:num>
  <w:num w:numId="5">
    <w:abstractNumId w:val="2"/>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B2E22"/>
    <w:rsid w:val="00FB5348"/>
    <w:rsid w:val="00FB5796"/>
    <w:rsid w:val="00FB6F1A"/>
    <w:rsid w:val="00FC04EC"/>
    <w:rsid w:val="00FC302B"/>
    <w:rsid w:val="00FC5DCD"/>
    <w:rsid w:val="00FD37A3"/>
    <w:rsid w:val="00FE5AD6"/>
    <w:rsid w:val="00FF04A6"/>
    <w:rsid w:val="015E675E"/>
    <w:rsid w:val="01CD2E9D"/>
    <w:rsid w:val="02257485"/>
    <w:rsid w:val="023B7AFE"/>
    <w:rsid w:val="029534B6"/>
    <w:rsid w:val="03642F3A"/>
    <w:rsid w:val="0652201E"/>
    <w:rsid w:val="07733ED3"/>
    <w:rsid w:val="079A26F9"/>
    <w:rsid w:val="0804293C"/>
    <w:rsid w:val="08AE5DF2"/>
    <w:rsid w:val="093A70B1"/>
    <w:rsid w:val="09C37472"/>
    <w:rsid w:val="0AFF60DE"/>
    <w:rsid w:val="0C0A39FB"/>
    <w:rsid w:val="0C981A08"/>
    <w:rsid w:val="0D2622BF"/>
    <w:rsid w:val="0D6026F2"/>
    <w:rsid w:val="0D6975D2"/>
    <w:rsid w:val="0DBB294B"/>
    <w:rsid w:val="0DD3723A"/>
    <w:rsid w:val="0EE97B8E"/>
    <w:rsid w:val="0EED42F1"/>
    <w:rsid w:val="0F0F0F63"/>
    <w:rsid w:val="0F755790"/>
    <w:rsid w:val="0FDD7B3F"/>
    <w:rsid w:val="106F306C"/>
    <w:rsid w:val="109630D4"/>
    <w:rsid w:val="11A93813"/>
    <w:rsid w:val="12F9459F"/>
    <w:rsid w:val="13706DBD"/>
    <w:rsid w:val="13C72FDB"/>
    <w:rsid w:val="144362BE"/>
    <w:rsid w:val="145F2114"/>
    <w:rsid w:val="14737324"/>
    <w:rsid w:val="148D6DCE"/>
    <w:rsid w:val="1496763A"/>
    <w:rsid w:val="14A37090"/>
    <w:rsid w:val="15053BF3"/>
    <w:rsid w:val="158F23AC"/>
    <w:rsid w:val="16884EA2"/>
    <w:rsid w:val="16985482"/>
    <w:rsid w:val="16D70025"/>
    <w:rsid w:val="176C0575"/>
    <w:rsid w:val="17847D61"/>
    <w:rsid w:val="17B30CC5"/>
    <w:rsid w:val="17CD65DD"/>
    <w:rsid w:val="18087075"/>
    <w:rsid w:val="1A464258"/>
    <w:rsid w:val="1ACA1BA0"/>
    <w:rsid w:val="1BFD3750"/>
    <w:rsid w:val="1C0D0E22"/>
    <w:rsid w:val="1CA75985"/>
    <w:rsid w:val="1D3D2567"/>
    <w:rsid w:val="1D5B5A4F"/>
    <w:rsid w:val="1D9A4838"/>
    <w:rsid w:val="1DD64980"/>
    <w:rsid w:val="1DE978C4"/>
    <w:rsid w:val="1ED878F4"/>
    <w:rsid w:val="20AB5326"/>
    <w:rsid w:val="20EA7CD4"/>
    <w:rsid w:val="20F01CC8"/>
    <w:rsid w:val="24B72FF5"/>
    <w:rsid w:val="24E915BF"/>
    <w:rsid w:val="27821D05"/>
    <w:rsid w:val="27D6467B"/>
    <w:rsid w:val="27FE437C"/>
    <w:rsid w:val="284941DC"/>
    <w:rsid w:val="2992532C"/>
    <w:rsid w:val="2A5C4C80"/>
    <w:rsid w:val="2A9B65A1"/>
    <w:rsid w:val="2AA71F8F"/>
    <w:rsid w:val="2BBB0CAB"/>
    <w:rsid w:val="2C2B746F"/>
    <w:rsid w:val="2C8B3664"/>
    <w:rsid w:val="2D800432"/>
    <w:rsid w:val="2D94495C"/>
    <w:rsid w:val="2E5B51FD"/>
    <w:rsid w:val="2E5C09FD"/>
    <w:rsid w:val="2EC8588E"/>
    <w:rsid w:val="2F0F4330"/>
    <w:rsid w:val="2F9D4845"/>
    <w:rsid w:val="30033BF1"/>
    <w:rsid w:val="301A7EDF"/>
    <w:rsid w:val="30A11399"/>
    <w:rsid w:val="32493792"/>
    <w:rsid w:val="32BA2D96"/>
    <w:rsid w:val="334E7AC4"/>
    <w:rsid w:val="338C262A"/>
    <w:rsid w:val="34AE374B"/>
    <w:rsid w:val="34DC0D21"/>
    <w:rsid w:val="35100CAA"/>
    <w:rsid w:val="35AD3EF5"/>
    <w:rsid w:val="35B07A97"/>
    <w:rsid w:val="35B53B02"/>
    <w:rsid w:val="35E717ED"/>
    <w:rsid w:val="36DC44A4"/>
    <w:rsid w:val="371619FA"/>
    <w:rsid w:val="373607C6"/>
    <w:rsid w:val="396963F9"/>
    <w:rsid w:val="398F18A7"/>
    <w:rsid w:val="3A4B28EC"/>
    <w:rsid w:val="3A860534"/>
    <w:rsid w:val="3AB0548E"/>
    <w:rsid w:val="3BF73651"/>
    <w:rsid w:val="3C99413F"/>
    <w:rsid w:val="3E0D4F54"/>
    <w:rsid w:val="3F1B5FD9"/>
    <w:rsid w:val="3FB66E29"/>
    <w:rsid w:val="4057096D"/>
    <w:rsid w:val="40E9662B"/>
    <w:rsid w:val="40F12E27"/>
    <w:rsid w:val="417325FA"/>
    <w:rsid w:val="41E424CB"/>
    <w:rsid w:val="42745016"/>
    <w:rsid w:val="42747AC2"/>
    <w:rsid w:val="45107DD5"/>
    <w:rsid w:val="454D157F"/>
    <w:rsid w:val="4748383D"/>
    <w:rsid w:val="483327C3"/>
    <w:rsid w:val="484A2A04"/>
    <w:rsid w:val="48FE1123"/>
    <w:rsid w:val="4918629F"/>
    <w:rsid w:val="4A07364B"/>
    <w:rsid w:val="4A895B10"/>
    <w:rsid w:val="4AEA524F"/>
    <w:rsid w:val="4B4635F5"/>
    <w:rsid w:val="4B995675"/>
    <w:rsid w:val="4BA17E79"/>
    <w:rsid w:val="4D553FBB"/>
    <w:rsid w:val="4D6F2CBC"/>
    <w:rsid w:val="4E6F2656"/>
    <w:rsid w:val="4EC04089"/>
    <w:rsid w:val="507361CE"/>
    <w:rsid w:val="50C40376"/>
    <w:rsid w:val="51C2755B"/>
    <w:rsid w:val="51F136AE"/>
    <w:rsid w:val="53356CED"/>
    <w:rsid w:val="55054670"/>
    <w:rsid w:val="551D69F3"/>
    <w:rsid w:val="55213467"/>
    <w:rsid w:val="552C60AE"/>
    <w:rsid w:val="55423AE9"/>
    <w:rsid w:val="55765394"/>
    <w:rsid w:val="559346D9"/>
    <w:rsid w:val="55CD5ACF"/>
    <w:rsid w:val="55D41375"/>
    <w:rsid w:val="562D6438"/>
    <w:rsid w:val="570D2635"/>
    <w:rsid w:val="57321D93"/>
    <w:rsid w:val="5785131D"/>
    <w:rsid w:val="5825208C"/>
    <w:rsid w:val="59115A9D"/>
    <w:rsid w:val="5927426C"/>
    <w:rsid w:val="59B06C06"/>
    <w:rsid w:val="59DA6A77"/>
    <w:rsid w:val="5A482C64"/>
    <w:rsid w:val="5AB00F9E"/>
    <w:rsid w:val="5BAB69DB"/>
    <w:rsid w:val="5C4442F2"/>
    <w:rsid w:val="5C727A2A"/>
    <w:rsid w:val="5CCF49AE"/>
    <w:rsid w:val="5CD379FF"/>
    <w:rsid w:val="5CF7647D"/>
    <w:rsid w:val="5D477BB9"/>
    <w:rsid w:val="5D520EA4"/>
    <w:rsid w:val="5DB53F06"/>
    <w:rsid w:val="5DBC5230"/>
    <w:rsid w:val="5DFB2CE6"/>
    <w:rsid w:val="5E8F74E0"/>
    <w:rsid w:val="5FCA2E7D"/>
    <w:rsid w:val="5FCD53E2"/>
    <w:rsid w:val="60755A9B"/>
    <w:rsid w:val="607C7F63"/>
    <w:rsid w:val="614A4B79"/>
    <w:rsid w:val="62256567"/>
    <w:rsid w:val="6292525E"/>
    <w:rsid w:val="62CD7249"/>
    <w:rsid w:val="640038EE"/>
    <w:rsid w:val="64EA2CC0"/>
    <w:rsid w:val="656D5A41"/>
    <w:rsid w:val="66A36C22"/>
    <w:rsid w:val="66F25B8E"/>
    <w:rsid w:val="68133FA1"/>
    <w:rsid w:val="69C2639F"/>
    <w:rsid w:val="69DB7ED9"/>
    <w:rsid w:val="6A4E176A"/>
    <w:rsid w:val="6B1322D3"/>
    <w:rsid w:val="6BC54C0A"/>
    <w:rsid w:val="6BD27370"/>
    <w:rsid w:val="6C274A97"/>
    <w:rsid w:val="6DA76189"/>
    <w:rsid w:val="6DEA209F"/>
    <w:rsid w:val="6E3D3992"/>
    <w:rsid w:val="6F4574E1"/>
    <w:rsid w:val="70404545"/>
    <w:rsid w:val="708E3211"/>
    <w:rsid w:val="70A46938"/>
    <w:rsid w:val="71570483"/>
    <w:rsid w:val="718E5927"/>
    <w:rsid w:val="71ED2F81"/>
    <w:rsid w:val="725310CC"/>
    <w:rsid w:val="72827E86"/>
    <w:rsid w:val="73FA5F69"/>
    <w:rsid w:val="755440B2"/>
    <w:rsid w:val="75BC2C57"/>
    <w:rsid w:val="762E00DE"/>
    <w:rsid w:val="768E15B5"/>
    <w:rsid w:val="77374253"/>
    <w:rsid w:val="776E4D1A"/>
    <w:rsid w:val="79922551"/>
    <w:rsid w:val="79BA7C7A"/>
    <w:rsid w:val="7A3A3C5D"/>
    <w:rsid w:val="7A5423D9"/>
    <w:rsid w:val="7B40242B"/>
    <w:rsid w:val="7B437CA9"/>
    <w:rsid w:val="7BA57168"/>
    <w:rsid w:val="7C433F8A"/>
    <w:rsid w:val="7C9A726F"/>
    <w:rsid w:val="7CDF1A1D"/>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12">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semiHidden/>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link w:val="66"/>
    <w:semiHidden/>
    <w:unhideWhenUsed/>
    <w:qFormat/>
    <w:uiPriority w:val="99"/>
    <w:pPr>
      <w:adjustRightInd/>
      <w:spacing w:line="240" w:lineRule="auto"/>
      <w:ind w:firstLine="420" w:firstLineChars="200"/>
      <w:jc w:val="both"/>
      <w:textAlignment w:val="auto"/>
    </w:pPr>
    <w:rPr>
      <w:kern w:val="2"/>
      <w:sz w:val="21"/>
      <w:szCs w:val="22"/>
    </w:rPr>
  </w:style>
  <w:style w:type="paragraph" w:styleId="7">
    <w:name w:val="Body Text Indent"/>
    <w:basedOn w:val="1"/>
    <w:next w:val="6"/>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Body Text 3"/>
    <w:basedOn w:val="1"/>
    <w:link w:val="40"/>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4"/>
    <w:qFormat/>
    <w:uiPriority w:val="0"/>
    <w:rPr>
      <w:rFonts w:eastAsia="宋体"/>
      <w:sz w:val="24"/>
    </w:rPr>
  </w:style>
  <w:style w:type="paragraph" w:styleId="19">
    <w:name w:val="Date"/>
    <w:basedOn w:val="1"/>
    <w:next w:val="1"/>
    <w:link w:val="45"/>
    <w:unhideWhenUsed/>
    <w:qFormat/>
    <w:uiPriority w:val="99"/>
    <w:pPr>
      <w:ind w:left="100" w:leftChars="2500"/>
    </w:pPr>
  </w:style>
  <w:style w:type="paragraph" w:styleId="20">
    <w:name w:val="Balloon Text"/>
    <w:basedOn w:val="1"/>
    <w:link w:val="47"/>
    <w:semiHidden/>
    <w:unhideWhenUsed/>
    <w:qFormat/>
    <w:uiPriority w:val="99"/>
    <w:rPr>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0"/>
    <w:rPr>
      <w:color w:val="000000"/>
      <w:u w:val="none"/>
    </w:rPr>
  </w:style>
  <w:style w:type="paragraph" w:customStyle="1" w:styleId="34">
    <w:name w:val="列出段落1"/>
    <w:basedOn w:val="1"/>
    <w:qFormat/>
    <w:uiPriority w:val="0"/>
    <w:pPr>
      <w:ind w:firstLine="420" w:firstLineChars="200"/>
    </w:pPr>
  </w:style>
  <w:style w:type="paragraph" w:customStyle="1" w:styleId="35">
    <w:name w:val="*正文"/>
    <w:basedOn w:val="1"/>
    <w:qFormat/>
    <w:uiPriority w:val="0"/>
    <w:pPr>
      <w:keepNext/>
      <w:keepLines/>
      <w:spacing w:line="360" w:lineRule="auto"/>
      <w:ind w:firstLine="200" w:firstLineChars="200"/>
    </w:pPr>
    <w:rPr>
      <w:rFonts w:ascii="宋体" w:hAnsi="宋体"/>
    </w:rPr>
  </w:style>
  <w:style w:type="character" w:customStyle="1" w:styleId="36">
    <w:name w:val="标题 1 Char"/>
    <w:basedOn w:val="29"/>
    <w:link w:val="8"/>
    <w:qFormat/>
    <w:uiPriority w:val="0"/>
    <w:rPr>
      <w:rFonts w:ascii="Calibri" w:hAnsi="Calibri" w:eastAsia="宋体" w:cs="Times New Roman"/>
      <w:b/>
      <w:bCs/>
      <w:kern w:val="44"/>
      <w:sz w:val="44"/>
      <w:szCs w:val="44"/>
    </w:rPr>
  </w:style>
  <w:style w:type="character" w:customStyle="1" w:styleId="37">
    <w:name w:val="标题 2 Char"/>
    <w:basedOn w:val="29"/>
    <w:link w:val="9"/>
    <w:qFormat/>
    <w:uiPriority w:val="0"/>
    <w:rPr>
      <w:rFonts w:ascii="Arial" w:hAnsi="Arial" w:eastAsia="黑体" w:cs="Times New Roman"/>
      <w:b/>
      <w:bCs/>
      <w:kern w:val="0"/>
      <w:sz w:val="32"/>
      <w:szCs w:val="32"/>
    </w:rPr>
  </w:style>
  <w:style w:type="character" w:customStyle="1" w:styleId="38">
    <w:name w:val="标题 3 Char"/>
    <w:basedOn w:val="29"/>
    <w:link w:val="10"/>
    <w:qFormat/>
    <w:uiPriority w:val="0"/>
    <w:rPr>
      <w:rFonts w:ascii="宋体" w:hAnsi="宋体" w:eastAsia="宋体" w:cs="Times New Roman"/>
      <w:b/>
      <w:color w:val="000000"/>
      <w:kern w:val="0"/>
      <w:sz w:val="24"/>
      <w:szCs w:val="20"/>
      <w:lang w:val="en-GB"/>
    </w:rPr>
  </w:style>
  <w:style w:type="character" w:customStyle="1" w:styleId="39">
    <w:name w:val="标题 4 Char"/>
    <w:basedOn w:val="29"/>
    <w:link w:val="11"/>
    <w:qFormat/>
    <w:uiPriority w:val="0"/>
    <w:rPr>
      <w:rFonts w:ascii="Arial" w:hAnsi="Arial" w:eastAsia="黑体" w:cs="Times New Roman"/>
      <w:b/>
      <w:bCs/>
      <w:kern w:val="0"/>
      <w:sz w:val="28"/>
      <w:szCs w:val="28"/>
    </w:rPr>
  </w:style>
  <w:style w:type="character" w:customStyle="1" w:styleId="40">
    <w:name w:val="正文文本 3 Char"/>
    <w:basedOn w:val="29"/>
    <w:link w:val="15"/>
    <w:qFormat/>
    <w:uiPriority w:val="0"/>
    <w:rPr>
      <w:rFonts w:ascii="Times New Roman" w:hAnsi="Times New Roman" w:eastAsia="宋体" w:cs="Times New Roman"/>
      <w:color w:val="FF0000"/>
      <w:sz w:val="24"/>
      <w:szCs w:val="24"/>
    </w:rPr>
  </w:style>
  <w:style w:type="character" w:customStyle="1" w:styleId="41">
    <w:name w:val="正文文本 Char"/>
    <w:basedOn w:val="29"/>
    <w:link w:val="3"/>
    <w:semiHidden/>
    <w:qFormat/>
    <w:uiPriority w:val="99"/>
  </w:style>
  <w:style w:type="character" w:customStyle="1" w:styleId="42">
    <w:name w:val="正文文本缩进 Char"/>
    <w:basedOn w:val="29"/>
    <w:link w:val="7"/>
    <w:qFormat/>
    <w:uiPriority w:val="0"/>
  </w:style>
  <w:style w:type="character" w:customStyle="1" w:styleId="43">
    <w:name w:val="正文文本缩进 Char1"/>
    <w:basedOn w:val="29"/>
    <w:link w:val="7"/>
    <w:qFormat/>
    <w:uiPriority w:val="0"/>
    <w:rPr>
      <w:kern w:val="0"/>
      <w:sz w:val="24"/>
      <w:szCs w:val="20"/>
    </w:rPr>
  </w:style>
  <w:style w:type="character" w:customStyle="1" w:styleId="44">
    <w:name w:val="纯文本 Char"/>
    <w:basedOn w:val="29"/>
    <w:link w:val="18"/>
    <w:qFormat/>
    <w:uiPriority w:val="0"/>
    <w:rPr>
      <w:rFonts w:eastAsia="宋体"/>
      <w:sz w:val="24"/>
    </w:rPr>
  </w:style>
  <w:style w:type="character" w:customStyle="1" w:styleId="45">
    <w:name w:val="日期 Char"/>
    <w:basedOn w:val="29"/>
    <w:link w:val="19"/>
    <w:qFormat/>
    <w:uiPriority w:val="99"/>
  </w:style>
  <w:style w:type="character" w:customStyle="1" w:styleId="46">
    <w:name w:val="批注框文本 Char"/>
    <w:basedOn w:val="29"/>
    <w:link w:val="20"/>
    <w:semiHidden/>
    <w:qFormat/>
    <w:uiPriority w:val="99"/>
    <w:rPr>
      <w:sz w:val="18"/>
      <w:szCs w:val="18"/>
    </w:rPr>
  </w:style>
  <w:style w:type="character" w:customStyle="1" w:styleId="47">
    <w:name w:val="批注框文本 Char1"/>
    <w:basedOn w:val="29"/>
    <w:link w:val="20"/>
    <w:semiHidden/>
    <w:qFormat/>
    <w:uiPriority w:val="99"/>
    <w:rPr>
      <w:sz w:val="18"/>
      <w:szCs w:val="18"/>
    </w:rPr>
  </w:style>
  <w:style w:type="character" w:customStyle="1" w:styleId="48">
    <w:name w:val="页脚 Char"/>
    <w:basedOn w:val="29"/>
    <w:link w:val="21"/>
    <w:qFormat/>
    <w:uiPriority w:val="99"/>
    <w:rPr>
      <w:sz w:val="18"/>
      <w:szCs w:val="18"/>
    </w:rPr>
  </w:style>
  <w:style w:type="character" w:customStyle="1" w:styleId="49">
    <w:name w:val="页眉 Char"/>
    <w:basedOn w:val="29"/>
    <w:link w:val="23"/>
    <w:qFormat/>
    <w:uiPriority w:val="99"/>
    <w:rPr>
      <w:sz w:val="18"/>
      <w:szCs w:val="18"/>
    </w:rPr>
  </w:style>
  <w:style w:type="character" w:customStyle="1" w:styleId="50">
    <w:name w:val="HTML 预设格式 Char"/>
    <w:basedOn w:val="29"/>
    <w:link w:val="25"/>
    <w:semiHidden/>
    <w:qFormat/>
    <w:uiPriority w:val="99"/>
    <w:rPr>
      <w:rFonts w:ascii="宋体" w:hAnsi="宋体" w:eastAsia="宋体" w:cs="宋体"/>
      <w:kern w:val="0"/>
      <w:sz w:val="24"/>
      <w:szCs w:val="24"/>
    </w:rPr>
  </w:style>
  <w:style w:type="character" w:customStyle="1" w:styleId="51">
    <w:name w:val="HTML 预设格式 Char1"/>
    <w:basedOn w:val="29"/>
    <w:link w:val="25"/>
    <w:semiHidden/>
    <w:qFormat/>
    <w:uiPriority w:val="99"/>
    <w:rPr>
      <w:rFonts w:ascii="Courier New" w:hAnsi="Courier New" w:cs="Courier New"/>
      <w:sz w:val="20"/>
      <w:szCs w:val="20"/>
    </w:rPr>
  </w:style>
  <w:style w:type="character" w:customStyle="1" w:styleId="52">
    <w:name w:val="正文首行缩进 Char"/>
    <w:basedOn w:val="41"/>
    <w:link w:val="2"/>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99"/>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9"/>
    <w:qFormat/>
    <w:uiPriority w:val="0"/>
  </w:style>
  <w:style w:type="paragraph" w:customStyle="1" w:styleId="6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首行缩进 2 Char"/>
    <w:basedOn w:val="43"/>
    <w:link w:val="6"/>
    <w:semiHidden/>
    <w:qFormat/>
    <w:uiPriority w:val="99"/>
    <w:rPr>
      <w:kern w:val="2"/>
      <w:sz w:val="21"/>
      <w:szCs w:val="22"/>
    </w:rPr>
  </w:style>
  <w:style w:type="paragraph" w:customStyle="1" w:styleId="67">
    <w:name w:val="List Paragraph1"/>
    <w:basedOn w:val="1"/>
    <w:qFormat/>
    <w:uiPriority w:val="0"/>
    <w:pPr>
      <w:ind w:firstLine="420" w:firstLineChars="200"/>
    </w:pPr>
    <w:rPr>
      <w:rFonts w:ascii="Calibri" w:hAnsi="Calibri" w:cs="宋体"/>
    </w:rPr>
  </w:style>
  <w:style w:type="character" w:customStyle="1" w:styleId="68">
    <w:name w:val="font01"/>
    <w:basedOn w:val="29"/>
    <w:qFormat/>
    <w:uiPriority w:val="0"/>
    <w:rPr>
      <w:rFonts w:hint="eastAsia" w:ascii="宋体" w:hAnsi="宋体" w:eastAsia="宋体" w:cs="宋体"/>
      <w:color w:val="000000"/>
      <w:sz w:val="22"/>
      <w:szCs w:val="22"/>
      <w:u w:val="none"/>
    </w:rPr>
  </w:style>
  <w:style w:type="character" w:customStyle="1" w:styleId="69">
    <w:name w:val="font31"/>
    <w:basedOn w:val="29"/>
    <w:qFormat/>
    <w:uiPriority w:val="0"/>
    <w:rPr>
      <w:rFonts w:ascii="Calibri" w:hAnsi="Calibri" w:cs="Calibri"/>
      <w:b/>
      <w:color w:val="000000"/>
      <w:sz w:val="18"/>
      <w:szCs w:val="18"/>
      <w:u w:val="none"/>
    </w:rPr>
  </w:style>
  <w:style w:type="character" w:customStyle="1" w:styleId="70">
    <w:name w:val="font121"/>
    <w:basedOn w:val="29"/>
    <w:qFormat/>
    <w:uiPriority w:val="0"/>
    <w:rPr>
      <w:rFonts w:hint="eastAsia" w:ascii="宋体" w:hAnsi="宋体" w:eastAsia="宋体" w:cs="宋体"/>
      <w:color w:val="000000"/>
      <w:sz w:val="18"/>
      <w:szCs w:val="18"/>
      <w:u w:val="none"/>
    </w:rPr>
  </w:style>
  <w:style w:type="character" w:customStyle="1" w:styleId="71">
    <w:name w:val="font91"/>
    <w:basedOn w:val="29"/>
    <w:qFormat/>
    <w:uiPriority w:val="0"/>
    <w:rPr>
      <w:rFonts w:hint="eastAsia" w:ascii="宋体" w:hAnsi="宋体" w:eastAsia="宋体" w:cs="宋体"/>
      <w:color w:val="000000"/>
      <w:sz w:val="18"/>
      <w:szCs w:val="18"/>
      <w:u w:val="none"/>
    </w:rPr>
  </w:style>
  <w:style w:type="character" w:customStyle="1" w:styleId="72">
    <w:name w:val="font112"/>
    <w:basedOn w:val="29"/>
    <w:qFormat/>
    <w:uiPriority w:val="0"/>
    <w:rPr>
      <w:rFonts w:hint="eastAsia" w:ascii="宋体" w:hAnsi="宋体" w:eastAsia="宋体" w:cs="宋体"/>
      <w:color w:val="FF0000"/>
      <w:sz w:val="18"/>
      <w:szCs w:val="18"/>
      <w:u w:val="none"/>
    </w:rPr>
  </w:style>
  <w:style w:type="character" w:customStyle="1" w:styleId="73">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4">
    <w:name w:val="UserStyle_1"/>
    <w:basedOn w:val="73"/>
    <w:qFormat/>
    <w:uiPriority w:val="0"/>
    <w:rPr>
      <w:rFonts w:ascii="宋体" w:hAnsi="宋体" w:eastAsia="宋体"/>
      <w:color w:val="000000"/>
      <w:sz w:val="24"/>
      <w:szCs w:val="24"/>
    </w:rPr>
  </w:style>
  <w:style w:type="character" w:customStyle="1" w:styleId="75">
    <w:name w:val="UserStyle_0"/>
    <w:basedOn w:val="73"/>
    <w:qFormat/>
    <w:uiPriority w:val="0"/>
    <w:rPr>
      <w:rFonts w:ascii="MS Gothic" w:hAnsi="MS Gothic" w:eastAsia="MS Gothic"/>
      <w:color w:val="000000"/>
      <w:sz w:val="24"/>
      <w:szCs w:val="24"/>
    </w:rPr>
  </w:style>
  <w:style w:type="paragraph" w:customStyle="1" w:styleId="76">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character" w:customStyle="1" w:styleId="77">
    <w:name w:val="font21"/>
    <w:basedOn w:val="29"/>
    <w:qFormat/>
    <w:uiPriority w:val="0"/>
    <w:rPr>
      <w:rFonts w:hint="eastAsia" w:ascii="新宋体" w:hAnsi="新宋体" w:eastAsia="新宋体" w:cs="新宋体"/>
      <w:color w:val="000000"/>
      <w:sz w:val="18"/>
      <w:szCs w:val="18"/>
      <w:u w:val="none"/>
    </w:rPr>
  </w:style>
  <w:style w:type="character" w:customStyle="1" w:styleId="78">
    <w:name w:val="xiadan"/>
    <w:basedOn w:val="29"/>
    <w:qFormat/>
    <w:uiPriority w:val="0"/>
    <w:rPr>
      <w:shd w:val="clear" w:fill="E4393C"/>
    </w:rPr>
  </w:style>
  <w:style w:type="character" w:customStyle="1" w:styleId="79">
    <w:name w:val="first-child"/>
    <w:basedOn w:val="29"/>
    <w:qFormat/>
    <w:uiPriority w:val="0"/>
    <w:rPr>
      <w:color w:val="1F3149"/>
      <w:sz w:val="24"/>
      <w:szCs w:val="24"/>
    </w:rPr>
  </w:style>
  <w:style w:type="character" w:customStyle="1" w:styleId="80">
    <w:name w:val="first-child1"/>
    <w:basedOn w:val="29"/>
    <w:qFormat/>
    <w:uiPriority w:val="0"/>
    <w:rPr>
      <w:color w:val="1F3149"/>
      <w:sz w:val="24"/>
      <w:szCs w:val="24"/>
    </w:rPr>
  </w:style>
  <w:style w:type="character" w:customStyle="1" w:styleId="81">
    <w:name w:val="fr"/>
    <w:basedOn w:val="29"/>
    <w:qFormat/>
    <w:uiPriority w:val="0"/>
  </w:style>
  <w:style w:type="character" w:customStyle="1" w:styleId="82">
    <w:name w:val="icon_ds"/>
    <w:basedOn w:val="29"/>
    <w:qFormat/>
    <w:uiPriority w:val="0"/>
  </w:style>
  <w:style w:type="character" w:customStyle="1" w:styleId="83">
    <w:name w:val="icon_ds1"/>
    <w:basedOn w:val="29"/>
    <w:uiPriority w:val="0"/>
    <w:rPr>
      <w:sz w:val="21"/>
      <w:szCs w:val="21"/>
    </w:rPr>
  </w:style>
  <w:style w:type="character" w:customStyle="1" w:styleId="84">
    <w:name w:val="icon_gys"/>
    <w:basedOn w:val="29"/>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77</Pages>
  <Words>6250</Words>
  <Characters>35627</Characters>
  <Lines>296</Lines>
  <Paragraphs>83</Paragraphs>
  <TotalTime>21</TotalTime>
  <ScaleCrop>false</ScaleCrop>
  <LinksUpToDate>false</LinksUpToDate>
  <CharactersWithSpaces>41794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WPS_1591240706</cp:lastModifiedBy>
  <cp:lastPrinted>2021-05-26T01:46:00Z</cp:lastPrinted>
  <dcterms:modified xsi:type="dcterms:W3CDTF">2021-11-29T03:53:54Z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051091EB99A4474ABD99145219203627</vt:lpwstr>
  </property>
</Properties>
</file>