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3" w:lineRule="auto"/>
        <w:ind w:left="2086" w:leftChars="496" w:hanging="1044" w:hangingChars="200"/>
        <w:rPr>
          <w:rFonts w:ascii="宋体" w:hAnsi="宋体"/>
          <w:b/>
          <w:sz w:val="72"/>
          <w:szCs w:val="72"/>
        </w:rPr>
      </w:pPr>
      <w:r>
        <w:rPr>
          <w:rFonts w:hint="eastAsia" w:ascii="宋体" w:hAnsi="宋体"/>
          <w:b/>
          <w:sz w:val="52"/>
          <w:szCs w:val="52"/>
        </w:rPr>
        <w:t>长葛市数字城管机房托管及光纤租用项目（不见面开标）</w:t>
      </w:r>
    </w:p>
    <w:p>
      <w:pPr>
        <w:adjustRightInd w:val="0"/>
        <w:snapToGrid w:val="0"/>
        <w:spacing w:line="273" w:lineRule="auto"/>
        <w:jc w:val="center"/>
        <w:rPr>
          <w:rFonts w:ascii="宋体" w:hAnsi="宋体"/>
          <w:b/>
          <w:sz w:val="72"/>
          <w:szCs w:val="72"/>
        </w:rPr>
      </w:pPr>
    </w:p>
    <w:p>
      <w:pPr>
        <w:pStyle w:val="2"/>
        <w:ind w:firstLine="340"/>
      </w:pPr>
    </w:p>
    <w:p/>
    <w:p>
      <w:pPr>
        <w:adjustRightInd w:val="0"/>
        <w:snapToGrid w:val="0"/>
        <w:spacing w:line="273" w:lineRule="auto"/>
        <w:jc w:val="center"/>
        <w:rPr>
          <w:rFonts w:ascii="宋体" w:hAnsi="宋体"/>
          <w:b/>
          <w:sz w:val="28"/>
          <w:szCs w:val="28"/>
        </w:rPr>
      </w:pPr>
      <w:r>
        <w:rPr>
          <w:rFonts w:hint="eastAsia" w:ascii="宋体" w:hAnsi="宋体"/>
          <w:b/>
          <w:sz w:val="72"/>
          <w:szCs w:val="72"/>
        </w:rPr>
        <w:t>公开招标文件</w:t>
      </w:r>
    </w:p>
    <w:p>
      <w:pPr>
        <w:adjustRightInd w:val="0"/>
        <w:snapToGrid w:val="0"/>
        <w:spacing w:line="273" w:lineRule="auto"/>
        <w:jc w:val="center"/>
        <w:rPr>
          <w:rFonts w:ascii="宋体" w:hAnsi="宋体"/>
          <w:b/>
          <w:bCs/>
          <w:sz w:val="30"/>
          <w:szCs w:val="30"/>
        </w:rPr>
      </w:pPr>
    </w:p>
    <w:p>
      <w:pPr>
        <w:adjustRightInd w:val="0"/>
        <w:snapToGrid w:val="0"/>
        <w:spacing w:line="273" w:lineRule="auto"/>
        <w:jc w:val="center"/>
        <w:rPr>
          <w:rFonts w:ascii="宋体" w:hAnsi="宋体"/>
          <w:b/>
          <w:bCs/>
          <w:sz w:val="30"/>
          <w:szCs w:val="30"/>
        </w:rPr>
      </w:pPr>
      <w:r>
        <w:rPr>
          <w:rFonts w:hint="eastAsia" w:ascii="宋体" w:hAnsi="宋体"/>
          <w:b/>
          <w:bCs/>
          <w:sz w:val="30"/>
          <w:szCs w:val="30"/>
        </w:rPr>
        <w:t>项目编号：长招采公字【2021】030号</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Pr>
        <w:rPr>
          <w:rFonts w:ascii="宋体" w:hAnsi="宋体"/>
          <w:b/>
          <w:bCs/>
          <w:sz w:val="36"/>
          <w:szCs w:val="36"/>
        </w:rPr>
      </w:pPr>
    </w:p>
    <w:p>
      <w:pPr>
        <w:pStyle w:val="2"/>
        <w:ind w:firstLine="361"/>
        <w:rPr>
          <w:rFonts w:hAnsi="宋体"/>
          <w:b/>
          <w:bCs/>
          <w:sz w:val="36"/>
          <w:szCs w:val="36"/>
        </w:rPr>
      </w:pPr>
    </w:p>
    <w:p>
      <w:pPr>
        <w:adjustRightInd w:val="0"/>
        <w:snapToGrid w:val="0"/>
        <w:spacing w:line="273" w:lineRule="auto"/>
        <w:ind w:firstLine="1285" w:firstLineChars="400"/>
        <w:rPr>
          <w:rFonts w:ascii="宋体" w:hAnsi="宋体"/>
          <w:b/>
          <w:bCs/>
          <w:sz w:val="32"/>
          <w:szCs w:val="32"/>
        </w:rPr>
      </w:pPr>
    </w:p>
    <w:p>
      <w:pPr>
        <w:adjustRightInd w:val="0"/>
        <w:snapToGrid w:val="0"/>
        <w:spacing w:line="273" w:lineRule="auto"/>
        <w:jc w:val="center"/>
      </w:pPr>
      <w:r>
        <w:rPr>
          <w:rFonts w:hint="eastAsia" w:ascii="宋体" w:hAnsi="宋体"/>
          <w:b/>
          <w:bCs/>
          <w:sz w:val="32"/>
          <w:szCs w:val="32"/>
        </w:rPr>
        <w:t>采 购 人：</w:t>
      </w:r>
      <w:r>
        <w:rPr>
          <w:rFonts w:hint="eastAsia" w:ascii="宋体" w:hAnsi="宋体" w:cs="宋体"/>
          <w:b/>
          <w:bCs/>
          <w:sz w:val="32"/>
          <w:szCs w:val="32"/>
        </w:rPr>
        <w:t>长葛市城市管理局</w:t>
      </w:r>
    </w:p>
    <w:p>
      <w:pPr>
        <w:adjustRightInd w:val="0"/>
        <w:snapToGrid w:val="0"/>
        <w:spacing w:line="273" w:lineRule="auto"/>
        <w:ind w:firstLine="2249" w:firstLineChars="700"/>
        <w:jc w:val="left"/>
        <w:rPr>
          <w:rFonts w:ascii="宋体" w:hAnsi="宋体"/>
          <w:b/>
          <w:bCs/>
          <w:sz w:val="32"/>
          <w:szCs w:val="32"/>
        </w:rPr>
      </w:pPr>
    </w:p>
    <w:p>
      <w:pPr>
        <w:adjustRightInd w:val="0"/>
        <w:snapToGrid w:val="0"/>
        <w:spacing w:line="273" w:lineRule="auto"/>
        <w:ind w:firstLine="2249" w:firstLineChars="700"/>
        <w:jc w:val="left"/>
        <w:rPr>
          <w:rFonts w:ascii="宋体" w:hAnsi="宋体"/>
          <w:b/>
          <w:bCs/>
          <w:sz w:val="32"/>
          <w:szCs w:val="32"/>
        </w:rPr>
      </w:pPr>
      <w:r>
        <w:rPr>
          <w:rFonts w:hint="eastAsia" w:ascii="宋体" w:hAnsi="宋体"/>
          <w:b/>
          <w:bCs/>
          <w:sz w:val="32"/>
          <w:szCs w:val="32"/>
        </w:rPr>
        <w:t>代理机构：</w:t>
      </w:r>
      <w:r>
        <w:rPr>
          <w:rFonts w:hint="eastAsia" w:ascii="宋体" w:hAnsi="宋体" w:cs="宋体"/>
          <w:b/>
          <w:bCs/>
          <w:sz w:val="32"/>
          <w:szCs w:val="32"/>
        </w:rPr>
        <w:t>中科经纬工程技术有限公司</w:t>
      </w:r>
    </w:p>
    <w:p>
      <w:pPr>
        <w:adjustRightInd w:val="0"/>
        <w:snapToGrid w:val="0"/>
        <w:spacing w:line="273" w:lineRule="auto"/>
        <w:jc w:val="center"/>
        <w:rPr>
          <w:rFonts w:ascii="宋体" w:hAnsi="宋体"/>
          <w:b/>
          <w:bCs/>
          <w:sz w:val="32"/>
          <w:szCs w:val="32"/>
        </w:rPr>
      </w:pPr>
    </w:p>
    <w:p>
      <w:pPr>
        <w:adjustRightInd w:val="0"/>
        <w:snapToGrid w:val="0"/>
        <w:spacing w:line="273" w:lineRule="auto"/>
        <w:jc w:val="center"/>
      </w:pPr>
      <w:r>
        <w:rPr>
          <w:rFonts w:hint="eastAsia" w:ascii="宋体" w:hAnsi="宋体"/>
          <w:b/>
          <w:bCs/>
          <w:sz w:val="32"/>
          <w:szCs w:val="32"/>
        </w:rPr>
        <w:t>二0二一年十月</w:t>
      </w:r>
    </w:p>
    <w:p>
      <w:pPr>
        <w:widowControl/>
        <w:spacing w:line="273" w:lineRule="auto"/>
        <w:jc w:val="left"/>
        <w:rPr>
          <w:rFonts w:ascii="宋体" w:hAnsi="宋体" w:cs="宋体"/>
          <w:b/>
          <w:bCs/>
          <w:sz w:val="44"/>
          <w:szCs w:val="44"/>
        </w:rPr>
        <w:sectPr>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 xml:space="preserve">长葛市数字城管机房托管及光纤租用项目（不见面开标） </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240" w:firstLineChars="100"/>
        <w:jc w:val="left"/>
        <w:rPr>
          <w:rFonts w:ascii="宋体" w:hAnsi="宋体"/>
          <w:kern w:val="0"/>
          <w:sz w:val="24"/>
          <w:szCs w:val="24"/>
        </w:rPr>
      </w:pPr>
      <w:r>
        <w:rPr>
          <w:rFonts w:hint="eastAsia" w:ascii="宋体" w:hAnsi="宋体"/>
          <w:kern w:val="0"/>
          <w:sz w:val="24"/>
          <w:szCs w:val="24"/>
        </w:rPr>
        <w:t>中科经纬工程技术有限公司受长葛市城市管理局的委托，对长葛市数字城管机房托管及光纤租用项目进行公开招标，欢迎符合相应资格条件的供应商参加。</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 xml:space="preserve">一、项目基本情况 </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（一）项目名称：长葛市数字城管机房托管及光纤租用项目（不见面开标）</w:t>
      </w:r>
    </w:p>
    <w:p>
      <w:pPr>
        <w:spacing w:line="360" w:lineRule="auto"/>
        <w:ind w:firstLine="600" w:firstLineChars="250"/>
        <w:jc w:val="left"/>
        <w:rPr>
          <w:rFonts w:ascii="宋体" w:hAnsi="宋体"/>
          <w:color w:val="0000FF"/>
          <w:kern w:val="0"/>
          <w:sz w:val="24"/>
          <w:szCs w:val="24"/>
        </w:rPr>
      </w:pPr>
      <w:r>
        <w:rPr>
          <w:rFonts w:hint="eastAsia" w:ascii="宋体" w:hAnsi="宋体"/>
          <w:kern w:val="0"/>
          <w:sz w:val="24"/>
          <w:szCs w:val="24"/>
        </w:rPr>
        <w:t>（二）项目编号：</w:t>
      </w:r>
      <w:r>
        <w:rPr>
          <w:rFonts w:hint="eastAsia" w:ascii="宋体" w:hAnsi="宋体"/>
          <w:color w:val="auto"/>
          <w:kern w:val="0"/>
          <w:sz w:val="24"/>
          <w:szCs w:val="24"/>
        </w:rPr>
        <w:t>长招采公字【2021】030号</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（三）</w:t>
      </w:r>
      <w:r>
        <w:rPr>
          <w:rFonts w:hint="eastAsia" w:ascii="宋体" w:hAnsi="宋体"/>
          <w:sz w:val="24"/>
          <w:szCs w:val="24"/>
        </w:rPr>
        <w:t>采购方式：</w:t>
      </w:r>
      <w:r>
        <w:rPr>
          <w:rFonts w:hint="eastAsia" w:ascii="宋体" w:hAnsi="宋体"/>
          <w:kern w:val="0"/>
          <w:sz w:val="24"/>
          <w:szCs w:val="24"/>
        </w:rPr>
        <w:t>公开招标</w:t>
      </w:r>
    </w:p>
    <w:p>
      <w:pPr>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（四）项目内容：满足长葛市数字城管机房托管及数据传输访问带宽需求。具体参数详见招标文件采购需求。</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（五）标包划分：本项目划分为</w:t>
      </w:r>
      <w:r>
        <w:rPr>
          <w:rFonts w:hint="eastAsia"/>
          <w:sz w:val="24"/>
          <w:szCs w:val="24"/>
        </w:rPr>
        <w:t>一</w:t>
      </w:r>
      <w:r>
        <w:rPr>
          <w:rFonts w:hint="eastAsia" w:ascii="宋体" w:hAnsi="宋体"/>
          <w:kern w:val="0"/>
          <w:sz w:val="24"/>
          <w:szCs w:val="24"/>
        </w:rPr>
        <w:t>个标包，</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w:t>
      </w:r>
      <w:r>
        <w:rPr>
          <w:rFonts w:hint="eastAsia" w:ascii="宋体" w:hAnsi="宋体"/>
          <w:sz w:val="24"/>
          <w:szCs w:val="24"/>
        </w:rPr>
        <w:t>六）</w:t>
      </w:r>
      <w:r>
        <w:rPr>
          <w:rFonts w:hint="eastAsia" w:ascii="宋体" w:hAnsi="宋体"/>
          <w:kern w:val="0"/>
          <w:sz w:val="24"/>
          <w:szCs w:val="24"/>
        </w:rPr>
        <w:t>预算金额（最高限价）：2250000.00元。</w:t>
      </w:r>
    </w:p>
    <w:p>
      <w:pPr>
        <w:spacing w:line="360" w:lineRule="auto"/>
        <w:ind w:firstLine="600" w:firstLineChars="250"/>
        <w:jc w:val="left"/>
        <w:rPr>
          <w:rFonts w:ascii="宋体" w:hAnsi="宋体"/>
          <w:sz w:val="24"/>
          <w:szCs w:val="24"/>
        </w:rPr>
      </w:pPr>
      <w:r>
        <w:rPr>
          <w:rFonts w:hint="eastAsia" w:ascii="宋体" w:hAnsi="宋体"/>
          <w:sz w:val="24"/>
          <w:szCs w:val="24"/>
        </w:rPr>
        <w:t>（</w:t>
      </w:r>
      <w:r>
        <w:rPr>
          <w:rFonts w:hint="eastAsia" w:ascii="宋体" w:hAnsi="宋体"/>
          <w:kern w:val="0"/>
          <w:sz w:val="24"/>
          <w:szCs w:val="24"/>
          <w:lang w:eastAsia="zh-CN"/>
        </w:rPr>
        <w:t>七</w:t>
      </w:r>
      <w:r>
        <w:rPr>
          <w:rFonts w:hint="eastAsia" w:ascii="宋体" w:hAnsi="宋体"/>
          <w:sz w:val="24"/>
          <w:szCs w:val="24"/>
        </w:rPr>
        <w:t>）服务地点：采购人指定地点。</w:t>
      </w:r>
    </w:p>
    <w:p>
      <w:pPr>
        <w:spacing w:line="360" w:lineRule="auto"/>
        <w:ind w:firstLine="600" w:firstLineChars="250"/>
        <w:jc w:val="left"/>
        <w:rPr>
          <w:rFonts w:ascii="宋体" w:hAnsi="宋体"/>
          <w:sz w:val="24"/>
          <w:szCs w:val="24"/>
        </w:rPr>
      </w:pPr>
      <w:r>
        <w:rPr>
          <w:rFonts w:hint="eastAsia" w:ascii="宋体" w:hAnsi="宋体"/>
          <w:kern w:val="0"/>
          <w:sz w:val="24"/>
          <w:szCs w:val="24"/>
        </w:rPr>
        <w:t>（</w:t>
      </w:r>
      <w:r>
        <w:rPr>
          <w:rFonts w:hint="eastAsia" w:ascii="宋体" w:hAnsi="宋体"/>
          <w:kern w:val="0"/>
          <w:sz w:val="24"/>
          <w:szCs w:val="24"/>
          <w:lang w:eastAsia="zh-CN"/>
        </w:rPr>
        <w:t>八</w:t>
      </w:r>
      <w:r>
        <w:rPr>
          <w:rFonts w:hint="eastAsia" w:ascii="宋体" w:hAnsi="宋体"/>
          <w:kern w:val="0"/>
          <w:sz w:val="24"/>
          <w:szCs w:val="24"/>
        </w:rPr>
        <w:t>）</w:t>
      </w:r>
      <w:r>
        <w:rPr>
          <w:rFonts w:hint="eastAsia" w:ascii="宋体" w:hAnsi="宋体"/>
          <w:sz w:val="24"/>
          <w:szCs w:val="24"/>
        </w:rPr>
        <w:t>资金来源：财政资金</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w:t>
      </w:r>
      <w:r>
        <w:rPr>
          <w:rFonts w:hint="eastAsia" w:ascii="宋体" w:hAnsi="宋体"/>
          <w:kern w:val="0"/>
          <w:sz w:val="24"/>
          <w:szCs w:val="24"/>
          <w:lang w:eastAsia="zh-CN"/>
        </w:rPr>
        <w:t>九</w:t>
      </w:r>
      <w:r>
        <w:rPr>
          <w:rFonts w:hint="eastAsia" w:ascii="宋体" w:hAnsi="宋体"/>
          <w:kern w:val="0"/>
          <w:sz w:val="24"/>
          <w:szCs w:val="24"/>
        </w:rPr>
        <w:t>）</w:t>
      </w:r>
      <w:r>
        <w:rPr>
          <w:rFonts w:hint="eastAsia" w:ascii="宋体" w:hAnsi="宋体"/>
          <w:sz w:val="24"/>
          <w:szCs w:val="24"/>
        </w:rPr>
        <w:t>分包：不允许</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二、需要落实的政府采购政策</w:t>
      </w:r>
    </w:p>
    <w:p>
      <w:pPr>
        <w:pStyle w:val="12"/>
        <w:spacing w:line="360" w:lineRule="auto"/>
        <w:ind w:firstLine="480" w:firstLineChars="200"/>
        <w:contextualSpacing/>
      </w:pPr>
      <w:r>
        <w:rPr>
          <w:rFonts w:hint="eastAsia"/>
        </w:rPr>
        <w:t>本项目落实节能环保、中小微型企业扶持、支持监狱企业发展、残疾人福利性单位扶持等相关政府采购政策。</w:t>
      </w:r>
    </w:p>
    <w:p>
      <w:pPr>
        <w:pStyle w:val="12"/>
        <w:spacing w:line="360" w:lineRule="auto"/>
        <w:ind w:firstLine="482" w:firstLineChars="200"/>
        <w:contextualSpacing/>
        <w:rPr>
          <w:b/>
        </w:rPr>
      </w:pPr>
      <w:r>
        <w:rPr>
          <w:rFonts w:hint="eastAsia"/>
          <w:b/>
        </w:rPr>
        <w:t>三、投标人资格要求</w:t>
      </w:r>
    </w:p>
    <w:p>
      <w:pPr>
        <w:pStyle w:val="12"/>
        <w:spacing w:line="360" w:lineRule="auto"/>
        <w:ind w:firstLine="480" w:firstLineChars="200"/>
        <w:contextualSpacing/>
      </w:pPr>
      <w:r>
        <w:rPr>
          <w:rFonts w:hint="eastAsia"/>
        </w:rPr>
        <w:t>1、符合《中华人民共和国政府采购法》第二十二条之规定；</w:t>
      </w:r>
    </w:p>
    <w:p>
      <w:pPr>
        <w:pStyle w:val="12"/>
        <w:wordWrap w:val="0"/>
        <w:spacing w:line="360" w:lineRule="auto"/>
        <w:ind w:firstLine="480" w:firstLineChars="200"/>
        <w:contextualSpacing/>
      </w:pPr>
      <w:r>
        <w:rPr>
          <w:rFonts w:hint="eastAsia"/>
        </w:rPr>
        <w:t>2、在中华人民共和国境内注册，具有相应经营范围，有提供本次采购内容的能力。</w:t>
      </w:r>
    </w:p>
    <w:p>
      <w:pPr>
        <w:pStyle w:val="12"/>
        <w:wordWrap w:val="0"/>
        <w:spacing w:line="360" w:lineRule="auto"/>
        <w:ind w:firstLine="480" w:firstLineChars="200"/>
        <w:contextualSpacing/>
      </w:pPr>
      <w:r>
        <w:rPr>
          <w:rFonts w:hint="eastAsia"/>
        </w:rPr>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w:t>
      </w:r>
    </w:p>
    <w:p>
      <w:pPr>
        <w:pStyle w:val="12"/>
        <w:spacing w:line="360" w:lineRule="auto"/>
        <w:ind w:firstLine="480" w:firstLineChars="200"/>
        <w:contextualSpacing/>
      </w:pPr>
      <w:r>
        <w:rPr>
          <w:rFonts w:hint="eastAsia"/>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2"/>
        <w:spacing w:line="360" w:lineRule="auto"/>
        <w:ind w:firstLine="480" w:firstLineChars="200"/>
        <w:contextualSpacing/>
      </w:pPr>
      <w:r>
        <w:rPr>
          <w:rFonts w:hint="eastAsia"/>
        </w:rPr>
        <w:t>5、本项目不接受联合体投标。</w:t>
      </w:r>
    </w:p>
    <w:p>
      <w:pPr>
        <w:pStyle w:val="12"/>
        <w:spacing w:line="360" w:lineRule="auto"/>
        <w:ind w:firstLine="482" w:firstLineChars="200"/>
        <w:contextualSpacing/>
        <w:rPr>
          <w:b/>
        </w:rPr>
      </w:pPr>
      <w:r>
        <w:rPr>
          <w:rFonts w:hint="eastAsia"/>
          <w:b/>
        </w:rPr>
        <w:t>四、招标文件的获取</w:t>
      </w:r>
    </w:p>
    <w:p>
      <w:pPr>
        <w:pStyle w:val="12"/>
        <w:wordWrap w:val="0"/>
        <w:spacing w:line="360" w:lineRule="auto"/>
        <w:ind w:firstLine="480" w:firstLineChars="200"/>
        <w:contextualSpacing/>
      </w:pPr>
      <w:r>
        <w:rPr>
          <w:rFonts w:hint="eastAsia"/>
        </w:rPr>
        <w:t>4.1持CA数字认证证书，登录《全国公共资源交易平台（河南省•许昌市）》“系统用户注册”入口http://ggzy.xuchang.gov.cn:8088/ggzy/eps/public/RegistAllJcxx.html）进行免费注册登记（详见“常见问题解答-诚信库网上注册相关资料下载”）；</w:t>
      </w:r>
    </w:p>
    <w:p>
      <w:pPr>
        <w:pStyle w:val="12"/>
        <w:wordWrap w:val="0"/>
        <w:spacing w:line="360" w:lineRule="auto"/>
        <w:ind w:firstLine="480" w:firstLineChars="200"/>
        <w:contextualSpacing/>
      </w:pPr>
      <w:r>
        <w:rPr>
          <w:rFonts w:hint="eastAsia"/>
        </w:rPr>
        <w:t>4.2在投标截止时间前均可登录《全国公共资源交易平台（河南省•许昌市）》“投标人/供应商登录”入口（http://ggzy.xuchang.gov.cn:8088/ggzy/）自行下载采购文件（详见“常见问题解答-交易系统操作手册”）。</w:t>
      </w:r>
    </w:p>
    <w:p>
      <w:pPr>
        <w:pStyle w:val="12"/>
        <w:wordWrap w:val="0"/>
        <w:spacing w:line="360" w:lineRule="auto"/>
        <w:ind w:firstLine="482" w:firstLineChars="200"/>
        <w:contextualSpacing/>
        <w:rPr>
          <w:b/>
        </w:rPr>
      </w:pPr>
      <w:r>
        <w:rPr>
          <w:rFonts w:hint="eastAsia"/>
          <w:b/>
        </w:rPr>
        <w:t>五、</w:t>
      </w:r>
      <w:r>
        <w:rPr>
          <w:rFonts w:hint="eastAsia"/>
          <w:b/>
          <w:kern w:val="2"/>
        </w:rPr>
        <w:t>投标截止时间、开标时间及地点</w:t>
      </w:r>
    </w:p>
    <w:p>
      <w:pPr>
        <w:pStyle w:val="12"/>
        <w:shd w:val="clear" w:color="auto" w:fill="FFFFFF"/>
        <w:spacing w:line="360" w:lineRule="auto"/>
        <w:ind w:firstLine="360" w:firstLineChars="150"/>
        <w:contextualSpacing/>
      </w:pPr>
      <w:r>
        <w:t>5.1</w:t>
      </w:r>
      <w:r>
        <w:rPr>
          <w:rFonts w:hint="eastAsia"/>
        </w:rPr>
        <w:t>投标截止及开标时间：</w:t>
      </w:r>
      <w:r>
        <w:rPr>
          <w:rFonts w:hint="eastAsia"/>
          <w:color w:val="auto"/>
          <w:u w:val="single"/>
        </w:rPr>
        <w:t>20</w:t>
      </w:r>
      <w:r>
        <w:rPr>
          <w:color w:val="auto"/>
          <w:u w:val="single"/>
        </w:rPr>
        <w:t>2</w:t>
      </w:r>
      <w:r>
        <w:rPr>
          <w:rFonts w:hint="eastAsia"/>
          <w:color w:val="auto"/>
          <w:u w:val="single"/>
        </w:rPr>
        <w:t xml:space="preserve">1年 </w:t>
      </w:r>
      <w:r>
        <w:rPr>
          <w:rFonts w:hint="eastAsia"/>
          <w:color w:val="auto"/>
          <w:u w:val="single"/>
          <w:lang w:val="en-US" w:eastAsia="zh-CN"/>
        </w:rPr>
        <w:t>11</w:t>
      </w:r>
      <w:r>
        <w:rPr>
          <w:rFonts w:hint="eastAsia"/>
          <w:color w:val="auto"/>
          <w:u w:val="single"/>
        </w:rPr>
        <w:t xml:space="preserve"> 月 </w:t>
      </w:r>
      <w:r>
        <w:rPr>
          <w:rFonts w:hint="eastAsia"/>
          <w:color w:val="auto"/>
          <w:u w:val="single"/>
          <w:lang w:val="en-US" w:eastAsia="zh-CN"/>
        </w:rPr>
        <w:t>18</w:t>
      </w:r>
      <w:r>
        <w:rPr>
          <w:rFonts w:hint="eastAsia"/>
          <w:color w:val="auto"/>
          <w:u w:val="single"/>
        </w:rPr>
        <w:t>日</w:t>
      </w:r>
      <w:r>
        <w:rPr>
          <w:rFonts w:hint="eastAsia"/>
          <w:color w:val="auto"/>
          <w:u w:val="single"/>
          <w:lang w:val="en-US" w:eastAsia="zh-CN"/>
        </w:rPr>
        <w:t>8</w:t>
      </w:r>
      <w:r>
        <w:rPr>
          <w:rFonts w:hint="eastAsia"/>
          <w:color w:val="auto"/>
          <w:u w:val="single"/>
        </w:rPr>
        <w:t xml:space="preserve"> 时 </w:t>
      </w:r>
      <w:r>
        <w:rPr>
          <w:rFonts w:hint="eastAsia"/>
          <w:color w:val="auto"/>
          <w:u w:val="single"/>
          <w:lang w:val="en-US" w:eastAsia="zh-CN"/>
        </w:rPr>
        <w:t>30</w:t>
      </w:r>
      <w:r>
        <w:rPr>
          <w:rFonts w:hint="eastAsia"/>
          <w:color w:val="auto"/>
          <w:u w:val="single"/>
        </w:rPr>
        <w:t>分</w:t>
      </w:r>
      <w:r>
        <w:rPr>
          <w:rFonts w:hint="eastAsia"/>
        </w:rPr>
        <w:t>（北京时间），逾期提交或不符合规定的投标文件不予接受。</w:t>
      </w:r>
    </w:p>
    <w:p>
      <w:pPr>
        <w:pStyle w:val="12"/>
        <w:shd w:val="clear" w:color="auto" w:fill="FFFFFF"/>
        <w:spacing w:line="360" w:lineRule="auto"/>
        <w:ind w:firstLine="360" w:firstLineChars="150"/>
        <w:contextualSpacing/>
      </w:pPr>
      <w:r>
        <w:t>5.2</w:t>
      </w:r>
      <w:r>
        <w:rPr>
          <w:rFonts w:hint="eastAsia"/>
        </w:rPr>
        <w:t>开标地点：长葛市公共资源交易中心</w:t>
      </w:r>
      <w:r>
        <w:rPr>
          <w:rFonts w:hint="eastAsia"/>
          <w:color w:val="auto"/>
        </w:rPr>
        <w:t>开标</w:t>
      </w:r>
      <w:r>
        <w:rPr>
          <w:rFonts w:hint="eastAsia"/>
          <w:color w:val="auto"/>
          <w:lang w:val="en-US" w:eastAsia="zh-CN"/>
        </w:rPr>
        <w:t>二</w:t>
      </w:r>
      <w:r>
        <w:rPr>
          <w:rFonts w:hint="eastAsia"/>
        </w:rPr>
        <w:t>室（长葛市葛天大道东段商务区6#楼4楼</w:t>
      </w:r>
      <w:r>
        <w:rPr>
          <w:rFonts w:hint="eastAsia"/>
          <w:lang w:val="en-US" w:eastAsia="zh-CN"/>
        </w:rPr>
        <w:t>409</w:t>
      </w:r>
      <w:r>
        <w:rPr>
          <w:rFonts w:hint="eastAsia"/>
          <w:color w:val="auto"/>
        </w:rPr>
        <w:t>室</w:t>
      </w:r>
      <w:r>
        <w:rPr>
          <w:rFonts w:hint="eastAsia"/>
        </w:rPr>
        <w:t>），（本项目采用远程不见面开标，投标人无须到现场）。</w:t>
      </w:r>
    </w:p>
    <w:p>
      <w:pPr>
        <w:pStyle w:val="12"/>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12"/>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2"/>
        <w:shd w:val="clear" w:color="auto" w:fill="FFFFFF"/>
        <w:spacing w:line="360" w:lineRule="auto"/>
        <w:ind w:firstLine="360" w:firstLineChars="150"/>
        <w:contextualSpacing/>
        <w:rPr>
          <w:b/>
          <w:kern w:val="2"/>
        </w:rPr>
      </w:pPr>
      <w:r>
        <w:rPr>
          <w:rFonts w:hint="eastAsia"/>
        </w:rPr>
        <w:t xml:space="preserve">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      </w:t>
      </w:r>
      <w:r>
        <w:rPr>
          <w:rFonts w:hint="eastAsia"/>
          <w:b/>
        </w:rPr>
        <w:t>六、</w:t>
      </w:r>
      <w:r>
        <w:rPr>
          <w:rFonts w:hint="eastAsia"/>
          <w:b/>
          <w:kern w:val="2"/>
        </w:rPr>
        <w:t>发布公告的媒介</w:t>
      </w:r>
    </w:p>
    <w:p>
      <w:pPr>
        <w:pStyle w:val="12"/>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八、联系方式</w:t>
      </w:r>
    </w:p>
    <w:p>
      <w:pPr>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采购人：长葛市城市管理局</w:t>
      </w:r>
    </w:p>
    <w:p>
      <w:pPr>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地  址：长葛市泰山路7号楼</w:t>
      </w:r>
    </w:p>
    <w:p>
      <w:pPr>
        <w:spacing w:line="360" w:lineRule="auto"/>
        <w:ind w:firstLine="600" w:firstLineChars="250"/>
        <w:jc w:val="left"/>
        <w:rPr>
          <w:rFonts w:hint="eastAsia" w:ascii="宋体" w:hAnsi="宋体"/>
          <w:kern w:val="0"/>
          <w:sz w:val="24"/>
          <w:szCs w:val="24"/>
          <w:lang w:val="zh-CN"/>
        </w:rPr>
      </w:pPr>
      <w:r>
        <w:rPr>
          <w:rFonts w:hint="eastAsia" w:ascii="宋体" w:hAnsi="宋体"/>
          <w:kern w:val="0"/>
          <w:sz w:val="24"/>
          <w:szCs w:val="24"/>
        </w:rPr>
        <w:t>联系人：马先生</w:t>
      </w:r>
    </w:p>
    <w:p>
      <w:pPr>
        <w:spacing w:line="360" w:lineRule="auto"/>
        <w:ind w:firstLine="600" w:firstLineChars="250"/>
        <w:jc w:val="left"/>
        <w:rPr>
          <w:rFonts w:hint="eastAsia" w:ascii="宋体" w:hAnsi="宋体"/>
          <w:kern w:val="0"/>
          <w:sz w:val="24"/>
          <w:szCs w:val="24"/>
        </w:rPr>
      </w:pPr>
      <w:r>
        <w:rPr>
          <w:rFonts w:hint="eastAsia" w:ascii="宋体" w:hAnsi="宋体"/>
          <w:kern w:val="0"/>
          <w:sz w:val="24"/>
          <w:szCs w:val="24"/>
          <w:lang w:val="zh-CN"/>
        </w:rPr>
        <w:t>联系电话：</w:t>
      </w:r>
      <w:r>
        <w:rPr>
          <w:rFonts w:hint="eastAsia" w:ascii="宋体" w:hAnsi="宋体"/>
          <w:kern w:val="0"/>
          <w:sz w:val="24"/>
          <w:szCs w:val="24"/>
        </w:rPr>
        <w:t>13333997825</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代理机构：中科经纬工程技术有限公司</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联 系 人：</w:t>
      </w:r>
      <w:r>
        <w:rPr>
          <w:rFonts w:hint="eastAsia" w:ascii="宋体" w:hAnsi="宋体"/>
          <w:kern w:val="0"/>
          <w:sz w:val="24"/>
          <w:szCs w:val="24"/>
          <w:lang w:eastAsia="zh-CN"/>
        </w:rPr>
        <w:t>盛</w:t>
      </w:r>
      <w:r>
        <w:rPr>
          <w:rFonts w:hint="eastAsia" w:ascii="宋体" w:hAnsi="宋体"/>
          <w:kern w:val="0"/>
          <w:sz w:val="24"/>
          <w:szCs w:val="24"/>
        </w:rPr>
        <w:t>女士</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kern w:val="0"/>
          <w:sz w:val="24"/>
          <w:szCs w:val="24"/>
        </w:rPr>
        <w:t>联系电话：</w:t>
      </w:r>
      <w:r>
        <w:rPr>
          <w:rFonts w:hint="eastAsia" w:ascii="宋体" w:hAnsi="宋体" w:cs="宋体"/>
          <w:b w:val="0"/>
          <w:bCs w:val="0"/>
          <w:i w:val="0"/>
          <w:iCs w:val="0"/>
          <w:color w:val="000000"/>
          <w:kern w:val="0"/>
          <w:sz w:val="24"/>
          <w:szCs w:val="24"/>
          <w:u w:val="none"/>
          <w:shd w:val="clear" w:fill="FFFFFF"/>
          <w:lang w:val="en-US" w:eastAsia="zh-CN" w:bidi="ar"/>
        </w:rPr>
        <w:t>13673813219</w:t>
      </w:r>
    </w:p>
    <w:p>
      <w:pPr>
        <w:spacing w:line="360" w:lineRule="auto"/>
        <w:ind w:firstLine="600" w:firstLineChars="250"/>
        <w:jc w:val="left"/>
        <w:rPr>
          <w:rFonts w:hint="eastAsia" w:ascii="宋体" w:hAnsi="宋体"/>
          <w:kern w:val="0"/>
          <w:sz w:val="24"/>
          <w:szCs w:val="24"/>
        </w:rPr>
      </w:pPr>
      <w:r>
        <w:rPr>
          <w:rFonts w:hint="eastAsia" w:ascii="宋体" w:hAnsi="宋体"/>
          <w:kern w:val="0"/>
          <w:sz w:val="24"/>
          <w:szCs w:val="24"/>
        </w:rPr>
        <w:t>地址:成都高新区九兴大道9号2栋7楼1号</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长葛市公共资源交易中业务科室联系电话：0374-6189667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Style w:val="16"/>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ind w:firstLine="120" w:firstLineChars="50"/>
        <w:jc w:val="center"/>
        <w:rPr>
          <w:rFonts w:hint="eastAsia" w:ascii="宋体" w:hAnsi="宋体" w:cs="黑体"/>
          <w:b/>
          <w:bCs/>
          <w:sz w:val="24"/>
          <w:shd w:val="clear" w:color="auto" w:fill="FFFFFF"/>
        </w:rPr>
      </w:pPr>
      <w:r>
        <w:rPr>
          <w:rFonts w:hint="eastAsia" w:ascii="宋体" w:hAnsi="宋体" w:cs="黑体"/>
          <w:b/>
          <w:bCs/>
          <w:sz w:val="24"/>
          <w:shd w:val="clear" w:color="auto" w:fill="FFFFFF"/>
        </w:rPr>
        <w:t>第二章  采购需求</w:t>
      </w:r>
    </w:p>
    <w:p>
      <w:pPr>
        <w:ind w:firstLine="120" w:firstLineChars="50"/>
        <w:rPr>
          <w:rFonts w:ascii="宋体" w:hAnsi="宋体" w:cs="黑体"/>
          <w:b/>
          <w:bCs/>
          <w:sz w:val="24"/>
          <w:shd w:val="clear" w:color="auto" w:fill="FFFFFF"/>
        </w:rPr>
      </w:pPr>
    </w:p>
    <w:p>
      <w:pPr>
        <w:ind w:firstLine="120" w:firstLineChars="50"/>
        <w:rPr>
          <w:rFonts w:ascii="宋体" w:hAnsi="宋体" w:cs="黑体"/>
          <w:b/>
          <w:bCs/>
          <w:sz w:val="24"/>
          <w:shd w:val="clear" w:color="auto" w:fill="FFFFFF"/>
        </w:rPr>
      </w:pPr>
    </w:p>
    <w:p>
      <w:pPr>
        <w:ind w:firstLine="120" w:firstLineChars="50"/>
        <w:rPr>
          <w:rFonts w:ascii="宋体" w:hAnsi="宋体" w:cs="黑体"/>
          <w:b/>
          <w:bCs/>
          <w:sz w:val="24"/>
          <w:shd w:val="clear" w:color="auto" w:fill="FFFFFF"/>
        </w:rPr>
      </w:pPr>
      <w:r>
        <w:rPr>
          <w:rFonts w:hint="eastAsia" w:ascii="宋体" w:hAnsi="宋体" w:cs="黑体"/>
          <w:b/>
          <w:bCs/>
          <w:sz w:val="24"/>
          <w:shd w:val="clear" w:color="auto" w:fill="FFFFFF"/>
        </w:rPr>
        <w:t>一、本项目需实现的功能或者目标</w:t>
      </w:r>
    </w:p>
    <w:p>
      <w:pPr>
        <w:widowControl/>
        <w:shd w:val="clear" w:color="auto" w:fill="FFFFFF"/>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依据要求由运营商投资建设。</w:t>
      </w:r>
    </w:p>
    <w:p>
      <w:pPr>
        <w:widowControl/>
        <w:numPr>
          <w:ilvl w:val="0"/>
          <w:numId w:val="2"/>
        </w:numPr>
        <w:shd w:val="clear" w:color="auto" w:fill="FFFFFF"/>
        <w:spacing w:line="360" w:lineRule="auto"/>
        <w:ind w:firstLine="120" w:firstLineChars="50"/>
        <w:contextualSpacing/>
        <w:jc w:val="left"/>
        <w:rPr>
          <w:rFonts w:ascii="宋体" w:hAnsi="宋体" w:cs="黑体"/>
          <w:b/>
          <w:bCs/>
          <w:sz w:val="24"/>
          <w:shd w:val="clear" w:color="auto" w:fill="FFFFFF"/>
        </w:rPr>
      </w:pPr>
      <w:r>
        <w:rPr>
          <w:rFonts w:hint="eastAsia" w:ascii="宋体" w:hAnsi="宋体" w:cs="黑体"/>
          <w:b/>
          <w:bCs/>
          <w:sz w:val="24"/>
          <w:shd w:val="clear" w:color="auto" w:fill="FFFFFF"/>
        </w:rPr>
        <w:t>采购内容：</w:t>
      </w:r>
    </w:p>
    <w:p>
      <w:pPr>
        <w:jc w:val="center"/>
        <w:rPr>
          <w:rFonts w:ascii="宋体" w:hAnsi="宋体" w:cs="宋体"/>
          <w:b/>
          <w:bCs/>
          <w:sz w:val="30"/>
          <w:szCs w:val="30"/>
        </w:rPr>
      </w:pPr>
      <w:r>
        <w:rPr>
          <w:rFonts w:hint="eastAsia" w:ascii="宋体" w:hAnsi="宋体" w:cs="宋体"/>
          <w:b/>
          <w:bCs/>
          <w:sz w:val="30"/>
          <w:szCs w:val="30"/>
        </w:rPr>
        <w:t>长葛数字城管项目产品清单</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16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cs="宋体"/>
                <w:b/>
              </w:rPr>
            </w:pPr>
            <w:r>
              <w:rPr>
                <w:rFonts w:hint="eastAsia" w:ascii="仿宋" w:hAnsi="仿宋" w:eastAsia="仿宋" w:cs="宋体"/>
                <w:b/>
              </w:rPr>
              <w:t>序号</w:t>
            </w:r>
          </w:p>
        </w:tc>
        <w:tc>
          <w:tcPr>
            <w:tcW w:w="993" w:type="dxa"/>
            <w:vAlign w:val="center"/>
          </w:tcPr>
          <w:p>
            <w:pPr>
              <w:jc w:val="center"/>
              <w:rPr>
                <w:rFonts w:ascii="仿宋" w:hAnsi="仿宋" w:eastAsia="仿宋" w:cs="宋体"/>
                <w:b/>
              </w:rPr>
            </w:pPr>
            <w:r>
              <w:rPr>
                <w:rFonts w:hint="eastAsia" w:ascii="仿宋" w:hAnsi="仿宋" w:eastAsia="仿宋" w:cs="宋体"/>
                <w:b/>
              </w:rPr>
              <w:t>名称</w:t>
            </w:r>
          </w:p>
        </w:tc>
        <w:tc>
          <w:tcPr>
            <w:tcW w:w="7161" w:type="dxa"/>
            <w:vAlign w:val="center"/>
          </w:tcPr>
          <w:p>
            <w:pPr>
              <w:jc w:val="center"/>
              <w:rPr>
                <w:rFonts w:ascii="仿宋" w:hAnsi="仿宋" w:eastAsia="仿宋" w:cs="宋体"/>
                <w:b/>
              </w:rPr>
            </w:pPr>
            <w:r>
              <w:rPr>
                <w:rFonts w:hint="eastAsia" w:ascii="仿宋" w:hAnsi="仿宋" w:eastAsia="仿宋" w:cs="宋体"/>
                <w:b/>
              </w:rPr>
              <w:t>技术参数</w:t>
            </w:r>
          </w:p>
        </w:tc>
        <w:tc>
          <w:tcPr>
            <w:tcW w:w="777" w:type="dxa"/>
            <w:vAlign w:val="center"/>
          </w:tcPr>
          <w:p>
            <w:pPr>
              <w:jc w:val="center"/>
              <w:rPr>
                <w:rFonts w:ascii="仿宋" w:hAnsi="仿宋" w:eastAsia="仿宋" w:cs="宋体"/>
                <w:b/>
              </w:rPr>
            </w:pPr>
            <w:r>
              <w:rPr>
                <w:rFonts w:hint="eastAsia" w:ascii="仿宋" w:hAnsi="仿宋" w:eastAsia="仿宋" w:cs="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数据库</w:t>
            </w:r>
          </w:p>
          <w:p>
            <w:pPr>
              <w:jc w:val="center"/>
              <w:rPr>
                <w:rFonts w:ascii="微软雅黑" w:hAnsi="微软雅黑" w:eastAsia="微软雅黑"/>
                <w:sz w:val="18"/>
                <w:szCs w:val="18"/>
              </w:rPr>
            </w:pPr>
            <w:r>
              <w:rPr>
                <w:rFonts w:hint="eastAsia" w:ascii="微软雅黑" w:hAnsi="微软雅黑" w:eastAsia="微软雅黑"/>
                <w:sz w:val="18"/>
                <w:szCs w:val="18"/>
              </w:rPr>
              <w:t>服务器</w:t>
            </w:r>
          </w:p>
        </w:tc>
        <w:tc>
          <w:tcPr>
            <w:tcW w:w="7161" w:type="dxa"/>
          </w:tcPr>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服务器外观:机架式，并提供机架安装套件；</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★处理器:</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2颗C5218R 20C 2.1GHz 27.5MB 125W，支</w:t>
            </w:r>
            <w:r>
              <w:rPr>
                <w:rFonts w:ascii="微软雅黑" w:hAnsi="微软雅黑" w:eastAsia="微软雅黑"/>
                <w:color w:val="000000" w:themeColor="text1"/>
                <w:sz w:val="18"/>
                <w:szCs w:val="18"/>
                <w14:textFill>
                  <w14:solidFill>
                    <w14:schemeClr w14:val="tx1"/>
                  </w14:solidFill>
                </w14:textFill>
              </w:rPr>
              <w:t>持基于动态可重构技安全技术对CPU指令集的检测，确保CPU指令集无非法指令集以及硬件木马等缺陷。（提供第三方检测报告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内存配置:</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128GB DDR4 ECC REG RDIMM内存，</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16个内存插槽；</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硬盘配置:实配</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2块 2.5" 1200G/10000RPM SAS硬盘，标配</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8盘位(含盘盒)；</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SAS控制器:八通道12G 3008芯片控制器，做RAID1；</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网卡:</w:t>
            </w:r>
            <w:r>
              <w:rPr>
                <w:rFonts w:ascii="微软雅黑" w:hAnsi="微软雅黑" w:eastAsia="微软雅黑"/>
                <w:color w:val="000000" w:themeColor="text1"/>
                <w:sz w:val="18"/>
                <w:szCs w:val="18"/>
                <w14:textFill>
                  <w14:solidFill>
                    <w14:schemeClr w14:val="tx1"/>
                  </w14:solidFill>
                </w14:textFill>
              </w:rPr>
              <w:t xml:space="preserve"> ≥</w:t>
            </w:r>
            <w:r>
              <w:rPr>
                <w:rFonts w:hint="eastAsia" w:ascii="微软雅黑" w:hAnsi="微软雅黑" w:eastAsia="微软雅黑"/>
                <w:color w:val="000000" w:themeColor="text1"/>
                <w:sz w:val="18"/>
                <w:szCs w:val="18"/>
                <w14:textFill>
                  <w14:solidFill>
                    <w14:schemeClr w14:val="tx1"/>
                  </w14:solidFill>
                </w14:textFill>
              </w:rPr>
              <w:t>2个千兆网口，独立IPMI远程管理接口；</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HBA卡：</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16Gb/s 单端口多模PCIe x8 半高(含光模块)；</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电源:高效能节能≤550W（1+1）白金牌电源；</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主机配置文件，高级网络管理，多租户隔离，VLAN隔离，安全组隔离，专用客户网段，虚拟路由器，集成防火墙，集成负载平衡，需提供软件著作权证书（含介质）；</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★认证：</w:t>
            </w:r>
            <w:r>
              <w:rPr>
                <w:rFonts w:ascii="微软雅黑" w:hAnsi="微软雅黑" w:eastAsia="微软雅黑"/>
                <w:color w:val="000000" w:themeColor="text1"/>
                <w:sz w:val="18"/>
                <w:szCs w:val="18"/>
                <w14:textFill>
                  <w14:solidFill>
                    <w14:schemeClr w14:val="tx1"/>
                  </w14:solidFill>
                </w14:textFill>
              </w:rPr>
              <w:t xml:space="preserve">通过GJB9001C-2017体系认证； </w:t>
            </w:r>
          </w:p>
          <w:p>
            <w:pPr>
              <w:numPr>
                <w:ilvl w:val="0"/>
                <w:numId w:val="3"/>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技术服务：原厂商提供3年7*24小时厂家免费质保服务，需提供原厂商盖章的售后服务承诺函及专项授权书原件。为保证所投产品真实性，需提供原厂商盖章配置清单。</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应用服务器</w:t>
            </w:r>
          </w:p>
        </w:tc>
        <w:tc>
          <w:tcPr>
            <w:tcW w:w="7161" w:type="dxa"/>
          </w:tcPr>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服务器外观:机架式，并提供机架安装套件；</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处理器:</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2颗</w:t>
            </w:r>
            <w:r>
              <w:rPr>
                <w:rFonts w:ascii="微软雅黑" w:hAnsi="微软雅黑" w:eastAsia="微软雅黑"/>
                <w:color w:val="000000" w:themeColor="text1"/>
                <w:sz w:val="18"/>
                <w:szCs w:val="18"/>
                <w14:textFill>
                  <w14:solidFill>
                    <w14:schemeClr w14:val="tx1"/>
                  </w14:solidFill>
                </w14:textFill>
              </w:rPr>
              <w:t>Xeon 4210 10C 2.20GHz 13.75MB 85W</w:t>
            </w:r>
            <w:r>
              <w:rPr>
                <w:rFonts w:hint="eastAsia" w:ascii="微软雅黑" w:hAnsi="微软雅黑" w:eastAsia="微软雅黑"/>
                <w:color w:val="000000" w:themeColor="text1"/>
                <w:sz w:val="18"/>
                <w:szCs w:val="18"/>
                <w14:textFill>
                  <w14:solidFill>
                    <w14:schemeClr w14:val="tx1"/>
                  </w14:solidFill>
                </w14:textFill>
              </w:rPr>
              <w:t>；</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内存配置:</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64GB DDR4 ECC REG RDIMM内存，</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16个内存插槽；</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硬盘配置:实配</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2块 2.5" 1200G/10000RPM SAS硬盘，标配</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8盘位(含盘盒)；</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SAS控制器:八通道12G 3008芯片控制器，做RAID1；</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网卡:</w:t>
            </w:r>
            <w:r>
              <w:rPr>
                <w:rFonts w:ascii="微软雅黑" w:hAnsi="微软雅黑" w:eastAsia="微软雅黑"/>
                <w:color w:val="000000" w:themeColor="text1"/>
                <w:sz w:val="18"/>
                <w:szCs w:val="18"/>
                <w14:textFill>
                  <w14:solidFill>
                    <w14:schemeClr w14:val="tx1"/>
                  </w14:solidFill>
                </w14:textFill>
              </w:rPr>
              <w:t xml:space="preserve"> ≥</w:t>
            </w:r>
            <w:r>
              <w:rPr>
                <w:rFonts w:hint="eastAsia" w:ascii="微软雅黑" w:hAnsi="微软雅黑" w:eastAsia="微软雅黑"/>
                <w:color w:val="000000" w:themeColor="text1"/>
                <w:sz w:val="18"/>
                <w:szCs w:val="18"/>
                <w14:textFill>
                  <w14:solidFill>
                    <w14:schemeClr w14:val="tx1"/>
                  </w14:solidFill>
                </w14:textFill>
              </w:rPr>
              <w:t>2个千兆网口，独立IPMI远程管理接口；</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HBA卡：</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16Gb/s 单端口多模PCIe x8 半高(含光模块)；</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电源:高效能节能≤550W（1+1）白金牌电源；</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★数据保护：支持异构存储镜像的读写（Read/Write sequence &amp; parallel）；支持快照在生产中心发起，自动传递到后期容灾中心的DSP中，使两端快照点数据一致；数据库模块服务：支持跨平台数据库；含跨平台数据库比对模块授权，提供数据库诊断服务，需定期出具跨平台数据库运维状态分析报告；通过可视化剖析关键的数据库度量指标、关联资源的使用到特定的查询语句，以及帮助可视化调优复杂的SQL语句；（需提供详细的界面截图加盖厂家公章）</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主机配置文件，高级网络管理，多租户隔离，VLAN隔离，安全组隔离，专用客户网段，虚拟路由器，集成防火墙，集成负载平衡，需提供软件著作权证书（含介质）；</w:t>
            </w:r>
          </w:p>
          <w:p>
            <w:pPr>
              <w:numPr>
                <w:ilvl w:val="0"/>
                <w:numId w:val="4"/>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★技术服务：原厂商提供3年7*24小时厂家免费质保服务，需提供原厂商盖章的售后服务承诺函及专项授权书原件。为保证所投产品真实性，需提供原厂商盖章配置清单。</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3</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光纤</w:t>
            </w:r>
          </w:p>
          <w:p>
            <w:pPr>
              <w:jc w:val="center"/>
              <w:rPr>
                <w:rFonts w:ascii="微软雅黑" w:hAnsi="微软雅黑" w:eastAsia="微软雅黑"/>
                <w:sz w:val="18"/>
                <w:szCs w:val="18"/>
              </w:rPr>
            </w:pPr>
            <w:r>
              <w:rPr>
                <w:rFonts w:hint="eastAsia" w:ascii="微软雅黑" w:hAnsi="微软雅黑" w:eastAsia="微软雅黑"/>
                <w:sz w:val="18"/>
                <w:szCs w:val="18"/>
              </w:rPr>
              <w:t>交换机</w:t>
            </w:r>
          </w:p>
        </w:tc>
        <w:tc>
          <w:tcPr>
            <w:tcW w:w="7161" w:type="dxa"/>
          </w:tcPr>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 xml:space="preserve">16Gb,24端口交换机，12端口激活，含12个16G短波SFP，含Web tools、Zoning、EGM软件授权，含级联许可，单电源，机架套件   </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4</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数据存储</w:t>
            </w:r>
          </w:p>
        </w:tc>
        <w:tc>
          <w:tcPr>
            <w:tcW w:w="7161" w:type="dxa"/>
          </w:tcPr>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体系架构：存储系统支持IP SAN.FC SAN.NAS等组网方式，本次提供iSCSI.FC.NFS.CIFS.HTTP.FTP等多种协议许可；NAS功能应为非网关实现方式；硬件采用全模块架构冗余设计，无单一故障点；</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控制器结构：配置≥两个存储控制器，控制器冗余设计，支持在线更换。支持多控制器集群，最大可扩展16个控制器集群；</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Cache容量：双控制器配置≥64GB Cache，集群最高</w:t>
            </w:r>
            <w:r>
              <w:rPr>
                <w:rFonts w:hint="eastAsia" w:ascii="微软雅黑" w:hAnsi="微软雅黑" w:eastAsia="微软雅黑"/>
                <w:color w:val="000000" w:themeColor="text1"/>
                <w:sz w:val="18"/>
                <w:szCs w:val="18"/>
                <w14:textFill>
                  <w14:solidFill>
                    <w14:schemeClr w14:val="tx1"/>
                  </w14:solidFill>
                </w14:textFill>
              </w:rPr>
              <w:t>支持</w:t>
            </w:r>
            <w:r>
              <w:rPr>
                <w:rFonts w:ascii="微软雅黑" w:hAnsi="微软雅黑" w:eastAsia="微软雅黑"/>
                <w:color w:val="000000" w:themeColor="text1"/>
                <w:sz w:val="18"/>
                <w:szCs w:val="18"/>
                <w14:textFill>
                  <w14:solidFill>
                    <w14:schemeClr w14:val="tx1"/>
                  </w14:solidFill>
                </w14:textFill>
              </w:rPr>
              <w:t>4TB Cache（缓存不包含SSD磁盘.高速Flash及NAS控制器缓存）；</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缓存保护：配置 BBU + Flash 永久电池保护模组；</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接口配置：≥4x10G iSCSI主机端口</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8 x16Gb（含8</w:t>
            </w:r>
            <w:r>
              <w:rPr>
                <w:rFonts w:hint="eastAsia" w:ascii="微软雅黑" w:hAnsi="微软雅黑" w:eastAsia="微软雅黑"/>
                <w:color w:val="000000" w:themeColor="text1"/>
                <w:sz w:val="18"/>
                <w:szCs w:val="18"/>
                <w14:textFill>
                  <w14:solidFill>
                    <w14:schemeClr w14:val="tx1"/>
                  </w14:solidFill>
                </w14:textFill>
              </w:rPr>
              <w:t>个</w:t>
            </w:r>
            <w:r>
              <w:rPr>
                <w:rFonts w:ascii="微软雅黑" w:hAnsi="微软雅黑" w:eastAsia="微软雅黑"/>
                <w:color w:val="000000" w:themeColor="text1"/>
                <w:sz w:val="18"/>
                <w:szCs w:val="18"/>
                <w14:textFill>
                  <w14:solidFill>
                    <w14:schemeClr w14:val="tx1"/>
                  </w14:solidFill>
                </w14:textFill>
              </w:rPr>
              <w:t>模块）主机接口</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配置4 x 12Gb SAS 3.0后端磁盘接口，可扩展至16个16Gb FC 或8个10Gb IP或16个1GbE 主机接口；</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磁盘驱动器：配置≥</w:t>
            </w:r>
            <w:r>
              <w:rPr>
                <w:rFonts w:hint="eastAsia" w:ascii="微软雅黑" w:hAnsi="微软雅黑" w:eastAsia="微软雅黑"/>
                <w:color w:val="000000" w:themeColor="text1"/>
                <w:sz w:val="18"/>
                <w:szCs w:val="18"/>
                <w14:textFill>
                  <w14:solidFill>
                    <w14:schemeClr w14:val="tx1"/>
                  </w14:solidFill>
                </w14:textFill>
              </w:rPr>
              <w:t>8</w:t>
            </w:r>
            <w:r>
              <w:rPr>
                <w:rFonts w:ascii="微软雅黑" w:hAnsi="微软雅黑" w:eastAsia="微软雅黑"/>
                <w:color w:val="000000" w:themeColor="text1"/>
                <w:sz w:val="18"/>
                <w:szCs w:val="18"/>
                <w14:textFill>
                  <w14:solidFill>
                    <w14:schemeClr w14:val="tx1"/>
                  </w14:solidFill>
                </w14:textFill>
              </w:rPr>
              <w:t>块2.5" 1</w:t>
            </w: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2T 10K SAS硬盘</w:t>
            </w:r>
            <w:r>
              <w:rPr>
                <w:rFonts w:hint="eastAsia" w:ascii="微软雅黑" w:hAnsi="微软雅黑" w:eastAsia="微软雅黑"/>
                <w:color w:val="000000" w:themeColor="text1"/>
                <w:sz w:val="18"/>
                <w:szCs w:val="18"/>
                <w14:textFill>
                  <w14:solidFill>
                    <w14:schemeClr w14:val="tx1"/>
                  </w14:solidFill>
                </w14:textFill>
              </w:rPr>
              <w:t>+8块3.5" 8000G/7200RPM NL SAS硬盘，</w:t>
            </w:r>
            <w:r>
              <w:rPr>
                <w:rFonts w:ascii="微软雅黑" w:hAnsi="微软雅黑" w:eastAsia="微软雅黑"/>
                <w:color w:val="000000" w:themeColor="text1"/>
                <w:sz w:val="18"/>
                <w:szCs w:val="18"/>
                <w14:textFill>
                  <w14:solidFill>
                    <w14:schemeClr w14:val="tx1"/>
                  </w14:solidFill>
                </w14:textFill>
              </w:rPr>
              <w:t>支持3.5寸7.2K NL_SAS，2.5寸10K/15K SAS，SSD等多种类型磁盘。支持三种磁盘在同一磁盘柜中混插；</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SSD缓存加速：配置SSD缓存加速功能，要求同时读写性能加速，降低应用延迟。不接受通过存储分层方式实现；</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快照</w:t>
            </w:r>
            <w:r>
              <w:rPr>
                <w:rFonts w:ascii="微软雅黑" w:hAnsi="微软雅黑" w:eastAsia="微软雅黑"/>
                <w:color w:val="000000" w:themeColor="text1"/>
                <w:sz w:val="18"/>
                <w:szCs w:val="18"/>
                <w14:textFill>
                  <w14:solidFill>
                    <w14:schemeClr w14:val="tx1"/>
                  </w14:solidFill>
                </w14:textFill>
              </w:rPr>
              <w:tab/>
            </w:r>
            <w:r>
              <w:rPr>
                <w:rFonts w:ascii="微软雅黑" w:hAnsi="微软雅黑" w:eastAsia="微软雅黑"/>
                <w:color w:val="000000" w:themeColor="text1"/>
                <w:sz w:val="18"/>
                <w:szCs w:val="18"/>
                <w14:textFill>
                  <w14:solidFill>
                    <w14:schemeClr w14:val="tx1"/>
                  </w14:solidFill>
                </w14:textFill>
              </w:rPr>
              <w:t>配置快照功能：单个LUN支持快照数≥512个；支持系统定时自动创建快照，且定时快照策略可通过存储自身管理软件配置，定时快照最小时间间隔≤5分钟；</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系统管理软件：提供完整的存储系统管理软件，支持集中式 GUI 管理，在同一管理界面实现监控以及多路径管理。支持OAPS技术通过USB设备获取：日志提取.密码重置.固件自动升级.自动安装部署等功能。</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数据活性定时保护和恢复功能：</w:t>
            </w:r>
            <w:r>
              <w:rPr>
                <w:rFonts w:hint="eastAsia" w:ascii="微软雅黑" w:hAnsi="微软雅黑" w:eastAsia="微软雅黑"/>
                <w:color w:val="000000" w:themeColor="text1"/>
                <w:sz w:val="18"/>
                <w:szCs w:val="18"/>
                <w14:textFill>
                  <w14:solidFill>
                    <w14:schemeClr w14:val="tx1"/>
                  </w14:solidFill>
                </w14:textFill>
              </w:rPr>
              <w:t>支持</w:t>
            </w:r>
            <w:r>
              <w:rPr>
                <w:rFonts w:ascii="微软雅黑" w:hAnsi="微软雅黑" w:eastAsia="微软雅黑"/>
                <w:color w:val="000000" w:themeColor="text1"/>
                <w:sz w:val="18"/>
                <w:szCs w:val="18"/>
                <w14:textFill>
                  <w14:solidFill>
                    <w14:schemeClr w14:val="tx1"/>
                  </w14:solidFill>
                </w14:textFill>
              </w:rPr>
              <w:t>基于主机快速复制技术和IO捕获技术，可实现生产数据主机端异步捕获，数据副本格式不经过格式转换，可直接旁路落盘到数据保护存储介质中，数据定时保护时间支持控制器隔可达到分钟级别，定时恢复的时间间隔也可以达到分钟级别，每卷可实现的数据副本数量不小于1000个（需要提供每卷快照设置周期和数量截图证明</w:t>
            </w:r>
            <w:r>
              <w:rPr>
                <w:rFonts w:hint="eastAsia" w:ascii="微软雅黑" w:hAnsi="微软雅黑" w:eastAsia="微软雅黑"/>
                <w:color w:val="000000" w:themeColor="text1"/>
                <w:sz w:val="18"/>
                <w:szCs w:val="18"/>
                <w14:textFill>
                  <w14:solidFill>
                    <w14:schemeClr w14:val="tx1"/>
                  </w14:solidFill>
                </w14:textFill>
              </w:rPr>
              <w:t>加盖厂家公章</w:t>
            </w:r>
            <w:r>
              <w:rPr>
                <w:rFonts w:ascii="微软雅黑" w:hAnsi="微软雅黑" w:eastAsia="微软雅黑"/>
                <w:color w:val="000000" w:themeColor="text1"/>
                <w:sz w:val="18"/>
                <w:szCs w:val="18"/>
                <w14:textFill>
                  <w14:solidFill>
                    <w14:schemeClr w14:val="tx1"/>
                  </w14:solidFill>
                </w14:textFill>
              </w:rPr>
              <w:t>）。</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持续数据保护功能：</w:t>
            </w:r>
            <w:r>
              <w:rPr>
                <w:rFonts w:hint="eastAsia" w:ascii="微软雅黑" w:hAnsi="微软雅黑" w:eastAsia="微软雅黑"/>
                <w:color w:val="000000" w:themeColor="text1"/>
                <w:sz w:val="18"/>
                <w:szCs w:val="18"/>
                <w14:textFill>
                  <w14:solidFill>
                    <w14:schemeClr w14:val="tx1"/>
                  </w14:solidFill>
                </w14:textFill>
              </w:rPr>
              <w:t>支持</w:t>
            </w:r>
            <w:r>
              <w:rPr>
                <w:rFonts w:ascii="微软雅黑" w:hAnsi="微软雅黑" w:eastAsia="微软雅黑"/>
                <w:color w:val="000000" w:themeColor="text1"/>
                <w:sz w:val="18"/>
                <w:szCs w:val="18"/>
                <w14:textFill>
                  <w14:solidFill>
                    <w14:schemeClr w14:val="tx1"/>
                  </w14:solidFill>
                </w14:textFill>
              </w:rPr>
              <w:t>数据连续保护功能，可实现基于Journal机制的每IO日志记录方式，实时IO落盘到数据安全活性数据恢复系统中。同时可基于IO级别进行IO级别数据回滚图形化工具，可通过连续时间轴拖动，实现数据副本的连续提取，数据副本的最小时间间隔可达到毫秒级别（提供证明毫秒级副本提取图形化工作截图并加盖印章证明</w:t>
            </w:r>
            <w:r>
              <w:rPr>
                <w:rFonts w:hint="eastAsia" w:ascii="微软雅黑" w:hAnsi="微软雅黑" w:eastAsia="微软雅黑"/>
                <w:color w:val="000000" w:themeColor="text1"/>
                <w:sz w:val="18"/>
                <w:szCs w:val="18"/>
                <w14:textFill>
                  <w14:solidFill>
                    <w14:schemeClr w14:val="tx1"/>
                  </w14:solidFill>
                </w14:textFill>
              </w:rPr>
              <w:t>加盖厂家公章</w:t>
            </w:r>
            <w:r>
              <w:rPr>
                <w:rFonts w:ascii="微软雅黑" w:hAnsi="微软雅黑" w:eastAsia="微软雅黑"/>
                <w:color w:val="000000" w:themeColor="text1"/>
                <w:sz w:val="18"/>
                <w:szCs w:val="18"/>
                <w14:textFill>
                  <w14:solidFill>
                    <w14:schemeClr w14:val="tx1"/>
                  </w14:solidFill>
                </w14:textFill>
              </w:rPr>
              <w:t>）；</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w:t>
            </w:r>
            <w:r>
              <w:rPr>
                <w:rFonts w:ascii="微软雅黑" w:hAnsi="微软雅黑" w:eastAsia="微软雅黑"/>
                <w:color w:val="000000" w:themeColor="text1"/>
                <w:sz w:val="18"/>
                <w:szCs w:val="18"/>
                <w14:textFill>
                  <w14:solidFill>
                    <w14:schemeClr w14:val="tx1"/>
                  </w14:solidFill>
                </w14:textFill>
              </w:rPr>
              <w:t>生产系统保护与恢复功能：支持对整个生产系统（包括操作系统.应用程序.配置和数据等）创建基于映像的快照；在生产系统出现故障时，可通过启动盘CD.DVD或USB闪盘启动服务器或执行裸机恢复（提供功能验证测试报告并加盖</w:t>
            </w:r>
            <w:r>
              <w:rPr>
                <w:rFonts w:hint="eastAsia" w:ascii="微软雅黑" w:hAnsi="微软雅黑" w:eastAsia="微软雅黑"/>
                <w:color w:val="000000" w:themeColor="text1"/>
                <w:sz w:val="18"/>
                <w:szCs w:val="18"/>
                <w14:textFill>
                  <w14:solidFill>
                    <w14:schemeClr w14:val="tx1"/>
                  </w14:solidFill>
                </w14:textFill>
              </w:rPr>
              <w:t>加盖厂家公章</w:t>
            </w:r>
            <w:r>
              <w:rPr>
                <w:rFonts w:ascii="微软雅黑" w:hAnsi="微软雅黑" w:eastAsia="微软雅黑"/>
                <w:color w:val="000000" w:themeColor="text1"/>
                <w:sz w:val="18"/>
                <w:szCs w:val="18"/>
                <w14:textFill>
                  <w14:solidFill>
                    <w14:schemeClr w14:val="tx1"/>
                  </w14:solidFill>
                </w14:textFill>
              </w:rPr>
              <w:t>）；</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技术服务：原厂商提供</w:t>
            </w:r>
            <w:r>
              <w:rPr>
                <w:rFonts w:ascii="微软雅黑" w:hAnsi="微软雅黑" w:eastAsia="微软雅黑"/>
                <w:color w:val="000000" w:themeColor="text1"/>
                <w:sz w:val="18"/>
                <w:szCs w:val="18"/>
                <w14:textFill>
                  <w14:solidFill>
                    <w14:schemeClr w14:val="tx1"/>
                  </w14:solidFill>
                </w14:textFill>
              </w:rPr>
              <w:t>3年7*24小时厂家免费质保服务</w:t>
            </w:r>
            <w:r>
              <w:rPr>
                <w:rFonts w:hint="eastAsia" w:ascii="微软雅黑" w:hAnsi="微软雅黑" w:eastAsia="微软雅黑"/>
                <w:color w:val="000000" w:themeColor="text1"/>
                <w:sz w:val="18"/>
                <w:szCs w:val="18"/>
                <w14:textFill>
                  <w14:solidFill>
                    <w14:schemeClr w14:val="tx1"/>
                  </w14:solidFill>
                </w14:textFill>
              </w:rPr>
              <w:t>，提供上门安装调试服务</w:t>
            </w:r>
            <w:r>
              <w:rPr>
                <w:rFonts w:ascii="微软雅黑" w:hAnsi="微软雅黑" w:eastAsia="微软雅黑"/>
                <w:color w:val="000000" w:themeColor="text1"/>
                <w:sz w:val="18"/>
                <w:szCs w:val="18"/>
                <w14:textFill>
                  <w14:solidFill>
                    <w14:schemeClr w14:val="tx1"/>
                  </w14:solidFill>
                </w14:textFill>
              </w:rPr>
              <w:t>，提供原厂商售后服务证明文件，提供原厂商根据该项目的专项授权。为保证所投产品真实性，需要原厂商盖章配置清单。</w:t>
            </w:r>
          </w:p>
          <w:p>
            <w:pPr>
              <w:numPr>
                <w:ilvl w:val="0"/>
                <w:numId w:val="5"/>
              </w:num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为保证产品兼容性，要求服务器与存储同一品牌。</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5</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核心交换机</w:t>
            </w:r>
          </w:p>
        </w:tc>
        <w:tc>
          <w:tcPr>
            <w:tcW w:w="7161" w:type="dxa"/>
          </w:tcPr>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10/100/1000M电接口≥48个，万兆光接口≥6个，冗余交流电源输入，采用前后直通风风道设计。</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 xml:space="preserve">交换容量≥2.1Tbps,包转发率≥1420Mpps  </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支持4K个VLAN，支持基于MAC、IP子网的VLAN、支持protocol vlan、支持private valn、支持voice vlan、支持guest vlan，QINQ等；多对一的端口镜像，远程端口镜像RSPAN，流镜像。</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★支持G.8032协议，实现ms级业务倒换（提供第三方检测报告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r>
              <w:rPr>
                <w:rFonts w:hint="eastAsia" w:ascii="微软雅黑" w:hAnsi="微软雅黑" w:eastAsia="微软雅黑"/>
                <w:sz w:val="18"/>
                <w:szCs w:val="18"/>
              </w:rPr>
              <w:t xml:space="preserve">。 </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支持DHCP Server，静态路由、RIP、OSPF、BGP和RIPng、OSPFv3、BGP4+等动态路由协议；支持BFD for VRRP/Static/RIP/OSPF等,支持MPLS MCE。</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支持Local认证，Radius，Tacacs+，AAA、802.1x认证</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★支持横向虚拟化功能，支持分布式设备管理、分布式链路聚合，统一路由管理。可以实现最多16台硬件设备之间的虚拟化部署（提供第三方检测报告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r>
              <w:rPr>
                <w:rFonts w:hint="eastAsia" w:ascii="微软雅黑" w:hAnsi="微软雅黑" w:eastAsia="微软雅黑"/>
                <w:sz w:val="18"/>
                <w:szCs w:val="18"/>
              </w:rPr>
              <w:t>。</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★设备支持M-LAG功能，支持跨设备链路聚合下双主检测功能（提供第三方检测报告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r>
              <w:rPr>
                <w:rFonts w:hint="eastAsia" w:ascii="微软雅黑" w:hAnsi="微软雅黑" w:eastAsia="微软雅黑"/>
                <w:sz w:val="18"/>
                <w:szCs w:val="18"/>
              </w:rPr>
              <w:t>。</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★支持二层VXLAN网关，支持终端脆弱性扫描（提供第三方检测报告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r>
              <w:rPr>
                <w:rFonts w:hint="eastAsia" w:ascii="微软雅黑" w:hAnsi="微软雅黑" w:eastAsia="微软雅黑"/>
                <w:sz w:val="18"/>
                <w:szCs w:val="18"/>
              </w:rPr>
              <w:t>。</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★支持ZTP,可实现零配置，零IP开局（提供第三方检测报告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★设备系统经过漏铜扫描软件测试，不存在高危漏铜（提供第三方检测报告</w:t>
            </w:r>
            <w:r>
              <w:rPr>
                <w:rFonts w:hint="eastAsia" w:ascii="微软雅黑" w:hAnsi="微软雅黑" w:eastAsia="微软雅黑"/>
                <w:color w:val="000000" w:themeColor="text1"/>
                <w:sz w:val="18"/>
                <w:szCs w:val="18"/>
                <w14:textFill>
                  <w14:solidFill>
                    <w14:schemeClr w14:val="tx1"/>
                  </w14:solidFill>
                </w14:textFill>
              </w:rPr>
              <w:t>加盖厂家公章）</w:t>
            </w:r>
          </w:p>
          <w:p>
            <w:pPr>
              <w:pStyle w:val="17"/>
              <w:numPr>
                <w:ilvl w:val="0"/>
                <w:numId w:val="6"/>
              </w:numPr>
              <w:ind w:firstLineChars="0"/>
              <w:rPr>
                <w:rFonts w:ascii="微软雅黑" w:hAnsi="微软雅黑" w:eastAsia="微软雅黑"/>
                <w:sz w:val="18"/>
                <w:szCs w:val="18"/>
              </w:rPr>
            </w:pPr>
            <w:r>
              <w:rPr>
                <w:rFonts w:hint="eastAsia" w:ascii="微软雅黑" w:hAnsi="微软雅黑" w:eastAsia="微软雅黑"/>
                <w:sz w:val="18"/>
                <w:szCs w:val="18"/>
              </w:rPr>
              <w:t>支持Telnet、Console、SNMP等管理方式</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6</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接入交换机</w:t>
            </w:r>
          </w:p>
        </w:tc>
        <w:tc>
          <w:tcPr>
            <w:tcW w:w="7161" w:type="dxa"/>
          </w:tcPr>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千兆电接口≥48个，SFP千兆光口≥4个，固化双电源。</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交换容量≥256Gbps，包转发率≥95Mpps。</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支持VLAN划分，最大支持4094个VLAN</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支持STP/RSTP/MSTP等生成树协议，可以避免网络出现环路</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支持DHCP SERVER,支持静态路由、RIPV1/V2动态路由</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支持CPU 保护功能，如ICMP Flood拦截、SYN Flood攻击拦截等，CPU根据不同协议进行限速保护。</w:t>
            </w:r>
          </w:p>
          <w:p>
            <w:pPr>
              <w:pStyle w:val="17"/>
              <w:numPr>
                <w:ilvl w:val="0"/>
                <w:numId w:val="7"/>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支持SNMP、TELNET、CONSOLE、SSH和WEB管理等方式管理</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7</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防火墙</w:t>
            </w:r>
          </w:p>
        </w:tc>
        <w:tc>
          <w:tcPr>
            <w:tcW w:w="7161" w:type="dxa"/>
          </w:tcPr>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络处理能力20Gbps，并发连接≥280万，每秒新建连接≥10万/秒，标准机架式结构，冗余电源，标准配置不少于8个10/100/1000M自适应电、2个千兆SFP光接口和2个万兆SFP+光接口,1个Console口，另外含有2个扩展插槽，包含访问控制、地址转换、静态路由、动态路由、策略路由、流量控制、VPN等基础功能； 默认含25个IPsecVPN 并发隧道数（最大3000）和25个SSLVPN 并发用户数（最大500）。含3年硬件维保服务。</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支持针对</w:t>
            </w:r>
            <w:r>
              <w:rPr>
                <w:rFonts w:ascii="微软雅黑" w:hAnsi="微软雅黑" w:eastAsia="微软雅黑"/>
                <w:color w:val="000000" w:themeColor="text1"/>
                <w:sz w:val="18"/>
                <w:szCs w:val="18"/>
                <w14:textFill>
                  <w14:solidFill>
                    <w14:schemeClr w14:val="tx1"/>
                  </w14:solidFill>
                </w14:textFill>
              </w:rPr>
              <w:t>MPLS流量的安全审查，包括漏洞防护、反病毒、间谍软件防护、内容过滤、URL过滤、基于终端状态访问控制等安全防护功能；</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支持源地址目的地址哈希、源地址哈希、轮询、时延负载、备份、随机、流量均衡、源地址轮询、目的地址哈希、最优链路带宽负载、最优链路带宽备份、跳数负载等不少于</w:t>
            </w:r>
            <w:r>
              <w:rPr>
                <w:rFonts w:ascii="微软雅黑" w:hAnsi="微软雅黑" w:eastAsia="微软雅黑"/>
                <w:color w:val="000000" w:themeColor="text1"/>
                <w:sz w:val="18"/>
                <w:szCs w:val="18"/>
                <w14:textFill>
                  <w14:solidFill>
                    <w14:schemeClr w14:val="tx1"/>
                  </w14:solidFill>
                </w14:textFill>
              </w:rPr>
              <w:t>12种路由负载均衡方式，支持基于IPv4或IPv6的TCP、HTTP、DNS、ICMP等方式的链路探测，同时TCP与HTTP可使用自定义目标端口进行测试</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特征库支持“永恒之蓝”、“</w:t>
            </w:r>
            <w:r>
              <w:rPr>
                <w:rFonts w:ascii="微软雅黑" w:hAnsi="微软雅黑" w:eastAsia="微软雅黑"/>
                <w:color w:val="000000" w:themeColor="text1"/>
                <w:sz w:val="18"/>
                <w:szCs w:val="18"/>
                <w14:textFill>
                  <w14:solidFill>
                    <w14:schemeClr w14:val="tx1"/>
                  </w14:solidFill>
                </w14:textFill>
              </w:rPr>
              <w:t xml:space="preserve">Apache文件漏洞”、“Microsoft Exchange Server远程代码执行漏洞”、“Apache ShardingSphere远程代码执行漏洞”、“Windows SMBv3 Client/Server 远程代码执行漏洞”、“WebLogic远程代码执行漏洞”以及对应的攻击名称、CVEID、CNNVDID、严重性、影响的平台、类型、描述等详细信息； </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支持基于主机或威胁情报视图，统计网络中确认被入侵、攻破的主机数量，至少可查看被入侵、攻破的时间、威胁类别、情报来源、威胁简介、被入侵、攻破的主机</w:t>
            </w:r>
            <w:r>
              <w:rPr>
                <w:rFonts w:ascii="微软雅黑" w:hAnsi="微软雅黑" w:eastAsia="微软雅黑"/>
                <w:color w:val="000000" w:themeColor="text1"/>
                <w:sz w:val="18"/>
                <w:szCs w:val="18"/>
                <w14:textFill>
                  <w14:solidFill>
                    <w14:schemeClr w14:val="tx1"/>
                  </w14:solidFill>
                </w14:textFill>
              </w:rPr>
              <w:t>IP、用户名、资产等信息；并对威胁情报发现的恶意主机执行自动阻断</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★支持对web业务系统进行源代码合规分析审计能力（提供国家版权局自主知识产权证明文件加盖厂家公章）</w:t>
            </w:r>
          </w:p>
          <w:p>
            <w:pPr>
              <w:pStyle w:val="17"/>
              <w:numPr>
                <w:ilvl w:val="0"/>
                <w:numId w:val="8"/>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提供生产厂家对此项目盖章服务承诺函。</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8</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入侵防御</w:t>
            </w:r>
          </w:p>
        </w:tc>
        <w:tc>
          <w:tcPr>
            <w:tcW w:w="7161" w:type="dxa"/>
          </w:tcPr>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网络层吞吐量为</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10Gbps，IPS吞吐量为</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5Gbps，最大并发连接数</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280万，每秒新建连接数</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10万/秒。标准机架式结构，有液晶面板，1TB硬盘，标准配置千兆</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6个10/100/1000M自适应电口，2个万兆光口SFP+插槽，2个扩展插槽，2组bypass，1个Console口，2个USB接口。报价中包含三年IPS特征库升级服务，三年硬件质保服务。</w:t>
            </w:r>
          </w:p>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可实现基于</w:t>
            </w:r>
            <w:r>
              <w:rPr>
                <w:rFonts w:ascii="微软雅黑" w:hAnsi="微软雅黑" w:eastAsia="微软雅黑"/>
                <w:color w:val="000000" w:themeColor="text1"/>
                <w:sz w:val="18"/>
                <w:szCs w:val="18"/>
                <w14:textFill>
                  <w14:solidFill>
                    <w14:schemeClr w14:val="tx1"/>
                  </w14:solidFill>
                </w14:textFill>
              </w:rPr>
              <w:t>IP地址、服务端口、IP协议、物理端口、DSCP值、IP优先级、TOS值、TTL值、ICMP类型、分片状态、TCP状态、时间等安全策略的状态包过滤，支持源地址、目的地址的取反操作</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支持应用识别、入侵防护、关键字过滤、</w:t>
            </w:r>
            <w:r>
              <w:rPr>
                <w:rFonts w:ascii="微软雅黑" w:hAnsi="微软雅黑" w:eastAsia="微软雅黑"/>
                <w:color w:val="000000" w:themeColor="text1"/>
                <w:sz w:val="18"/>
                <w:szCs w:val="18"/>
                <w14:textFill>
                  <w14:solidFill>
                    <w14:schemeClr w14:val="tx1"/>
                  </w14:solidFill>
                </w14:textFill>
              </w:rPr>
              <w:t>URL过滤、AV等安全模块一次性扫描，系统整体性能不受功能的增加而降低</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提供IPS事件日志和报表，报表支持PDF、TXT、HTML、CSV、DOCX格式，并提供导出功能；</w:t>
            </w:r>
          </w:p>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w:t>
            </w:r>
            <w:r>
              <w:rPr>
                <w:rFonts w:ascii="微软雅黑" w:hAnsi="微软雅黑" w:eastAsia="微软雅黑"/>
                <w:color w:val="000000" w:themeColor="text1"/>
                <w:sz w:val="18"/>
                <w:szCs w:val="18"/>
                <w14:textFill>
                  <w14:solidFill>
                    <w14:schemeClr w14:val="tx1"/>
                  </w14:solidFill>
                </w14:textFill>
              </w:rPr>
              <w:t>SMTP、POP3、IMAP、WEBMAIL邮件过滤</w:t>
            </w:r>
            <w:r>
              <w:rPr>
                <w:rFonts w:hint="eastAsia" w:ascii="微软雅黑" w:hAnsi="微软雅黑" w:eastAsia="微软雅黑"/>
                <w:color w:val="000000" w:themeColor="text1"/>
                <w:sz w:val="18"/>
                <w:szCs w:val="18"/>
                <w14:textFill>
                  <w14:solidFill>
                    <w14:schemeClr w14:val="tx1"/>
                  </w14:solidFill>
                </w14:textFill>
              </w:rPr>
              <w:t>，按主题、收件人、发件人、附件名、正文、附件内容、附件后缀、收件人域名等进行过滤，贝叶斯算法、完整性分析、启发式规则等智能区分垃圾邮件；</w:t>
            </w:r>
          </w:p>
          <w:p>
            <w:pPr>
              <w:pStyle w:val="17"/>
              <w:numPr>
                <w:ilvl w:val="0"/>
                <w:numId w:val="9"/>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★具备对业务系统进行源代码溯源分析能力（提供国家版权局自主知识产权证明文件加盖厂家公章）</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9</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网闸</w:t>
            </w:r>
          </w:p>
        </w:tc>
        <w:tc>
          <w:tcPr>
            <w:tcW w:w="7161" w:type="dxa"/>
          </w:tcPr>
          <w:p>
            <w:pPr>
              <w:pStyle w:val="17"/>
              <w:numPr>
                <w:ilvl w:val="0"/>
                <w:numId w:val="10"/>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系统吞吐量</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1Gbps 硬件配置：2U机箱，支持液晶面板 内网接口：</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6个10/100/1000Base-T端口，2个SFP插槽，1个Console口，2个USB口； 外网接口：</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10/100/1000Base-T端口，2个SFP插槽，1个Console口，2个USB口；功能模块：数据库同步、文件交换、数据库访问、邮件访问、安全浏览、安全FTP、定制模块、工控访问等；可增配集中监控与数据分析中心（MDA）统一管控；质保年限：默认包含三年维保；</w:t>
            </w:r>
          </w:p>
          <w:p>
            <w:pPr>
              <w:pStyle w:val="17"/>
              <w:numPr>
                <w:ilvl w:val="0"/>
                <w:numId w:val="10"/>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内、外网分别具有独立的管理接口，而不是通过网络接口管理，也不是通过内网一个管理接口完成全部管理；</w:t>
            </w:r>
          </w:p>
          <w:p>
            <w:pPr>
              <w:pStyle w:val="17"/>
              <w:numPr>
                <w:ilvl w:val="0"/>
                <w:numId w:val="10"/>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支持用户名/密码+U-KEY、用户名/密码+数字证书等多种双因子认证方式；</w:t>
            </w:r>
          </w:p>
          <w:p>
            <w:pPr>
              <w:pStyle w:val="17"/>
              <w:numPr>
                <w:ilvl w:val="0"/>
                <w:numId w:val="10"/>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支持带内管理，可通过业务口进行网闸管理工作；用户可自行选择是否启用带内管理功能；采用基于</w:t>
            </w:r>
            <w:r>
              <w:rPr>
                <w:rFonts w:ascii="微软雅黑" w:hAnsi="微软雅黑" w:eastAsia="微软雅黑"/>
                <w:color w:val="000000" w:themeColor="text1"/>
                <w:sz w:val="18"/>
                <w:szCs w:val="18"/>
                <w14:textFill>
                  <w14:solidFill>
                    <w14:schemeClr w14:val="tx1"/>
                  </w14:solidFill>
                </w14:textFill>
              </w:rPr>
              <w:t>linux内核的多核并行安全操作系统SecOS2；</w:t>
            </w:r>
          </w:p>
          <w:p>
            <w:pPr>
              <w:pStyle w:val="17"/>
              <w:numPr>
                <w:ilvl w:val="0"/>
                <w:numId w:val="10"/>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具备SQL、ORACLE、DB2、SYBASE、POSTGRESQL等主流数据库的访问，支持达梦、人大金仓、神通等国产数据库访问</w:t>
            </w:r>
          </w:p>
          <w:p>
            <w:pPr>
              <w:pStyle w:val="17"/>
              <w:numPr>
                <w:ilvl w:val="0"/>
                <w:numId w:val="10"/>
              </w:numPr>
              <w:ind w:firstLineChars="0"/>
              <w:rPr>
                <w:rFonts w:ascii="宋体" w:hAnsi="宋体"/>
                <w:color w:val="000000" w:themeColor="text1"/>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具备SSL隧道访问模式，针对FTP访问模块、数据库访问模块、邮件访问、定制模块等模块，通过网闸实现访问客户端认证、授权及访问链路加密，保证客户端访问合法性及访问链路的安全性；</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10</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负载均衡</w:t>
            </w:r>
          </w:p>
        </w:tc>
        <w:tc>
          <w:tcPr>
            <w:tcW w:w="7161" w:type="dxa"/>
          </w:tcPr>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网络层整机吞吐为</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10Gbps，网络层并发连接数</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260万，网络层每秒新建连接数5万，标准机架式结构，1TB硬盘，标准配置千兆</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6个10/100/1000M自适应电口，2个万兆光口SFP+插槽，1个Console口，2个USB口，2个扩展插槽。报价中包含三年硬件维修服务。</w:t>
            </w:r>
          </w:p>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w:t>
            </w:r>
            <w:r>
              <w:rPr>
                <w:rFonts w:ascii="微软雅黑" w:hAnsi="微软雅黑" w:eastAsia="微软雅黑"/>
                <w:color w:val="000000" w:themeColor="text1"/>
                <w:sz w:val="18"/>
                <w:szCs w:val="18"/>
                <w14:textFill>
                  <w14:solidFill>
                    <w14:schemeClr w14:val="tx1"/>
                  </w14:solidFill>
                </w14:textFill>
              </w:rPr>
              <w:t>IPv4/IPv6双栈，支持IPv4/IPv6地址转换,支持前缀地址转换，IVI，地址池，IPv4和IPv6混合环境下的四层服务器负载，链路负载，健康检查</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具备DNSv6功能，支持基于IPV6地址的七层内容交换，需支持URL负载、HTTP头擦除、重定向信息改写功能。</w:t>
            </w:r>
          </w:p>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支持通过</w:t>
            </w:r>
            <w:r>
              <w:rPr>
                <w:rFonts w:ascii="微软雅黑" w:hAnsi="微软雅黑" w:eastAsia="微软雅黑"/>
                <w:color w:val="000000" w:themeColor="text1"/>
                <w:sz w:val="18"/>
                <w:szCs w:val="18"/>
                <w14:textFill>
                  <w14:solidFill>
                    <w14:schemeClr w14:val="tx1"/>
                  </w14:solidFill>
                </w14:textFill>
              </w:rPr>
              <w:t>Vcenter自动获取虚拟机状态，并将流量根据配置的负载均衡算法自动分配到各虚拟机。支持虚拟机管理，可监控虚拟机cpu占用率，内存占用率，健康状况，连接数等的状态；并根据以上条件对虚拟机进行关闭，挂起，重启，开启等操作</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通过应用层代理，可解析客户端请求内容，</w:t>
            </w:r>
            <w:r>
              <w:rPr>
                <w:rFonts w:ascii="微软雅黑" w:hAnsi="微软雅黑" w:eastAsia="微软雅黑"/>
                <w:color w:val="000000" w:themeColor="text1"/>
                <w:sz w:val="18"/>
                <w:szCs w:val="18"/>
                <w14:textFill>
                  <w14:solidFill>
                    <w14:schemeClr w14:val="tx1"/>
                  </w14:solidFill>
                </w14:textFill>
              </w:rPr>
              <w:t xml:space="preserve"> 并根据客户端请求头域做内容分发，将访问不同内容的请求代理到相应服务器上；并将响应数据代理到对应客户端。例如对图片类、文字类的请求，分别转发到对应的图片、文字服务器，支持基于Cookie、User-Agent、URL、HTTP头的分担模式</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11"/>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支持对</w:t>
            </w:r>
            <w:r>
              <w:rPr>
                <w:rFonts w:ascii="微软雅黑" w:hAnsi="微软雅黑" w:eastAsia="微软雅黑"/>
                <w:color w:val="000000" w:themeColor="text1"/>
                <w:sz w:val="18"/>
                <w:szCs w:val="18"/>
                <w14:textFill>
                  <w14:solidFill>
                    <w14:schemeClr w14:val="tx1"/>
                  </w14:solidFill>
                </w14:textFill>
              </w:rPr>
              <w:t>WEB服务器的浪涌保护功能，通过控制缓存请求连接的速率， 阻止猛增的大量请求进入您的服务器，从而防止服务器过载，在服务器达到其最大容量时，提示页面，使后续用户自动等待，避免反复刷新</w:t>
            </w:r>
            <w:r>
              <w:rPr>
                <w:rFonts w:hint="eastAsia" w:ascii="微软雅黑" w:hAnsi="微软雅黑" w:eastAsia="微软雅黑"/>
                <w:color w:val="000000" w:themeColor="text1"/>
                <w:sz w:val="18"/>
                <w:szCs w:val="18"/>
                <w14:textFill>
                  <w14:solidFill>
                    <w14:schemeClr w14:val="tx1"/>
                  </w14:solidFill>
                </w14:textFill>
              </w:rPr>
              <w:t>；</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11</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日志审计</w:t>
            </w:r>
          </w:p>
        </w:tc>
        <w:tc>
          <w:tcPr>
            <w:tcW w:w="7161" w:type="dxa"/>
          </w:tcPr>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标准机架式结构，接口</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6个千兆电口，2个万兆SFP+光口插槽，2个扩展插槽，1个Console接口，4T硬盘。包含</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25个日志源授权，三年维保服务；</w:t>
            </w:r>
          </w:p>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支持通过</w:t>
            </w:r>
            <w:r>
              <w:rPr>
                <w:rFonts w:ascii="微软雅黑" w:hAnsi="微软雅黑" w:eastAsia="微软雅黑"/>
                <w:color w:val="000000" w:themeColor="text1"/>
                <w:sz w:val="18"/>
                <w:szCs w:val="18"/>
                <w14:textFill>
                  <w14:solidFill>
                    <w14:schemeClr w14:val="tx1"/>
                  </w14:solidFill>
                </w14:textFill>
              </w:rPr>
              <w:t>syslog、SNMP Trap、JDBC、Agent代理、WMI、(S)FTP、NetBIOS、文件\文件夹读取、Kafka等多种方式完成各种日志的收集功能；</w:t>
            </w:r>
          </w:p>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支持采集一化后的日志和保留原始日志，方便用户对关键日志快速定位，和事后取证；日志收集后进行字段和安全等级的归一化处理，系统归一化字段不少于50个字段,并至少有8个可自定义字段；</w:t>
            </w:r>
          </w:p>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日志收集后进行字段和安全等级的归一化处理，系统归一化字段不少于</w:t>
            </w:r>
            <w:r>
              <w:rPr>
                <w:rFonts w:ascii="微软雅黑" w:hAnsi="微软雅黑" w:eastAsia="微软雅黑"/>
                <w:color w:val="000000" w:themeColor="text1"/>
                <w:sz w:val="18"/>
                <w:szCs w:val="18"/>
                <w14:textFill>
                  <w14:solidFill>
                    <w14:schemeClr w14:val="tx1"/>
                  </w14:solidFill>
                </w14:textFill>
              </w:rPr>
              <w:t xml:space="preserve">95个字段,并支持动态扩展，扩展数量不限，扩展字段与原始字段具有相同功能，可参与统计分析、关联分析、报表生成等； </w:t>
            </w:r>
          </w:p>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对事件名称、源地址、源端口、目的地址、目的端口相同的进行归并，条件可以多种组合；支持对指定设备发送的日志进行归并，其他设备发送的将不进行归并；支持对事件个数深度和事件时间深度进行归并；</w:t>
            </w:r>
          </w:p>
          <w:p>
            <w:pPr>
              <w:pStyle w:val="17"/>
              <w:numPr>
                <w:ilvl w:val="0"/>
                <w:numId w:val="12"/>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支持实时的日志滚动显示，可通过趋势图等直观显示目前日志量和日志详细信息；支持对实时展示的字段进行选择，调整字段顺序，修改显示字段别名；</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12</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上网行为</w:t>
            </w:r>
          </w:p>
        </w:tc>
        <w:tc>
          <w:tcPr>
            <w:tcW w:w="7161" w:type="dxa"/>
          </w:tcPr>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标准机架式结构;标配接口</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6个千兆电接口（其中含1个管理接口和1个HA接口），2个万兆SFP+光口插槽，提供2个扩展插槽;1T硬盘，3年质保服务。</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设备必须提供物理硬件bypass按钮，便于设备巡检、设备故障时管理员无需重启、关机、断电即可恢复网络通畅；</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可以对下载工具、视频播放、网络游戏、金融理财、即时消息、移动应用有独立的分类进行识别控制；</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当用户的网页访问被网页浏览策略封堵时，用户如果发现分类错误能够在页面中向管理员进行反馈；管理员可查看用户反馈的分类错误，并可以选择向服务器反馈；</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一条策略可实现Webmail以及SSL加密的Webmail基于发件人、收件人、主题、内容、附件名维度的记录、阻塞、告警；能够基于发件人、收件人、主题、内容、附件名维度进行过滤、记录、告警；能够支持SSL加密的SMTP邮件审计；</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支持对QQ、微信和百度网盘的PC客户端外发文件进行关键字过滤和封堵；</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可审计、控制Oracle,MySql,SqlServer,PostgreSQL等数据库的访问与操作，包括添加、删除、修改、查询等；</w:t>
            </w:r>
          </w:p>
          <w:p>
            <w:pPr>
              <w:pStyle w:val="17"/>
              <w:numPr>
                <w:ilvl w:val="0"/>
                <w:numId w:val="13"/>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★具备对业务系统进行源代码安全缺陷分析能力（提供国家版权局自主知识产权证明文件加盖厂家公章）</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13</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服务器安全管理系统</w:t>
            </w:r>
          </w:p>
        </w:tc>
        <w:tc>
          <w:tcPr>
            <w:tcW w:w="7161" w:type="dxa"/>
          </w:tcPr>
          <w:p>
            <w:pPr>
              <w:pStyle w:val="17"/>
              <w:numPr>
                <w:ilvl w:val="0"/>
                <w:numId w:val="14"/>
              </w:numPr>
              <w:ind w:firstLineChars="0"/>
              <w:rPr>
                <w:rFonts w:ascii="微软雅黑" w:hAnsi="微软雅黑" w:eastAsia="微软雅黑"/>
                <w:sz w:val="18"/>
                <w:szCs w:val="18"/>
              </w:rPr>
            </w:pPr>
            <w:r>
              <w:rPr>
                <w:rFonts w:hint="eastAsia" w:ascii="微软雅黑" w:hAnsi="微软雅黑" w:eastAsia="微软雅黑"/>
                <w:sz w:val="18"/>
                <w:szCs w:val="18"/>
              </w:rPr>
              <w:t>无限制服务器使用授权；</w:t>
            </w:r>
          </w:p>
          <w:p>
            <w:pPr>
              <w:pStyle w:val="17"/>
              <w:numPr>
                <w:ilvl w:val="0"/>
                <w:numId w:val="14"/>
              </w:numPr>
              <w:ind w:firstLineChars="0"/>
              <w:rPr>
                <w:rFonts w:ascii="微软雅黑" w:hAnsi="微软雅黑" w:eastAsia="微软雅黑"/>
                <w:sz w:val="18"/>
                <w:szCs w:val="18"/>
              </w:rPr>
            </w:pPr>
            <w:r>
              <w:rPr>
                <w:rFonts w:hint="eastAsia" w:ascii="微软雅黑" w:hAnsi="微软雅黑" w:eastAsia="微软雅黑"/>
                <w:sz w:val="18"/>
                <w:szCs w:val="18"/>
              </w:rPr>
              <w:t>★支持对磁盘所有文件的监控和防护，包括读取、写入、删除、创建、执行、链接、重命名、完整性等关于文件操作的监控和防护。并且支持通配符设置，支持监控和防护两种模式，文件监控和防护生成的相关日志信息，会在系统防护日志里进行展示。（提供相应截图证明并加盖厂家公章）</w:t>
            </w:r>
          </w:p>
          <w:p>
            <w:pPr>
              <w:pStyle w:val="17"/>
              <w:numPr>
                <w:ilvl w:val="0"/>
                <w:numId w:val="14"/>
              </w:numPr>
              <w:ind w:firstLineChars="0"/>
              <w:rPr>
                <w:rFonts w:ascii="微软雅黑" w:hAnsi="微软雅黑" w:eastAsia="微软雅黑"/>
                <w:sz w:val="18"/>
                <w:szCs w:val="18"/>
              </w:rPr>
            </w:pPr>
            <w:r>
              <w:rPr>
                <w:rFonts w:hint="eastAsia" w:ascii="微软雅黑" w:hAnsi="微软雅黑" w:eastAsia="微软雅黑"/>
                <w:sz w:val="18"/>
                <w:szCs w:val="18"/>
              </w:rPr>
              <w:t>★通过服务器内核加固技术，加强操作系统自身对抗恶意代码和黑客攻击的能力，抵御非法提权、非法创建可执行文件等黑客行为，有效降低无补丁可打、无法打补丁带来的的安全风险。（提供相应截图证明并加盖厂家公章）</w:t>
            </w:r>
          </w:p>
          <w:p>
            <w:pPr>
              <w:pStyle w:val="17"/>
              <w:numPr>
                <w:ilvl w:val="0"/>
                <w:numId w:val="14"/>
              </w:numPr>
              <w:ind w:firstLineChars="0"/>
              <w:rPr>
                <w:rFonts w:ascii="微软雅黑" w:hAnsi="微软雅黑" w:eastAsia="微软雅黑"/>
                <w:sz w:val="18"/>
                <w:szCs w:val="18"/>
              </w:rPr>
            </w:pPr>
            <w:r>
              <w:rPr>
                <w:rFonts w:hint="eastAsia" w:ascii="微软雅黑" w:hAnsi="微软雅黑" w:eastAsia="微软雅黑"/>
                <w:sz w:val="18"/>
                <w:szCs w:val="18"/>
              </w:rPr>
              <w:t>★支持通过在web应用(IIS、apache、nginx、tomcat等)中插入waf探针的方式，高效过滤网络流量，防止黑客利用web应用漏洞或网站漏洞攻击服务器。</w:t>
            </w:r>
          </w:p>
          <w:p>
            <w:pPr>
              <w:pStyle w:val="17"/>
              <w:numPr>
                <w:ilvl w:val="0"/>
                <w:numId w:val="14"/>
              </w:numPr>
              <w:ind w:firstLineChars="0"/>
              <w:rPr>
                <w:rFonts w:ascii="微软雅黑" w:hAnsi="微软雅黑" w:eastAsia="微软雅黑"/>
                <w:sz w:val="18"/>
                <w:szCs w:val="18"/>
              </w:rPr>
            </w:pPr>
            <w:r>
              <w:rPr>
                <w:rFonts w:hint="eastAsia" w:ascii="微软雅黑" w:hAnsi="微软雅黑" w:eastAsia="微软雅黑"/>
                <w:sz w:val="18"/>
                <w:szCs w:val="18"/>
              </w:rPr>
              <w:t>★通过匹配漏洞攻击特征库对用户输入进行过滤，从而实现防止攻击保护网站的目的。根据不同检测对象（URL、Cookie、Post）进行具体防护规则的配置（开启与关闭）。（提供相应截图证明并加盖厂家公章）</w:t>
            </w:r>
          </w:p>
          <w:p>
            <w:pPr>
              <w:pStyle w:val="17"/>
              <w:numPr>
                <w:ilvl w:val="0"/>
                <w:numId w:val="14"/>
              </w:numPr>
              <w:ind w:firstLineChars="0"/>
              <w:rPr>
                <w:rFonts w:ascii="宋体" w:hAnsi="宋体" w:cs="宋体"/>
                <w:kern w:val="0"/>
              </w:rPr>
            </w:pPr>
            <w:r>
              <w:rPr>
                <w:rFonts w:hint="eastAsia" w:ascii="微软雅黑" w:hAnsi="微软雅黑" w:eastAsia="微软雅黑"/>
                <w:sz w:val="18"/>
                <w:szCs w:val="18"/>
              </w:rPr>
              <w:t>服务器经常会被黑客上传网页木马，通过上传的网页木马获取和修改服务器上数据和文件，影响用户的网站正常访问，给用户带来损失。而“网页浏览实时防护”主要是针对黑客利用其它途径上传了网页木马，通过浏览器访问网页木马时进行拦截从而保护用户的网站不被修改。</w:t>
            </w:r>
          </w:p>
          <w:p>
            <w:pPr>
              <w:pStyle w:val="17"/>
              <w:numPr>
                <w:ilvl w:val="0"/>
                <w:numId w:val="14"/>
              </w:numPr>
              <w:ind w:firstLineChars="0"/>
              <w:rPr>
                <w:rFonts w:ascii="宋体" w:hAnsi="宋体" w:cs="宋体"/>
                <w:kern w:val="0"/>
              </w:rPr>
            </w:pPr>
            <w:r>
              <w:rPr>
                <w:rFonts w:hint="eastAsia" w:ascii="微软雅黑" w:hAnsi="微软雅黑" w:eastAsia="微软雅黑"/>
                <w:sz w:val="18"/>
                <w:szCs w:val="18"/>
              </w:rPr>
              <w:t>黑客通过构造类似com1.asp;jpg之类的畸形文件的后缀名上传到服务器上再结合IIS的解析特性即可成功执行代码，然后获取必要的网站配置等信息威胁网站的安全。开启 “禁止浏览畸形文件”功能抵御类似的攻击，保护网站服务器的安全。</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14</w:t>
            </w:r>
          </w:p>
        </w:tc>
        <w:tc>
          <w:tcPr>
            <w:tcW w:w="993" w:type="dxa"/>
            <w:vAlign w:val="center"/>
          </w:tcPr>
          <w:p>
            <w:pPr>
              <w:jc w:val="cente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机房UPS</w:t>
            </w:r>
          </w:p>
        </w:tc>
        <w:tc>
          <w:tcPr>
            <w:tcW w:w="7161" w:type="dxa"/>
          </w:tcPr>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三相高频纯在线式</w:t>
            </w:r>
            <w:r>
              <w:rPr>
                <w:rFonts w:ascii="微软雅黑" w:hAnsi="微软雅黑" w:eastAsia="微软雅黑"/>
                <w:color w:val="000000" w:themeColor="text1"/>
                <w:sz w:val="18"/>
                <w:szCs w:val="18"/>
                <w14:textFill>
                  <w14:solidFill>
                    <w14:schemeClr w14:val="tx1"/>
                  </w14:solidFill>
                </w14:textFill>
              </w:rPr>
              <w:t>UPS</w:t>
            </w:r>
            <w:r>
              <w:rPr>
                <w:rFonts w:hint="eastAsia" w:ascii="微软雅黑" w:hAnsi="微软雅黑" w:eastAsia="微软雅黑"/>
                <w:color w:val="000000" w:themeColor="text1"/>
                <w:sz w:val="18"/>
                <w:szCs w:val="18"/>
                <w14:textFill>
                  <w14:solidFill>
                    <w14:schemeClr w14:val="tx1"/>
                  </w14:solidFill>
                </w14:textFill>
              </w:rPr>
              <w:t>电源，采用双变换在线式结构，容量</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2</w:t>
            </w:r>
            <w:r>
              <w:rPr>
                <w:rFonts w:ascii="微软雅黑" w:hAnsi="微软雅黑" w:eastAsia="微软雅黑"/>
                <w:color w:val="000000" w:themeColor="text1"/>
                <w:sz w:val="18"/>
                <w:szCs w:val="18"/>
                <w14:textFill>
                  <w14:solidFill>
                    <w14:schemeClr w14:val="tx1"/>
                  </w14:solidFill>
                </w14:textFill>
              </w:rPr>
              <w:t>0</w:t>
            </w:r>
            <w:r>
              <w:rPr>
                <w:rFonts w:hint="eastAsia" w:ascii="微软雅黑" w:hAnsi="微软雅黑" w:eastAsia="微软雅黑"/>
                <w:color w:val="000000" w:themeColor="text1"/>
                <w:sz w:val="18"/>
                <w:szCs w:val="18"/>
                <w14:textFill>
                  <w14:solidFill>
                    <w14:schemeClr w14:val="tx1"/>
                  </w14:solidFill>
                </w14:textFill>
              </w:rPr>
              <w:t>KVA；电池采用</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12V 100AH，设计寿命10年，重量不低于28KG，壳体采用符合UL94-V0的阻燃材质，2</w:t>
            </w:r>
            <w:r>
              <w:rPr>
                <w:rFonts w:ascii="微软雅黑" w:hAnsi="微软雅黑" w:eastAsia="微软雅黑"/>
                <w:color w:val="000000" w:themeColor="text1"/>
                <w:sz w:val="18"/>
                <w:szCs w:val="18"/>
                <w14:textFill>
                  <w14:solidFill>
                    <w14:schemeClr w14:val="tx1"/>
                  </w14:solidFill>
                </w14:textFill>
              </w:rPr>
              <w:t>0</w:t>
            </w:r>
            <w:r>
              <w:rPr>
                <w:rFonts w:hint="eastAsia" w:ascii="微软雅黑" w:hAnsi="微软雅黑" w:eastAsia="微软雅黑"/>
                <w:color w:val="000000" w:themeColor="text1"/>
                <w:sz w:val="18"/>
                <w:szCs w:val="18"/>
                <w14:textFill>
                  <w14:solidFill>
                    <w14:schemeClr w14:val="tx1"/>
                  </w14:solidFill>
                </w14:textFill>
              </w:rPr>
              <w:t>℃室温下，静置2</w:t>
            </w:r>
            <w:r>
              <w:rPr>
                <w:rFonts w:ascii="微软雅黑" w:hAnsi="微软雅黑" w:eastAsia="微软雅黑"/>
                <w:color w:val="000000" w:themeColor="text1"/>
                <w:sz w:val="18"/>
                <w:szCs w:val="18"/>
                <w14:textFill>
                  <w14:solidFill>
                    <w14:schemeClr w14:val="tx1"/>
                  </w14:solidFill>
                </w14:textFill>
              </w:rPr>
              <w:t>8</w:t>
            </w:r>
            <w:r>
              <w:rPr>
                <w:rFonts w:hint="eastAsia" w:ascii="微软雅黑" w:hAnsi="微软雅黑" w:eastAsia="微软雅黑"/>
                <w:color w:val="000000" w:themeColor="text1"/>
                <w:sz w:val="18"/>
                <w:szCs w:val="18"/>
                <w14:textFill>
                  <w14:solidFill>
                    <w14:schemeClr w14:val="tx1"/>
                  </w14:solidFill>
                </w14:textFill>
              </w:rPr>
              <w:t>天，电池自放电率小于2%</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整流输入电压范围：</w:t>
            </w:r>
            <w:r>
              <w:rPr>
                <w:rFonts w:ascii="微软雅黑" w:hAnsi="微软雅黑" w:eastAsia="微软雅黑"/>
                <w:color w:val="000000" w:themeColor="text1"/>
                <w:sz w:val="18"/>
                <w:szCs w:val="18"/>
                <w14:textFill>
                  <w14:solidFill>
                    <w14:schemeClr w14:val="tx1"/>
                  </w14:solidFill>
                </w14:textFill>
              </w:rPr>
              <w:t>2</w:t>
            </w:r>
            <w:r>
              <w:rPr>
                <w:rFonts w:hint="eastAsia" w:ascii="微软雅黑" w:hAnsi="微软雅黑" w:eastAsia="微软雅黑"/>
                <w:color w:val="000000" w:themeColor="text1"/>
                <w:sz w:val="18"/>
                <w:szCs w:val="18"/>
                <w14:textFill>
                  <w14:solidFill>
                    <w14:schemeClr w14:val="tx1"/>
                  </w14:solidFill>
                </w14:textFill>
              </w:rPr>
              <w:t>10</w:t>
            </w:r>
            <w:r>
              <w:rPr>
                <w:rFonts w:ascii="微软雅黑" w:hAnsi="微软雅黑" w:eastAsia="微软雅黑"/>
                <w:color w:val="000000" w:themeColor="text1"/>
                <w:sz w:val="18"/>
                <w:szCs w:val="18"/>
                <w14:textFill>
                  <w14:solidFill>
                    <w14:schemeClr w14:val="tx1"/>
                  </w14:solidFill>
                </w14:textFill>
              </w:rPr>
              <w:t>VAC~456VAC</w:t>
            </w:r>
            <w:r>
              <w:rPr>
                <w:rFonts w:hint="eastAsia" w:ascii="微软雅黑" w:hAnsi="微软雅黑" w:eastAsia="微软雅黑"/>
                <w:color w:val="000000" w:themeColor="text1"/>
                <w:sz w:val="18"/>
                <w:szCs w:val="18"/>
                <w14:textFill>
                  <w14:solidFill>
                    <w14:schemeClr w14:val="tx1"/>
                  </w14:solidFill>
                </w14:textFill>
              </w:rPr>
              <w:t>（三相</w:t>
            </w:r>
            <w:r>
              <w:rPr>
                <w:rFonts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14:textFill>
                  <w14:solidFill>
                    <w14:schemeClr w14:val="tx1"/>
                  </w14:solidFill>
                </w14:textFill>
              </w:rPr>
              <w:t>线电压）；输入功率因数：满载时≥</w:t>
            </w:r>
            <w:r>
              <w:rPr>
                <w:rFonts w:ascii="微软雅黑" w:hAnsi="微软雅黑" w:eastAsia="微软雅黑"/>
                <w:color w:val="000000" w:themeColor="text1"/>
                <w:sz w:val="18"/>
                <w:szCs w:val="18"/>
                <w14:textFill>
                  <w14:solidFill>
                    <w14:schemeClr w14:val="tx1"/>
                  </w14:solidFill>
                </w14:textFill>
              </w:rPr>
              <w:t>0.99</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输出电压：3</w:t>
            </w:r>
            <w:r>
              <w:rPr>
                <w:rFonts w:ascii="微软雅黑" w:hAnsi="微软雅黑" w:eastAsia="微软雅黑"/>
                <w:color w:val="000000" w:themeColor="text1"/>
                <w:sz w:val="18"/>
                <w:szCs w:val="18"/>
                <w14:textFill>
                  <w14:solidFill>
                    <w14:schemeClr w14:val="tx1"/>
                  </w14:solidFill>
                </w14:textFill>
              </w:rPr>
              <w:t>80</w:t>
            </w:r>
            <w:r>
              <w:rPr>
                <w:rFonts w:hint="eastAsia" w:ascii="微软雅黑" w:hAnsi="微软雅黑" w:eastAsia="微软雅黑"/>
                <w:color w:val="000000" w:themeColor="text1"/>
                <w:sz w:val="18"/>
                <w:szCs w:val="18"/>
                <w14:textFill>
                  <w14:solidFill>
                    <w14:schemeClr w14:val="tx1"/>
                  </w14:solidFill>
                </w14:textFill>
              </w:rPr>
              <w:t>Vac±</w:t>
            </w:r>
            <w:r>
              <w:rPr>
                <w:rFonts w:ascii="微软雅黑" w:hAnsi="微软雅黑" w:eastAsia="微软雅黑"/>
                <w:color w:val="000000" w:themeColor="text1"/>
                <w:sz w:val="18"/>
                <w:szCs w:val="18"/>
                <w14:textFill>
                  <w14:solidFill>
                    <w14:schemeClr w14:val="tx1"/>
                  </w14:solidFill>
                </w14:textFill>
              </w:rPr>
              <w:t>1</w:t>
            </w:r>
            <w:r>
              <w:rPr>
                <w:rFonts w:hint="eastAsia" w:ascii="微软雅黑" w:hAnsi="微软雅黑" w:eastAsia="微软雅黑"/>
                <w:color w:val="000000" w:themeColor="text1"/>
                <w:sz w:val="18"/>
                <w:szCs w:val="18"/>
                <w14:textFill>
                  <w14:solidFill>
                    <w14:schemeClr w14:val="tx1"/>
                  </w14:solidFill>
                </w14:textFill>
              </w:rPr>
              <w:t>%；输出功率因数：</w:t>
            </w:r>
            <w:r>
              <w:rPr>
                <w:rFonts w:ascii="微软雅黑" w:hAnsi="微软雅黑" w:eastAsia="微软雅黑"/>
                <w:color w:val="000000" w:themeColor="text1"/>
                <w:sz w:val="18"/>
                <w:szCs w:val="18"/>
                <w14:textFill>
                  <w14:solidFill>
                    <w14:schemeClr w14:val="tx1"/>
                  </w14:solidFill>
                </w14:textFill>
              </w:rPr>
              <w:t>UPS</w:t>
            </w:r>
            <w:r>
              <w:rPr>
                <w:rFonts w:hint="eastAsia" w:ascii="微软雅黑" w:hAnsi="微软雅黑" w:eastAsia="微软雅黑"/>
                <w:color w:val="000000" w:themeColor="text1"/>
                <w:sz w:val="18"/>
                <w:szCs w:val="18"/>
                <w14:textFill>
                  <w14:solidFill>
                    <w14:schemeClr w14:val="tx1"/>
                  </w14:solidFill>
                </w14:textFill>
              </w:rPr>
              <w:t>的输出功率因数≥</w:t>
            </w:r>
            <w:r>
              <w:rPr>
                <w:rFonts w:ascii="微软雅黑" w:hAnsi="微软雅黑" w:eastAsia="微软雅黑"/>
                <w:color w:val="000000" w:themeColor="text1"/>
                <w:sz w:val="18"/>
                <w:szCs w:val="18"/>
                <w14:textFill>
                  <w14:solidFill>
                    <w14:schemeClr w14:val="tx1"/>
                  </w14:solidFill>
                </w14:textFill>
              </w:rPr>
              <w:t>0.</w:t>
            </w:r>
            <w:r>
              <w:rPr>
                <w:rFonts w:hint="eastAsia" w:ascii="微软雅黑" w:hAnsi="微软雅黑" w:eastAsia="微软雅黑"/>
                <w:color w:val="000000" w:themeColor="text1"/>
                <w:sz w:val="18"/>
                <w:szCs w:val="18"/>
                <w14:textFill>
                  <w14:solidFill>
                    <w14:schemeClr w14:val="tx1"/>
                  </w14:solidFill>
                </w14:textFill>
              </w:rPr>
              <w:t>9；</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整机效率：≥</w:t>
            </w:r>
            <w:r>
              <w:rPr>
                <w:rFonts w:ascii="微软雅黑" w:hAnsi="微软雅黑" w:eastAsia="微软雅黑"/>
                <w:color w:val="000000" w:themeColor="text1"/>
                <w:sz w:val="18"/>
                <w:szCs w:val="18"/>
                <w14:textFill>
                  <w14:solidFill>
                    <w14:schemeClr w14:val="tx1"/>
                  </w14:solidFill>
                </w14:textFill>
              </w:rPr>
              <w:t>94</w:t>
            </w:r>
            <w:r>
              <w:rPr>
                <w:rFonts w:hint="eastAsia" w:ascii="微软雅黑" w:hAnsi="微软雅黑" w:eastAsia="微软雅黑"/>
                <w:color w:val="000000" w:themeColor="text1"/>
                <w:sz w:val="18"/>
                <w:szCs w:val="18"/>
                <w14:textFill>
                  <w14:solidFill>
                    <w14:schemeClr w14:val="tx1"/>
                  </w14:solidFill>
                </w14:textFill>
              </w:rPr>
              <w:t>%，ECO模式</w:t>
            </w:r>
            <w:r>
              <w:rPr>
                <w:rFonts w:hint="cs" w:ascii="微软雅黑" w:hAnsi="微软雅黑" w:eastAsia="微软雅黑"/>
                <w:color w:val="000000" w:themeColor="text1"/>
                <w:sz w:val="18"/>
                <w:szCs w:val="18"/>
                <w14:textFill>
                  <w14:solidFill>
                    <w14:schemeClr w14:val="tx1"/>
                  </w14:solidFill>
                </w14:textFill>
              </w:rPr>
              <w:t>9</w:t>
            </w:r>
            <w:r>
              <w:rPr>
                <w:rFonts w:ascii="微软雅黑" w:hAnsi="微软雅黑" w:eastAsia="微软雅黑"/>
                <w:color w:val="000000" w:themeColor="text1"/>
                <w:sz w:val="18"/>
                <w:szCs w:val="18"/>
                <w14:textFill>
                  <w14:solidFill>
                    <w14:schemeClr w14:val="tx1"/>
                  </w14:solidFill>
                </w14:textFill>
              </w:rPr>
              <w:t>8</w:t>
            </w:r>
            <w:r>
              <w:rPr>
                <w:rFonts w:hint="eastAsia" w:ascii="微软雅黑" w:hAnsi="微软雅黑" w:eastAsia="微软雅黑"/>
                <w:color w:val="000000" w:themeColor="text1"/>
                <w:sz w:val="18"/>
                <w:szCs w:val="18"/>
                <w14:textFill>
                  <w14:solidFill>
                    <w14:schemeClr w14:val="tx1"/>
                  </w14:solidFill>
                </w14:textFill>
              </w:rPr>
              <w:t>%；</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电池电压低保护：当</w:t>
            </w:r>
            <w:r>
              <w:rPr>
                <w:rFonts w:ascii="微软雅黑" w:hAnsi="微软雅黑" w:eastAsia="微软雅黑"/>
                <w:color w:val="000000" w:themeColor="text1"/>
                <w:sz w:val="18"/>
                <w:szCs w:val="18"/>
                <w14:textFill>
                  <w14:solidFill>
                    <w14:schemeClr w14:val="tx1"/>
                  </w14:solidFill>
                </w14:textFill>
              </w:rPr>
              <w:t>UPS</w:t>
            </w:r>
            <w:r>
              <w:rPr>
                <w:rFonts w:hint="eastAsia" w:ascii="微软雅黑" w:hAnsi="微软雅黑" w:eastAsia="微软雅黑"/>
                <w:color w:val="000000" w:themeColor="text1"/>
                <w:sz w:val="18"/>
                <w:szCs w:val="18"/>
                <w14:textFill>
                  <w14:solidFill>
                    <w14:schemeClr w14:val="tx1"/>
                  </w14:solidFill>
                </w14:textFill>
              </w:rPr>
              <w:t>在电池逆变工作方式时，电池电压降至告警点时发出声光告警，降至保护点时停止供电；</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支持2台并机共用电池组，外接电池组节数</w:t>
            </w:r>
            <w:r>
              <w:rPr>
                <w:rFonts w:ascii="微软雅黑" w:hAnsi="微软雅黑" w:eastAsia="微软雅黑"/>
                <w:color w:val="000000" w:themeColor="text1"/>
                <w:sz w:val="18"/>
                <w:szCs w:val="18"/>
                <w14:textFill>
                  <w14:solidFill>
                    <w14:schemeClr w14:val="tx1"/>
                  </w14:solidFill>
                </w14:textFill>
              </w:rPr>
              <w:t xml:space="preserve">: </w:t>
            </w:r>
            <w:r>
              <w:rPr>
                <w:rFonts w:hint="eastAsia" w:ascii="微软雅黑" w:hAnsi="微软雅黑" w:eastAsia="微软雅黑"/>
                <w:color w:val="000000" w:themeColor="text1"/>
                <w:sz w:val="18"/>
                <w:szCs w:val="18"/>
                <w14:textFill>
                  <w14:solidFill>
                    <w14:schemeClr w14:val="tx1"/>
                  </w14:solidFill>
                </w14:textFill>
              </w:rPr>
              <w:t>28，</w:t>
            </w:r>
            <w:r>
              <w:rPr>
                <w:rFonts w:ascii="微软雅黑" w:hAnsi="微软雅黑" w:eastAsia="微软雅黑"/>
                <w:color w:val="000000" w:themeColor="text1"/>
                <w:sz w:val="18"/>
                <w:szCs w:val="18"/>
                <w14:textFill>
                  <w14:solidFill>
                    <w14:schemeClr w14:val="tx1"/>
                  </w14:solidFill>
                </w14:textFill>
              </w:rPr>
              <w:t>3</w:t>
            </w:r>
            <w:r>
              <w:rPr>
                <w:rFonts w:hint="eastAsia" w:ascii="微软雅黑" w:hAnsi="微软雅黑" w:eastAsia="微软雅黑"/>
                <w:color w:val="000000" w:themeColor="text1"/>
                <w:sz w:val="18"/>
                <w:szCs w:val="18"/>
                <w14:textFill>
                  <w14:solidFill>
                    <w14:schemeClr w14:val="tx1"/>
                  </w14:solidFill>
                </w14:textFill>
              </w:rPr>
              <w:t>0,32.34.36可选.默认32节。</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LCD,中文/英文UPS状态及操作导引指示，显示输入电压，输出电压，电流，频率，电池电压及充放电电流值，故障显示，警告；LED显示UPS运转状态</w:t>
            </w:r>
          </w:p>
          <w:p>
            <w:pPr>
              <w:pStyle w:val="17"/>
              <w:numPr>
                <w:ilvl w:val="0"/>
                <w:numId w:val="15"/>
              </w:numPr>
              <w:ind w:firstLineChars="0"/>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通讯接口：RS232，Minni Slot通讯插槽。AS400.RS485，EPO ，电池温度补偿接口，智能插槽。</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15</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车载UPS</w:t>
            </w:r>
          </w:p>
        </w:tc>
        <w:tc>
          <w:tcPr>
            <w:tcW w:w="7161" w:type="dxa"/>
          </w:tcPr>
          <w:p>
            <w:pPr>
              <w:pStyle w:val="17"/>
              <w:numPr>
                <w:ilvl w:val="0"/>
                <w:numId w:val="16"/>
              </w:numPr>
              <w:ind w:firstLineChars="0"/>
              <w:rPr>
                <w:rFonts w:ascii="微软雅黑" w:hAnsi="微软雅黑" w:eastAsia="微软雅黑"/>
                <w:sz w:val="18"/>
                <w:szCs w:val="18"/>
              </w:rPr>
            </w:pPr>
            <w:r>
              <w:rPr>
                <w:rFonts w:hint="eastAsia" w:ascii="微软雅黑" w:hAnsi="微软雅黑" w:eastAsia="微软雅黑"/>
                <w:sz w:val="18"/>
                <w:szCs w:val="18"/>
              </w:rPr>
              <w:t>额定输出</w:t>
            </w:r>
            <w:r>
              <w:rPr>
                <w:rFonts w:ascii="微软雅黑" w:hAnsi="微软雅黑" w:eastAsia="微软雅黑"/>
                <w:sz w:val="18"/>
                <w:szCs w:val="18"/>
              </w:rPr>
              <w:t>≥</w:t>
            </w:r>
            <w:r>
              <w:rPr>
                <w:rFonts w:hint="eastAsia" w:ascii="微软雅黑" w:hAnsi="微软雅黑" w:eastAsia="微软雅黑"/>
                <w:sz w:val="18"/>
                <w:szCs w:val="18"/>
              </w:rPr>
              <w:t>3KW，电池采用</w:t>
            </w:r>
            <w:r>
              <w:rPr>
                <w:rFonts w:ascii="微软雅黑" w:hAnsi="微软雅黑" w:eastAsia="微软雅黑"/>
                <w:sz w:val="18"/>
                <w:szCs w:val="18"/>
              </w:rPr>
              <w:t>≥</w:t>
            </w:r>
            <w:r>
              <w:rPr>
                <w:rFonts w:hint="eastAsia" w:ascii="微软雅黑" w:hAnsi="微软雅黑" w:eastAsia="微软雅黑"/>
                <w:sz w:val="18"/>
                <w:szCs w:val="18"/>
              </w:rPr>
              <w:t>12V 100AH，设计寿命10年，重量不低于28KG，壳体采用符合UL94-V0的阻燃材质，2</w:t>
            </w:r>
            <w:r>
              <w:rPr>
                <w:rFonts w:ascii="微软雅黑" w:hAnsi="微软雅黑" w:eastAsia="微软雅黑"/>
                <w:sz w:val="18"/>
                <w:szCs w:val="18"/>
              </w:rPr>
              <w:t>0</w:t>
            </w:r>
            <w:r>
              <w:rPr>
                <w:rFonts w:hint="eastAsia" w:ascii="微软雅黑" w:hAnsi="微软雅黑" w:eastAsia="微软雅黑"/>
                <w:sz w:val="18"/>
                <w:szCs w:val="18"/>
              </w:rPr>
              <w:t>℃室温下，静置2</w:t>
            </w:r>
            <w:r>
              <w:rPr>
                <w:rFonts w:ascii="微软雅黑" w:hAnsi="微软雅黑" w:eastAsia="微软雅黑"/>
                <w:sz w:val="18"/>
                <w:szCs w:val="18"/>
              </w:rPr>
              <w:t>8</w:t>
            </w:r>
            <w:r>
              <w:rPr>
                <w:rFonts w:hint="eastAsia" w:ascii="微软雅黑" w:hAnsi="微软雅黑" w:eastAsia="微软雅黑"/>
                <w:sz w:val="18"/>
                <w:szCs w:val="18"/>
              </w:rPr>
              <w:t>天，电池自放电率小于2%</w:t>
            </w:r>
          </w:p>
          <w:p>
            <w:pPr>
              <w:pStyle w:val="17"/>
              <w:numPr>
                <w:ilvl w:val="0"/>
                <w:numId w:val="16"/>
              </w:numPr>
              <w:ind w:firstLineChars="0"/>
              <w:rPr>
                <w:rFonts w:ascii="微软雅黑" w:hAnsi="微软雅黑" w:eastAsia="微软雅黑"/>
                <w:sz w:val="18"/>
                <w:szCs w:val="18"/>
              </w:rPr>
            </w:pPr>
            <w:r>
              <w:rPr>
                <w:rFonts w:hint="eastAsia" w:ascii="微软雅黑" w:hAnsi="微软雅黑" w:eastAsia="微软雅黑"/>
                <w:sz w:val="18"/>
                <w:szCs w:val="18"/>
              </w:rPr>
              <w:t>额定输出电压2</w:t>
            </w:r>
            <w:r>
              <w:rPr>
                <w:rFonts w:ascii="微软雅黑" w:hAnsi="微软雅黑" w:eastAsia="微软雅黑"/>
                <w:sz w:val="18"/>
                <w:szCs w:val="18"/>
              </w:rPr>
              <w:t>30</w:t>
            </w:r>
            <w:r>
              <w:rPr>
                <w:rFonts w:hint="eastAsia" w:ascii="微软雅黑" w:hAnsi="微软雅黑" w:eastAsia="微软雅黑"/>
                <w:sz w:val="18"/>
                <w:szCs w:val="18"/>
              </w:rPr>
              <w:t>Vac±</w:t>
            </w:r>
            <w:r>
              <w:rPr>
                <w:rFonts w:ascii="微软雅黑" w:hAnsi="微软雅黑" w:eastAsia="微软雅黑"/>
                <w:sz w:val="18"/>
                <w:szCs w:val="18"/>
              </w:rPr>
              <w:t>5</w:t>
            </w:r>
            <w:r>
              <w:rPr>
                <w:rFonts w:hint="eastAsia" w:ascii="微软雅黑" w:hAnsi="微软雅黑" w:eastAsia="微软雅黑"/>
                <w:sz w:val="18"/>
                <w:szCs w:val="18"/>
              </w:rPr>
              <w:t>%</w:t>
            </w:r>
          </w:p>
          <w:p>
            <w:pPr>
              <w:pStyle w:val="17"/>
              <w:numPr>
                <w:ilvl w:val="0"/>
                <w:numId w:val="16"/>
              </w:numPr>
              <w:ind w:firstLineChars="0"/>
              <w:rPr>
                <w:rFonts w:ascii="微软雅黑" w:hAnsi="微软雅黑" w:eastAsia="微软雅黑"/>
                <w:sz w:val="18"/>
                <w:szCs w:val="18"/>
              </w:rPr>
            </w:pPr>
            <w:r>
              <w:rPr>
                <w:rFonts w:hint="eastAsia" w:ascii="微软雅黑" w:hAnsi="微软雅黑" w:eastAsia="微软雅黑"/>
                <w:sz w:val="18"/>
                <w:szCs w:val="18"/>
              </w:rPr>
              <w:t>输出波形：正弦波</w:t>
            </w:r>
          </w:p>
          <w:p>
            <w:pPr>
              <w:pStyle w:val="17"/>
              <w:numPr>
                <w:ilvl w:val="0"/>
                <w:numId w:val="16"/>
              </w:numPr>
              <w:ind w:firstLineChars="0"/>
              <w:rPr>
                <w:rFonts w:ascii="微软雅黑" w:hAnsi="微软雅黑" w:eastAsia="微软雅黑"/>
                <w:sz w:val="18"/>
                <w:szCs w:val="18"/>
              </w:rPr>
            </w:pPr>
            <w:r>
              <w:rPr>
                <w:rFonts w:hint="eastAsia" w:ascii="微软雅黑" w:hAnsi="微软雅黑" w:eastAsia="微软雅黑"/>
                <w:sz w:val="18"/>
                <w:szCs w:val="18"/>
              </w:rPr>
              <w:t>充电电流：0-</w:t>
            </w:r>
            <w:r>
              <w:rPr>
                <w:rFonts w:ascii="微软雅黑" w:hAnsi="微软雅黑" w:eastAsia="微软雅黑"/>
                <w:sz w:val="18"/>
                <w:szCs w:val="18"/>
              </w:rPr>
              <w:t>70</w:t>
            </w:r>
            <w:r>
              <w:rPr>
                <w:rFonts w:hint="eastAsia" w:ascii="微软雅黑" w:hAnsi="微软雅黑" w:eastAsia="微软雅黑"/>
                <w:sz w:val="18"/>
                <w:szCs w:val="18"/>
              </w:rPr>
              <w:t>A可自行调节。</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16</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手持终端</w:t>
            </w:r>
          </w:p>
        </w:tc>
        <w:tc>
          <w:tcPr>
            <w:tcW w:w="7161" w:type="dxa"/>
          </w:tcPr>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屏幕≥6.44英寸； 屏幕材质：AMOLED E3  90Hz</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处理器：天玑1100； CPU制程工艺：6nm；</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前置摄像头≥4400W+800W； 后置摄像头≥6400W+800W+200W</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内存不低于（8G+3G)+128G</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电池容量不低于4000mAh</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充电规格：33W闪充</w:t>
            </w:r>
          </w:p>
          <w:p>
            <w:pPr>
              <w:pStyle w:val="17"/>
              <w:numPr>
                <w:ilvl w:val="0"/>
                <w:numId w:val="17"/>
              </w:numPr>
              <w:ind w:firstLineChars="0"/>
              <w:jc w:val="left"/>
              <w:rPr>
                <w:rFonts w:ascii="微软雅黑" w:hAnsi="微软雅黑" w:eastAsia="微软雅黑"/>
                <w:sz w:val="18"/>
                <w:szCs w:val="18"/>
              </w:rPr>
            </w:pPr>
            <w:r>
              <w:rPr>
                <w:rFonts w:hint="eastAsia" w:ascii="微软雅黑" w:hAnsi="微软雅黑" w:eastAsia="微软雅黑"/>
                <w:sz w:val="18"/>
                <w:szCs w:val="18"/>
              </w:rPr>
              <w:t>解锁方式支持屏幕指纹和面部识别两种方式。</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80套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17</w:t>
            </w:r>
          </w:p>
        </w:tc>
        <w:tc>
          <w:tcPr>
            <w:tcW w:w="993"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手持终端信息流量</w:t>
            </w:r>
          </w:p>
        </w:tc>
        <w:tc>
          <w:tcPr>
            <w:tcW w:w="7161" w:type="dxa"/>
          </w:tcPr>
          <w:p>
            <w:pPr>
              <w:pStyle w:val="17"/>
              <w:numPr>
                <w:ilvl w:val="0"/>
                <w:numId w:val="18"/>
              </w:numPr>
              <w:ind w:firstLineChars="0"/>
              <w:jc w:val="left"/>
              <w:rPr>
                <w:rFonts w:ascii="微软雅黑" w:hAnsi="微软雅黑" w:eastAsia="微软雅黑"/>
                <w:sz w:val="18"/>
                <w:szCs w:val="18"/>
              </w:rPr>
            </w:pPr>
            <w:r>
              <w:rPr>
                <w:rFonts w:hint="eastAsia" w:ascii="微软雅黑" w:hAnsi="微软雅黑" w:eastAsia="微软雅黑"/>
                <w:sz w:val="18"/>
                <w:szCs w:val="18"/>
              </w:rPr>
              <w:t xml:space="preserve">  每月60G全国通用流量</w:t>
            </w:r>
          </w:p>
          <w:p>
            <w:pPr>
              <w:pStyle w:val="17"/>
              <w:numPr>
                <w:ilvl w:val="0"/>
                <w:numId w:val="18"/>
              </w:numPr>
              <w:ind w:firstLineChars="0"/>
              <w:jc w:val="left"/>
              <w:rPr>
                <w:rFonts w:ascii="微软雅黑" w:hAnsi="微软雅黑" w:eastAsia="微软雅黑"/>
                <w:sz w:val="18"/>
                <w:szCs w:val="18"/>
              </w:rPr>
            </w:pPr>
            <w:r>
              <w:rPr>
                <w:rFonts w:hint="eastAsia" w:ascii="微软雅黑" w:hAnsi="微软雅黑" w:eastAsia="微软雅黑"/>
                <w:sz w:val="18"/>
                <w:szCs w:val="18"/>
              </w:rPr>
              <w:t xml:space="preserve">  每月3000分钟全国语音通话</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80套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18</w:t>
            </w:r>
          </w:p>
        </w:tc>
        <w:tc>
          <w:tcPr>
            <w:tcW w:w="993" w:type="dxa"/>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lang w:eastAsia="zh-CN"/>
              </w:rPr>
              <w:t>其它要求</w:t>
            </w:r>
          </w:p>
        </w:tc>
        <w:tc>
          <w:tcPr>
            <w:tcW w:w="7161" w:type="dxa"/>
          </w:tcPr>
          <w:p>
            <w:pPr>
              <w:pStyle w:val="17"/>
              <w:ind w:firstLine="0" w:firstLineChars="0"/>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lang w:eastAsia="zh-CN"/>
              </w:rPr>
              <w:t>中标供应商须提供</w:t>
            </w:r>
            <w:r>
              <w:rPr>
                <w:rFonts w:hint="eastAsia" w:ascii="微软雅黑" w:hAnsi="微软雅黑" w:eastAsia="微软雅黑"/>
                <w:color w:val="auto"/>
                <w:sz w:val="18"/>
                <w:szCs w:val="18"/>
              </w:rPr>
              <w:t>原有</w:t>
            </w:r>
            <w:r>
              <w:rPr>
                <w:rFonts w:hint="eastAsia" w:ascii="微软雅黑" w:hAnsi="微软雅黑" w:eastAsia="微软雅黑"/>
                <w:color w:val="auto"/>
                <w:sz w:val="18"/>
                <w:szCs w:val="18"/>
                <w:lang w:val="en-US" w:eastAsia="zh-CN"/>
              </w:rPr>
              <w:t>50路</w:t>
            </w:r>
            <w:r>
              <w:rPr>
                <w:rFonts w:hint="eastAsia" w:ascii="微软雅黑" w:hAnsi="微软雅黑" w:eastAsia="微软雅黑"/>
                <w:color w:val="auto"/>
                <w:sz w:val="18"/>
                <w:szCs w:val="18"/>
              </w:rPr>
              <w:t>视频监控业务平台单路监控点的接入许可</w:t>
            </w:r>
            <w:r>
              <w:rPr>
                <w:rFonts w:hint="eastAsia" w:ascii="微软雅黑" w:hAnsi="微软雅黑" w:eastAsia="微软雅黑"/>
                <w:color w:val="auto"/>
                <w:sz w:val="18"/>
                <w:szCs w:val="18"/>
                <w:lang w:eastAsia="zh-CN"/>
              </w:rPr>
              <w:t>。</w:t>
            </w:r>
          </w:p>
        </w:tc>
        <w:tc>
          <w:tcPr>
            <w:tcW w:w="777" w:type="dxa"/>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19</w:t>
            </w:r>
          </w:p>
        </w:tc>
        <w:tc>
          <w:tcPr>
            <w:tcW w:w="993" w:type="dxa"/>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rPr>
              <w:t>运营服务</w:t>
            </w:r>
            <w:r>
              <w:rPr>
                <w:rFonts w:hint="eastAsia" w:ascii="微软雅黑" w:hAnsi="微软雅黑" w:eastAsia="微软雅黑"/>
                <w:sz w:val="18"/>
                <w:szCs w:val="18"/>
                <w:lang w:eastAsia="zh-CN"/>
              </w:rPr>
              <w:t>期限</w:t>
            </w:r>
          </w:p>
        </w:tc>
        <w:tc>
          <w:tcPr>
            <w:tcW w:w="7161" w:type="dxa"/>
          </w:tcPr>
          <w:p>
            <w:pPr>
              <w:numPr>
                <w:ilvl w:val="0"/>
                <w:numId w:val="19"/>
              </w:numPr>
              <w:adjustRightInd w:val="0"/>
              <w:snapToGrid w:val="0"/>
              <w:jc w:val="left"/>
              <w:rPr>
                <w:rFonts w:ascii="微软雅黑" w:hAnsi="微软雅黑" w:eastAsia="微软雅黑"/>
                <w:sz w:val="18"/>
                <w:szCs w:val="18"/>
              </w:rPr>
            </w:pPr>
            <w:r>
              <w:rPr>
                <w:rFonts w:hint="eastAsia" w:ascii="微软雅黑" w:hAnsi="微软雅黑" w:eastAsia="微软雅黑" w:cstheme="minorBidi"/>
                <w:sz w:val="18"/>
                <w:szCs w:val="18"/>
              </w:rPr>
              <w:t>每日针对异常流量、攻击日志进行分析，通过关联规则告警聚合发现安全事件，形成报告。</w:t>
            </w:r>
          </w:p>
          <w:p>
            <w:pPr>
              <w:numPr>
                <w:ilvl w:val="0"/>
                <w:numId w:val="19"/>
              </w:numPr>
              <w:adjustRightInd w:val="0"/>
              <w:snapToGrid w:val="0"/>
              <w:jc w:val="left"/>
              <w:rPr>
                <w:rFonts w:ascii="微软雅黑" w:hAnsi="微软雅黑" w:eastAsia="微软雅黑"/>
                <w:sz w:val="18"/>
                <w:szCs w:val="18"/>
              </w:rPr>
            </w:pPr>
            <w:r>
              <w:rPr>
                <w:rFonts w:hint="eastAsia" w:ascii="微软雅黑" w:hAnsi="微软雅黑" w:eastAsia="微软雅黑" w:cstheme="minorBidi"/>
                <w:sz w:val="18"/>
                <w:szCs w:val="18"/>
              </w:rPr>
              <w:t>出现重要规则更新时，及时推送消息以告知客户升级检测能力，并形成报告。</w:t>
            </w:r>
          </w:p>
          <w:p>
            <w:pPr>
              <w:numPr>
                <w:ilvl w:val="0"/>
                <w:numId w:val="19"/>
              </w:numPr>
              <w:adjustRightInd w:val="0"/>
              <w:snapToGrid w:val="0"/>
              <w:jc w:val="left"/>
              <w:rPr>
                <w:rFonts w:ascii="微软雅黑" w:hAnsi="微软雅黑" w:eastAsia="微软雅黑"/>
                <w:sz w:val="18"/>
                <w:szCs w:val="18"/>
              </w:rPr>
            </w:pPr>
            <w:r>
              <w:rPr>
                <w:rFonts w:hint="eastAsia" w:ascii="微软雅黑" w:hAnsi="微软雅黑" w:eastAsia="微软雅黑" w:cstheme="minorBidi"/>
                <w:sz w:val="18"/>
                <w:szCs w:val="18"/>
              </w:rPr>
              <w:t>结合攻击流量以及最新公开漏洞情况，判断资产漏洞并形成资产漏洞管理清单，持续跟踪漏洞状态，出具漏洞整改建议，形成报告并及时告知客户。</w:t>
            </w:r>
          </w:p>
          <w:p>
            <w:pPr>
              <w:numPr>
                <w:ilvl w:val="0"/>
                <w:numId w:val="19"/>
              </w:numPr>
              <w:adjustRightInd w:val="0"/>
              <w:snapToGrid w:val="0"/>
              <w:jc w:val="left"/>
              <w:rPr>
                <w:rFonts w:ascii="微软雅黑" w:hAnsi="微软雅黑" w:eastAsia="微软雅黑"/>
                <w:sz w:val="18"/>
                <w:szCs w:val="18"/>
              </w:rPr>
            </w:pPr>
            <w:r>
              <w:rPr>
                <w:rFonts w:hint="eastAsia" w:ascii="微软雅黑" w:hAnsi="微软雅黑" w:eastAsia="微软雅黑" w:cstheme="minorBidi"/>
                <w:sz w:val="18"/>
                <w:szCs w:val="18"/>
              </w:rPr>
              <w:t>敏感时期，派遣专业安全服务工程师到用户单位驻场或远程，按用户指定时间，为用户信息安全提供7*24小时值守。</w:t>
            </w:r>
          </w:p>
          <w:p>
            <w:pPr>
              <w:numPr>
                <w:ilvl w:val="0"/>
                <w:numId w:val="19"/>
              </w:numPr>
              <w:adjustRightInd w:val="0"/>
              <w:snapToGrid w:val="0"/>
              <w:jc w:val="left"/>
              <w:rPr>
                <w:rFonts w:ascii="微软雅黑" w:hAnsi="微软雅黑" w:eastAsia="微软雅黑"/>
                <w:sz w:val="18"/>
                <w:szCs w:val="18"/>
              </w:rPr>
            </w:pPr>
            <w:r>
              <w:rPr>
                <w:rFonts w:hint="eastAsia" w:ascii="微软雅黑" w:hAnsi="微软雅黑" w:eastAsia="微软雅黑" w:cstheme="minorBidi"/>
                <w:sz w:val="18"/>
                <w:szCs w:val="18"/>
              </w:rPr>
              <w:t>定期由安全分析工程师接入专业大数据分析工具，针对安全分析所需基础数据，进行安全事件研判分析，识别安全事件并提供安全分析报告。</w:t>
            </w:r>
          </w:p>
        </w:tc>
        <w:tc>
          <w:tcPr>
            <w:tcW w:w="777" w:type="dxa"/>
            <w:vAlign w:val="center"/>
          </w:tcPr>
          <w:p>
            <w:pPr>
              <w:jc w:val="center"/>
              <w:rPr>
                <w:rFonts w:ascii="微软雅黑" w:hAnsi="微软雅黑" w:eastAsia="微软雅黑"/>
                <w:sz w:val="18"/>
                <w:szCs w:val="18"/>
              </w:rPr>
            </w:pPr>
            <w:r>
              <w:rPr>
                <w:rFonts w:hint="eastAsia" w:ascii="微软雅黑" w:hAnsi="微软雅黑" w:eastAsia="微软雅黑"/>
                <w:sz w:val="18"/>
                <w:szCs w:val="18"/>
              </w:rPr>
              <w:t>3年</w:t>
            </w:r>
          </w:p>
        </w:tc>
      </w:tr>
    </w:tbl>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7"/>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微软雅黑" w:hAnsi="微软雅黑" w:eastAsia="微软雅黑" w:cs="微软雅黑"/>
          <w:b/>
          <w:kern w:val="0"/>
          <w:sz w:val="24"/>
        </w:rPr>
      </w:pPr>
      <w:r>
        <w:rPr>
          <w:rFonts w:hint="eastAsia" w:ascii="微软雅黑" w:hAnsi="微软雅黑" w:eastAsia="微软雅黑" w:cs="微软雅黑"/>
          <w:b/>
          <w:kern w:val="0"/>
          <w:sz w:val="24"/>
        </w:rPr>
        <w:t>线路及机房托管服务清单</w:t>
      </w:r>
    </w:p>
    <w:p>
      <w:pPr>
        <w:spacing w:line="400" w:lineRule="exact"/>
        <w:rPr>
          <w:rFonts w:ascii="微软雅黑" w:hAnsi="微软雅黑" w:eastAsia="微软雅黑" w:cs="微软雅黑"/>
          <w:kern w:val="0"/>
          <w:sz w:val="24"/>
        </w:rPr>
      </w:pPr>
      <w:r>
        <w:rPr>
          <w:rFonts w:hint="eastAsia" w:ascii="微软雅黑" w:hAnsi="微软雅黑" w:eastAsia="微软雅黑" w:cs="微软雅黑"/>
          <w:kern w:val="0"/>
          <w:sz w:val="24"/>
        </w:rPr>
        <w:t>依据要求由运营商投资建设。</w:t>
      </w:r>
    </w:p>
    <w:tbl>
      <w:tblPr>
        <w:tblStyle w:val="13"/>
        <w:tblW w:w="4989" w:type="pct"/>
        <w:tblInd w:w="0" w:type="dxa"/>
        <w:tblLayout w:type="autofit"/>
        <w:tblCellMar>
          <w:top w:w="0" w:type="dxa"/>
          <w:left w:w="0" w:type="dxa"/>
          <w:bottom w:w="0" w:type="dxa"/>
          <w:right w:w="0" w:type="dxa"/>
        </w:tblCellMar>
      </w:tblPr>
      <w:tblGrid>
        <w:gridCol w:w="631"/>
        <w:gridCol w:w="3016"/>
        <w:gridCol w:w="4661"/>
      </w:tblGrid>
      <w:tr>
        <w:tblPrEx>
          <w:tblCellMar>
            <w:top w:w="0" w:type="dxa"/>
            <w:left w:w="0" w:type="dxa"/>
            <w:bottom w:w="0" w:type="dxa"/>
            <w:right w:w="0" w:type="dxa"/>
          </w:tblCellMar>
        </w:tblPrEx>
        <w:trPr>
          <w:trHeight w:val="134"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序号</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项目</w:t>
            </w:r>
          </w:p>
        </w:tc>
        <w:tc>
          <w:tcPr>
            <w:tcW w:w="280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内容</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1</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服务器机房到指挥大厅1000M光纤</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满足长葛市数字化城市管理中心数据传输访问带宽需求</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2</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服务器机房到政务网1000M光纤</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满足长葛市数字化城市管理中心与相关责任单位数据传输访问带宽需求</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3</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公安视频与中心机房1000M光纤</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满足长葛市数字化城市管理中心访问公安系统视频专网带宽需求</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4</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50路高清监控到中心机房100M光纤</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满足50个监控站点将视频影像传输到管理中心带宽需求</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微软雅黑" w:hAnsi="微软雅黑" w:eastAsia="微软雅黑" w:cs="微软雅黑"/>
                <w:color w:val="000000"/>
              </w:rPr>
            </w:pPr>
            <w:r>
              <w:rPr>
                <w:rFonts w:hint="eastAsia" w:ascii="微软雅黑" w:hAnsi="微软雅黑" w:eastAsia="微软雅黑" w:cs="微软雅黑"/>
                <w:color w:val="000000"/>
              </w:rPr>
              <w:t>5</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呼叫链路</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满足呼叫中心12319网络热线需求</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6</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视频采集车无线网络</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满足视频采集车传输视频影像到长葛市数字化城市管理中心的无线网络</w:t>
            </w:r>
          </w:p>
        </w:tc>
      </w:tr>
      <w:tr>
        <w:tblPrEx>
          <w:tblCellMar>
            <w:top w:w="0" w:type="dxa"/>
            <w:left w:w="0" w:type="dxa"/>
            <w:bottom w:w="0" w:type="dxa"/>
            <w:right w:w="0" w:type="dxa"/>
          </w:tblCellMar>
        </w:tblPrEx>
        <w:trPr>
          <w:trHeight w:val="384"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7</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机房托管服务</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包含：服务器、交换机、路由器、存储、防火墙、机房和车载UPS电源、操作系统、防病毒系统等多台设备</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8</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kern w:val="0"/>
              </w:rPr>
            </w:pPr>
            <w:r>
              <w:rPr>
                <w:rFonts w:hint="eastAsia" w:ascii="微软雅黑" w:hAnsi="微软雅黑" w:eastAsia="微软雅黑" w:cs="微软雅黑"/>
                <w:color w:val="000000"/>
                <w:kern w:val="0"/>
              </w:rPr>
              <w:t>机房数据异地云灾备购置三年费用</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kern w:val="0"/>
              </w:rPr>
            </w:pPr>
            <w:r>
              <w:rPr>
                <w:rFonts w:hint="eastAsia" w:ascii="微软雅黑" w:hAnsi="微软雅黑" w:eastAsia="微软雅黑" w:cs="微软雅黑"/>
                <w:color w:val="000000"/>
                <w:kern w:val="0"/>
              </w:rPr>
              <w:t>满足不少于3T或一个月数据异地云灾备部署支持完全备份、差异备份、增量备份、日志备份、数据异地容灾、CDP、数据零丢失、数据同步等多种容灾方式</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9</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视频监控点位维修保障</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50路室外型高清监控系统包含的所有设备维保和更换</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rPr>
              <w:t>10</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手持终端使用费</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无线信息采集城管通终端80部</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11</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手持终端信息流量费用</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提供音视频信息传递服务</w:t>
            </w:r>
          </w:p>
        </w:tc>
      </w:tr>
      <w:tr>
        <w:tblPrEx>
          <w:tblCellMar>
            <w:top w:w="0" w:type="dxa"/>
            <w:left w:w="0" w:type="dxa"/>
            <w:bottom w:w="0" w:type="dxa"/>
            <w:right w:w="0" w:type="dxa"/>
          </w:tblCellMar>
        </w:tblPrEx>
        <w:trPr>
          <w:trHeight w:val="17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rPr>
              <w:t>12</w:t>
            </w:r>
          </w:p>
        </w:tc>
        <w:tc>
          <w:tcPr>
            <w:tcW w:w="1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发电设备（汽油)</w:t>
            </w:r>
          </w:p>
        </w:tc>
        <w:tc>
          <w:tcPr>
            <w:tcW w:w="2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微软雅黑" w:hAnsi="微软雅黑" w:eastAsia="微软雅黑" w:cs="微软雅黑"/>
                <w:color w:val="000000"/>
              </w:rPr>
            </w:pPr>
            <w:r>
              <w:rPr>
                <w:rFonts w:hint="eastAsia" w:ascii="微软雅黑" w:hAnsi="微软雅黑" w:eastAsia="微软雅黑" w:cs="微软雅黑"/>
                <w:color w:val="000000"/>
                <w:kern w:val="0"/>
              </w:rPr>
              <w:t>10KM</w:t>
            </w:r>
          </w:p>
        </w:tc>
      </w:tr>
    </w:tbl>
    <w:p>
      <w:pPr>
        <w:pStyle w:val="18"/>
        <w:adjustRightInd w:val="0"/>
        <w:snapToGrid w:val="0"/>
        <w:spacing w:line="440" w:lineRule="exact"/>
        <w:ind w:firstLine="602" w:firstLineChars="250"/>
        <w:rPr>
          <w:rFonts w:ascii="宋体" w:hAnsi="宋体" w:cs="宋体"/>
          <w:b/>
          <w:sz w:val="24"/>
          <w:szCs w:val="24"/>
        </w:rPr>
      </w:pPr>
      <w:r>
        <w:rPr>
          <w:rFonts w:hint="eastAsia" w:ascii="宋体" w:hAnsi="宋体" w:cs="宋体"/>
          <w:b/>
          <w:sz w:val="24"/>
          <w:szCs w:val="24"/>
        </w:rPr>
        <w:t>三、其他要求</w:t>
      </w:r>
    </w:p>
    <w:p>
      <w:pPr>
        <w:pStyle w:val="18"/>
        <w:adjustRightInd w:val="0"/>
        <w:snapToGrid w:val="0"/>
        <w:spacing w:line="440" w:lineRule="exact"/>
        <w:ind w:firstLine="480"/>
        <w:rPr>
          <w:rFonts w:hint="eastAsia" w:ascii="宋体" w:hAnsi="宋体" w:cs="宋体"/>
          <w:kern w:val="0"/>
          <w:sz w:val="24"/>
          <w:szCs w:val="24"/>
        </w:rPr>
      </w:pPr>
      <w:r>
        <w:rPr>
          <w:rFonts w:hint="eastAsia" w:ascii="宋体" w:hAnsi="宋体" w:cs="宋体"/>
          <w:kern w:val="0"/>
          <w:sz w:val="24"/>
          <w:szCs w:val="24"/>
        </w:rPr>
        <w:t>1、投标人须明确投标产品的厂家、产地、品牌、型号、详细参数，均为新产品</w:t>
      </w:r>
      <w:r>
        <w:rPr>
          <w:rFonts w:hint="eastAsia" w:ascii="宋体" w:hAnsi="宋体" w:cs="宋体"/>
          <w:kern w:val="0"/>
          <w:sz w:val="24"/>
          <w:szCs w:val="24"/>
          <w:lang w:val="zh-CN"/>
        </w:rPr>
        <w:t>否则为无效采购文件。（</w:t>
      </w:r>
      <w:r>
        <w:rPr>
          <w:rFonts w:hint="eastAsia" w:ascii="宋体" w:hAnsi="宋体" w:cs="宋体"/>
          <w:kern w:val="0"/>
          <w:sz w:val="24"/>
          <w:szCs w:val="24"/>
        </w:rPr>
        <w:t>辅材产品、安装调试除外）.</w:t>
      </w:r>
    </w:p>
    <w:p>
      <w:pPr>
        <w:pStyle w:val="18"/>
        <w:adjustRightInd w:val="0"/>
        <w:snapToGrid w:val="0"/>
        <w:spacing w:line="440" w:lineRule="exact"/>
        <w:ind w:firstLine="480"/>
        <w:rPr>
          <w:rFonts w:ascii="宋体" w:hAnsi="宋体" w:cs="宋体"/>
          <w:kern w:val="0"/>
          <w:sz w:val="24"/>
          <w:szCs w:val="24"/>
        </w:rPr>
      </w:pPr>
      <w:r>
        <w:rPr>
          <w:rFonts w:hint="eastAsia" w:ascii="宋体" w:hAnsi="宋体" w:cs="宋体"/>
          <w:kern w:val="0"/>
          <w:sz w:val="24"/>
          <w:szCs w:val="24"/>
        </w:rPr>
        <w:t>2、投标人应就本项目完整投标，投标人所投产品必须满足招标文件要求，否则为无效投标。</w:t>
      </w:r>
    </w:p>
    <w:p>
      <w:pPr>
        <w:pStyle w:val="18"/>
        <w:adjustRightInd w:val="0"/>
        <w:snapToGrid w:val="0"/>
        <w:spacing w:line="440" w:lineRule="exact"/>
        <w:ind w:firstLine="480"/>
        <w:rPr>
          <w:rFonts w:ascii="宋体" w:hAnsi="宋体" w:cs="宋体"/>
          <w:kern w:val="0"/>
          <w:sz w:val="24"/>
          <w:szCs w:val="24"/>
        </w:rPr>
      </w:pPr>
      <w:r>
        <w:rPr>
          <w:rFonts w:hint="eastAsia" w:ascii="宋体" w:hAnsi="宋体" w:cs="宋体"/>
          <w:kern w:val="0"/>
          <w:sz w:val="24"/>
          <w:szCs w:val="24"/>
        </w:rPr>
        <w:t>3、中标单位应遵守国家有关法律、法规及执业规范，应遵守审计部门、财政部门的相关制度规定。</w:t>
      </w:r>
    </w:p>
    <w:p>
      <w:pPr>
        <w:pStyle w:val="18"/>
        <w:adjustRightInd w:val="0"/>
        <w:snapToGrid w:val="0"/>
        <w:spacing w:line="440" w:lineRule="exact"/>
        <w:ind w:firstLine="480"/>
        <w:rPr>
          <w:rFonts w:ascii="宋体" w:hAnsi="宋体" w:cs="宋体"/>
          <w:kern w:val="0"/>
          <w:sz w:val="24"/>
          <w:szCs w:val="24"/>
        </w:rPr>
      </w:pPr>
      <w:r>
        <w:rPr>
          <w:rFonts w:hint="eastAsia" w:ascii="宋体" w:hAnsi="宋体" w:cs="宋体"/>
          <w:kern w:val="0"/>
          <w:sz w:val="24"/>
          <w:szCs w:val="24"/>
        </w:rPr>
        <w:t>4、交货地点：用户指定地点。</w:t>
      </w:r>
    </w:p>
    <w:p>
      <w:pPr>
        <w:pStyle w:val="18"/>
        <w:adjustRightInd w:val="0"/>
        <w:snapToGrid w:val="0"/>
        <w:spacing w:line="440" w:lineRule="exact"/>
        <w:ind w:firstLine="480"/>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、故障响应时间：在服务期内，若出现系统故障或其它故障原因，供应商须在24小时内予以解决并保证系统的正常运行。</w:t>
      </w:r>
    </w:p>
    <w:p>
      <w:pPr>
        <w:pStyle w:val="18"/>
        <w:adjustRightInd w:val="0"/>
        <w:snapToGrid w:val="0"/>
        <w:spacing w:line="440" w:lineRule="exact"/>
        <w:ind w:firstLine="482"/>
        <w:rPr>
          <w:rFonts w:ascii="宋体" w:hAnsi="宋体" w:cs="宋体"/>
          <w:b/>
          <w:sz w:val="24"/>
          <w:szCs w:val="24"/>
        </w:rPr>
      </w:pPr>
      <w:r>
        <w:rPr>
          <w:rFonts w:hint="eastAsia" w:ascii="宋体" w:hAnsi="宋体" w:cs="宋体"/>
          <w:b/>
          <w:sz w:val="24"/>
          <w:szCs w:val="24"/>
        </w:rPr>
        <w:t>四、验收标准</w:t>
      </w:r>
    </w:p>
    <w:p>
      <w:pPr>
        <w:pStyle w:val="18"/>
        <w:adjustRightInd w:val="0"/>
        <w:snapToGrid w:val="0"/>
        <w:spacing w:line="440" w:lineRule="exact"/>
        <w:ind w:firstLine="480"/>
        <w:rPr>
          <w:rFonts w:hint="eastAsia" w:ascii="宋体" w:hAnsi="宋体" w:cs="宋体"/>
          <w:kern w:val="0"/>
          <w:sz w:val="24"/>
          <w:szCs w:val="24"/>
        </w:rPr>
      </w:pPr>
      <w:r>
        <w:rPr>
          <w:rFonts w:hint="eastAsia" w:ascii="宋体" w:hAnsi="宋体" w:cs="宋体"/>
          <w:kern w:val="0"/>
          <w:sz w:val="24"/>
          <w:szCs w:val="24"/>
        </w:rPr>
        <w:t>1、中标合同签订后40日历天内，中标人按招标文件要求的参数建设，由采购人成立验收小组，验收合格后进行履约服务。</w:t>
      </w:r>
    </w:p>
    <w:p>
      <w:pPr>
        <w:pStyle w:val="18"/>
        <w:adjustRightInd w:val="0"/>
        <w:snapToGrid w:val="0"/>
        <w:spacing w:line="440" w:lineRule="exact"/>
        <w:ind w:firstLine="480"/>
        <w:rPr>
          <w:rFonts w:hint="eastAsia" w:ascii="宋体" w:hAnsi="宋体" w:cs="宋体"/>
          <w:kern w:val="0"/>
          <w:sz w:val="24"/>
          <w:szCs w:val="24"/>
        </w:rPr>
      </w:pPr>
      <w:r>
        <w:rPr>
          <w:rFonts w:hint="eastAsia" w:ascii="宋体" w:hAnsi="宋体" w:cs="宋体"/>
          <w:kern w:val="0"/>
          <w:sz w:val="24"/>
          <w:szCs w:val="24"/>
        </w:rPr>
        <w:t>2、验收时,按照采购合同的约定对每一项技术、服务、安全标准的履约情况进行确认。验收结束后,出具验收书,列明各项标准的验收情况及项目总体评价,由验收双方共同签署。</w:t>
      </w:r>
    </w:p>
    <w:p>
      <w:pPr>
        <w:pStyle w:val="18"/>
        <w:adjustRightInd w:val="0"/>
        <w:snapToGrid w:val="0"/>
        <w:spacing w:line="440" w:lineRule="exact"/>
        <w:ind w:firstLine="480"/>
        <w:rPr>
          <w:rFonts w:hint="eastAsia" w:ascii="宋体" w:hAnsi="宋体" w:cs="宋体"/>
          <w:kern w:val="0"/>
          <w:sz w:val="24"/>
          <w:szCs w:val="24"/>
        </w:rPr>
      </w:pPr>
      <w:r>
        <w:rPr>
          <w:rFonts w:hint="eastAsia" w:ascii="宋体" w:hAnsi="宋体" w:cs="宋体"/>
          <w:kern w:val="0"/>
          <w:sz w:val="24"/>
          <w:szCs w:val="24"/>
        </w:rPr>
        <w:t>3、按照招标文件要求、投标文件响应和承诺验收。</w:t>
      </w:r>
    </w:p>
    <w:p>
      <w:pPr>
        <w:spacing w:line="360" w:lineRule="auto"/>
        <w:ind w:firstLine="361" w:firstLineChars="150"/>
        <w:rPr>
          <w:rFonts w:ascii="宋体" w:hAnsi="宋体" w:cs="宋体"/>
          <w:b/>
          <w:sz w:val="24"/>
        </w:rPr>
      </w:pPr>
      <w:r>
        <w:rPr>
          <w:rFonts w:hint="eastAsia" w:ascii="宋体" w:hAnsi="宋体" w:cs="宋体"/>
          <w:b/>
          <w:sz w:val="24"/>
        </w:rPr>
        <w:t>四、本项目预算金额（最高限价）：2250000.00元。超出最高限价的投标无效。</w:t>
      </w:r>
    </w:p>
    <w:p>
      <w:pPr>
        <w:spacing w:line="360" w:lineRule="auto"/>
        <w:ind w:firstLine="361" w:firstLineChars="150"/>
        <w:rPr>
          <w:rFonts w:ascii="宋体" w:hAnsi="宋体" w:cs="宋体"/>
          <w:b/>
          <w:sz w:val="24"/>
          <w:szCs w:val="16"/>
        </w:rPr>
      </w:pPr>
      <w:r>
        <w:rPr>
          <w:rFonts w:hint="eastAsia" w:ascii="宋体" w:hAnsi="宋体" w:cs="宋体"/>
          <w:b/>
          <w:sz w:val="24"/>
          <w:szCs w:val="16"/>
        </w:rPr>
        <w:t>六、资金支付</w:t>
      </w:r>
    </w:p>
    <w:p>
      <w:pPr>
        <w:spacing w:line="360" w:lineRule="auto"/>
        <w:ind w:firstLine="360" w:firstLineChars="150"/>
        <w:rPr>
          <w:rFonts w:ascii="宋体" w:hAnsi="宋体" w:cs="宋体"/>
          <w:bCs/>
          <w:kern w:val="0"/>
          <w:lang w:val="zh-CN"/>
        </w:rPr>
      </w:pPr>
      <w:r>
        <w:rPr>
          <w:rFonts w:hint="eastAsia" w:ascii="宋体" w:hAnsi="宋体" w:cs="宋体"/>
          <w:kern w:val="0"/>
          <w:sz w:val="24"/>
        </w:rPr>
        <w:t>1、支付方式：</w:t>
      </w:r>
      <w:r>
        <w:rPr>
          <w:rFonts w:hint="eastAsia" w:ascii="宋体" w:hAnsi="宋体" w:cs="宋体"/>
          <w:b/>
          <w:sz w:val="24"/>
        </w:rPr>
        <w:t>以签订合同为准。</w:t>
      </w:r>
    </w:p>
    <w:p>
      <w:pPr>
        <w:ind w:firstLine="360" w:firstLineChars="150"/>
        <w:rPr>
          <w:rFonts w:ascii="宋体" w:hAnsi="宋体" w:cs="宋体"/>
          <w:b/>
          <w:sz w:val="24"/>
        </w:rPr>
      </w:pPr>
      <w:r>
        <w:rPr>
          <w:rFonts w:hint="eastAsia" w:ascii="宋体" w:hAnsi="宋体" w:cs="宋体"/>
          <w:kern w:val="0"/>
          <w:sz w:val="24"/>
        </w:rPr>
        <w:t>2、支付时间及条件：</w:t>
      </w:r>
      <w:r>
        <w:rPr>
          <w:rFonts w:hint="eastAsia" w:ascii="宋体" w:hAnsi="宋体" w:cs="宋体"/>
          <w:b/>
          <w:sz w:val="24"/>
        </w:rPr>
        <w:t>以签订合同为准。</w:t>
      </w:r>
    </w:p>
    <w:p>
      <w:pPr>
        <w:pStyle w:val="2"/>
        <w:ind w:firstLine="241"/>
        <w:rPr>
          <w:rFonts w:hAnsi="宋体"/>
          <w:b/>
          <w:sz w:val="24"/>
        </w:rPr>
      </w:pPr>
    </w:p>
    <w:p>
      <w:pPr>
        <w:widowControl/>
        <w:spacing w:line="360" w:lineRule="auto"/>
        <w:rPr>
          <w:rFonts w:ascii="宋体" w:hAnsi="宋体"/>
          <w:b/>
          <w:kern w:val="0"/>
          <w:sz w:val="32"/>
          <w:szCs w:val="32"/>
        </w:rPr>
      </w:pPr>
    </w:p>
    <w:p>
      <w:pPr>
        <w:widowControl/>
        <w:spacing w:line="360" w:lineRule="auto"/>
        <w:jc w:val="center"/>
        <w:rPr>
          <w:rFonts w:ascii="宋体" w:hAnsi="宋体"/>
          <w:b/>
          <w:kern w:val="0"/>
          <w:sz w:val="32"/>
          <w:szCs w:val="32"/>
        </w:rPr>
      </w:pPr>
      <w:r>
        <w:rPr>
          <w:rFonts w:hint="eastAsia" w:ascii="宋体" w:hAnsi="宋体"/>
          <w:b/>
          <w:kern w:val="0"/>
          <w:sz w:val="32"/>
          <w:szCs w:val="32"/>
        </w:rPr>
        <w:t>第三章 供应商须知前附表</w:t>
      </w:r>
    </w:p>
    <w:p>
      <w:pPr>
        <w:autoSpaceDE w:val="0"/>
        <w:autoSpaceDN w:val="0"/>
        <w:adjustRightInd w:val="0"/>
        <w:spacing w:line="360" w:lineRule="auto"/>
        <w:ind w:right="-11"/>
        <w:jc w:val="left"/>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hint="eastAsia" w:ascii="宋体" w:hAnsi="宋体" w:eastAsia="宋体"/>
                <w:bCs/>
                <w:sz w:val="24"/>
                <w:szCs w:val="24"/>
                <w:lang w:val="en-US" w:eastAsia="zh-CN"/>
              </w:rPr>
            </w:pPr>
            <w:r>
              <w:rPr>
                <w:rFonts w:hint="eastAsia" w:ascii="宋体" w:hAnsi="宋体"/>
                <w:bCs/>
                <w:sz w:val="24"/>
                <w:szCs w:val="24"/>
              </w:rPr>
              <w:t>项目名称：长葛市数字城管机房托管及光纤租用项目</w:t>
            </w:r>
            <w:r>
              <w:rPr>
                <w:rFonts w:hint="eastAsia" w:ascii="宋体" w:hAnsi="宋体"/>
                <w:bCs/>
                <w:sz w:val="24"/>
                <w:szCs w:val="24"/>
                <w:lang w:eastAsia="zh-CN"/>
              </w:rPr>
              <w:t>（不见面开标）</w:t>
            </w:r>
          </w:p>
          <w:p>
            <w:pPr>
              <w:adjustRightInd w:val="0"/>
              <w:snapToGrid w:val="0"/>
              <w:spacing w:line="400" w:lineRule="exact"/>
              <w:rPr>
                <w:rFonts w:ascii="宋体" w:hAnsi="宋体"/>
                <w:bCs/>
                <w:sz w:val="24"/>
                <w:szCs w:val="24"/>
              </w:rPr>
            </w:pPr>
            <w:r>
              <w:rPr>
                <w:rFonts w:hint="eastAsia" w:ascii="宋体" w:hAnsi="宋体"/>
                <w:bCs/>
                <w:sz w:val="24"/>
                <w:szCs w:val="24"/>
              </w:rPr>
              <w:t>项目编号：长招采公字【2021】030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hint="eastAsia" w:ascii="宋体" w:hAnsi="宋体"/>
                <w:bCs/>
                <w:sz w:val="24"/>
                <w:szCs w:val="24"/>
              </w:rPr>
            </w:pPr>
            <w:r>
              <w:rPr>
                <w:rFonts w:hint="eastAsia" w:ascii="宋体" w:hAnsi="宋体"/>
                <w:bCs/>
                <w:sz w:val="24"/>
                <w:szCs w:val="24"/>
              </w:rPr>
              <w:t>采购人：长葛市城市管理局</w:t>
            </w:r>
          </w:p>
          <w:p>
            <w:pPr>
              <w:adjustRightInd w:val="0"/>
              <w:snapToGrid w:val="0"/>
              <w:spacing w:line="400" w:lineRule="exact"/>
              <w:rPr>
                <w:rFonts w:hint="eastAsia" w:ascii="宋体" w:hAnsi="宋体"/>
                <w:bCs/>
                <w:sz w:val="24"/>
                <w:szCs w:val="24"/>
              </w:rPr>
            </w:pPr>
            <w:r>
              <w:rPr>
                <w:rFonts w:hint="eastAsia" w:ascii="宋体" w:hAnsi="宋体"/>
                <w:bCs/>
                <w:sz w:val="24"/>
                <w:szCs w:val="24"/>
              </w:rPr>
              <w:t>地    址：长葛市泰山路7号楼</w:t>
            </w:r>
          </w:p>
          <w:p>
            <w:pPr>
              <w:adjustRightInd w:val="0"/>
              <w:snapToGrid w:val="0"/>
              <w:spacing w:line="400" w:lineRule="exact"/>
              <w:rPr>
                <w:rFonts w:hint="eastAsia" w:ascii="宋体" w:hAnsi="宋体"/>
                <w:bCs/>
                <w:sz w:val="24"/>
                <w:szCs w:val="24"/>
                <w:lang w:val="zh-CN"/>
              </w:rPr>
            </w:pPr>
            <w:r>
              <w:rPr>
                <w:rFonts w:hint="eastAsia" w:ascii="宋体" w:hAnsi="宋体"/>
                <w:bCs/>
                <w:sz w:val="24"/>
                <w:szCs w:val="24"/>
              </w:rPr>
              <w:t>联系人：马先生</w:t>
            </w:r>
          </w:p>
          <w:p>
            <w:pPr>
              <w:adjustRightInd w:val="0"/>
              <w:snapToGrid w:val="0"/>
              <w:spacing w:line="400" w:lineRule="exact"/>
              <w:rPr>
                <w:rFonts w:ascii="宋体" w:hAnsi="宋体"/>
                <w:bCs/>
                <w:sz w:val="24"/>
                <w:szCs w:val="24"/>
              </w:rPr>
            </w:pPr>
            <w:r>
              <w:rPr>
                <w:rFonts w:hint="eastAsia" w:ascii="宋体" w:hAnsi="宋体"/>
                <w:bCs/>
                <w:sz w:val="24"/>
                <w:szCs w:val="24"/>
                <w:lang w:val="zh-CN"/>
              </w:rPr>
              <w:t>联系电话：</w:t>
            </w:r>
            <w:r>
              <w:rPr>
                <w:rFonts w:hint="eastAsia" w:ascii="宋体" w:hAnsi="宋体"/>
                <w:bCs/>
                <w:sz w:val="24"/>
                <w:szCs w:val="24"/>
              </w:rPr>
              <w:t>13333997825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kern w:val="0"/>
                <w:sz w:val="24"/>
                <w:szCs w:val="24"/>
              </w:rPr>
            </w:pPr>
            <w:r>
              <w:rPr>
                <w:rFonts w:hint="eastAsia" w:ascii="宋体" w:hAnsi="宋体"/>
                <w:kern w:val="0"/>
                <w:sz w:val="24"/>
                <w:szCs w:val="24"/>
              </w:rPr>
              <w:t>代理机构：中科经纬工程技术有限公司</w:t>
            </w:r>
          </w:p>
          <w:p>
            <w:pPr>
              <w:spacing w:line="360" w:lineRule="auto"/>
              <w:jc w:val="left"/>
              <w:rPr>
                <w:rFonts w:ascii="宋体" w:hAnsi="宋体"/>
                <w:kern w:val="0"/>
                <w:sz w:val="24"/>
                <w:szCs w:val="24"/>
              </w:rPr>
            </w:pPr>
            <w:r>
              <w:rPr>
                <w:rFonts w:hint="eastAsia" w:ascii="宋体" w:hAnsi="宋体"/>
                <w:kern w:val="0"/>
                <w:sz w:val="24"/>
                <w:szCs w:val="24"/>
              </w:rPr>
              <w:t>联 系 人：</w:t>
            </w:r>
            <w:r>
              <w:rPr>
                <w:rFonts w:hint="eastAsia" w:ascii="宋体" w:hAnsi="宋体"/>
                <w:kern w:val="0"/>
                <w:sz w:val="24"/>
                <w:szCs w:val="24"/>
                <w:lang w:eastAsia="zh-CN"/>
              </w:rPr>
              <w:t>盛</w:t>
            </w:r>
            <w:r>
              <w:rPr>
                <w:rFonts w:hint="eastAsia" w:ascii="宋体" w:hAnsi="宋体"/>
                <w:kern w:val="0"/>
                <w:sz w:val="24"/>
                <w:szCs w:val="24"/>
              </w:rPr>
              <w:t>女士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kern w:val="0"/>
                <w:sz w:val="24"/>
                <w:szCs w:val="24"/>
              </w:rPr>
            </w:pPr>
            <w:r>
              <w:rPr>
                <w:rFonts w:hint="eastAsia" w:ascii="宋体" w:hAnsi="宋体"/>
                <w:kern w:val="0"/>
                <w:sz w:val="24"/>
                <w:szCs w:val="24"/>
              </w:rPr>
              <w:t>联系电话：</w:t>
            </w:r>
            <w:r>
              <w:rPr>
                <w:rFonts w:hint="eastAsia" w:ascii="宋体" w:hAnsi="宋体" w:cs="宋体"/>
                <w:b w:val="0"/>
                <w:bCs w:val="0"/>
                <w:i w:val="0"/>
                <w:iCs w:val="0"/>
                <w:color w:val="000000"/>
                <w:kern w:val="0"/>
                <w:sz w:val="24"/>
                <w:szCs w:val="24"/>
                <w:u w:val="none"/>
                <w:shd w:val="clear" w:fill="FFFFFF"/>
                <w:lang w:val="en-US" w:eastAsia="zh-CN" w:bidi="ar"/>
              </w:rPr>
              <w:t>13673813219</w:t>
            </w:r>
          </w:p>
          <w:p>
            <w:pPr>
              <w:spacing w:line="360" w:lineRule="auto"/>
              <w:jc w:val="left"/>
              <w:rPr>
                <w:rFonts w:ascii="宋体" w:hAnsi="宋体"/>
                <w:sz w:val="24"/>
                <w:szCs w:val="24"/>
              </w:rPr>
            </w:pPr>
            <w:r>
              <w:rPr>
                <w:rFonts w:hint="eastAsia" w:ascii="宋体" w:hAnsi="宋体"/>
                <w:kern w:val="0"/>
                <w:sz w:val="24"/>
                <w:szCs w:val="24"/>
              </w:rPr>
              <w:t>地址:成都高新区九兴大道9号2栋7楼1号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ind w:right="-11"/>
              <w:rPr>
                <w:sz w:val="24"/>
                <w:szCs w:val="24"/>
              </w:rPr>
            </w:pPr>
            <w:r>
              <w:rPr>
                <w:rFonts w:hint="eastAsia"/>
                <w:sz w:val="24"/>
                <w:szCs w:val="24"/>
              </w:rPr>
              <w:t>1</w:t>
            </w:r>
            <w:r>
              <w:rPr>
                <w:rFonts w:hint="eastAsia" w:ascii="宋体" w:hAnsi="宋体"/>
                <w:sz w:val="24"/>
                <w:szCs w:val="24"/>
              </w:rPr>
              <w:t>、企业法人营业执照或营业执照。（企业提供）</w:t>
            </w:r>
          </w:p>
          <w:p>
            <w:pPr>
              <w:autoSpaceDE w:val="0"/>
              <w:autoSpaceDN w:val="0"/>
              <w:adjustRightInd w:val="0"/>
              <w:snapToGrid w:val="0"/>
              <w:spacing w:line="400" w:lineRule="exact"/>
              <w:ind w:right="-11"/>
              <w:rPr>
                <w:sz w:val="24"/>
                <w:szCs w:val="24"/>
              </w:rPr>
            </w:pPr>
            <w:r>
              <w:rPr>
                <w:rFonts w:hint="eastAsia"/>
                <w:sz w:val="24"/>
                <w:szCs w:val="24"/>
              </w:rPr>
              <w:t>2</w:t>
            </w:r>
            <w:r>
              <w:rPr>
                <w:rFonts w:hint="eastAsia" w:ascii="宋体" w:hAnsi="宋体"/>
                <w:sz w:val="24"/>
                <w:szCs w:val="24"/>
              </w:rPr>
              <w:t>、事业单位法人证书。（事业单位提供）</w:t>
            </w:r>
          </w:p>
          <w:p>
            <w:pPr>
              <w:autoSpaceDE w:val="0"/>
              <w:autoSpaceDN w:val="0"/>
              <w:adjustRightInd w:val="0"/>
              <w:snapToGrid w:val="0"/>
              <w:spacing w:line="400" w:lineRule="exact"/>
              <w:ind w:right="-11"/>
              <w:rPr>
                <w:sz w:val="24"/>
                <w:szCs w:val="24"/>
              </w:rPr>
            </w:pPr>
            <w:r>
              <w:rPr>
                <w:rFonts w:hint="eastAsia"/>
                <w:sz w:val="24"/>
                <w:szCs w:val="24"/>
              </w:rPr>
              <w:t>3</w:t>
            </w:r>
            <w:r>
              <w:rPr>
                <w:rFonts w:hint="eastAsia" w:ascii="宋体" w:hAnsi="宋体"/>
                <w:sz w:val="24"/>
                <w:szCs w:val="24"/>
              </w:rPr>
              <w:t>、执业许可证。（非企业专业服务机构提供）</w:t>
            </w:r>
          </w:p>
          <w:p>
            <w:pPr>
              <w:autoSpaceDE w:val="0"/>
              <w:autoSpaceDN w:val="0"/>
              <w:adjustRightInd w:val="0"/>
              <w:snapToGrid w:val="0"/>
              <w:spacing w:line="400" w:lineRule="exact"/>
              <w:ind w:right="-11"/>
              <w:rPr>
                <w:sz w:val="24"/>
                <w:szCs w:val="24"/>
              </w:rPr>
            </w:pPr>
            <w:r>
              <w:rPr>
                <w:rFonts w:hint="eastAsia"/>
                <w:sz w:val="24"/>
                <w:szCs w:val="24"/>
              </w:rPr>
              <w:t>4</w:t>
            </w:r>
            <w:r>
              <w:rPr>
                <w:rFonts w:hint="eastAsia" w:ascii="宋体" w:hAnsi="宋体"/>
                <w:sz w:val="24"/>
                <w:szCs w:val="24"/>
              </w:rPr>
              <w:t>、个体工商户营业执照。（个体工商户提供）</w:t>
            </w:r>
          </w:p>
          <w:p>
            <w:pPr>
              <w:autoSpaceDE w:val="0"/>
              <w:autoSpaceDN w:val="0"/>
              <w:adjustRightInd w:val="0"/>
              <w:snapToGrid w:val="0"/>
              <w:spacing w:line="400" w:lineRule="exact"/>
              <w:jc w:val="left"/>
              <w:rPr>
                <w:sz w:val="24"/>
                <w:szCs w:val="24"/>
              </w:rPr>
            </w:pPr>
            <w:r>
              <w:rPr>
                <w:rFonts w:hint="eastAsia"/>
                <w:sz w:val="24"/>
                <w:szCs w:val="24"/>
              </w:rPr>
              <w:t>5</w:t>
            </w:r>
            <w:r>
              <w:rPr>
                <w:rFonts w:hint="eastAsia" w:ascii="宋体" w:hAnsi="宋体"/>
                <w:sz w:val="24"/>
                <w:szCs w:val="24"/>
              </w:rPr>
              <w:t>、自然人身份证明。（自然人提供）</w:t>
            </w:r>
          </w:p>
          <w:p>
            <w:pPr>
              <w:autoSpaceDE w:val="0"/>
              <w:autoSpaceDN w:val="0"/>
              <w:adjustRightInd w:val="0"/>
              <w:snapToGrid w:val="0"/>
              <w:spacing w:line="400" w:lineRule="exact"/>
              <w:jc w:val="left"/>
              <w:rPr>
                <w:sz w:val="24"/>
                <w:szCs w:val="24"/>
              </w:rPr>
            </w:pPr>
            <w:r>
              <w:rPr>
                <w:rFonts w:hint="eastAsia"/>
                <w:sz w:val="24"/>
                <w:szCs w:val="24"/>
              </w:rPr>
              <w:t>6</w:t>
            </w:r>
            <w:r>
              <w:rPr>
                <w:rFonts w:hint="eastAsia" w:ascii="宋体" w:hAnsi="宋体"/>
                <w:sz w:val="24"/>
                <w:szCs w:val="24"/>
              </w:rPr>
              <w:t>、民办非企业单位登记证书。（民办非企业单位提供）</w:t>
            </w:r>
          </w:p>
          <w:p>
            <w:pPr>
              <w:autoSpaceDE w:val="0"/>
              <w:autoSpaceDN w:val="0"/>
              <w:adjustRightInd w:val="0"/>
              <w:snapToGrid w:val="0"/>
              <w:spacing w:line="400" w:lineRule="exact"/>
              <w:jc w:val="left"/>
              <w:rPr>
                <w:b/>
                <w:sz w:val="24"/>
                <w:szCs w:val="24"/>
              </w:rPr>
            </w:pPr>
            <w:r>
              <w:rPr>
                <w:rFonts w:hint="eastAsia"/>
                <w:b/>
                <w:sz w:val="24"/>
                <w:szCs w:val="24"/>
              </w:rPr>
              <w:t>二、财务状况报告相关材料</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）供应商是法人（法人包括企业法人、机关法人、事业单位法人和社会团体法人），提供本单位：</w:t>
            </w:r>
          </w:p>
          <w:p>
            <w:pPr>
              <w:adjustRightInd w:val="0"/>
              <w:snapToGrid w:val="0"/>
              <w:spacing w:line="400" w:lineRule="exact"/>
              <w:rPr>
                <w:sz w:val="24"/>
                <w:szCs w:val="24"/>
              </w:rPr>
            </w:pPr>
            <w:r>
              <w:rPr>
                <w:rFonts w:hint="eastAsia" w:ascii="宋体" w:hAnsi="宋体"/>
                <w:sz w:val="24"/>
                <w:szCs w:val="24"/>
              </w:rPr>
              <w:t xml:space="preserve">① </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②基本开户银行出具的资信证明；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djustRightInd w:val="0"/>
              <w:snapToGrid w:val="0"/>
              <w:spacing w:line="400" w:lineRule="exact"/>
              <w:rPr>
                <w:sz w:val="24"/>
                <w:szCs w:val="24"/>
              </w:rPr>
            </w:pPr>
            <w:r>
              <w:rPr>
                <w:rFonts w:hint="eastAsia"/>
                <w:sz w:val="24"/>
                <w:szCs w:val="24"/>
              </w:rPr>
              <w:t>（2</w:t>
            </w:r>
            <w:r>
              <w:rPr>
                <w:rFonts w:hint="eastAsia" w:ascii="宋体" w:hAnsi="宋体"/>
                <w:sz w:val="24"/>
                <w:szCs w:val="24"/>
              </w:rPr>
              <w:t>）供应商（其他组织和自然人）提供本单位：</w:t>
            </w:r>
          </w:p>
          <w:p>
            <w:pPr>
              <w:adjustRightInd w:val="0"/>
              <w:snapToGrid w:val="0"/>
              <w:spacing w:line="400" w:lineRule="exact"/>
              <w:rPr>
                <w:sz w:val="24"/>
                <w:szCs w:val="24"/>
              </w:rPr>
            </w:pPr>
            <w:r>
              <w:rPr>
                <w:rFonts w:hint="eastAsia" w:ascii="宋体" w:hAnsi="宋体"/>
                <w:sz w:val="24"/>
                <w:szCs w:val="24"/>
              </w:rPr>
              <w:t>①</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utoSpaceDE w:val="0"/>
              <w:autoSpaceDN w:val="0"/>
              <w:adjustRightInd w:val="0"/>
              <w:snapToGrid w:val="0"/>
              <w:spacing w:line="400" w:lineRule="exact"/>
              <w:ind w:right="-11"/>
              <w:rPr>
                <w:b/>
                <w:sz w:val="24"/>
                <w:szCs w:val="24"/>
              </w:rPr>
            </w:pPr>
            <w:r>
              <w:rPr>
                <w:rFonts w:hint="eastAsia"/>
                <w:b/>
                <w:sz w:val="24"/>
                <w:szCs w:val="24"/>
              </w:rPr>
              <w:t>三、依法缴纳税收相关材料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参加本次政府采购项目投标截止时间前六个月内任意一个月缴纳税收凭据。（依法免税的供应商，应提供相应文件证明依法免税）</w:t>
            </w:r>
          </w:p>
          <w:p>
            <w:pPr>
              <w:autoSpaceDE w:val="0"/>
              <w:autoSpaceDN w:val="0"/>
              <w:adjustRightInd w:val="0"/>
              <w:snapToGrid w:val="0"/>
              <w:spacing w:line="400" w:lineRule="exact"/>
              <w:ind w:right="-11"/>
              <w:rPr>
                <w:b/>
                <w:sz w:val="24"/>
                <w:szCs w:val="24"/>
              </w:rPr>
            </w:pPr>
            <w:r>
              <w:rPr>
                <w:rFonts w:hint="eastAsia"/>
                <w:b/>
                <w:sz w:val="24"/>
                <w:szCs w:val="24"/>
              </w:rPr>
              <w:t>四、依法缴纳社会保障资金的证明材料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参加本次政府采购项目投标截止时间前六个月内任意一个月缴纳社会保险凭据。（依法不需要缴纳社会保障资金的供应商，应提供相应文件证明依法不需要缴纳社会保障资金）</w:t>
            </w:r>
          </w:p>
          <w:p>
            <w:pPr>
              <w:pStyle w:val="3"/>
              <w:adjustRightInd w:val="0"/>
              <w:snapToGrid w:val="0"/>
              <w:spacing w:line="400" w:lineRule="exact"/>
              <w:rPr>
                <w:sz w:val="24"/>
                <w:szCs w:val="24"/>
              </w:rPr>
            </w:pPr>
            <w:r>
              <w:rPr>
                <w:rFonts w:hint="eastAsia"/>
                <w:sz w:val="24"/>
                <w:szCs w:val="24"/>
              </w:rPr>
              <w:t>（新注册公司从注册交纳起计算，不足的视为满足)</w:t>
            </w:r>
          </w:p>
          <w:p>
            <w:pPr>
              <w:rPr>
                <w:b/>
                <w:sz w:val="24"/>
                <w:szCs w:val="24"/>
              </w:rPr>
            </w:pPr>
            <w:r>
              <w:rPr>
                <w:rFonts w:hint="eastAsia"/>
                <w:b/>
                <w:sz w:val="24"/>
                <w:szCs w:val="24"/>
              </w:rPr>
              <w:t>五、履行合同所必须的设备和专业技术能力的证明材料</w:t>
            </w:r>
          </w:p>
          <w:p>
            <w:pPr>
              <w:pStyle w:val="3"/>
              <w:adjustRightInd w:val="0"/>
              <w:snapToGrid w:val="0"/>
              <w:spacing w:line="400" w:lineRule="exact"/>
              <w:rPr>
                <w:sz w:val="24"/>
                <w:szCs w:val="24"/>
              </w:rPr>
            </w:pPr>
            <w:r>
              <w:rPr>
                <w:rFonts w:hint="eastAsia" w:ascii="宋体" w:hAnsi="宋体"/>
                <w:sz w:val="24"/>
                <w:szCs w:val="24"/>
              </w:rPr>
              <w:t>①相关设备的购置发票、专业技术人员职称证书、用工合同等；②供应商具备履行合同所必须的设备和专业技术能力承诺函或声明（承诺函或声明格式自拟）。</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①～②其中之一即可。</w:t>
            </w:r>
          </w:p>
          <w:p>
            <w:pPr>
              <w:autoSpaceDE w:val="0"/>
              <w:autoSpaceDN w:val="0"/>
              <w:adjustRightInd w:val="0"/>
              <w:snapToGrid w:val="0"/>
              <w:spacing w:line="400" w:lineRule="exact"/>
              <w:ind w:right="-11"/>
              <w:rPr>
                <w:b/>
                <w:sz w:val="24"/>
                <w:szCs w:val="24"/>
              </w:rPr>
            </w:pPr>
            <w:r>
              <w:rPr>
                <w:rFonts w:hint="eastAsia"/>
                <w:b/>
                <w:sz w:val="24"/>
                <w:szCs w:val="24"/>
              </w:rPr>
              <w:t>六、参加政府采购活动前3</w:t>
            </w:r>
            <w:r>
              <w:rPr>
                <w:rFonts w:hint="eastAsia" w:ascii="宋体" w:hAnsi="宋体"/>
                <w:b/>
                <w:sz w:val="24"/>
                <w:szCs w:val="24"/>
              </w:rPr>
              <w:t>年内在经营活动中没有重大违法记录的声明</w:t>
            </w:r>
          </w:p>
          <w:p>
            <w:pPr>
              <w:autoSpaceDE w:val="0"/>
              <w:autoSpaceDN w:val="0"/>
              <w:adjustRightInd w:val="0"/>
              <w:snapToGrid w:val="0"/>
              <w:spacing w:line="400" w:lineRule="exact"/>
              <w:jc w:val="left"/>
              <w:rPr>
                <w:sz w:val="24"/>
                <w:szCs w:val="24"/>
              </w:rPr>
            </w:pPr>
            <w:r>
              <w:rPr>
                <w:rFonts w:hint="eastAsia"/>
                <w:sz w:val="24"/>
                <w:szCs w:val="24"/>
              </w:rPr>
              <w:t>供应商“参加政府采购活动前3</w:t>
            </w:r>
            <w:r>
              <w:rPr>
                <w:rFonts w:hint="eastAsia" w:ascii="宋体" w:hAnsi="宋体"/>
                <w:sz w:val="24"/>
                <w:szCs w:val="24"/>
              </w:rPr>
              <w:t>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400" w:lineRule="exact"/>
              <w:jc w:val="left"/>
              <w:rPr>
                <w:sz w:val="24"/>
                <w:szCs w:val="24"/>
              </w:rPr>
            </w:pPr>
            <w:r>
              <w:rPr>
                <w:rFonts w:hint="eastAsia"/>
                <w:b/>
                <w:sz w:val="24"/>
                <w:szCs w:val="24"/>
              </w:rPr>
              <w:t>七、未被列入“信用中国”网站(www.creditchina.gov.cn)</w:t>
            </w:r>
            <w:r>
              <w:rPr>
                <w:rFonts w:hint="eastAsia" w:ascii="宋体" w:hAnsi="宋体"/>
                <w:b/>
                <w:sz w:val="24"/>
                <w:szCs w:val="24"/>
              </w:rPr>
              <w:t xml:space="preserve">失信被执行人、重大税收违法案件当事人名单；“中国政府采购网” </w:t>
            </w:r>
            <w:r>
              <w:rPr>
                <w:rFonts w:hint="eastAsia"/>
                <w:b/>
                <w:sz w:val="24"/>
                <w:szCs w:val="24"/>
              </w:rPr>
              <w:t>(www.ccgp.gov.cn)</w:t>
            </w:r>
            <w:r>
              <w:rPr>
                <w:rFonts w:hint="eastAsia" w:ascii="宋体" w:hAnsi="宋体"/>
                <w:b/>
                <w:sz w:val="24"/>
                <w:szCs w:val="24"/>
              </w:rPr>
              <w:t>政府采购严重违法失信行为记录名单的供应商；“中国社会组织政务服务平台”网站（</w:t>
            </w:r>
            <w:r>
              <w:rPr>
                <w:rFonts w:hint="eastAsia"/>
                <w:b/>
                <w:sz w:val="24"/>
                <w:szCs w:val="24"/>
              </w:rPr>
              <w:t>www.chinanpo.gov.cn</w:t>
            </w:r>
            <w:r>
              <w:rPr>
                <w:rFonts w:hint="eastAsia" w:ascii="宋体" w:hAnsi="宋体"/>
                <w:b/>
                <w:sz w:val="24"/>
                <w:szCs w:val="24"/>
              </w:rPr>
              <w:t>）严重违法失信名单的社会组织。</w:t>
            </w:r>
          </w:p>
          <w:p>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、查询渠道：</w:t>
            </w:r>
          </w:p>
          <w:p>
            <w:pPr>
              <w:adjustRightInd w:val="0"/>
              <w:snapToGrid w:val="0"/>
              <w:spacing w:line="400" w:lineRule="exact"/>
              <w:rPr>
                <w:sz w:val="24"/>
                <w:szCs w:val="24"/>
              </w:rPr>
            </w:pPr>
            <w:r>
              <w:rPr>
                <w:rFonts w:hint="eastAsia" w:ascii="宋体" w:hAnsi="宋体"/>
                <w:sz w:val="24"/>
                <w:szCs w:val="24"/>
              </w:rPr>
              <w:t>①“信用中国”网站（</w:t>
            </w:r>
            <w:r>
              <w:fldChar w:fldCharType="begin"/>
            </w:r>
            <w:r>
              <w:instrText xml:space="preserve"> HYPERLINK "http://www.creditchina.gov.cn" </w:instrText>
            </w:r>
            <w:r>
              <w:fldChar w:fldCharType="separate"/>
            </w:r>
            <w:r>
              <w:rPr>
                <w:rStyle w:val="16"/>
                <w:rFonts w:hint="eastAsia"/>
                <w:sz w:val="24"/>
                <w:szCs w:val="24"/>
              </w:rPr>
              <w:t>www.creditchina.gov.cn</w:t>
            </w:r>
            <w:r>
              <w:rPr>
                <w:rStyle w:val="16"/>
                <w:rFonts w:hint="eastAsia"/>
                <w:sz w:val="24"/>
                <w:szCs w:val="24"/>
              </w:rPr>
              <w:fldChar w:fldCharType="end"/>
            </w:r>
            <w:r>
              <w:t>）</w:t>
            </w:r>
          </w:p>
          <w:p>
            <w:pPr>
              <w:adjustRightInd w:val="0"/>
              <w:snapToGrid w:val="0"/>
              <w:spacing w:line="400" w:lineRule="exact"/>
              <w:rPr>
                <w:sz w:val="24"/>
                <w:szCs w:val="24"/>
              </w:rPr>
            </w:pPr>
            <w:r>
              <w:rPr>
                <w:rFonts w:hint="eastAsia" w:ascii="宋体" w:hAnsi="宋体"/>
                <w:sz w:val="24"/>
                <w:szCs w:val="24"/>
              </w:rPr>
              <w:t>②“中国政府采购网”（</w:t>
            </w:r>
            <w:r>
              <w:rPr>
                <w:rFonts w:hint="eastAsia"/>
                <w:sz w:val="24"/>
                <w:szCs w:val="24"/>
              </w:rPr>
              <w:t>www.ccgp.gov.cn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ascii="宋体" w:hAnsi="宋体"/>
                <w:sz w:val="24"/>
                <w:szCs w:val="24"/>
              </w:rPr>
              <w:t>③“</w:t>
            </w:r>
            <w:r>
              <w:rPr>
                <w:rFonts w:hint="eastAsia"/>
                <w:sz w:val="24"/>
                <w:szCs w:val="24"/>
              </w:rPr>
              <w:t>中国社会组织政务服务平台</w:t>
            </w:r>
            <w:r>
              <w:rPr>
                <w:rFonts w:hint="eastAsia" w:ascii="宋体" w:hAnsi="宋体"/>
                <w:sz w:val="24"/>
                <w:szCs w:val="24"/>
              </w:rPr>
              <w:t>”</w:t>
            </w:r>
            <w:r>
              <w:rPr>
                <w:rFonts w:hint="eastAsia"/>
                <w:sz w:val="24"/>
                <w:szCs w:val="24"/>
              </w:rPr>
              <w:t>网站（www.chinanpo.gov.cn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sz w:val="24"/>
                <w:szCs w:val="24"/>
              </w:rPr>
              <w:t>2</w:t>
            </w:r>
            <w:r>
              <w:rPr>
                <w:rFonts w:hint="eastAsia" w:ascii="宋体" w:hAnsi="宋体"/>
                <w:sz w:val="24"/>
                <w:szCs w:val="24"/>
              </w:rPr>
              <w:t>、截止时间：同投标截止时间；</w:t>
            </w:r>
          </w:p>
          <w:p>
            <w:pPr>
              <w:autoSpaceDE w:val="0"/>
              <w:autoSpaceDN w:val="0"/>
              <w:adjustRightInd w:val="0"/>
              <w:snapToGrid w:val="0"/>
              <w:spacing w:line="400" w:lineRule="exact"/>
              <w:rPr>
                <w:sz w:val="24"/>
                <w:szCs w:val="24"/>
              </w:rPr>
            </w:pPr>
            <w:r>
              <w:rPr>
                <w:rFonts w:hint="eastAsia"/>
                <w:sz w:val="24"/>
                <w:szCs w:val="24"/>
              </w:rPr>
              <w:t>3</w:t>
            </w:r>
            <w:r>
              <w:rPr>
                <w:rFonts w:hint="eastAsia" w:ascii="宋体" w:hAnsi="宋体"/>
                <w:sz w:val="24"/>
                <w:szCs w:val="24"/>
              </w:rPr>
              <w:t>、信用信息查询记录和证据留存具体方式：经采购人确认的查询结果网页截图作为查询记录和证据，与其他采购文件一并保存；</w:t>
            </w:r>
          </w:p>
          <w:p>
            <w:pPr>
              <w:autoSpaceDE w:val="0"/>
              <w:autoSpaceDN w:val="0"/>
              <w:adjustRightInd w:val="0"/>
              <w:snapToGrid w:val="0"/>
              <w:spacing w:line="400" w:lineRule="exact"/>
              <w:rPr>
                <w:sz w:val="24"/>
                <w:szCs w:val="24"/>
              </w:rPr>
            </w:pPr>
            <w:r>
              <w:rPr>
                <w:rFonts w:hint="eastAsia"/>
                <w:sz w:val="24"/>
                <w:szCs w:val="24"/>
              </w:rPr>
              <w:t>4</w:t>
            </w:r>
            <w:r>
              <w:rPr>
                <w:rFonts w:hint="eastAsia" w:ascii="宋体" w:hAnsi="宋体"/>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400" w:lineRule="exact"/>
              <w:ind w:right="-11"/>
              <w:rPr>
                <w:sz w:val="24"/>
                <w:szCs w:val="24"/>
              </w:rPr>
            </w:pPr>
            <w:r>
              <w:rPr>
                <w:rFonts w:hint="eastAsia"/>
                <w:sz w:val="24"/>
                <w:szCs w:val="24"/>
              </w:rPr>
              <w:t>5、供应商无须提供信用记录查询结果网页截图，供应商不良信用记录以</w:t>
            </w:r>
            <w:r>
              <w:rPr>
                <w:rFonts w:hint="eastAsia" w:ascii="宋体" w:hAnsi="宋体"/>
                <w:sz w:val="24"/>
                <w:szCs w:val="24"/>
              </w:rPr>
              <w:t>采购人</w:t>
            </w:r>
            <w:r>
              <w:rPr>
                <w:rFonts w:hint="eastAsia"/>
                <w:sz w:val="24"/>
                <w:szCs w:val="24"/>
              </w:rPr>
              <w:t>查询结果为准，</w:t>
            </w:r>
            <w:r>
              <w:rPr>
                <w:rFonts w:hint="eastAsia" w:ascii="宋体" w:hAnsi="宋体"/>
                <w:sz w:val="24"/>
                <w:szCs w:val="24"/>
              </w:rPr>
              <w:t>采购人</w:t>
            </w:r>
            <w:r>
              <w:rPr>
                <w:rFonts w:hint="eastAsia"/>
                <w:sz w:val="24"/>
                <w:szCs w:val="24"/>
              </w:rPr>
              <w:t>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2250000</w:t>
            </w:r>
            <w:r>
              <w:rPr>
                <w:rFonts w:hint="eastAsia"/>
                <w:color w:val="000000" w:themeColor="text1"/>
                <w:sz w:val="24"/>
                <w:szCs w:val="24"/>
                <w14:textFill>
                  <w14:solidFill>
                    <w14:schemeClr w14:val="tx1"/>
                  </w14:solidFill>
                </w14:textFill>
              </w:rPr>
              <w:t>.00元。(大写：贰佰贰拾伍万元整)超出预算金额的响应无效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eq \o\ac(□,√)</w:instrTex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eq \o\ac(□,√)</w:instrTex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eq \o\ac(□,√)</w:instrTex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60天（自提交投标文件的截止之日起算）</w:t>
            </w:r>
          </w:p>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eq \o\ac(□,√)</w:instrText>
            </w:r>
            <w:r>
              <w:rPr>
                <w:rFonts w:hint="eastAsia" w:ascii="宋体" w:hAnsi="宋体"/>
                <w:color w:val="000000" w:themeColor="text1"/>
                <w:sz w:val="24"/>
                <w:szCs w:val="24"/>
                <w:lang w:val="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olor w:val="auto"/>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olor w:val="auto"/>
                <w:sz w:val="24"/>
                <w:szCs w:val="24"/>
              </w:rPr>
              <w:t>2021年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 xml:space="preserve"> 日</w:t>
            </w:r>
            <w:r>
              <w:rPr>
                <w:rFonts w:hint="eastAsia" w:ascii="宋体" w:hAnsi="宋体"/>
                <w:color w:val="auto"/>
                <w:sz w:val="24"/>
                <w:szCs w:val="24"/>
                <w:lang w:val="en-US" w:eastAsia="zh-CN"/>
              </w:rPr>
              <w:t xml:space="preserve">8 </w:t>
            </w:r>
            <w:r>
              <w:rPr>
                <w:rFonts w:hint="eastAsia" w:ascii="宋体" w:hAnsi="宋体"/>
                <w:color w:val="auto"/>
                <w:sz w:val="24"/>
                <w:szCs w:val="24"/>
              </w:rPr>
              <w:t>时</w:t>
            </w:r>
            <w:r>
              <w:rPr>
                <w:rFonts w:hint="eastAsia" w:ascii="宋体" w:hAnsi="宋体"/>
                <w:color w:val="auto"/>
                <w:sz w:val="24"/>
                <w:szCs w:val="24"/>
                <w:lang w:val="en-US" w:eastAsia="zh-CN"/>
              </w:rPr>
              <w:t xml:space="preserve"> 30</w:t>
            </w:r>
            <w:r>
              <w:rPr>
                <w:rFonts w:hint="eastAsia" w:ascii="宋体" w:hAnsi="宋体"/>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val="en-US" w:eastAsia="zh-CN"/>
              </w:rPr>
              <w:t>二</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4</w:t>
            </w:r>
            <w:r>
              <w:rPr>
                <w:rFonts w:hint="eastAsia" w:ascii="宋体" w:hAnsi="宋体"/>
                <w:color w:val="auto"/>
                <w:sz w:val="24"/>
                <w:szCs w:val="24"/>
              </w:rPr>
              <w:t>楼</w:t>
            </w:r>
            <w:r>
              <w:rPr>
                <w:rFonts w:hint="eastAsia" w:ascii="宋体" w:hAnsi="宋体"/>
                <w:color w:val="auto"/>
                <w:sz w:val="24"/>
                <w:szCs w:val="24"/>
                <w:lang w:val="en-US" w:eastAsia="zh-CN"/>
              </w:rPr>
              <w:t>409</w:t>
            </w:r>
            <w:r>
              <w:rPr>
                <w:rFonts w:hint="eastAsia" w:ascii="宋体" w:hAnsi="宋体"/>
                <w:color w:val="auto"/>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bCs/>
                <w:sz w:val="24"/>
                <w:szCs w:val="24"/>
              </w:rPr>
              <w:t>招标公告期满之日起七个工作日</w:t>
            </w:r>
            <w:r>
              <w:rPr>
                <w:rFonts w:hint="eastAsia" w:ascii="宋体" w:hAnsi="宋体"/>
                <w:bCs/>
                <w:sz w:val="24"/>
                <w:szCs w:val="24"/>
                <w:lang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响应文件份数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响应文件的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开户行：中国工商银行股份有限公司长葛支行</w:t>
            </w:r>
          </w:p>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户  名：长葛市公共资源交易中心</w:t>
            </w:r>
          </w:p>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账  号：1708026029200151795</w:t>
            </w:r>
          </w:p>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履约担保的金额：中标金额的10%</w:t>
            </w:r>
          </w:p>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验收合格后5个工作日内，自行到长葛市公共资源交易中心办理退还业务。注：履约担保缴纳时需备注项目编号：</w:t>
            </w:r>
          </w:p>
          <w:p>
            <w:pPr>
              <w:adjustRightInd w:val="0"/>
              <w:snapToGrid w:val="0"/>
              <w:spacing w:line="400" w:lineRule="exact"/>
              <w:ind w:right="-23" w:rightChars="-11"/>
              <w:jc w:val="left"/>
              <w:rPr>
                <w:rFonts w:hint="eastAsia" w:ascii="宋体" w:hAnsi="宋体" w:eastAsia="宋体"/>
                <w:bCs/>
                <w:sz w:val="24"/>
                <w:szCs w:val="24"/>
                <w:lang w:val="zh-CN"/>
              </w:rPr>
            </w:pPr>
            <w:r>
              <w:rPr>
                <w:rFonts w:hint="eastAsia" w:ascii="宋体" w:hAnsi="宋体" w:eastAsia="宋体"/>
                <w:bCs/>
                <w:sz w:val="24"/>
                <w:szCs w:val="24"/>
                <w:lang w:val="zh-CN"/>
              </w:rPr>
              <w:t>长招采公字【2021】030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成交供应商在接到成交通知时，须</w:t>
            </w:r>
            <w:r>
              <w:rPr>
                <w:rFonts w:hint="eastAsia" w:ascii="宋体" w:hAnsi="宋体"/>
                <w:sz w:val="24"/>
                <w:szCs w:val="24"/>
              </w:rPr>
              <w:t>向代理机构发</w:t>
            </w:r>
            <w:r>
              <w:rPr>
                <w:rFonts w:hint="eastAsia" w:ascii="宋体" w:hAnsi="宋体"/>
                <w:bCs/>
                <w:sz w:val="24"/>
                <w:szCs w:val="24"/>
              </w:rPr>
              <w:t>送响应报价及分项报价一览表（包含主要成交标的的名称、规格型号、数量、单价、服务要求等）电子文档，并同时告知代理机构。</w:t>
            </w:r>
            <w:r>
              <w:rPr>
                <w:rFonts w:hint="eastAsia" w:ascii="宋体" w:hAnsi="宋体" w:eastAsia="宋体" w:cs="宋体"/>
                <w:bCs/>
                <w:sz w:val="24"/>
                <w:szCs w:val="24"/>
                <w:lang w:val="zh-CN"/>
              </w:rPr>
              <w:t>联系电话：</w:t>
            </w:r>
            <w:r>
              <w:rPr>
                <w:rFonts w:hint="eastAsia" w:ascii="宋体" w:hAnsi="宋体" w:eastAsia="宋体" w:cs="宋体"/>
                <w:bCs/>
                <w:sz w:val="24"/>
                <w:szCs w:val="24"/>
                <w:lang w:val="en-US" w:eastAsia="zh-CN"/>
              </w:rPr>
              <w:t>13673813219</w:t>
            </w:r>
            <w:r>
              <w:rPr>
                <w:rFonts w:hint="eastAsia" w:ascii="宋体" w:hAnsi="宋体" w:eastAsia="宋体" w:cs="宋体"/>
                <w:bCs/>
                <w:sz w:val="24"/>
                <w:szCs w:val="24"/>
                <w:lang w:val="zh-CN"/>
              </w:rPr>
              <w:t>；邮箱：</w:t>
            </w:r>
            <w:r>
              <w:rPr>
                <w:rFonts w:hint="eastAsia" w:ascii="宋体" w:hAnsi="宋体" w:eastAsia="宋体" w:cs="宋体"/>
                <w:bCs/>
                <w:sz w:val="24"/>
                <w:szCs w:val="24"/>
                <w:lang w:val="en-US" w:eastAsia="zh-CN"/>
              </w:rPr>
              <w:t>739098002</w:t>
            </w:r>
            <w:r>
              <w:rPr>
                <w:rFonts w:hint="eastAsia" w:ascii="宋体" w:hAnsi="宋体" w:eastAsia="宋体" w:cs="宋体"/>
                <w:bCs/>
                <w:sz w:val="24"/>
                <w:szCs w:val="24"/>
              </w:rPr>
              <w:t>@</w:t>
            </w:r>
            <w:r>
              <w:rPr>
                <w:rFonts w:hint="eastAsia" w:ascii="宋体" w:hAnsi="宋体" w:eastAsia="宋体" w:cs="宋体"/>
                <w:bCs/>
                <w:sz w:val="24"/>
                <w:szCs w:val="24"/>
                <w:lang w:val="en-US" w:eastAsia="zh-CN"/>
              </w:rPr>
              <w:t>qq</w:t>
            </w:r>
            <w:r>
              <w:rPr>
                <w:rFonts w:hint="eastAsia" w:ascii="宋体" w:hAnsi="宋体" w:eastAsia="宋体" w:cs="宋体"/>
                <w:bCs/>
                <w:sz w:val="24"/>
                <w:szCs w:val="24"/>
              </w:rPr>
              <w:t>.com</w:t>
            </w:r>
            <w:r>
              <w:rPr>
                <w:rFonts w:hint="eastAsia" w:ascii="宋体" w:hAnsi="宋体" w:eastAsia="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400" w:lineRule="exact"/>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contextualSpacing/>
        <w:jc w:val="center"/>
        <w:rPr>
          <w:b/>
          <w:kern w:val="0"/>
          <w:sz w:val="40"/>
        </w:rPr>
      </w:pPr>
    </w:p>
    <w:p>
      <w:pPr>
        <w:autoSpaceDE w:val="0"/>
        <w:autoSpaceDN w:val="0"/>
        <w:adjustRightInd w:val="0"/>
        <w:spacing w:line="360" w:lineRule="auto"/>
        <w:contextualSpacing/>
        <w:jc w:val="center"/>
        <w:rPr>
          <w:b/>
          <w:kern w:val="0"/>
          <w:sz w:val="40"/>
        </w:rPr>
      </w:pPr>
    </w:p>
    <w:p>
      <w:pPr>
        <w:autoSpaceDE w:val="0"/>
        <w:autoSpaceDN w:val="0"/>
        <w:adjustRightInd w:val="0"/>
        <w:spacing w:line="360" w:lineRule="auto"/>
        <w:contextualSpacing/>
        <w:jc w:val="center"/>
        <w:rPr>
          <w:b/>
          <w:kern w:val="0"/>
          <w:sz w:val="40"/>
        </w:rPr>
      </w:pPr>
    </w:p>
    <w:p>
      <w:pPr>
        <w:autoSpaceDE w:val="0"/>
        <w:autoSpaceDN w:val="0"/>
        <w:adjustRightInd w:val="0"/>
        <w:spacing w:line="360" w:lineRule="auto"/>
        <w:contextualSpacing/>
        <w:rPr>
          <w:b/>
          <w:kern w:val="0"/>
          <w:sz w:val="40"/>
        </w:rPr>
      </w:pPr>
    </w:p>
    <w:p>
      <w:pPr>
        <w:pStyle w:val="2"/>
        <w:ind w:firstLine="340"/>
      </w:pPr>
    </w:p>
    <w:p/>
    <w:p>
      <w:pPr>
        <w:autoSpaceDE w:val="0"/>
        <w:autoSpaceDN w:val="0"/>
        <w:adjustRightInd w:val="0"/>
        <w:spacing w:line="360" w:lineRule="auto"/>
        <w:ind w:firstLine="2811" w:firstLineChars="700"/>
        <w:contextualSpacing/>
        <w:jc w:val="both"/>
        <w:rPr>
          <w:rFonts w:ascii="宋体" w:hAnsi="宋体"/>
          <w:b/>
          <w:kern w:val="0"/>
          <w:sz w:val="56"/>
          <w:szCs w:val="32"/>
        </w:rPr>
      </w:pP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7"/>
        <w:numPr>
          <w:ilvl w:val="0"/>
          <w:numId w:val="21"/>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7"/>
        <w:numPr>
          <w:ilvl w:val="0"/>
          <w:numId w:val="2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20"/>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autoSpaceDE w:val="0"/>
        <w:autoSpaceDN w:val="0"/>
        <w:spacing w:line="360" w:lineRule="auto"/>
        <w:contextualSpacing/>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9"/>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w:t>
      </w:r>
    </w:p>
    <w:p>
      <w:pPr>
        <w:pStyle w:val="17"/>
        <w:numPr>
          <w:ilvl w:val="0"/>
          <w:numId w:val="2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hint="eastAsia" w:ascii="宋体" w:hAnsi="宋体" w:cs="宋体"/>
          <w:b/>
          <w:kern w:val="0"/>
          <w:sz w:val="24"/>
          <w:szCs w:val="24"/>
        </w:rPr>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19"/>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19"/>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19"/>
          <w:rFonts w:hint="eastAsia" w:ascii="宋体" w:hAnsi="宋体"/>
          <w:sz w:val="24"/>
          <w:szCs w:val="24"/>
          <w:lang w:val="zh-CN"/>
        </w:rPr>
        <w:t>件，解密时限为</w:t>
      </w:r>
      <w:r>
        <w:rPr>
          <w:rStyle w:val="19"/>
          <w:rFonts w:ascii="宋体" w:hAnsi="宋体"/>
          <w:sz w:val="24"/>
          <w:szCs w:val="24"/>
          <w:lang w:val="zh-CN"/>
        </w:rPr>
        <w:t>120</w:t>
      </w:r>
      <w:r>
        <w:rPr>
          <w:rStyle w:val="19"/>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19"/>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19"/>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19"/>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19"/>
          <w:rFonts w:ascii="宋体" w:hAnsi="宋体"/>
          <w:sz w:val="24"/>
          <w:szCs w:val="24"/>
          <w:lang w:val="zh-CN"/>
        </w:rPr>
      </w:pPr>
      <w:r>
        <w:rPr>
          <w:rStyle w:val="19"/>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2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 投标文件未按招标文件要求签署、盖章的；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 不具备招标文件中规定的资格要求的；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 报价超过招标文件中规定的预算金额或者最高限价的；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（5） </w:t>
      </w:r>
      <w:r>
        <w:rPr>
          <w:rFonts w:ascii="宋体" w:hAnsi="宋体" w:cs="宋体"/>
          <w:kern w:val="0"/>
          <w:sz w:val="24"/>
        </w:rPr>
        <w:t>投标文件含有采购人不能接受的附加条件的</w:t>
      </w:r>
      <w:r>
        <w:rPr>
          <w:rFonts w:hint="eastAsia" w:ascii="宋体" w:hAnsi="宋体" w:cs="宋体"/>
          <w:kern w:val="0"/>
          <w:sz w:val="24"/>
        </w:rPr>
        <w:t>。</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2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2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w:t>
      </w:r>
      <w:r>
        <w:rPr>
          <w:rFonts w:hint="eastAsia" w:ascii="宋体" w:hAnsi="宋体" w:cs="宋体"/>
          <w:kern w:val="0"/>
          <w:sz w:val="24"/>
          <w:szCs w:val="24"/>
          <w:lang w:eastAsia="zh-CN"/>
        </w:rPr>
        <w:t>期间</w:t>
      </w:r>
      <w:r>
        <w:rPr>
          <w:rFonts w:hint="eastAsia" w:ascii="宋体" w:hAnsi="宋体" w:cs="宋体"/>
          <w:kern w:val="0"/>
          <w:sz w:val="24"/>
          <w:szCs w:val="24"/>
        </w:rPr>
        <w:t>合理的时间内提供书面说明，必要时提交相关证明材料；投标人不能证明其报价合理性的，评标委员会应当将其作为无效投标处理。</w:t>
      </w:r>
    </w:p>
    <w:p>
      <w:pPr>
        <w:numPr>
          <w:ilvl w:val="1"/>
          <w:numId w:val="2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2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25"/>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hint="eastAsia" w:ascii="宋体" w:hAnsi="宋体" w:eastAsia="宋体" w:cs="宋体"/>
          <w:kern w:val="0"/>
          <w:sz w:val="24"/>
          <w:szCs w:val="24"/>
          <w:lang w:eastAsia="zh-CN"/>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hint="eastAsia" w:ascii="宋体" w:hAnsi="宋体" w:eastAsia="宋体" w:cs="宋体"/>
          <w:kern w:val="0"/>
          <w:sz w:val="24"/>
          <w:szCs w:val="24"/>
          <w:lang w:eastAsia="zh-CN"/>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“投标人须知前附表”中规定中标人提交履约担保的，中标人应当按要求向采购人提交。履约担保的数额不得超过政府采购合同金额的10%。</w:t>
      </w:r>
    </w:p>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hint="eastAsia" w:ascii="宋体" w:hAnsi="宋体" w:cs="宋体"/>
          <w:b/>
          <w:color w:val="auto"/>
          <w:kern w:val="0"/>
          <w:sz w:val="32"/>
          <w:szCs w:val="32"/>
        </w:rPr>
      </w:pPr>
    </w:p>
    <w:p>
      <w:pPr>
        <w:autoSpaceDE w:val="0"/>
        <w:autoSpaceDN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2"/>
          <w:szCs w:val="32"/>
        </w:rPr>
        <w:t>第五章</w:t>
      </w:r>
      <w:r>
        <w:rPr>
          <w:rFonts w:ascii="宋体" w:hAnsi="宋体" w:cs="宋体"/>
          <w:b/>
          <w:color w:val="auto"/>
          <w:kern w:val="0"/>
          <w:sz w:val="32"/>
          <w:szCs w:val="32"/>
        </w:rPr>
        <w:t xml:space="preserve"> </w:t>
      </w:r>
      <w:r>
        <w:rPr>
          <w:rFonts w:hint="eastAsia" w:ascii="宋体" w:hAnsi="宋体" w:cs="宋体"/>
          <w:b/>
          <w:color w:val="auto"/>
          <w:kern w:val="0"/>
          <w:sz w:val="32"/>
          <w:szCs w:val="32"/>
        </w:rPr>
        <w:t>政府采购政策功能</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hint="eastAsia" w:hAnsi="宋体" w:eastAsia="宋体" w:cs="宋体"/>
          <w:b w:val="0"/>
          <w:bCs/>
          <w:color w:val="auto"/>
          <w:sz w:val="24"/>
          <w:szCs w:val="24"/>
          <w:lang w:val="zh-CN"/>
        </w:rPr>
      </w:pPr>
      <w:r>
        <w:rPr>
          <w:rFonts w:hint="eastAsia" w:hAnsi="宋体" w:eastAsia="宋体" w:cs="宋体"/>
          <w:b w:val="0"/>
          <w:bCs/>
          <w:color w:val="auto"/>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keepNext w:val="0"/>
        <w:keepLines w:val="0"/>
        <w:pageBreakBefore w:val="0"/>
        <w:widowControl w:val="0"/>
        <w:kinsoku/>
        <w:wordWrap/>
        <w:overflowPunct/>
        <w:autoSpaceDE/>
        <w:autoSpaceDN/>
        <w:bidi w:val="0"/>
        <w:snapToGrid/>
        <w:spacing w:line="440" w:lineRule="exact"/>
        <w:ind w:firstLine="482" w:firstLineChars="200"/>
        <w:contextualSpacing/>
        <w:rPr>
          <w:rFonts w:hint="eastAsia" w:ascii="宋体" w:hAnsi="宋体" w:cs="宋体"/>
          <w:b/>
          <w:color w:val="auto"/>
          <w:sz w:val="24"/>
          <w:szCs w:val="24"/>
          <w:lang w:val="zh-CN"/>
        </w:rPr>
      </w:pPr>
      <w:r>
        <w:rPr>
          <w:rFonts w:hint="eastAsia" w:ascii="宋体" w:hAnsi="宋体" w:cs="宋体"/>
          <w:b/>
          <w:color w:val="auto"/>
          <w:sz w:val="24"/>
          <w:szCs w:val="24"/>
          <w:lang w:val="zh-CN"/>
        </w:rPr>
        <w:t>一、节能能源、保护环境</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hint="eastAsia" w:hAnsi="宋体" w:eastAsia="宋体" w:cs="宋体"/>
          <w:b w:val="0"/>
          <w:bCs/>
          <w:color w:val="auto"/>
          <w:sz w:val="24"/>
          <w:szCs w:val="24"/>
          <w:lang w:val="zh-CN"/>
        </w:rPr>
      </w:pPr>
      <w:r>
        <w:rPr>
          <w:rFonts w:hint="eastAsia" w:hAnsi="宋体" w:eastAsia="宋体" w:cs="宋体"/>
          <w:b w:val="0"/>
          <w:bCs/>
          <w:color w:val="auto"/>
          <w:sz w:val="24"/>
          <w:szCs w:val="24"/>
          <w:lang w:val="zh-CN"/>
        </w:rPr>
        <w:t>按照《财政部、发展改革委、生态环境部、市场监管总局关于调整优化节能产品、环境标志产品政府采购执行机制的通知》（财库〔2019〕9号）和</w:t>
      </w:r>
      <w:r>
        <w:rPr>
          <w:rFonts w:hint="eastAsia" w:hAnsi="宋体" w:eastAsia="宋体" w:cs="宋体"/>
          <w:b w:val="0"/>
          <w:bCs/>
          <w:color w:val="auto"/>
          <w:sz w:val="24"/>
          <w:szCs w:val="24"/>
        </w:rPr>
        <w:t>财政部、生态环境部</w:t>
      </w:r>
      <w:r>
        <w:rPr>
          <w:rFonts w:hint="eastAsia" w:hAnsi="宋体" w:eastAsia="宋体" w:cs="宋体"/>
          <w:b w:val="0"/>
          <w:bCs/>
          <w:color w:val="auto"/>
          <w:sz w:val="24"/>
          <w:szCs w:val="24"/>
          <w:lang w:val="zh-CN"/>
        </w:rPr>
        <w:t>《关于印发环境标志产品政府采购品目清单的通知》</w:t>
      </w:r>
      <w:r>
        <w:rPr>
          <w:rFonts w:hint="eastAsia" w:hAnsi="宋体" w:eastAsia="宋体" w:cs="宋体"/>
          <w:b w:val="0"/>
          <w:bCs/>
          <w:color w:val="auto"/>
          <w:sz w:val="24"/>
          <w:szCs w:val="24"/>
        </w:rPr>
        <w:t>（财库[2019]18号）以及</w:t>
      </w:r>
      <w:r>
        <w:rPr>
          <w:rFonts w:hint="eastAsia" w:hAnsi="宋体" w:eastAsia="宋体" w:cs="宋体"/>
          <w:b w:val="0"/>
          <w:bCs/>
          <w:color w:val="auto"/>
          <w:sz w:val="24"/>
          <w:szCs w:val="24"/>
          <w:lang w:val="zh-CN"/>
        </w:rPr>
        <w:t>财政部、发展改革委</w:t>
      </w:r>
      <w:r>
        <w:rPr>
          <w:rFonts w:hint="eastAsia" w:hAnsi="宋体" w:eastAsia="宋体" w:cs="宋体"/>
          <w:b w:val="0"/>
          <w:bCs/>
          <w:color w:val="auto"/>
          <w:sz w:val="24"/>
          <w:szCs w:val="24"/>
        </w:rPr>
        <w:t>《关于印发节能产品政府采购品目清单的通知》（财库[2019]19号）</w:t>
      </w:r>
      <w:r>
        <w:rPr>
          <w:rFonts w:hint="eastAsia" w:hAnsi="宋体" w:eastAsia="宋体" w:cs="宋体"/>
          <w:b w:val="0"/>
          <w:bCs/>
          <w:color w:val="auto"/>
          <w:sz w:val="24"/>
          <w:szCs w:val="24"/>
          <w:lang w:val="zh-CN"/>
        </w:rPr>
        <w:t>，</w:t>
      </w:r>
      <w:r>
        <w:rPr>
          <w:rFonts w:hint="eastAsia" w:hAnsi="宋体" w:eastAsia="宋体" w:cs="宋体"/>
          <w:b w:val="0"/>
          <w:bCs/>
          <w:color w:val="auto"/>
          <w:sz w:val="24"/>
          <w:szCs w:val="24"/>
        </w:rPr>
        <w:t>采购属于政府强</w:t>
      </w:r>
      <w:r>
        <w:rPr>
          <w:rFonts w:hint="eastAsia" w:hAnsi="宋体" w:eastAsia="宋体" w:cs="宋体"/>
          <w:b w:val="0"/>
          <w:bCs/>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keepNext w:val="0"/>
        <w:keepLines w:val="0"/>
        <w:pageBreakBefore w:val="0"/>
        <w:widowControl w:val="0"/>
        <w:kinsoku/>
        <w:wordWrap/>
        <w:overflowPunct/>
        <w:autoSpaceDE/>
        <w:autoSpaceDN/>
        <w:bidi w:val="0"/>
        <w:snapToGrid/>
        <w:spacing w:line="440" w:lineRule="exact"/>
        <w:ind w:firstLine="482" w:firstLineChars="200"/>
        <w:contextualSpacing/>
        <w:rPr>
          <w:rFonts w:hint="eastAsia" w:ascii="宋体" w:hAnsi="宋体" w:cs="宋体"/>
          <w:b/>
          <w:color w:val="auto"/>
          <w:sz w:val="24"/>
          <w:szCs w:val="24"/>
          <w:lang w:val="zh-CN"/>
        </w:rPr>
      </w:pPr>
      <w:r>
        <w:rPr>
          <w:rFonts w:hint="eastAsia" w:ascii="宋体" w:hAnsi="宋体" w:cs="宋体"/>
          <w:b/>
          <w:color w:val="auto"/>
          <w:sz w:val="24"/>
          <w:szCs w:val="24"/>
          <w:lang w:val="zh-CN"/>
        </w:rPr>
        <w:t>二、促进中小企业发展（不含民办非企业）</w:t>
      </w:r>
    </w:p>
    <w:p>
      <w:pPr>
        <w:keepNext w:val="0"/>
        <w:keepLines w:val="0"/>
        <w:pageBreakBefore w:val="0"/>
        <w:widowControl w:val="0"/>
        <w:kinsoku/>
        <w:wordWrap/>
        <w:overflowPunct/>
        <w:topLinePunct/>
        <w:autoSpaceDE/>
        <w:autoSpaceDN/>
        <w:bidi w:val="0"/>
        <w:snapToGrid/>
        <w:spacing w:line="440" w:lineRule="exact"/>
        <w:ind w:firstLine="480" w:firstLineChars="200"/>
        <w:contextualSpacing/>
        <w:textAlignment w:val="auto"/>
        <w:outlineLvl w:val="9"/>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keepNext w:val="0"/>
        <w:keepLines w:val="0"/>
        <w:pageBreakBefore w:val="0"/>
        <w:widowControl w:val="0"/>
        <w:kinsoku/>
        <w:wordWrap/>
        <w:overflowPunct/>
        <w:autoSpaceDE/>
        <w:autoSpaceDN/>
        <w:bidi w:val="0"/>
        <w:snapToGrid/>
        <w:spacing w:line="440" w:lineRule="exact"/>
        <w:ind w:firstLine="480" w:firstLineChars="200"/>
        <w:contextualSpacing/>
        <w:textAlignment w:val="auto"/>
        <w:outlineLvl w:val="9"/>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snapToGrid/>
        <w:spacing w:line="440" w:lineRule="exact"/>
        <w:ind w:firstLine="480" w:firstLineChars="200"/>
        <w:contextualSpacing/>
        <w:textAlignment w:val="auto"/>
        <w:outlineLvl w:val="9"/>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3、联合体各方均为小型或微型企业的，联合体视同为小型、微型企业。组成联合体的大中型企业或者其他自然人、法人或其他组织，与小型、微型企业之间不得存在投资关系。</w:t>
      </w:r>
    </w:p>
    <w:p>
      <w:pPr>
        <w:keepNext w:val="0"/>
        <w:keepLines w:val="0"/>
        <w:pageBreakBefore w:val="0"/>
        <w:widowControl w:val="0"/>
        <w:kinsoku/>
        <w:wordWrap/>
        <w:overflowPunct/>
        <w:topLinePunct/>
        <w:autoSpaceDE/>
        <w:autoSpaceDN/>
        <w:bidi w:val="0"/>
        <w:snapToGrid/>
        <w:spacing w:line="440" w:lineRule="exact"/>
        <w:ind w:firstLine="480" w:firstLineChars="200"/>
        <w:contextualSpacing/>
        <w:textAlignment w:val="auto"/>
        <w:outlineLvl w:val="9"/>
        <w:rPr>
          <w:rFonts w:hint="eastAsia" w:ascii="宋体" w:hAnsi="宋体" w:cs="宋体"/>
          <w:bCs/>
          <w:color w:val="auto"/>
          <w:sz w:val="24"/>
          <w:szCs w:val="24"/>
          <w:lang w:val="zh-CN"/>
        </w:rPr>
      </w:pPr>
      <w:r>
        <w:rPr>
          <w:rFonts w:hint="eastAsia" w:ascii="宋体" w:hAnsi="宋体" w:eastAsia="宋体" w:cs="宋体"/>
          <w:b w:val="0"/>
          <w:bCs w:val="0"/>
          <w:color w:val="000000"/>
          <w:kern w:val="0"/>
          <w:sz w:val="24"/>
          <w:szCs w:val="24"/>
          <w:lang w:val="zh-CN" w:eastAsia="zh-CN" w:bidi="ar-SA"/>
        </w:rPr>
        <w:t>4、中小企业投标应提供《中小企业声明函》，如为联合投标的，联合体各方需分别填写《中小企业声明函》。</w:t>
      </w:r>
    </w:p>
    <w:p>
      <w:pPr>
        <w:keepNext w:val="0"/>
        <w:keepLines w:val="0"/>
        <w:pageBreakBefore w:val="0"/>
        <w:widowControl w:val="0"/>
        <w:kinsoku/>
        <w:wordWrap/>
        <w:overflowPunct/>
        <w:autoSpaceDE/>
        <w:autoSpaceDN/>
        <w:bidi w:val="0"/>
        <w:snapToGrid/>
        <w:spacing w:line="440" w:lineRule="exact"/>
        <w:ind w:firstLine="482" w:firstLineChars="200"/>
        <w:contextualSpacing/>
        <w:rPr>
          <w:rFonts w:hint="eastAsia" w:ascii="宋体" w:hAnsi="宋体" w:cs="宋体"/>
          <w:b/>
          <w:color w:val="auto"/>
          <w:sz w:val="24"/>
          <w:szCs w:val="24"/>
          <w:lang w:val="zh-CN"/>
        </w:rPr>
      </w:pPr>
      <w:r>
        <w:rPr>
          <w:rFonts w:hint="eastAsia" w:ascii="宋体" w:hAnsi="宋体" w:cs="宋体"/>
          <w:b/>
          <w:color w:val="auto"/>
          <w:sz w:val="24"/>
          <w:szCs w:val="24"/>
          <w:lang w:val="zh-CN"/>
        </w:rPr>
        <w:t>三、支持监狱企业发展</w:t>
      </w:r>
    </w:p>
    <w:p>
      <w:pPr>
        <w:keepNext w:val="0"/>
        <w:keepLines w:val="0"/>
        <w:pageBreakBefore w:val="0"/>
        <w:widowControl w:val="0"/>
        <w:kinsoku/>
        <w:wordWrap/>
        <w:overflowPunct/>
        <w:autoSpaceDE/>
        <w:autoSpaceDN/>
        <w:bidi w:val="0"/>
        <w:snapToGrid/>
        <w:spacing w:line="440" w:lineRule="exact"/>
        <w:ind w:firstLine="480" w:firstLineChars="200"/>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按照财政部、司法部发布的《关于政府采购支持监狱企业发展有关问题的通知》（</w:t>
      </w:r>
      <w:bookmarkStart w:id="0" w:name="OLE_LINK6"/>
      <w:r>
        <w:rPr>
          <w:rFonts w:hint="eastAsia" w:ascii="宋体" w:hAnsi="宋体" w:cs="宋体"/>
          <w:bCs/>
          <w:color w:val="auto"/>
          <w:sz w:val="24"/>
          <w:szCs w:val="24"/>
          <w:lang w:val="zh-CN"/>
        </w:rPr>
        <w:t>财库[2014]68号</w:t>
      </w:r>
      <w:bookmarkEnd w:id="0"/>
      <w:r>
        <w:rPr>
          <w:rFonts w:hint="eastAsia" w:ascii="宋体" w:hAnsi="宋体" w:cs="宋体"/>
          <w:bCs/>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snapToGrid/>
        <w:spacing w:line="440" w:lineRule="exact"/>
        <w:ind w:firstLine="482" w:firstLineChars="200"/>
        <w:contextualSpacing/>
        <w:rPr>
          <w:rFonts w:hint="eastAsia" w:ascii="宋体" w:hAnsi="宋体" w:cs="宋体"/>
          <w:b/>
          <w:color w:val="auto"/>
          <w:sz w:val="24"/>
          <w:szCs w:val="24"/>
          <w:lang w:val="zh-CN"/>
        </w:rPr>
      </w:pPr>
      <w:r>
        <w:rPr>
          <w:rFonts w:hint="eastAsia" w:ascii="宋体" w:hAnsi="宋体" w:cs="宋体"/>
          <w:b/>
          <w:color w:val="auto"/>
          <w:sz w:val="24"/>
          <w:szCs w:val="24"/>
          <w:lang w:val="zh-CN"/>
        </w:rPr>
        <w:t>四、促进残疾人就业</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hint="eastAsia" w:hAnsi="宋体" w:eastAsia="宋体" w:cs="宋体"/>
          <w:b w:val="0"/>
          <w:bCs/>
          <w:color w:val="auto"/>
          <w:sz w:val="24"/>
          <w:szCs w:val="24"/>
          <w:lang w:val="zh-CN"/>
        </w:rPr>
      </w:pPr>
      <w:r>
        <w:rPr>
          <w:rFonts w:hint="eastAsia" w:hAnsi="宋体" w:eastAsia="宋体" w:cs="宋体"/>
          <w:b w:val="0"/>
          <w:bCs/>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color w:val="auto"/>
          <w:sz w:val="24"/>
          <w:szCs w:val="24"/>
        </w:rPr>
        <w:t>残疾人福利性单位属于小型、微型企业的，不重复享受政策。</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hint="eastAsia" w:hAnsi="宋体" w:eastAsia="宋体" w:cs="宋体"/>
          <w:b w:val="0"/>
          <w:bCs/>
          <w:color w:val="auto"/>
          <w:sz w:val="24"/>
          <w:szCs w:val="24"/>
          <w:lang w:val="zh-CN"/>
        </w:rPr>
      </w:pPr>
      <w:r>
        <w:rPr>
          <w:rFonts w:hint="eastAsia" w:hAnsi="宋体" w:eastAsia="宋体" w:cs="宋体"/>
          <w:b w:val="0"/>
          <w:bCs/>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hint="eastAsia" w:hAnsi="宋体" w:eastAsia="宋体" w:cs="宋体"/>
          <w:b w:val="0"/>
          <w:bCs/>
          <w:color w:val="auto"/>
          <w:sz w:val="24"/>
          <w:szCs w:val="24"/>
          <w:lang w:val="zh-CN"/>
        </w:rPr>
      </w:pPr>
      <w:r>
        <w:rPr>
          <w:rFonts w:hint="eastAsia" w:hAnsi="宋体" w:eastAsia="宋体" w:cs="宋体"/>
          <w:b w:val="0"/>
          <w:bCs/>
          <w:color w:val="auto"/>
          <w:sz w:val="24"/>
          <w:szCs w:val="24"/>
          <w:lang w:val="zh-CN"/>
        </w:rPr>
        <w:t>3、中标人为残疾人福利性单位的，招标人应当随中标结果同时公告其《残疾人福利性单位声明函》，接受社会监督。</w:t>
      </w:r>
    </w:p>
    <w:p>
      <w:pPr>
        <w:keepNext w:val="0"/>
        <w:keepLines w:val="0"/>
        <w:pageBreakBefore w:val="0"/>
        <w:widowControl w:val="0"/>
        <w:kinsoku/>
        <w:wordWrap/>
        <w:overflowPunct/>
        <w:autoSpaceDE/>
        <w:autoSpaceDN/>
        <w:bidi w:val="0"/>
        <w:snapToGrid/>
        <w:spacing w:line="440" w:lineRule="exact"/>
        <w:ind w:firstLine="482" w:firstLineChars="200"/>
        <w:contextualSpacing/>
        <w:rPr>
          <w:rFonts w:hint="eastAsia" w:ascii="宋体" w:hAnsi="宋体" w:cs="宋体"/>
          <w:b/>
          <w:color w:val="auto"/>
          <w:sz w:val="24"/>
          <w:szCs w:val="24"/>
          <w:lang w:val="zh-CN"/>
        </w:rPr>
      </w:pPr>
      <w:r>
        <w:rPr>
          <w:rFonts w:hint="eastAsia" w:ascii="宋体" w:hAnsi="宋体" w:cs="宋体"/>
          <w:b/>
          <w:color w:val="auto"/>
          <w:sz w:val="24"/>
          <w:szCs w:val="24"/>
          <w:lang w:val="zh-CN"/>
        </w:rPr>
        <w:t>五、支持脱贫攻坚（物业服务采购）</w:t>
      </w:r>
    </w:p>
    <w:p>
      <w:pPr>
        <w:keepNext w:val="0"/>
        <w:keepLines w:val="0"/>
        <w:pageBreakBefore w:val="0"/>
        <w:widowControl w:val="0"/>
        <w:kinsoku/>
        <w:wordWrap/>
        <w:overflowPunct/>
        <w:topLinePunct/>
        <w:autoSpaceDE/>
        <w:autoSpaceDN/>
        <w:bidi w:val="0"/>
        <w:snapToGrid/>
        <w:spacing w:line="440" w:lineRule="exact"/>
        <w:ind w:firstLine="480" w:firstLineChars="200"/>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keepNext w:val="0"/>
        <w:keepLines w:val="0"/>
        <w:pageBreakBefore w:val="0"/>
        <w:widowControl w:val="0"/>
        <w:kinsoku/>
        <w:wordWrap/>
        <w:overflowPunct/>
        <w:autoSpaceDE/>
        <w:autoSpaceDN/>
        <w:bidi w:val="0"/>
        <w:snapToGrid/>
        <w:spacing w:line="440" w:lineRule="exact"/>
        <w:ind w:firstLine="480" w:firstLineChars="200"/>
        <w:contextualSpacing/>
        <w:rPr>
          <w:rFonts w:ascii="宋体" w:hAnsi="宋体"/>
          <w:b w:val="0"/>
          <w:color w:val="auto"/>
          <w:kern w:val="36"/>
          <w:sz w:val="32"/>
          <w:szCs w:val="32"/>
        </w:rPr>
      </w:pPr>
      <w:r>
        <w:rPr>
          <w:rFonts w:hint="eastAsia" w:hAnsi="宋体" w:eastAsia="宋体" w:cs="宋体"/>
          <w:b w:val="0"/>
          <w:bCs/>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adjustRightInd w:val="0"/>
        <w:spacing w:line="240" w:lineRule="auto"/>
        <w:contextualSpacing/>
        <w:jc w:val="both"/>
        <w:rPr>
          <w:rFonts w:ascii="宋体" w:hAnsi="宋体"/>
          <w:b/>
          <w:kern w:val="0"/>
          <w:sz w:val="32"/>
          <w:szCs w:val="32"/>
        </w:rPr>
      </w:pPr>
    </w:p>
    <w:p>
      <w:pPr>
        <w:autoSpaceDE w:val="0"/>
        <w:autoSpaceDN w:val="0"/>
        <w:adjustRightInd w:val="0"/>
        <w:spacing w:line="360" w:lineRule="auto"/>
        <w:contextualSpacing/>
        <w:jc w:val="both"/>
        <w:rPr>
          <w:rFonts w:ascii="宋体" w:hAnsi="宋体"/>
          <w:b/>
          <w:kern w:val="0"/>
          <w:sz w:val="32"/>
          <w:szCs w:val="32"/>
        </w:rPr>
      </w:pP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1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1</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投标函</w:t>
            </w:r>
          </w:p>
        </w:tc>
        <w:tc>
          <w:tcPr>
            <w:tcW w:w="6543" w:type="dxa"/>
            <w:tcBorders>
              <w:top w:val="single" w:color="auto" w:sz="4" w:space="0"/>
              <w:left w:val="nil"/>
              <w:bottom w:val="single" w:color="auto" w:sz="4" w:space="0"/>
              <w:right w:val="single" w:color="auto" w:sz="4" w:space="0"/>
            </w:tcBorders>
            <w:vAlign w:val="center"/>
          </w:tcPr>
          <w:p>
            <w:pPr>
              <w:spacing w:line="273" w:lineRule="auto"/>
              <w:rPr>
                <w:rFonts w:ascii="宋体" w:hAnsi="宋体"/>
                <w:b/>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2</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6543"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273" w:lineRule="auto"/>
              <w:jc w:val="left"/>
              <w:rPr>
                <w:rFonts w:ascii="宋体" w:hAnsi="宋体"/>
                <w:bCs/>
                <w:sz w:val="24"/>
                <w:szCs w:val="24"/>
              </w:rPr>
            </w:pPr>
            <w:r>
              <w:rPr>
                <w:rFonts w:hint="eastAsia" w:ascii="宋体" w:hAnsi="宋体"/>
                <w:bCs/>
                <w:sz w:val="24"/>
                <w:szCs w:val="24"/>
              </w:rPr>
              <w:t>（2）事业单位法人证书。（事业单位提供）</w:t>
            </w:r>
          </w:p>
          <w:p>
            <w:pPr>
              <w:spacing w:line="273" w:lineRule="auto"/>
              <w:jc w:val="left"/>
              <w:rPr>
                <w:rFonts w:ascii="宋体" w:hAnsi="宋体"/>
                <w:bCs/>
                <w:sz w:val="24"/>
                <w:szCs w:val="24"/>
              </w:rPr>
            </w:pPr>
            <w:r>
              <w:rPr>
                <w:rFonts w:hint="eastAsia" w:ascii="宋体" w:hAnsi="宋体"/>
                <w:bCs/>
                <w:sz w:val="24"/>
                <w:szCs w:val="24"/>
              </w:rPr>
              <w:t>（3）执业许可证。（非企业专业服务机构提供）</w:t>
            </w:r>
          </w:p>
          <w:p>
            <w:pPr>
              <w:spacing w:line="273" w:lineRule="auto"/>
              <w:jc w:val="left"/>
              <w:rPr>
                <w:rFonts w:ascii="宋体" w:hAnsi="宋体"/>
                <w:bCs/>
                <w:sz w:val="24"/>
                <w:szCs w:val="24"/>
              </w:rPr>
            </w:pPr>
            <w:r>
              <w:rPr>
                <w:rFonts w:hint="eastAsia" w:ascii="宋体" w:hAnsi="宋体"/>
                <w:bCs/>
                <w:sz w:val="24"/>
                <w:szCs w:val="24"/>
              </w:rPr>
              <w:t>（4）个体工商户营业执照。（个体工商户提供）</w:t>
            </w:r>
          </w:p>
          <w:p>
            <w:pPr>
              <w:spacing w:line="273" w:lineRule="auto"/>
              <w:jc w:val="left"/>
              <w:rPr>
                <w:rFonts w:ascii="宋体" w:hAnsi="宋体"/>
                <w:bCs/>
                <w:sz w:val="24"/>
                <w:szCs w:val="24"/>
              </w:rPr>
            </w:pPr>
            <w:r>
              <w:rPr>
                <w:rFonts w:hint="eastAsia" w:ascii="宋体" w:hAnsi="宋体"/>
                <w:bCs/>
                <w:sz w:val="24"/>
                <w:szCs w:val="24"/>
              </w:rPr>
              <w:t>（5）自然人身份证明。（自然人提供）</w:t>
            </w:r>
          </w:p>
          <w:p>
            <w:pPr>
              <w:spacing w:line="273"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3</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bCs/>
                <w:sz w:val="24"/>
                <w:szCs w:val="24"/>
              </w:rPr>
              <w:t>财务状况报告相关材料</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273" w:lineRule="auto"/>
              <w:rPr>
                <w:rFonts w:ascii="宋体" w:hAnsi="宋体"/>
                <w:bCs/>
                <w:sz w:val="24"/>
                <w:szCs w:val="24"/>
              </w:rPr>
            </w:pPr>
            <w:r>
              <w:rPr>
                <w:rFonts w:hint="eastAsia" w:ascii="宋体" w:hAnsi="宋体"/>
                <w:bCs/>
                <w:sz w:val="24"/>
                <w:szCs w:val="24"/>
              </w:rPr>
              <w:t>①2020年度经审计的财务报告，包括资产负债表、利润表、现金流量表、所有者权益变动表及其附注； （供应商的成立时间少于规定年份的，应提供成立以来的财务状况表）</w:t>
            </w:r>
          </w:p>
          <w:p>
            <w:pPr>
              <w:spacing w:line="273" w:lineRule="auto"/>
              <w:rPr>
                <w:rFonts w:ascii="宋体" w:hAnsi="宋体"/>
                <w:bCs/>
                <w:sz w:val="24"/>
                <w:szCs w:val="24"/>
              </w:rPr>
            </w:pPr>
            <w:r>
              <w:rPr>
                <w:rFonts w:hint="eastAsia" w:ascii="宋体" w:hAnsi="宋体"/>
                <w:bCs/>
                <w:sz w:val="24"/>
                <w:szCs w:val="24"/>
              </w:rPr>
              <w:t>②基本开户银行出具的资信证明；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273" w:lineRule="auto"/>
              <w:rPr>
                <w:rFonts w:ascii="宋体" w:hAnsi="宋体"/>
                <w:bCs/>
                <w:sz w:val="24"/>
                <w:szCs w:val="24"/>
              </w:rPr>
            </w:pPr>
            <w:r>
              <w:rPr>
                <w:rFonts w:hint="eastAsia" w:ascii="宋体" w:hAnsi="宋体"/>
                <w:sz w:val="24"/>
                <w:szCs w:val="24"/>
              </w:rPr>
              <w:t>注：仅需提供序号①～③其中之一即可。</w:t>
            </w:r>
          </w:p>
          <w:p>
            <w:pPr>
              <w:spacing w:line="273" w:lineRule="auto"/>
              <w:rPr>
                <w:rFonts w:ascii="宋体" w:hAnsi="宋体"/>
                <w:bCs/>
                <w:sz w:val="24"/>
                <w:szCs w:val="24"/>
              </w:rPr>
            </w:pPr>
            <w:r>
              <w:rPr>
                <w:rFonts w:hint="eastAsia" w:ascii="宋体" w:hAnsi="宋体"/>
                <w:bCs/>
                <w:sz w:val="24"/>
                <w:szCs w:val="24"/>
              </w:rPr>
              <w:t>（2）供应商（其他组织和自然人）提供本单位：</w:t>
            </w:r>
          </w:p>
          <w:p>
            <w:pPr>
              <w:spacing w:line="273" w:lineRule="auto"/>
              <w:rPr>
                <w:rFonts w:ascii="宋体" w:hAnsi="宋体"/>
                <w:bCs/>
                <w:sz w:val="24"/>
                <w:szCs w:val="24"/>
              </w:rPr>
            </w:pPr>
            <w:r>
              <w:rPr>
                <w:rFonts w:hint="eastAsia" w:ascii="宋体" w:hAnsi="宋体"/>
                <w:bCs/>
                <w:sz w:val="24"/>
                <w:szCs w:val="24"/>
              </w:rPr>
              <w:t xml:space="preserve">①2020年度经审计的财务报告，包括资产负债表、利润表、现金流量表、所有者权益变动表及其附注；（供应商的成立时间少于规定年份的，应提供成立以来的财务状况表） </w:t>
            </w:r>
          </w:p>
          <w:p>
            <w:pPr>
              <w:spacing w:line="273" w:lineRule="auto"/>
              <w:rPr>
                <w:rFonts w:ascii="宋体" w:hAnsi="宋体"/>
                <w:bCs/>
                <w:sz w:val="24"/>
                <w:szCs w:val="24"/>
              </w:rPr>
            </w:pPr>
            <w:r>
              <w:rPr>
                <w:rFonts w:hint="eastAsia" w:ascii="宋体" w:hAnsi="宋体"/>
                <w:bCs/>
                <w:sz w:val="24"/>
                <w:szCs w:val="24"/>
              </w:rPr>
              <w:t>②银行出具的资信证明；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273" w:lineRule="auto"/>
              <w:ind w:right="-11"/>
              <w:rPr>
                <w:rFonts w:ascii="宋体" w:hAnsi="宋体"/>
                <w:sz w:val="24"/>
                <w:szCs w:val="24"/>
              </w:rPr>
            </w:pPr>
            <w:r>
              <w:rPr>
                <w:rFonts w:hint="eastAsia" w:ascii="宋体" w:hAnsi="宋体"/>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4</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bCs/>
                <w:sz w:val="24"/>
                <w:szCs w:val="24"/>
              </w:rPr>
              <w:t>依法缴纳税收相关材料</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5</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Cs/>
                <w:sz w:val="24"/>
                <w:szCs w:val="24"/>
              </w:rPr>
            </w:pPr>
            <w:r>
              <w:rPr>
                <w:rFonts w:hint="eastAsia" w:ascii="宋体" w:hAnsi="宋体"/>
                <w:b/>
                <w:bCs/>
                <w:sz w:val="24"/>
                <w:szCs w:val="24"/>
              </w:rPr>
              <w:t>依法缴纳社会保障资金的证明材料</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6</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bCs/>
                <w:sz w:val="24"/>
                <w:szCs w:val="24"/>
              </w:rPr>
              <w:t>履行合同所必须的设备和专业技术能力的证明材料</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273"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spacing w:line="273" w:lineRule="auto"/>
              <w:rPr>
                <w:rFonts w:ascii="宋体" w:hAnsi="宋体"/>
                <w:b/>
                <w:bCs/>
                <w:sz w:val="24"/>
                <w:szCs w:val="24"/>
              </w:rPr>
            </w:pPr>
            <w:r>
              <w:rPr>
                <w:rFonts w:hint="eastAsia" w:ascii="宋体" w:hAnsi="宋体"/>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7</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6543" w:type="dxa"/>
            <w:tcBorders>
              <w:top w:val="single" w:color="auto" w:sz="4" w:space="0"/>
              <w:left w:val="nil"/>
              <w:bottom w:val="single" w:color="auto" w:sz="4" w:space="0"/>
              <w:right w:val="single" w:color="auto" w:sz="4" w:space="0"/>
            </w:tcBorders>
            <w:vAlign w:val="center"/>
          </w:tcPr>
          <w:p>
            <w:pPr>
              <w:spacing w:line="273" w:lineRule="auto"/>
              <w:jc w:val="left"/>
              <w:rPr>
                <w:rFonts w:ascii="宋体" w:hAnsi="宋体"/>
                <w:bCs/>
                <w:sz w:val="24"/>
                <w:szCs w:val="24"/>
              </w:rPr>
            </w:pPr>
            <w:r>
              <w:rPr>
                <w:rFonts w:hint="eastAsia" w:ascii="宋体" w:hAnsi="宋体"/>
                <w:bCs/>
                <w:sz w:val="24"/>
                <w:szCs w:val="24"/>
              </w:rPr>
              <w:t>如无重大违法记录请按照采购文件提供格式填写。</w:t>
            </w:r>
          </w:p>
          <w:p>
            <w:pPr>
              <w:spacing w:line="273"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8</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Cs/>
                <w:sz w:val="24"/>
                <w:szCs w:val="24"/>
              </w:rPr>
            </w:pPr>
            <w:r>
              <w:rPr>
                <w:rFonts w:hint="eastAsia" w:ascii="宋体" w:hAnsi="宋体"/>
                <w:b/>
                <w:bCs/>
                <w:sz w:val="24"/>
                <w:szCs w:val="24"/>
              </w:rPr>
              <w:t>信用记录查询及使用</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bCs/>
                <w:sz w:val="24"/>
                <w:szCs w:val="24"/>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sz w:val="24"/>
                <w:szCs w:val="24"/>
              </w:rPr>
              <w:t>、“中国社会组织政务服务平台”网站（www.chinanpo.gov.cn）严重违法失信社会组织名单的供应商</w:t>
            </w:r>
            <w:r>
              <w:rPr>
                <w:rFonts w:hint="eastAsia" w:ascii="宋体" w:hAnsi="宋体"/>
                <w:b/>
                <w:sz w:val="24"/>
                <w:szCs w:val="24"/>
              </w:rPr>
              <w:t>；</w:t>
            </w:r>
            <w:r>
              <w:rPr>
                <w:rFonts w:hint="eastAsia" w:ascii="宋体" w:hAnsi="宋体"/>
                <w:bCs/>
                <w:sz w:val="24"/>
                <w:szCs w:val="24"/>
              </w:rPr>
              <w:t>（联合体形式投标的，联合体成员存在不良信用记录，视同联合体存在不良信用记录）。</w:t>
            </w:r>
          </w:p>
          <w:p>
            <w:pPr>
              <w:spacing w:line="273" w:lineRule="auto"/>
              <w:rPr>
                <w:rFonts w:ascii="宋体" w:hAnsi="宋体"/>
                <w:bCs/>
                <w:sz w:val="24"/>
                <w:szCs w:val="24"/>
              </w:rPr>
            </w:pPr>
            <w:r>
              <w:rPr>
                <w:rFonts w:hint="eastAsia" w:ascii="宋体" w:hAnsi="宋体"/>
                <w:bCs/>
                <w:sz w:val="24"/>
                <w:szCs w:val="24"/>
              </w:rPr>
              <w:t>（1）查询渠道：</w:t>
            </w:r>
          </w:p>
          <w:p>
            <w:pPr>
              <w:spacing w:line="273"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16"/>
                <w:rFonts w:hint="eastAsia" w:ascii="宋体" w:hAnsi="宋体"/>
                <w:sz w:val="24"/>
                <w:szCs w:val="24"/>
              </w:rPr>
              <w:t>www.creditchina.gov.cn</w:t>
            </w:r>
            <w:r>
              <w:rPr>
                <w:rStyle w:val="16"/>
                <w:rFonts w:hint="eastAsia" w:ascii="宋体" w:hAnsi="宋体"/>
                <w:sz w:val="24"/>
                <w:szCs w:val="24"/>
              </w:rPr>
              <w:fldChar w:fldCharType="end"/>
            </w:r>
            <w:r>
              <w:rPr>
                <w:sz w:val="24"/>
                <w:szCs w:val="24"/>
              </w:rPr>
              <w:t>）</w:t>
            </w:r>
          </w:p>
          <w:p>
            <w:pPr>
              <w:spacing w:line="273" w:lineRule="auto"/>
              <w:rPr>
                <w:rFonts w:ascii="宋体" w:hAnsi="宋体"/>
                <w:bCs/>
                <w:sz w:val="24"/>
                <w:szCs w:val="24"/>
              </w:rPr>
            </w:pPr>
            <w:r>
              <w:rPr>
                <w:rFonts w:hint="eastAsia" w:ascii="宋体" w:hAnsi="宋体"/>
                <w:bCs/>
                <w:sz w:val="24"/>
                <w:szCs w:val="24"/>
              </w:rPr>
              <w:t>②“中国政府采购网”（www.ccgp.gov.cn）</w:t>
            </w:r>
          </w:p>
          <w:p>
            <w:pPr>
              <w:spacing w:line="273" w:lineRule="auto"/>
              <w:rPr>
                <w:rFonts w:ascii="宋体" w:hAnsi="宋体"/>
                <w:bCs/>
                <w:sz w:val="24"/>
                <w:szCs w:val="24"/>
              </w:rPr>
            </w:pPr>
            <w:r>
              <w:rPr>
                <w:rFonts w:hint="eastAsia" w:ascii="宋体" w:hAnsi="宋体"/>
                <w:bCs/>
                <w:sz w:val="24"/>
                <w:szCs w:val="24"/>
              </w:rPr>
              <w:t>③“中国社会组织政务服务平台”网站（www.chinanpo.gov.cn）（仅查询社会组织）；</w:t>
            </w:r>
          </w:p>
          <w:p>
            <w:pPr>
              <w:spacing w:line="273" w:lineRule="auto"/>
              <w:rPr>
                <w:rFonts w:ascii="宋体" w:hAnsi="宋体"/>
                <w:bCs/>
                <w:sz w:val="24"/>
                <w:szCs w:val="24"/>
              </w:rPr>
            </w:pPr>
            <w:r>
              <w:rPr>
                <w:rFonts w:hint="eastAsia" w:ascii="宋体" w:hAnsi="宋体"/>
                <w:bCs/>
                <w:sz w:val="24"/>
                <w:szCs w:val="24"/>
              </w:rPr>
              <w:t>（2）截止时间：同投标截止时间；</w:t>
            </w:r>
          </w:p>
          <w:p>
            <w:pPr>
              <w:spacing w:line="273" w:lineRule="auto"/>
              <w:rPr>
                <w:rFonts w:ascii="宋体" w:hAnsi="宋体"/>
                <w:bCs/>
                <w:sz w:val="24"/>
                <w:szCs w:val="24"/>
              </w:rPr>
            </w:pPr>
            <w:r>
              <w:rPr>
                <w:rFonts w:hint="eastAsia" w:ascii="宋体" w:hAnsi="宋体"/>
                <w:bCs/>
                <w:sz w:val="24"/>
                <w:szCs w:val="24"/>
              </w:rPr>
              <w:t>（3）信用信息查询记录和证据留存具体方式：经</w:t>
            </w:r>
            <w:r>
              <w:rPr>
                <w:rFonts w:hint="eastAsia" w:ascii="宋体" w:hAnsi="宋体"/>
                <w:kern w:val="0"/>
                <w:sz w:val="24"/>
                <w:szCs w:val="24"/>
              </w:rPr>
              <w:t>采购人</w:t>
            </w:r>
            <w:r>
              <w:rPr>
                <w:rFonts w:hint="eastAsia" w:ascii="宋体" w:hAnsi="宋体"/>
                <w:bCs/>
                <w:sz w:val="24"/>
                <w:szCs w:val="24"/>
              </w:rPr>
              <w:t>确认的查询结果网页截图作为查询记录和证据，与其他采购文件一并保存；</w:t>
            </w:r>
          </w:p>
          <w:p>
            <w:pPr>
              <w:spacing w:line="273" w:lineRule="auto"/>
              <w:rPr>
                <w:rFonts w:ascii="宋体" w:hAnsi="宋体"/>
                <w:bCs/>
                <w:sz w:val="24"/>
                <w:szCs w:val="24"/>
              </w:rPr>
            </w:pPr>
            <w:r>
              <w:rPr>
                <w:rFonts w:hint="eastAsia" w:ascii="宋体" w:hAnsi="宋体"/>
                <w:bCs/>
                <w:sz w:val="24"/>
                <w:szCs w:val="24"/>
              </w:rPr>
              <w:t>（4）信用信息的使用原则：经</w:t>
            </w:r>
            <w:r>
              <w:rPr>
                <w:rFonts w:hint="eastAsia" w:ascii="宋体" w:hAnsi="宋体"/>
                <w:kern w:val="0"/>
                <w:sz w:val="24"/>
                <w:szCs w:val="24"/>
              </w:rPr>
              <w:t>采购人</w:t>
            </w:r>
            <w:r>
              <w:rPr>
                <w:rFonts w:hint="eastAsia" w:ascii="宋体" w:hAnsi="宋体"/>
                <w:bCs/>
                <w:sz w:val="24"/>
                <w:szCs w:val="24"/>
              </w:rPr>
              <w:t>确认认定的被列入失信被执行人、重大税收违法案件当事人名单、政府采购严重违法失信行为记录名单、严重违法失信社会组织名单的供应商的供应商，将拒绝其参与本次政府采购活动。</w:t>
            </w:r>
          </w:p>
          <w:p>
            <w:pPr>
              <w:spacing w:line="273" w:lineRule="auto"/>
              <w:rPr>
                <w:rFonts w:ascii="宋体" w:hAnsi="宋体"/>
                <w:b/>
                <w:bCs/>
                <w:sz w:val="24"/>
                <w:szCs w:val="24"/>
              </w:rPr>
            </w:pPr>
            <w:r>
              <w:rPr>
                <w:rFonts w:hint="eastAsia" w:ascii="宋体" w:hAnsi="宋体"/>
                <w:bCs/>
                <w:sz w:val="24"/>
                <w:szCs w:val="24"/>
              </w:rPr>
              <w:t>（5）</w:t>
            </w:r>
            <w:r>
              <w:rPr>
                <w:rFonts w:hint="eastAsia" w:ascii="宋体" w:hAnsi="宋体"/>
                <w:kern w:val="0"/>
                <w:sz w:val="24"/>
                <w:szCs w:val="24"/>
              </w:rPr>
              <w:t>供应商无须提供信用记录查询结果网页截图，供应商不良信用记录以采购人查询结果为准，采购人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Cs/>
                <w:sz w:val="24"/>
                <w:szCs w:val="24"/>
              </w:rPr>
            </w:pPr>
            <w:r>
              <w:rPr>
                <w:rFonts w:hint="eastAsia" w:ascii="宋体" w:hAnsi="宋体"/>
                <w:b/>
                <w:bCs/>
                <w:sz w:val="24"/>
                <w:szCs w:val="24"/>
              </w:rPr>
              <w:t>9</w:t>
            </w:r>
          </w:p>
        </w:tc>
        <w:tc>
          <w:tcPr>
            <w:tcW w:w="2529" w:type="dxa"/>
            <w:tcBorders>
              <w:top w:val="single" w:color="auto" w:sz="4" w:space="0"/>
              <w:left w:val="nil"/>
              <w:bottom w:val="single" w:color="auto" w:sz="4" w:space="0"/>
              <w:right w:val="single" w:color="auto" w:sz="4" w:space="0"/>
            </w:tcBorders>
            <w:vAlign w:val="center"/>
          </w:tcPr>
          <w:p>
            <w:pPr>
              <w:spacing w:line="420" w:lineRule="exact"/>
              <w:contextualSpacing/>
              <w:jc w:val="center"/>
              <w:rPr>
                <w:rFonts w:ascii="宋体" w:hAnsi="宋体" w:cs="宋体"/>
                <w:b/>
                <w:sz w:val="24"/>
                <w:szCs w:val="24"/>
              </w:rPr>
            </w:pPr>
            <w:r>
              <w:rPr>
                <w:rFonts w:hint="eastAsia" w:ascii="宋体" w:hAnsi="宋体" w:cs="宋体"/>
                <w:b/>
                <w:sz w:val="24"/>
                <w:szCs w:val="24"/>
              </w:rPr>
              <w:t>供应商须具备的特殊</w:t>
            </w:r>
          </w:p>
          <w:p>
            <w:pPr>
              <w:spacing w:line="420" w:lineRule="exact"/>
              <w:contextualSpacing/>
              <w:jc w:val="center"/>
              <w:rPr>
                <w:rFonts w:ascii="宋体" w:hAnsi="宋体" w:cs="宋体"/>
                <w:bCs/>
                <w:sz w:val="24"/>
                <w:szCs w:val="24"/>
              </w:rPr>
            </w:pPr>
            <w:r>
              <w:rPr>
                <w:rFonts w:hint="eastAsia" w:ascii="宋体" w:hAnsi="宋体" w:cs="宋体"/>
                <w:b/>
                <w:sz w:val="24"/>
                <w:szCs w:val="24"/>
              </w:rPr>
              <w:t>资质证书</w:t>
            </w:r>
          </w:p>
        </w:tc>
        <w:tc>
          <w:tcPr>
            <w:tcW w:w="6543" w:type="dxa"/>
            <w:tcBorders>
              <w:top w:val="single" w:color="auto" w:sz="4" w:space="0"/>
              <w:left w:val="nil"/>
              <w:bottom w:val="single" w:color="auto" w:sz="4" w:space="0"/>
              <w:right w:val="single" w:color="auto" w:sz="4" w:space="0"/>
            </w:tcBorders>
            <w:vAlign w:val="center"/>
          </w:tcPr>
          <w:p>
            <w:pPr>
              <w:spacing w:line="273" w:lineRule="auto"/>
              <w:rPr>
                <w:rFonts w:ascii="宋体" w:hAnsi="宋体"/>
                <w:bCs/>
                <w:sz w:val="24"/>
                <w:szCs w:val="24"/>
              </w:rPr>
            </w:pPr>
            <w:r>
              <w:rPr>
                <w:rFonts w:hint="eastAsia" w:ascii="宋体" w:hAnsi="宋体" w:cs="宋体"/>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bCs/>
                <w:sz w:val="24"/>
                <w:szCs w:val="24"/>
              </w:rPr>
              <w:t>10</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cs="宋体"/>
                <w:b/>
                <w:sz w:val="24"/>
                <w:szCs w:val="24"/>
                <w:lang w:val="zh-CN"/>
              </w:rPr>
              <w:t>投标报价</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
                <w:bCs/>
                <w:sz w:val="24"/>
                <w:szCs w:val="24"/>
              </w:rPr>
            </w:pPr>
            <w:r>
              <w:rPr>
                <w:rFonts w:hint="eastAsia" w:ascii="宋体" w:hAnsi="宋体" w:cs="宋体"/>
                <w:sz w:val="24"/>
                <w:szCs w:val="24"/>
                <w:lang w:val="zh-CN"/>
              </w:rPr>
              <w:t>投标报价是否超出采购文件中规定的预算金额，超出预算金额的报价无效。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11</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联合体协议</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bCs/>
                <w:sz w:val="24"/>
                <w:szCs w:val="24"/>
              </w:rPr>
            </w:pPr>
            <w:r>
              <w:rPr>
                <w:rFonts w:hint="eastAsia" w:ascii="宋体" w:hAnsi="宋体" w:cs="宋体"/>
                <w:bCs/>
                <w:sz w:val="24"/>
                <w:szCs w:val="24"/>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12</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投标承诺函</w:t>
            </w:r>
          </w:p>
        </w:tc>
        <w:tc>
          <w:tcPr>
            <w:tcW w:w="6543" w:type="dxa"/>
            <w:tcBorders>
              <w:top w:val="single" w:color="auto" w:sz="4" w:space="0"/>
              <w:left w:val="nil"/>
              <w:bottom w:val="single" w:color="auto" w:sz="4" w:space="0"/>
              <w:right w:val="single" w:color="auto" w:sz="4" w:space="0"/>
            </w:tcBorders>
            <w:vAlign w:val="center"/>
          </w:tcPr>
          <w:p>
            <w:pPr>
              <w:spacing w:line="273" w:lineRule="auto"/>
              <w:rPr>
                <w:rFonts w:ascii="宋体" w:hAnsi="宋体"/>
                <w:bCs/>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contextualSpacing/>
              <w:jc w:val="center"/>
              <w:rPr>
                <w:rFonts w:ascii="宋体" w:hAnsi="宋体"/>
                <w:b/>
                <w:sz w:val="24"/>
                <w:szCs w:val="24"/>
              </w:rPr>
            </w:pPr>
            <w:r>
              <w:rPr>
                <w:rFonts w:hint="eastAsia" w:ascii="宋体" w:hAnsi="宋体"/>
                <w:b/>
                <w:sz w:val="24"/>
                <w:szCs w:val="24"/>
              </w:rPr>
              <w:t>13</w:t>
            </w:r>
          </w:p>
        </w:tc>
        <w:tc>
          <w:tcPr>
            <w:tcW w:w="2529" w:type="dxa"/>
            <w:tcBorders>
              <w:top w:val="single" w:color="auto" w:sz="4" w:space="0"/>
              <w:left w:val="nil"/>
              <w:bottom w:val="single" w:color="auto" w:sz="4" w:space="0"/>
              <w:right w:val="single" w:color="auto" w:sz="4" w:space="0"/>
            </w:tcBorders>
            <w:vAlign w:val="center"/>
          </w:tcPr>
          <w:p>
            <w:pPr>
              <w:spacing w:line="273" w:lineRule="auto"/>
              <w:contextualSpacing/>
              <w:jc w:val="center"/>
              <w:rPr>
                <w:rFonts w:ascii="宋体" w:hAnsi="宋体"/>
                <w:b/>
                <w:sz w:val="24"/>
                <w:szCs w:val="24"/>
              </w:rPr>
            </w:pPr>
            <w:r>
              <w:rPr>
                <w:rFonts w:hint="eastAsia" w:ascii="宋体" w:hAnsi="宋体"/>
                <w:b/>
                <w:sz w:val="24"/>
                <w:szCs w:val="24"/>
              </w:rPr>
              <w:t>供应商身份证明及授权</w:t>
            </w:r>
          </w:p>
        </w:tc>
        <w:tc>
          <w:tcPr>
            <w:tcW w:w="6543" w:type="dxa"/>
            <w:tcBorders>
              <w:top w:val="single" w:color="auto" w:sz="4" w:space="0"/>
              <w:left w:val="nil"/>
              <w:bottom w:val="single" w:color="auto" w:sz="4" w:space="0"/>
              <w:right w:val="single" w:color="auto" w:sz="4" w:space="0"/>
            </w:tcBorders>
          </w:tcPr>
          <w:p>
            <w:pPr>
              <w:spacing w:line="273" w:lineRule="auto"/>
              <w:rPr>
                <w:rFonts w:ascii="宋体" w:hAnsi="宋体"/>
                <w:sz w:val="24"/>
                <w:szCs w:val="24"/>
              </w:rPr>
            </w:pPr>
            <w:r>
              <w:rPr>
                <w:rFonts w:hint="eastAsia" w:ascii="宋体" w:hAnsi="宋体"/>
                <w:sz w:val="24"/>
                <w:szCs w:val="24"/>
              </w:rPr>
              <w:t>（1）法定代表人身份证明或提供法定代表人授权委托书及被授权人身份证明。（法人提供）</w:t>
            </w:r>
          </w:p>
          <w:p>
            <w:pPr>
              <w:spacing w:line="273" w:lineRule="auto"/>
              <w:rPr>
                <w:rFonts w:ascii="宋体" w:hAnsi="宋体"/>
                <w:sz w:val="24"/>
                <w:szCs w:val="24"/>
              </w:rPr>
            </w:pPr>
            <w:r>
              <w:rPr>
                <w:rFonts w:hint="eastAsia" w:ascii="宋体" w:hAnsi="宋体"/>
                <w:sz w:val="24"/>
                <w:szCs w:val="24"/>
              </w:rPr>
              <w:t>（2）单位负责人身份证明或提供单位负责人授权委托书及被授权人身份证明。（非法人提供）</w:t>
            </w:r>
          </w:p>
          <w:p>
            <w:pPr>
              <w:spacing w:line="273" w:lineRule="auto"/>
              <w:rPr>
                <w:rFonts w:ascii="宋体" w:hAnsi="宋体"/>
                <w:b/>
                <w:sz w:val="24"/>
                <w:szCs w:val="24"/>
              </w:rPr>
            </w:pPr>
            <w:r>
              <w:rPr>
                <w:rFonts w:hint="eastAsia" w:ascii="宋体" w:hAnsi="宋体"/>
                <w:b/>
                <w:sz w:val="24"/>
                <w:szCs w:val="24"/>
              </w:rPr>
              <w:t>注：</w:t>
            </w:r>
          </w:p>
          <w:p>
            <w:pPr>
              <w:spacing w:line="273" w:lineRule="auto"/>
              <w:rPr>
                <w:rFonts w:ascii="宋体" w:hAnsi="宋体"/>
                <w:b/>
                <w:sz w:val="24"/>
                <w:szCs w:val="24"/>
              </w:rPr>
            </w:pPr>
            <w:r>
              <w:rPr>
                <w:rFonts w:hint="eastAsia" w:ascii="宋体" w:hAnsi="宋体"/>
                <w:sz w:val="24"/>
                <w:szCs w:val="24"/>
              </w:rPr>
              <w:t>①企业（银行、保险、石油石化、电力、电信等行业除外）、事业单位和社会团体以法人身份参加投标的，法定代表人应与实际提交的“营业执照等证明文件”载明的一致。</w:t>
            </w:r>
          </w:p>
          <w:p>
            <w:pPr>
              <w:spacing w:line="273" w:lineRule="auto"/>
              <w:contextualSpacing/>
              <w:rPr>
                <w:rFonts w:ascii="宋体" w:hAnsi="宋体"/>
                <w:sz w:val="24"/>
                <w:szCs w:val="24"/>
              </w:rPr>
            </w:pPr>
            <w:r>
              <w:rPr>
                <w:rFonts w:hint="eastAsia" w:ascii="宋体" w:hAnsi="宋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3" w:lineRule="auto"/>
              <w:contextualSpacing/>
              <w:rPr>
                <w:rFonts w:ascii="宋体" w:hAnsi="宋体"/>
                <w:b/>
                <w:sz w:val="24"/>
                <w:szCs w:val="24"/>
              </w:rPr>
            </w:pPr>
            <w:r>
              <w:rPr>
                <w:rFonts w:hint="eastAsia" w:ascii="宋体" w:hAnsi="宋体"/>
                <w:sz w:val="24"/>
                <w:szCs w:val="24"/>
              </w:rPr>
              <w:t>③</w:t>
            </w:r>
            <w:r>
              <w:rPr>
                <w:rFonts w:hint="eastAsia" w:ascii="宋体" w:hAnsi="宋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contextualSpacing/>
              <w:jc w:val="center"/>
              <w:rPr>
                <w:rFonts w:ascii="宋体" w:hAnsi="宋体"/>
                <w:b/>
                <w:sz w:val="24"/>
                <w:szCs w:val="24"/>
              </w:rPr>
            </w:pPr>
            <w:r>
              <w:rPr>
                <w:rFonts w:hint="eastAsia" w:ascii="宋体" w:hAnsi="宋体"/>
                <w:b/>
                <w:sz w:val="24"/>
                <w:szCs w:val="24"/>
              </w:rPr>
              <w:t>14</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543" w:type="dxa"/>
            <w:tcBorders>
              <w:top w:val="single" w:color="auto" w:sz="4" w:space="0"/>
              <w:left w:val="nil"/>
              <w:bottom w:val="single" w:color="auto" w:sz="4" w:space="0"/>
              <w:right w:val="single" w:color="auto" w:sz="4" w:space="0"/>
            </w:tcBorders>
            <w:vAlign w:val="center"/>
          </w:tcPr>
          <w:p>
            <w:pPr>
              <w:spacing w:line="273" w:lineRule="auto"/>
              <w:rPr>
                <w:rFonts w:ascii="宋体" w:hAnsi="宋体"/>
                <w:sz w:val="24"/>
                <w:szCs w:val="24"/>
              </w:rPr>
            </w:pPr>
            <w:r>
              <w:rPr>
                <w:rFonts w:hint="eastAsia" w:ascii="宋体" w:hAnsi="宋体"/>
                <w:sz w:val="24"/>
                <w:szCs w:val="24"/>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73" w:lineRule="auto"/>
              <w:contextualSpacing/>
              <w:jc w:val="center"/>
              <w:rPr>
                <w:rFonts w:ascii="宋体" w:hAnsi="宋体"/>
                <w:b/>
                <w:sz w:val="24"/>
                <w:szCs w:val="24"/>
              </w:rPr>
            </w:pPr>
            <w:r>
              <w:rPr>
                <w:rFonts w:hint="eastAsia" w:ascii="宋体" w:hAnsi="宋体"/>
                <w:b/>
                <w:sz w:val="24"/>
                <w:szCs w:val="24"/>
              </w:rPr>
              <w:t>15</w:t>
            </w:r>
          </w:p>
        </w:tc>
        <w:tc>
          <w:tcPr>
            <w:tcW w:w="2529"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543" w:type="dxa"/>
            <w:tcBorders>
              <w:top w:val="single" w:color="auto" w:sz="4" w:space="0"/>
              <w:left w:val="nil"/>
              <w:bottom w:val="single" w:color="auto" w:sz="4" w:space="0"/>
              <w:right w:val="single" w:color="auto" w:sz="4" w:space="0"/>
            </w:tcBorders>
            <w:vAlign w:val="center"/>
          </w:tcPr>
          <w:p>
            <w:pPr>
              <w:spacing w:line="273" w:lineRule="auto"/>
              <w:rPr>
                <w:rFonts w:ascii="宋体" w:hAnsi="宋体"/>
                <w:bCs/>
                <w:sz w:val="24"/>
                <w:szCs w:val="24"/>
              </w:rPr>
            </w:pPr>
            <w:r>
              <w:rPr>
                <w:rFonts w:hint="eastAsia" w:ascii="宋体" w:hAnsi="宋体"/>
                <w:sz w:val="24"/>
                <w:szCs w:val="24"/>
              </w:rPr>
              <w:t>供应商提供未为本项目提供整体设计、规范编制或者项目管理、监理、检测等服务承诺函（承诺函格式自拟）。</w:t>
            </w:r>
          </w:p>
        </w:tc>
      </w:tr>
    </w:tbl>
    <w:p>
      <w:pPr>
        <w:pStyle w:val="1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2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（1）价格分计算</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以供应商最后投标报价为准。因落实政府采购政策进行价格调整的，以调整后的价格为最后报价。</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小型和微型企业不包含民办非企业单位。</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仿宋_GB2312"/>
          <w:b/>
          <w:color w:val="000000"/>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（3）关于相同品牌产品</w:t>
      </w:r>
      <w:r>
        <w:rPr>
          <w:rFonts w:hint="eastAsia" w:ascii="宋体" w:hAnsi="宋体" w:cs="仿宋_GB2312"/>
          <w:b/>
          <w:bCs/>
          <w:color w:val="000000"/>
          <w:sz w:val="24"/>
          <w:lang w:val="zh-CN"/>
        </w:rPr>
        <w:t>（服务类项目不适用本条款规定）</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400" w:lineRule="exact"/>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①中国信息安全认证中心官网（http://www.isccc.gov.cn/index.shtml）产品查询结果截图并加盖投标人公章；</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②中国信息安全认证中心颁发的《中国国家信息安全产品认证证书》加盖投标人公章的原件扫描件（或图片）。</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注：仅需提供序号①～②其中之一即可。</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5</w:t>
      </w:r>
      <w:r>
        <w:rPr>
          <w:rFonts w:hint="eastAsia" w:ascii="宋体" w:hAnsi="宋体" w:cs="仿宋_GB2312"/>
          <w:b/>
          <w:color w:val="000000"/>
          <w:sz w:val="24"/>
          <w:lang w:val="zh-CN"/>
        </w:rPr>
        <w:t>）支持脱贫攻坚（物业服务项目）</w:t>
      </w:r>
    </w:p>
    <w:p>
      <w:pPr>
        <w:topLinePunct/>
        <w:spacing w:line="400" w:lineRule="exact"/>
        <w:ind w:firstLine="480" w:firstLineChars="200"/>
        <w:contextualSpacing/>
        <w:rPr>
          <w:rFonts w:ascii="宋体" w:hAnsi="宋体" w:cs="宋体"/>
          <w:bCs/>
          <w:color w:val="000000"/>
          <w:sz w:val="24"/>
          <w:szCs w:val="24"/>
          <w:lang w:val="zh-CN"/>
        </w:rPr>
      </w:pPr>
      <w:r>
        <w:rPr>
          <w:rFonts w:hint="eastAsia" w:ascii="宋体" w:hAnsi="宋体" w:cs="宋体"/>
          <w:bCs/>
          <w:color w:val="00000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400" w:lineRule="exact"/>
        <w:ind w:firstLine="480" w:firstLineChars="200"/>
        <w:rPr>
          <w:rFonts w:hAnsi="宋体" w:cs="宋体"/>
          <w:bCs/>
          <w:color w:val="000000"/>
          <w:sz w:val="24"/>
          <w:szCs w:val="24"/>
        </w:rPr>
      </w:pPr>
      <w:r>
        <w:rPr>
          <w:rFonts w:hint="eastAsia" w:hAnsi="宋体" w:cs="宋体"/>
          <w:bCs/>
          <w:color w:val="00000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r>
        <w:rPr>
          <w:rFonts w:hint="eastAsia" w:hAnsi="宋体" w:cs="宋体"/>
          <w:bCs/>
          <w:color w:val="000000"/>
          <w:sz w:val="24"/>
          <w:szCs w:val="24"/>
        </w:rPr>
        <w:t>。</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6</w:t>
      </w:r>
      <w:r>
        <w:rPr>
          <w:rFonts w:hint="eastAsia" w:ascii="宋体" w:hAnsi="宋体" w:cs="仿宋_GB2312"/>
          <w:b/>
          <w:color w:val="000000"/>
          <w:sz w:val="24"/>
          <w:lang w:val="zh-CN"/>
        </w:rPr>
        <w:t>）投标无效情形</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2）符合性审查资料未按招标文件要求签署、盖章的；</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3）有下列情形之一的，视为投标人串通投标，其投标无效：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a.不同投标人的投标文件由同一单位或者个人编制；</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b.不同投标人委托同一单位或者个人办理投标事宜；</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c.不同投标人的投标文件载明的项目管理成员或者联系人员为同一人；</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d.不同投标人的投标文件异常一致或者投标报价呈规律性差异；</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e.不同投标人的投标文件相互混装；</w:t>
      </w:r>
    </w:p>
    <w:p>
      <w:pPr>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5）法律、法规和招标文件规定的其他无效情形。</w:t>
      </w:r>
    </w:p>
    <w:p>
      <w:pPr>
        <w:tabs>
          <w:tab w:val="left" w:pos="1260"/>
        </w:tabs>
        <w:autoSpaceDE w:val="0"/>
        <w:autoSpaceDN w:val="0"/>
        <w:spacing w:line="400" w:lineRule="exact"/>
        <w:ind w:firstLine="482" w:firstLineChars="200"/>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7</w:t>
      </w:r>
      <w:r>
        <w:rPr>
          <w:rFonts w:hint="eastAsia" w:ascii="宋体" w:hAnsi="宋体" w:cs="宋体"/>
          <w:b/>
          <w:sz w:val="24"/>
          <w:szCs w:val="24"/>
          <w:lang w:val="zh-CN"/>
        </w:rPr>
        <w:t>）评标标准</w:t>
      </w:r>
    </w:p>
    <w:tbl>
      <w:tblPr>
        <w:tblStyle w:val="1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5900"/>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分值组成</w:t>
            </w:r>
          </w:p>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（总分100分）</w:t>
            </w:r>
          </w:p>
        </w:tc>
        <w:tc>
          <w:tcPr>
            <w:tcW w:w="6731" w:type="dxa"/>
            <w:gridSpan w:val="2"/>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价格分值：</w:t>
            </w: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商务部分：</w:t>
            </w:r>
            <w:r>
              <w:rPr>
                <w:rFonts w:hint="eastAsia" w:ascii="宋体" w:hAnsi="宋体" w:cs="仿宋_GB2312"/>
                <w:color w:val="000000"/>
                <w:sz w:val="24"/>
                <w:lang w:val="en-US" w:eastAsia="zh-CN"/>
              </w:rPr>
              <w:t>40</w:t>
            </w:r>
            <w:r>
              <w:rPr>
                <w:rFonts w:hint="eastAsia" w:ascii="宋体" w:hAnsi="宋体" w:eastAsia="宋体" w:cs="仿宋_GB2312"/>
                <w:color w:val="000000"/>
                <w:sz w:val="24"/>
                <w:lang w:val="zh-CN"/>
              </w:rPr>
              <w:t>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技术部分：</w:t>
            </w:r>
            <w:r>
              <w:rPr>
                <w:rFonts w:hint="eastAsia" w:ascii="宋体" w:hAnsi="宋体" w:cs="仿宋_GB2312"/>
                <w:color w:val="000000"/>
                <w:sz w:val="24"/>
                <w:lang w:val="en-US" w:eastAsia="zh-CN"/>
              </w:rPr>
              <w:t>35</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8" w:type="dxa"/>
            <w:gridSpan w:val="2"/>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一、</w:t>
            </w:r>
            <w:bookmarkStart w:id="1" w:name="OLE_LINK1"/>
            <w:r>
              <w:rPr>
                <w:rFonts w:hint="eastAsia" w:ascii="宋体" w:hAnsi="宋体" w:eastAsia="宋体" w:cs="仿宋_GB2312"/>
                <w:color w:val="000000"/>
                <w:sz w:val="24"/>
                <w:lang w:val="zh-CN"/>
              </w:rPr>
              <w:t>价格部分</w:t>
            </w:r>
            <w:bookmarkEnd w:id="1"/>
            <w:r>
              <w:rPr>
                <w:rFonts w:hint="eastAsia" w:ascii="宋体" w:hAnsi="宋体" w:eastAsia="宋体" w:cs="仿宋_GB2312"/>
                <w:color w:val="000000"/>
                <w:sz w:val="24"/>
                <w:lang w:val="zh-CN"/>
              </w:rPr>
              <w:t>（满分</w:t>
            </w: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投标报价</w:t>
            </w:r>
          </w:p>
          <w:p>
            <w:pPr>
              <w:spacing w:line="400" w:lineRule="exact"/>
              <w:ind w:firstLine="480" w:firstLineChars="200"/>
              <w:rPr>
                <w:rFonts w:hint="eastAsia" w:ascii="宋体" w:hAnsi="宋体" w:eastAsia="宋体" w:cs="仿宋_GB2312"/>
                <w:color w:val="000000"/>
                <w:sz w:val="24"/>
                <w:lang w:val="zh-CN"/>
              </w:rPr>
            </w:pP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评标基准价：满足招标文件要求的有效投标报价中，最低的投标报价为评标基准价。</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投标报价得分=（评标基准价/投标报价）×</w:t>
            </w: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%×100</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注：分值计算保留小数点后两位，小数点后第三位“四舍五入”。</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25</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8" w:type="dxa"/>
            <w:gridSpan w:val="2"/>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二、商务部分（满分</w:t>
            </w:r>
            <w:r>
              <w:rPr>
                <w:rFonts w:hint="eastAsia" w:ascii="宋体" w:hAnsi="宋体" w:cs="仿宋_GB2312"/>
                <w:color w:val="000000"/>
                <w:sz w:val="24"/>
                <w:lang w:val="en-US" w:eastAsia="zh-CN"/>
              </w:rPr>
              <w:t>40</w:t>
            </w:r>
            <w:r>
              <w:rPr>
                <w:rFonts w:hint="eastAsia" w:ascii="宋体" w:hAnsi="宋体" w:eastAsia="宋体" w:cs="仿宋_GB2312"/>
                <w:color w:val="000000"/>
                <w:sz w:val="24"/>
                <w:lang w:val="zh-CN"/>
              </w:rPr>
              <w:t>分）</w:t>
            </w:r>
          </w:p>
        </w:tc>
        <w:tc>
          <w:tcPr>
            <w:tcW w:w="831" w:type="dxa"/>
            <w:vAlign w:val="center"/>
          </w:tcPr>
          <w:p>
            <w:pPr>
              <w:spacing w:line="400" w:lineRule="exact"/>
              <w:ind w:firstLine="480" w:firstLineChars="200"/>
              <w:rPr>
                <w:rFonts w:hint="eastAsia" w:ascii="宋体" w:hAnsi="宋体" w:eastAsia="宋体" w:cs="仿宋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评分因素</w:t>
            </w: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评分标准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业绩</w:t>
            </w: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自2018年1月1日以来，投标人有类似业绩每个得2分，最高得6分</w:t>
            </w:r>
            <w:r>
              <w:rPr>
                <w:rFonts w:hint="eastAsia" w:ascii="宋体" w:hAnsi="宋体" w:cs="宋体"/>
                <w:color w:val="auto"/>
                <w:sz w:val="24"/>
                <w:szCs w:val="24"/>
              </w:rPr>
              <w:t>（以合同签订时间为准）（开标时提供法定媒介中标(成交)公示网页截图、合同、中标通知书电子扫描件，三者缺一不计分）。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人员配置</w:t>
            </w: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1、项目负责人具有高级工程师职称证书者（互联网技术类）得3分</w:t>
            </w:r>
            <w:r>
              <w:rPr>
                <w:rFonts w:hint="eastAsia" w:ascii="宋体" w:hAnsi="宋体" w:cs="仿宋_GB2312"/>
                <w:color w:val="000000"/>
                <w:sz w:val="24"/>
                <w:lang w:val="zh-CN"/>
              </w:rPr>
              <w:t>，</w:t>
            </w:r>
            <w:r>
              <w:rPr>
                <w:rFonts w:hint="eastAsia" w:ascii="宋体" w:hAnsi="宋体" w:eastAsia="宋体" w:cs="仿宋_GB2312"/>
                <w:color w:val="000000"/>
                <w:sz w:val="24"/>
                <w:lang w:val="zh-CN"/>
              </w:rPr>
              <w:t>中级者得2分（互联网技术类）</w:t>
            </w:r>
            <w:r>
              <w:rPr>
                <w:rFonts w:hint="eastAsia" w:ascii="宋体" w:hAnsi="宋体" w:cs="仿宋_GB2312"/>
                <w:color w:val="000000"/>
                <w:sz w:val="24"/>
                <w:lang w:val="zh-CN"/>
              </w:rPr>
              <w:t>，</w:t>
            </w:r>
            <w:r>
              <w:rPr>
                <w:rFonts w:hint="eastAsia" w:ascii="宋体" w:hAnsi="宋体" w:eastAsia="宋体" w:cs="仿宋_GB2312"/>
                <w:color w:val="000000"/>
                <w:sz w:val="24"/>
                <w:lang w:val="zh-CN"/>
              </w:rPr>
              <w:t>本项满分3分。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 xml:space="preserve">2、投标人拟派项目实施团队成员具有国家认证认可监督管理委员会认可的第三方机构颁发的注册信息安全工程师证书的得 </w:t>
            </w:r>
            <w:r>
              <w:rPr>
                <w:rFonts w:hint="eastAsia" w:ascii="宋体" w:hAnsi="宋体" w:cs="仿宋_GB2312"/>
                <w:color w:val="000000"/>
                <w:sz w:val="24"/>
                <w:lang w:val="en-US" w:eastAsia="zh-CN"/>
              </w:rPr>
              <w:t>2</w:t>
            </w:r>
            <w:r>
              <w:rPr>
                <w:rFonts w:hint="eastAsia" w:ascii="宋体" w:hAnsi="宋体" w:eastAsia="宋体" w:cs="仿宋_GB2312"/>
                <w:color w:val="000000"/>
                <w:sz w:val="24"/>
                <w:lang w:val="zh-CN"/>
              </w:rPr>
              <w:t xml:space="preserve"> 分，否则不得分；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3、项目团队（除项目负责人外）每具有1名</w:t>
            </w:r>
            <w:r>
              <w:rPr>
                <w:rFonts w:hint="eastAsia" w:ascii="宋体" w:hAnsi="宋体" w:cs="仿宋_GB2312"/>
                <w:color w:val="000000"/>
                <w:sz w:val="24"/>
                <w:lang w:val="zh-CN"/>
              </w:rPr>
              <w:t>行政主管</w:t>
            </w:r>
            <w:r>
              <w:rPr>
                <w:rFonts w:hint="eastAsia" w:ascii="宋体" w:hAnsi="宋体" w:eastAsia="宋体" w:cs="仿宋_GB2312"/>
                <w:color w:val="000000"/>
                <w:sz w:val="24"/>
                <w:lang w:val="zh-CN"/>
              </w:rPr>
              <w:t xml:space="preserve">部门颁发的信息系统项目管理师证书的得 </w:t>
            </w:r>
            <w:r>
              <w:rPr>
                <w:rFonts w:hint="eastAsia" w:ascii="宋体" w:hAnsi="宋体" w:cs="仿宋_GB2312"/>
                <w:color w:val="000000"/>
                <w:sz w:val="24"/>
                <w:lang w:val="en-US" w:eastAsia="zh-CN"/>
              </w:rPr>
              <w:t>2</w:t>
            </w:r>
            <w:r>
              <w:rPr>
                <w:rFonts w:hint="eastAsia" w:ascii="宋体" w:hAnsi="宋体" w:eastAsia="宋体" w:cs="仿宋_GB2312"/>
                <w:color w:val="000000"/>
                <w:sz w:val="24"/>
                <w:lang w:val="zh-CN"/>
              </w:rPr>
              <w:t xml:space="preserve"> 分，满分为</w:t>
            </w:r>
            <w:r>
              <w:rPr>
                <w:rFonts w:hint="eastAsia" w:ascii="宋体" w:hAnsi="宋体" w:cs="仿宋_GB2312"/>
                <w:color w:val="000000"/>
                <w:sz w:val="24"/>
                <w:lang w:val="en-US" w:eastAsia="zh-CN"/>
              </w:rPr>
              <w:t>4</w:t>
            </w:r>
            <w:r>
              <w:rPr>
                <w:rFonts w:hint="eastAsia" w:ascii="宋体" w:hAnsi="宋体" w:eastAsia="宋体" w:cs="仿宋_GB2312"/>
                <w:color w:val="000000"/>
                <w:sz w:val="24"/>
                <w:lang w:val="zh-CN"/>
              </w:rPr>
              <w:t>分。</w:t>
            </w:r>
          </w:p>
          <w:p>
            <w:pPr>
              <w:spacing w:line="400" w:lineRule="exact"/>
              <w:ind w:firstLine="480" w:firstLineChars="200"/>
              <w:rPr>
                <w:rFonts w:hint="eastAsia"/>
                <w:lang w:val="zh-CN"/>
              </w:rPr>
            </w:pPr>
            <w:r>
              <w:rPr>
                <w:rFonts w:hint="eastAsia" w:ascii="宋体" w:hAnsi="宋体" w:eastAsia="宋体" w:cs="仿宋_GB2312"/>
                <w:color w:val="000000"/>
                <w:sz w:val="24"/>
                <w:lang w:val="zh-CN"/>
              </w:rPr>
              <w:t>以上人员不得重复，并提供</w:t>
            </w:r>
            <w:r>
              <w:rPr>
                <w:rFonts w:hint="eastAsia" w:ascii="宋体" w:hAnsi="宋体" w:eastAsia="宋体" w:cs="宋体"/>
                <w:kern w:val="0"/>
                <w:sz w:val="24"/>
                <w:szCs w:val="24"/>
                <w:lang w:val="zh-CN"/>
              </w:rPr>
              <w:t>参加本次政府采购项目投标截止时间前六个月内任意一个月缴纳社会保险凭据</w:t>
            </w:r>
            <w:r>
              <w:rPr>
                <w:rFonts w:hint="eastAsia" w:ascii="宋体" w:hAnsi="宋体" w:eastAsia="宋体" w:cs="仿宋_GB2312"/>
                <w:color w:val="000000"/>
                <w:sz w:val="24"/>
                <w:lang w:val="zh-CN"/>
              </w:rPr>
              <w:t>，</w:t>
            </w:r>
            <w:r>
              <w:rPr>
                <w:rFonts w:ascii="宋体" w:hAnsi="宋体" w:eastAsia="宋体" w:cs="宋体"/>
                <w:sz w:val="24"/>
                <w:szCs w:val="24"/>
              </w:rPr>
              <w:t>如为退休人员，须提供退休证明及返聘合同</w:t>
            </w:r>
            <w:r>
              <w:rPr>
                <w:rFonts w:hint="eastAsia" w:ascii="宋体" w:hAnsi="宋体" w:eastAsia="宋体" w:cs="宋体"/>
                <w:sz w:val="24"/>
                <w:szCs w:val="24"/>
                <w:lang w:eastAsia="zh-CN"/>
              </w:rPr>
              <w:t>，</w:t>
            </w:r>
            <w:r>
              <w:rPr>
                <w:rFonts w:hint="eastAsia" w:ascii="宋体" w:hAnsi="宋体" w:eastAsia="宋体" w:cs="仿宋_GB2312"/>
                <w:color w:val="000000"/>
                <w:sz w:val="24"/>
                <w:lang w:val="zh-CN"/>
              </w:rPr>
              <w:t>否则不得分。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9</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zh-CN"/>
              </w:rPr>
              <w:t>产品厂商资质</w:t>
            </w: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网闸厂商具备中国电子工业标准化技术协会颁发的《ITSS云计算服务能力符合性证书》，提供厂家盖章证明文件得2分，没有、提供不全或不提供不得分。</w:t>
            </w:r>
          </w:p>
          <w:p>
            <w:pPr>
              <w:numPr>
                <w:ilvl w:val="0"/>
                <w:numId w:val="0"/>
              </w:num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2、</w:t>
            </w:r>
            <w:r>
              <w:rPr>
                <w:rFonts w:hint="eastAsia" w:ascii="宋体" w:hAnsi="宋体" w:eastAsia="宋体" w:cs="仿宋_GB2312"/>
                <w:color w:val="000000"/>
                <w:sz w:val="24"/>
                <w:lang w:val="zh-CN"/>
              </w:rPr>
              <w:t>负载均衡厂商曾参与《信息安全等级保护关键技术国家工程实验室建设者》，提供厂家盖章证明文件得2分，没有、提供不全或不提供不得分。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3、</w:t>
            </w:r>
            <w:r>
              <w:rPr>
                <w:rFonts w:hint="eastAsia" w:ascii="宋体" w:hAnsi="宋体" w:eastAsia="宋体" w:cs="仿宋_GB2312"/>
                <w:color w:val="000000"/>
                <w:sz w:val="24"/>
                <w:lang w:val="zh-CN"/>
              </w:rPr>
              <w:t>日志审计厂商具有中国信息界发展研究院颁发的《信息化建设及服务能力评价证书（一级）资质》，提供厂家盖章证明文件得2分，没有、提供不全或不提供不得分。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4、</w:t>
            </w:r>
            <w:r>
              <w:rPr>
                <w:rFonts w:hint="eastAsia" w:ascii="宋体" w:hAnsi="宋体" w:eastAsia="宋体" w:cs="仿宋_GB2312"/>
                <w:color w:val="000000"/>
                <w:sz w:val="24"/>
                <w:lang w:val="zh-CN"/>
              </w:rPr>
              <w:t>上网行为厂商具有中国网络安全审查技术与认证中心颁发的《信息安全服务资质认证证书(安全运维一级)》资质，提供厂家盖章证明文件得2分，没有、提供不全或不提供不得分。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5、</w:t>
            </w:r>
            <w:r>
              <w:rPr>
                <w:rFonts w:hint="eastAsia" w:ascii="宋体" w:hAnsi="宋体" w:eastAsia="宋体" w:cs="仿宋_GB2312"/>
                <w:color w:val="000000"/>
                <w:sz w:val="24"/>
                <w:lang w:val="zh-CN"/>
              </w:rPr>
              <w:t>核心交换机厂商具备入网许可证和ROHS证书，提供厂家盖章证明文件得2分，没有、提供不全或不提供不得分。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6、</w:t>
            </w:r>
            <w:r>
              <w:rPr>
                <w:rFonts w:hint="eastAsia" w:ascii="宋体" w:hAnsi="宋体" w:eastAsia="宋体" w:cs="仿宋_GB2312"/>
                <w:color w:val="000000"/>
                <w:sz w:val="24"/>
                <w:lang w:val="zh-CN"/>
              </w:rPr>
              <w:t>防火墙厂家提供最近一年CNVD国家信息安全漏洞共享平台发布的漏洞成员单位工作贡献证明，要求贡献漏洞不少于2万条，提供厂家盖章证明文件得2分，没有、提供不全或不提供不得分。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7、</w:t>
            </w:r>
            <w:r>
              <w:rPr>
                <w:rFonts w:hint="eastAsia" w:ascii="宋体" w:hAnsi="宋体" w:eastAsia="宋体" w:cs="仿宋_GB2312"/>
                <w:color w:val="000000"/>
                <w:sz w:val="24"/>
                <w:lang w:val="zh-CN"/>
              </w:rPr>
              <w:t>入侵防御厂家具有国家信息安全测评中心颁发的《信息安全服务资质证书-云计算安全类一级》资质，提供厂家盖章证明文件得2分，没有、提供不全或不提供不得分。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8、</w:t>
            </w:r>
            <w:r>
              <w:rPr>
                <w:rFonts w:hint="eastAsia" w:ascii="宋体" w:hAnsi="宋体" w:eastAsia="宋体" w:cs="仿宋_GB2312"/>
                <w:color w:val="000000"/>
                <w:sz w:val="24"/>
                <w:lang w:val="zh-CN"/>
              </w:rPr>
              <w:t>所投服务器及存储产品通过CMA、Ilac-MRA 、CNAS认证标志的《电工电子产品环境试验》，提供检测报告得2分，没有、提供不全或不提供不得分；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cs="仿宋_GB2312"/>
                <w:color w:val="000000"/>
                <w:sz w:val="24"/>
                <w:lang w:val="en-US" w:eastAsia="zh-CN"/>
              </w:rPr>
              <w:t>9、</w:t>
            </w:r>
            <w:r>
              <w:rPr>
                <w:rFonts w:hint="eastAsia" w:ascii="宋体" w:hAnsi="宋体" w:eastAsia="宋体" w:cs="仿宋_GB2312"/>
                <w:color w:val="000000"/>
                <w:sz w:val="24"/>
                <w:lang w:val="zh-CN"/>
              </w:rPr>
              <w:t>为便于统一管理和售后维护，要求防火墙、入侵防御、网闸、负载均衡、日志审计、上网行为管理、服务器安全管理系统同一品牌得4分，否则不得分。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20</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w:t>
            </w:r>
          </w:p>
          <w:p>
            <w:pPr>
              <w:spacing w:line="400" w:lineRule="exact"/>
              <w:ind w:firstLine="480" w:firstLineChars="200"/>
              <w:rPr>
                <w:rFonts w:hint="eastAsia" w:ascii="宋体" w:hAnsi="宋体" w:eastAsia="宋体" w:cs="仿宋_GB2312"/>
                <w:color w:val="000000"/>
                <w:sz w:val="24"/>
                <w:lang w:val="zh-CN"/>
              </w:rPr>
            </w:pPr>
          </w:p>
        </w:tc>
        <w:tc>
          <w:tcPr>
            <w:tcW w:w="5900" w:type="dxa"/>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评标委员会根据投标人的售后服务方案是否满足</w:t>
            </w:r>
            <w:r>
              <w:rPr>
                <w:rFonts w:hint="eastAsia" w:ascii="宋体" w:hAnsi="宋体" w:eastAsia="宋体" w:cs="仿宋_GB2312"/>
                <w:color w:val="000000"/>
                <w:sz w:val="24"/>
                <w:lang w:val="en-US" w:eastAsia="zh-CN"/>
              </w:rPr>
              <w:t>本项目</w:t>
            </w:r>
            <w:r>
              <w:rPr>
                <w:rFonts w:hint="eastAsia" w:ascii="宋体" w:hAnsi="宋体" w:eastAsia="宋体" w:cs="仿宋_GB2312"/>
                <w:color w:val="000000"/>
                <w:sz w:val="24"/>
                <w:lang w:val="zh-CN"/>
              </w:rPr>
              <w:t>要求。售后服务方案完整、合理、可行，针对性强，具有详细的工作流程、人员配备、对突发事件具有有效的应急服务方案齐全的得</w:t>
            </w:r>
            <w:r>
              <w:rPr>
                <w:rFonts w:hint="eastAsia" w:ascii="宋体" w:hAnsi="宋体" w:cs="仿宋_GB2312"/>
                <w:color w:val="000000"/>
                <w:sz w:val="24"/>
                <w:lang w:val="en-US" w:eastAsia="zh-CN"/>
              </w:rPr>
              <w:t>5</w:t>
            </w:r>
            <w:r>
              <w:rPr>
                <w:rFonts w:hint="eastAsia" w:ascii="宋体" w:hAnsi="宋体" w:eastAsia="宋体" w:cs="仿宋_GB2312"/>
                <w:color w:val="000000"/>
                <w:sz w:val="24"/>
                <w:lang w:val="zh-CN"/>
              </w:rPr>
              <w:t>分；售后服务方案</w:t>
            </w:r>
            <w:r>
              <w:rPr>
                <w:rFonts w:hint="eastAsia" w:ascii="宋体" w:hAnsi="宋体" w:cs="仿宋_GB2312"/>
                <w:color w:val="000000"/>
                <w:sz w:val="24"/>
                <w:lang w:val="zh-CN"/>
              </w:rPr>
              <w:t>较</w:t>
            </w:r>
            <w:r>
              <w:rPr>
                <w:rFonts w:hint="eastAsia" w:ascii="宋体" w:hAnsi="宋体" w:eastAsia="宋体" w:cs="仿宋_GB2312"/>
                <w:color w:val="000000"/>
                <w:sz w:val="24"/>
                <w:lang w:val="zh-CN"/>
              </w:rPr>
              <w:t>完整、</w:t>
            </w:r>
            <w:r>
              <w:rPr>
                <w:rFonts w:hint="eastAsia" w:ascii="宋体" w:hAnsi="宋体" w:cs="仿宋_GB2312"/>
                <w:color w:val="000000"/>
                <w:sz w:val="24"/>
                <w:lang w:val="zh-CN"/>
              </w:rPr>
              <w:t>较</w:t>
            </w:r>
            <w:r>
              <w:rPr>
                <w:rFonts w:hint="eastAsia" w:ascii="宋体" w:hAnsi="宋体" w:eastAsia="宋体" w:cs="仿宋_GB2312"/>
                <w:color w:val="000000"/>
                <w:sz w:val="24"/>
                <w:lang w:val="zh-CN"/>
              </w:rPr>
              <w:t>齐全的得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zh-CN"/>
              </w:rPr>
              <w:t>分；不提供</w:t>
            </w:r>
            <w:r>
              <w:rPr>
                <w:rFonts w:hint="eastAsia" w:ascii="宋体" w:hAnsi="宋体" w:cs="仿宋_GB2312"/>
                <w:color w:val="000000"/>
                <w:sz w:val="24"/>
                <w:lang w:val="zh-CN"/>
              </w:rPr>
              <w:t>者</w:t>
            </w:r>
            <w:r>
              <w:rPr>
                <w:rFonts w:hint="eastAsia" w:ascii="宋体" w:hAnsi="宋体" w:eastAsia="宋体" w:cs="仿宋_GB2312"/>
                <w:color w:val="000000"/>
                <w:sz w:val="24"/>
                <w:lang w:val="zh-CN"/>
              </w:rPr>
              <w:t>不得分。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5</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9" w:type="dxa"/>
            <w:gridSpan w:val="3"/>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三、技术部分（</w:t>
            </w:r>
            <w:r>
              <w:rPr>
                <w:rFonts w:hint="eastAsia" w:ascii="宋体" w:hAnsi="宋体" w:cs="仿宋_GB2312"/>
                <w:color w:val="000000"/>
                <w:sz w:val="24"/>
                <w:lang w:val="en-US" w:eastAsia="zh-CN"/>
              </w:rPr>
              <w:t>35</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评分因素</w:t>
            </w: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评标标准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产品技术</w:t>
            </w:r>
          </w:p>
          <w:p>
            <w:pPr>
              <w:spacing w:line="400" w:lineRule="exact"/>
              <w:ind w:firstLine="480" w:firstLineChars="200"/>
              <w:rPr>
                <w:rFonts w:hint="eastAsia" w:ascii="宋体" w:hAnsi="宋体" w:eastAsia="宋体" w:cs="仿宋_GB2312"/>
                <w:color w:val="000000"/>
                <w:sz w:val="24"/>
                <w:lang w:val="zh-CN"/>
              </w:rPr>
            </w:pPr>
          </w:p>
        </w:tc>
        <w:tc>
          <w:tcPr>
            <w:tcW w:w="5900" w:type="dxa"/>
          </w:tcPr>
          <w:p>
            <w:pPr>
              <w:numPr>
                <w:ilvl w:val="0"/>
                <w:numId w:val="27"/>
              </w:numPr>
              <w:spacing w:line="40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招标文件中所列参数为最低要求,投标产品不得低于最低要求，否则作为废标处理。凡对技术资料采用弄虚作假的，即作为废标处理。</w:t>
            </w:r>
          </w:p>
          <w:p>
            <w:pPr>
              <w:numPr>
                <w:ilvl w:val="0"/>
                <w:numId w:val="27"/>
              </w:numPr>
              <w:spacing w:line="400" w:lineRule="exact"/>
              <w:ind w:left="0" w:leftChars="0"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产品</w:t>
            </w:r>
            <w:r>
              <w:rPr>
                <w:rFonts w:hint="eastAsia" w:ascii="宋体" w:hAnsi="宋体" w:cs="宋体"/>
                <w:color w:val="auto"/>
                <w:sz w:val="24"/>
                <w:szCs w:val="24"/>
                <w:lang w:val="zh-CN"/>
              </w:rPr>
              <w:t>清单加“★”产品技术参数及功能要求</w:t>
            </w:r>
            <w:r>
              <w:rPr>
                <w:rFonts w:hint="eastAsia" w:ascii="宋体" w:hAnsi="宋体" w:cs="宋体"/>
                <w:color w:val="auto"/>
                <w:sz w:val="24"/>
                <w:szCs w:val="24"/>
                <w:lang w:val="zh-CN" w:eastAsia="zh-CN"/>
              </w:rPr>
              <w:t>，</w:t>
            </w:r>
            <w:r>
              <w:rPr>
                <w:rFonts w:hint="eastAsia" w:ascii="宋体" w:hAnsi="宋体" w:cs="宋体"/>
                <w:color w:val="auto"/>
                <w:sz w:val="24"/>
                <w:szCs w:val="24"/>
                <w:lang w:val="zh-CN"/>
              </w:rPr>
              <w:t>供应商所投产品参数及功能优于招标文件采购需求技术参数及功能要求的，每一项加</w:t>
            </w:r>
            <w:r>
              <w:rPr>
                <w:rFonts w:hint="eastAsia" w:ascii="宋体" w:hAnsi="宋体" w:cs="宋体"/>
                <w:color w:val="auto"/>
                <w:sz w:val="24"/>
                <w:szCs w:val="24"/>
                <w:lang w:val="en-US" w:eastAsia="zh-CN"/>
              </w:rPr>
              <w:t>1</w:t>
            </w:r>
            <w:r>
              <w:rPr>
                <w:rFonts w:hint="eastAsia" w:ascii="宋体" w:hAnsi="宋体" w:cs="宋体"/>
                <w:color w:val="auto"/>
                <w:sz w:val="24"/>
                <w:szCs w:val="24"/>
                <w:lang w:val="zh-CN"/>
              </w:rPr>
              <w:t>分，最高加</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cs="仿宋_GB2312"/>
                <w:color w:val="000000"/>
                <w:sz w:val="24"/>
                <w:lang w:val="en-US" w:eastAsia="zh-CN"/>
              </w:rPr>
              <w:t>20</w:t>
            </w:r>
            <w:r>
              <w:rPr>
                <w:rFonts w:hint="eastAsia" w:ascii="宋体" w:hAnsi="宋体" w:eastAsia="宋体" w:cs="仿宋_GB2312"/>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项目技术实施</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w:t>
            </w:r>
          </w:p>
          <w:p>
            <w:pPr>
              <w:spacing w:line="400" w:lineRule="exact"/>
              <w:ind w:firstLine="480" w:firstLineChars="200"/>
              <w:rPr>
                <w:rFonts w:hint="eastAsia" w:ascii="宋体" w:hAnsi="宋体" w:eastAsia="宋体" w:cs="仿宋_GB2312"/>
                <w:color w:val="000000"/>
                <w:sz w:val="24"/>
                <w:lang w:val="zh-CN"/>
              </w:rPr>
            </w:pPr>
          </w:p>
        </w:tc>
        <w:tc>
          <w:tcPr>
            <w:tcW w:w="5900" w:type="dxa"/>
            <w:vAlign w:val="center"/>
          </w:tcPr>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1.技术实施方案具体详细，人员配备完备、符合招标项目要求，针对项目管理人员的服务能力、管理能力和专业技术制定了具体的培训方案，具有有效的服务质量管理措施和服务质量保障措施，得</w:t>
            </w:r>
            <w:r>
              <w:rPr>
                <w:rFonts w:hint="eastAsia" w:ascii="宋体" w:hAnsi="宋体" w:eastAsia="宋体" w:cs="仿宋_GB2312"/>
                <w:color w:val="000000"/>
                <w:sz w:val="24"/>
                <w:lang w:val="en-US" w:eastAsia="zh-CN"/>
              </w:rPr>
              <w:t>15</w:t>
            </w:r>
            <w:r>
              <w:rPr>
                <w:rFonts w:hint="eastAsia" w:ascii="宋体" w:hAnsi="宋体" w:eastAsia="宋体" w:cs="仿宋_GB2312"/>
                <w:color w:val="000000"/>
                <w:sz w:val="24"/>
                <w:lang w:val="zh-CN"/>
              </w:rPr>
              <w:t>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2.技术实施方案较详细，人员配备能满足招标项目要求，针对项目管理人员的服务能力、管理能力和专业技术制定了较为具体的培训方案，具有有效的服务质量管理措施和服务质量保障措施，得</w:t>
            </w:r>
            <w:r>
              <w:rPr>
                <w:rFonts w:hint="eastAsia" w:ascii="宋体" w:hAnsi="宋体" w:eastAsia="宋体" w:cs="仿宋_GB2312"/>
                <w:color w:val="000000"/>
                <w:sz w:val="24"/>
                <w:lang w:val="en-US" w:eastAsia="zh-CN"/>
              </w:rPr>
              <w:t>10</w:t>
            </w:r>
            <w:r>
              <w:rPr>
                <w:rFonts w:hint="eastAsia" w:ascii="宋体" w:hAnsi="宋体" w:eastAsia="宋体" w:cs="仿宋_GB2312"/>
                <w:color w:val="000000"/>
                <w:sz w:val="24"/>
                <w:lang w:val="zh-CN"/>
              </w:rPr>
              <w:t>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3.具有技术实施流程，人员配备基本能满足招标项目要求，有针对项目管理人员的培训方案，具有服务质量管理措施和服务质量保障措施，得</w:t>
            </w:r>
            <w:r>
              <w:rPr>
                <w:rFonts w:hint="eastAsia" w:ascii="宋体" w:hAnsi="宋体" w:cs="仿宋_GB2312"/>
                <w:color w:val="000000"/>
                <w:sz w:val="24"/>
                <w:lang w:val="en-US" w:eastAsia="zh-CN"/>
              </w:rPr>
              <w:t>5</w:t>
            </w:r>
            <w:r>
              <w:rPr>
                <w:rFonts w:hint="eastAsia" w:ascii="宋体" w:hAnsi="宋体" w:eastAsia="宋体" w:cs="仿宋_GB2312"/>
                <w:color w:val="000000"/>
                <w:sz w:val="24"/>
                <w:lang w:val="zh-CN"/>
              </w:rPr>
              <w:t>分；</w:t>
            </w:r>
          </w:p>
          <w:p>
            <w:pPr>
              <w:spacing w:line="400" w:lineRule="exact"/>
              <w:ind w:firstLine="480" w:firstLineChars="20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4.技术实施方案、人员的培训方案、服务质量管理措施和服务质量保障措施不具体、不详细，或者无，得0分。</w:t>
            </w:r>
          </w:p>
        </w:tc>
        <w:tc>
          <w:tcPr>
            <w:tcW w:w="831" w:type="dxa"/>
            <w:vAlign w:val="center"/>
          </w:tcPr>
          <w:p>
            <w:pPr>
              <w:spacing w:line="400" w:lineRule="exact"/>
              <w:rPr>
                <w:rFonts w:hint="eastAsia" w:ascii="宋体" w:hAnsi="宋体" w:eastAsia="宋体" w:cs="仿宋_GB2312"/>
                <w:color w:val="000000"/>
                <w:sz w:val="24"/>
                <w:lang w:val="zh-CN"/>
              </w:rPr>
            </w:pPr>
            <w:r>
              <w:rPr>
                <w:rFonts w:hint="eastAsia" w:ascii="宋体" w:hAnsi="宋体" w:eastAsia="宋体" w:cs="仿宋_GB2312"/>
                <w:color w:val="000000"/>
                <w:sz w:val="24"/>
                <w:lang w:val="en-US" w:eastAsia="zh-CN"/>
              </w:rPr>
              <w:t>15</w:t>
            </w:r>
            <w:r>
              <w:rPr>
                <w:rFonts w:hint="eastAsia" w:ascii="宋体" w:hAnsi="宋体" w:eastAsia="宋体" w:cs="仿宋_GB2312"/>
                <w:color w:val="000000"/>
                <w:sz w:val="24"/>
                <w:lang w:val="zh-CN"/>
              </w:rPr>
              <w:t>分</w:t>
            </w:r>
          </w:p>
        </w:tc>
      </w:tr>
    </w:tbl>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p>
      <w:pPr>
        <w:pStyle w:val="2"/>
        <w:spacing w:after="0" w:line="460" w:lineRule="exact"/>
        <w:ind w:firstLine="241"/>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2、经采购小组审查、评价，响应文件符合采购文件实质性要求且进行了政策性价格扣除后，以评审价格由低到高的顺序提出3名成交候选人。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备注：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a、不接受联合体投标的项目，本表中第2项、第3项情形不适用。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b、小型和微型企业产品包括货物及其提供的服务与工程。</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d、残疾人福利性单位属于小型、微型企业的，不重复享受政策。</w:t>
      </w:r>
    </w:p>
    <w:p>
      <w:pPr>
        <w:spacing w:line="360" w:lineRule="auto"/>
        <w:ind w:firstLine="482" w:firstLineChars="200"/>
        <w:rPr>
          <w:rFonts w:ascii="宋体" w:hAnsi="宋体" w:cs="仿宋_GB2312"/>
          <w:sz w:val="24"/>
          <w:szCs w:val="24"/>
          <w:lang w:val="zh-CN"/>
        </w:rPr>
      </w:pPr>
      <w:r>
        <w:rPr>
          <w:rFonts w:hint="eastAsia" w:ascii="宋体" w:hAnsi="宋体" w:cs="仿宋_GB2312"/>
          <w:b/>
          <w:sz w:val="24"/>
          <w:szCs w:val="24"/>
          <w:lang w:val="zh-CN"/>
        </w:rPr>
        <w:t>（7）评标结果汇总完成后，除下列情形外，任何人不得修改评标结果：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4） 经评标委员会认定评分畸高、畸低的。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（8）评标委员会争议处理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line="360" w:lineRule="auto"/>
        <w:ind w:firstLine="482" w:firstLineChars="200"/>
        <w:contextualSpacing/>
        <w:rPr>
          <w:rFonts w:hAnsi="宋体" w:cs="仿宋_GB2312"/>
          <w:b/>
          <w:lang w:val="zh-CN"/>
        </w:rPr>
      </w:pPr>
      <w:r>
        <w:rPr>
          <w:rFonts w:hint="eastAsia" w:hAnsi="宋体" w:cs="仿宋_GB2312"/>
          <w:b/>
          <w:lang w:val="zh-CN"/>
        </w:rPr>
        <w:t>（9）采购小组编写评审报告</w:t>
      </w:r>
    </w:p>
    <w:p>
      <w:pPr>
        <w:wordWrap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4、确定中标候选人名单。</w:t>
      </w:r>
    </w:p>
    <w:p>
      <w:pPr>
        <w:rPr>
          <w:lang w:val="zh-CN"/>
        </w:rPr>
      </w:pPr>
    </w:p>
    <w:p>
      <w:pPr>
        <w:autoSpaceDE w:val="0"/>
        <w:autoSpaceDN w:val="0"/>
        <w:adjustRightInd w:val="0"/>
        <w:spacing w:line="360" w:lineRule="auto"/>
        <w:contextualSpacing/>
        <w:rPr>
          <w:rFonts w:ascii="宋体" w:hAnsi="宋体"/>
          <w:b/>
          <w:kern w:val="0"/>
          <w:sz w:val="32"/>
          <w:szCs w:val="32"/>
        </w:rPr>
      </w:pPr>
    </w:p>
    <w:p>
      <w:pPr>
        <w:pStyle w:val="2"/>
        <w:ind w:firstLine="321"/>
        <w:rPr>
          <w:rFonts w:hAnsi="宋体"/>
          <w:b/>
          <w:sz w:val="32"/>
          <w:szCs w:val="32"/>
        </w:rPr>
      </w:pPr>
    </w:p>
    <w:p>
      <w:pPr>
        <w:pStyle w:val="4"/>
        <w:rPr>
          <w:rFonts w:hAnsi="宋体"/>
          <w:b/>
          <w:sz w:val="32"/>
          <w:szCs w:val="32"/>
        </w:rPr>
      </w:pPr>
    </w:p>
    <w:p>
      <w:pPr>
        <w:pStyle w:val="6"/>
      </w:pPr>
    </w:p>
    <w:p>
      <w:pPr>
        <w:rPr>
          <w:rFonts w:ascii="宋体" w:hAnsi="宋体"/>
          <w:b/>
          <w:kern w:val="0"/>
          <w:sz w:val="32"/>
          <w:szCs w:val="32"/>
        </w:rPr>
      </w:pPr>
    </w:p>
    <w:p>
      <w:pPr>
        <w:pStyle w:val="2"/>
        <w:ind w:left="0" w:leftChars="0" w:firstLine="0" w:firstLineChars="0"/>
        <w:rPr>
          <w:rFonts w:hint="eastAsia"/>
        </w:rPr>
      </w:pPr>
    </w:p>
    <w:p>
      <w:pPr>
        <w:autoSpaceDE w:val="0"/>
        <w:autoSpaceDN w:val="0"/>
        <w:adjustRightInd w:val="0"/>
        <w:spacing w:line="360" w:lineRule="auto"/>
        <w:contextualSpacing/>
        <w:jc w:val="center"/>
        <w:rPr>
          <w:rFonts w:ascii="宋体" w:hAnsi="宋体"/>
          <w:b/>
          <w:kern w:val="0"/>
          <w:sz w:val="36"/>
          <w:szCs w:val="36"/>
        </w:rPr>
      </w:pPr>
      <w:r>
        <w:rPr>
          <w:rFonts w:hint="eastAsia" w:ascii="宋体" w:hAnsi="宋体"/>
          <w:b/>
          <w:kern w:val="0"/>
          <w:sz w:val="32"/>
          <w:szCs w:val="32"/>
        </w:rPr>
        <w:t>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2"/>
        <w:spacing w:line="360" w:lineRule="auto"/>
      </w:pPr>
      <w:r>
        <w:rPr>
          <w:rFonts w:hint="eastAsia"/>
        </w:rPr>
        <w:t>甲方：</w:t>
      </w:r>
      <w:r>
        <w:rPr>
          <w:rFonts w:hint="eastAsia"/>
          <w:u w:val="single"/>
        </w:rPr>
        <w:t>（采购人全称）</w:t>
      </w:r>
    </w:p>
    <w:p>
      <w:pPr>
        <w:pStyle w:val="12"/>
        <w:spacing w:before="0" w:beforeAutospacing="0" w:after="0" w:afterAutospacing="0" w:line="360" w:lineRule="auto"/>
        <w:contextualSpacing/>
      </w:pPr>
      <w:r>
        <w:rPr>
          <w:rFonts w:hint="eastAsia"/>
        </w:rPr>
        <w:t>乙方：</w:t>
      </w:r>
      <w:r>
        <w:rPr>
          <w:rFonts w:hint="eastAsia"/>
          <w:u w:val="single"/>
        </w:rPr>
        <w:t>（中标人全称）</w:t>
      </w:r>
    </w:p>
    <w:p>
      <w:pPr>
        <w:pStyle w:val="12"/>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2"/>
        <w:spacing w:before="0" w:beforeAutospacing="0" w:after="0" w:afterAutospacing="0" w:line="360" w:lineRule="auto"/>
        <w:ind w:firstLine="482"/>
        <w:contextualSpacing/>
      </w:pPr>
      <w:r>
        <w:rPr>
          <w:rFonts w:hint="eastAsia"/>
        </w:rPr>
        <w:t>1、下列合同文件是构成本合同不可分割的部分：</w:t>
      </w:r>
    </w:p>
    <w:p>
      <w:pPr>
        <w:pStyle w:val="12"/>
        <w:spacing w:before="0" w:beforeAutospacing="0" w:after="0" w:afterAutospacing="0" w:line="360" w:lineRule="auto"/>
        <w:ind w:firstLine="482"/>
        <w:contextualSpacing/>
      </w:pPr>
      <w:r>
        <w:rPr>
          <w:rFonts w:hint="eastAsia"/>
        </w:rPr>
        <w:t>1.1合同条款；</w:t>
      </w:r>
    </w:p>
    <w:p>
      <w:pPr>
        <w:pStyle w:val="12"/>
        <w:spacing w:before="0" w:beforeAutospacing="0" w:after="0" w:afterAutospacing="0" w:line="360" w:lineRule="auto"/>
        <w:ind w:firstLine="482"/>
        <w:contextualSpacing/>
      </w:pPr>
      <w:r>
        <w:rPr>
          <w:rFonts w:hint="eastAsia"/>
        </w:rPr>
        <w:t>1.2招标文件、乙方的投标文件；</w:t>
      </w:r>
    </w:p>
    <w:p>
      <w:pPr>
        <w:pStyle w:val="12"/>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2"/>
        <w:spacing w:before="0" w:beforeAutospacing="0" w:after="0" w:afterAutospacing="0" w:line="360" w:lineRule="auto"/>
        <w:ind w:firstLine="482"/>
        <w:contextualSpacing/>
      </w:pPr>
      <w:r>
        <w:rPr>
          <w:rFonts w:hint="eastAsia"/>
        </w:rPr>
        <w:t>2、合同标的</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3、合同总金额</w:t>
      </w:r>
    </w:p>
    <w:p>
      <w:pPr>
        <w:pStyle w:val="12"/>
        <w:spacing w:before="0" w:beforeAutospacing="0" w:after="0" w:afterAutospacing="0" w:line="360" w:lineRule="auto"/>
        <w:ind w:firstLine="482"/>
        <w:contextualSpacing/>
      </w:pPr>
      <w:r>
        <w:rPr>
          <w:rFonts w:hint="eastAsia"/>
        </w:rPr>
        <w:t>3.1合同总金额为人民币大写：元（￥）。</w:t>
      </w:r>
    </w:p>
    <w:p>
      <w:pPr>
        <w:pStyle w:val="12"/>
        <w:spacing w:before="0" w:beforeAutospacing="0" w:after="0" w:afterAutospacing="0" w:line="360" w:lineRule="auto"/>
        <w:ind w:firstLine="482"/>
        <w:contextualSpacing/>
      </w:pPr>
      <w:r>
        <w:rPr>
          <w:rFonts w:hint="eastAsia"/>
        </w:rPr>
        <w:t>4、合同标的交付时间、地点和条件</w:t>
      </w:r>
    </w:p>
    <w:p>
      <w:pPr>
        <w:pStyle w:val="12"/>
        <w:spacing w:before="0" w:beforeAutospacing="0" w:after="0" w:afterAutospacing="0" w:line="360" w:lineRule="auto"/>
        <w:ind w:firstLine="482"/>
        <w:contextualSpacing/>
      </w:pPr>
      <w:r>
        <w:rPr>
          <w:rFonts w:hint="eastAsia"/>
        </w:rPr>
        <w:t>4.1交付时间：；</w:t>
      </w:r>
    </w:p>
    <w:p>
      <w:pPr>
        <w:pStyle w:val="12"/>
        <w:spacing w:before="0" w:beforeAutospacing="0" w:after="0" w:afterAutospacing="0" w:line="360" w:lineRule="auto"/>
        <w:ind w:firstLine="482"/>
        <w:contextualSpacing/>
      </w:pPr>
      <w:r>
        <w:rPr>
          <w:rFonts w:hint="eastAsia"/>
        </w:rPr>
        <w:t>4.2交付地点：；</w:t>
      </w:r>
    </w:p>
    <w:p>
      <w:pPr>
        <w:pStyle w:val="12"/>
        <w:spacing w:before="0" w:beforeAutospacing="0" w:after="0" w:afterAutospacing="0" w:line="360" w:lineRule="auto"/>
        <w:ind w:firstLine="482"/>
        <w:contextualSpacing/>
      </w:pPr>
      <w:r>
        <w:rPr>
          <w:rFonts w:hint="eastAsia"/>
        </w:rPr>
        <w:t>4.3交付条件：。</w:t>
      </w:r>
    </w:p>
    <w:p>
      <w:pPr>
        <w:pStyle w:val="12"/>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6、验收</w:t>
      </w:r>
    </w:p>
    <w:p>
      <w:pPr>
        <w:pStyle w:val="12"/>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6.2本项目是否邀请其他投标人参与验收：</w:t>
      </w:r>
    </w:p>
    <w:p>
      <w:pPr>
        <w:pStyle w:val="12"/>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7、合同款项的支付应按照招标文件的规定进行，具体如下：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（按照实际情况编制填写，可以是表格或文字描述，包括一次性支付或分期支付等）</w:t>
      </w:r>
      <w:r>
        <w:rPr>
          <w:rFonts w:hint="eastAsia"/>
        </w:rPr>
        <w:t>。</w:t>
      </w:r>
    </w:p>
    <w:p>
      <w:pPr>
        <w:pStyle w:val="12"/>
        <w:spacing w:before="0" w:beforeAutospacing="0" w:after="0" w:afterAutospacing="0" w:line="360" w:lineRule="auto"/>
        <w:ind w:firstLine="482"/>
        <w:contextualSpacing/>
      </w:pPr>
      <w:r>
        <w:rPr>
          <w:rFonts w:hint="eastAsia"/>
        </w:rPr>
        <w:t>8、履约担保</w:t>
      </w:r>
    </w:p>
    <w:p>
      <w:pPr>
        <w:pStyle w:val="12"/>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9、合同有效期</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10、违约责任</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11、知识产权</w:t>
      </w:r>
    </w:p>
    <w:p>
      <w:pPr>
        <w:pStyle w:val="12"/>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12、解决争议的方法</w:t>
      </w:r>
    </w:p>
    <w:p>
      <w:pPr>
        <w:pStyle w:val="12"/>
        <w:spacing w:before="0" w:beforeAutospacing="0" w:after="0" w:afterAutospacing="0" w:line="360" w:lineRule="auto"/>
        <w:ind w:firstLine="482"/>
        <w:contextualSpacing/>
      </w:pPr>
      <w:r>
        <w:rPr>
          <w:rFonts w:hint="eastAsia"/>
        </w:rPr>
        <w:t>12.1甲、乙双方协商解决。</w:t>
      </w:r>
    </w:p>
    <w:p>
      <w:pPr>
        <w:pStyle w:val="12"/>
        <w:spacing w:before="0" w:beforeAutospacing="0" w:after="0" w:afterAutospacing="0" w:line="360" w:lineRule="auto"/>
        <w:ind w:firstLine="482"/>
        <w:contextualSpacing/>
      </w:pPr>
      <w:r>
        <w:rPr>
          <w:rFonts w:hint="eastAsia"/>
        </w:rPr>
        <w:t>12.2若协商解决不成，则通过下列途径之一解决：</w:t>
      </w:r>
    </w:p>
    <w:p>
      <w:pPr>
        <w:pStyle w:val="12"/>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13、不可抗力</w:t>
      </w:r>
    </w:p>
    <w:p>
      <w:pPr>
        <w:pStyle w:val="12"/>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360" w:lineRule="auto"/>
        <w:ind w:firstLine="482"/>
        <w:contextualSpacing/>
      </w:pPr>
      <w:r>
        <w:rPr>
          <w:rFonts w:hint="eastAsia"/>
        </w:rPr>
        <w:t>14、合同条款</w:t>
      </w:r>
    </w:p>
    <w:p>
      <w:pPr>
        <w:pStyle w:val="12"/>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2"/>
        <w:spacing w:before="0" w:beforeAutospacing="0" w:after="0" w:afterAutospacing="0" w:line="360" w:lineRule="auto"/>
        <w:ind w:firstLine="482"/>
        <w:contextualSpacing/>
      </w:pPr>
      <w:r>
        <w:rPr>
          <w:rFonts w:hint="eastAsia"/>
        </w:rPr>
        <w:t>15、其他约定</w:t>
      </w:r>
    </w:p>
    <w:p>
      <w:pPr>
        <w:pStyle w:val="12"/>
        <w:spacing w:before="0" w:beforeAutospacing="0" w:after="0" w:afterAutospacing="0" w:line="360" w:lineRule="auto"/>
        <w:ind w:firstLine="482"/>
        <w:contextualSpacing/>
      </w:pPr>
      <w:r>
        <w:rPr>
          <w:rFonts w:hint="eastAsia"/>
        </w:rPr>
        <w:t>15.1合同文件与本合同具有同等法律效力。</w:t>
      </w:r>
    </w:p>
    <w:p>
      <w:pPr>
        <w:pStyle w:val="12"/>
        <w:spacing w:before="0" w:beforeAutospacing="0" w:after="0" w:afterAutospacing="0" w:line="360" w:lineRule="auto"/>
        <w:ind w:firstLine="482"/>
        <w:contextualSpacing/>
      </w:pPr>
      <w:r>
        <w:rPr>
          <w:rFonts w:hint="eastAsia"/>
        </w:rPr>
        <w:t>15.2本合同未尽事宜，双方可另行补充。</w:t>
      </w:r>
    </w:p>
    <w:p>
      <w:pPr>
        <w:pStyle w:val="12"/>
        <w:spacing w:before="0" w:beforeAutospacing="0" w:after="0" w:afterAutospacing="0" w:line="360" w:lineRule="auto"/>
        <w:ind w:firstLine="482"/>
        <w:contextualSpacing/>
      </w:pPr>
      <w:r>
        <w:rPr>
          <w:rFonts w:hint="eastAsia"/>
        </w:rPr>
        <w:t>15.3合同生效：自签订之日起生效。</w:t>
      </w:r>
    </w:p>
    <w:p>
      <w:pPr>
        <w:pStyle w:val="12"/>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2"/>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2"/>
        <w:spacing w:before="0" w:beforeAutospacing="0" w:after="0" w:afterAutospacing="0"/>
        <w:contextualSpacing/>
      </w:pPr>
    </w:p>
    <w:p>
      <w:pPr>
        <w:pStyle w:val="12"/>
        <w:spacing w:before="0" w:beforeAutospacing="0" w:after="0" w:afterAutospacing="0"/>
        <w:contextualSpacing/>
      </w:pPr>
    </w:p>
    <w:p>
      <w:pPr>
        <w:pStyle w:val="12"/>
        <w:spacing w:before="0" w:beforeAutospacing="0" w:after="0" w:afterAutospacing="0" w:line="360" w:lineRule="auto"/>
        <w:contextualSpacing/>
      </w:pPr>
      <w:r>
        <w:rPr>
          <w:rFonts w:hint="eastAsia"/>
        </w:rPr>
        <w:t>甲方：                        乙方：</w:t>
      </w:r>
    </w:p>
    <w:p>
      <w:pPr>
        <w:pStyle w:val="12"/>
        <w:spacing w:before="0" w:beforeAutospacing="0" w:after="0" w:afterAutospacing="0" w:line="360" w:lineRule="auto"/>
        <w:contextualSpacing/>
      </w:pPr>
      <w:r>
        <w:rPr>
          <w:rFonts w:hint="eastAsia"/>
        </w:rPr>
        <w:t>住所：                        住所：</w:t>
      </w:r>
    </w:p>
    <w:p>
      <w:pPr>
        <w:pStyle w:val="12"/>
        <w:spacing w:before="0" w:beforeAutospacing="0" w:after="0" w:afterAutospacing="0" w:line="360" w:lineRule="auto"/>
        <w:contextualSpacing/>
      </w:pPr>
      <w:r>
        <w:rPr>
          <w:rFonts w:hint="eastAsia"/>
        </w:rPr>
        <w:t>法定代表人（单位负责人）：              法定代表人（单位负责人）：</w:t>
      </w:r>
    </w:p>
    <w:p>
      <w:pPr>
        <w:pStyle w:val="12"/>
        <w:spacing w:before="0" w:beforeAutospacing="0" w:after="0" w:afterAutospacing="0" w:line="360" w:lineRule="auto"/>
        <w:contextualSpacing/>
      </w:pPr>
      <w:r>
        <w:rPr>
          <w:rFonts w:hint="eastAsia"/>
        </w:rPr>
        <w:t>联系方法：                      联系方法：</w:t>
      </w:r>
    </w:p>
    <w:p>
      <w:pPr>
        <w:pStyle w:val="12"/>
        <w:spacing w:before="0" w:beforeAutospacing="0" w:after="0" w:afterAutospacing="0" w:line="360" w:lineRule="auto"/>
        <w:contextualSpacing/>
      </w:pPr>
      <w:r>
        <w:rPr>
          <w:rFonts w:hint="eastAsia"/>
        </w:rPr>
        <w:t>开户银行：                      开户银行：</w:t>
      </w:r>
    </w:p>
    <w:p>
      <w:pPr>
        <w:pStyle w:val="12"/>
        <w:spacing w:before="0" w:beforeAutospacing="0" w:after="0" w:afterAutospacing="0" w:line="360" w:lineRule="auto"/>
        <w:contextualSpacing/>
      </w:pPr>
      <w:r>
        <w:rPr>
          <w:rFonts w:hint="eastAsia"/>
        </w:rPr>
        <w:t>账号：                        账号：</w:t>
      </w:r>
    </w:p>
    <w:p>
      <w:pPr>
        <w:pStyle w:val="12"/>
        <w:spacing w:before="0" w:beforeAutospacing="0" w:after="0" w:afterAutospacing="0" w:line="360" w:lineRule="auto"/>
        <w:contextualSpacing/>
      </w:pPr>
      <w:r>
        <w:rPr>
          <w:rFonts w:hint="eastAsia"/>
        </w:rPr>
        <w:t>签订地点：</w:t>
      </w:r>
    </w:p>
    <w:p>
      <w:pPr>
        <w:pStyle w:val="12"/>
        <w:spacing w:before="0" w:beforeAutospacing="0" w:after="0" w:afterAutospacing="0" w:line="360" w:lineRule="auto"/>
        <w:contextualSpacing/>
      </w:pPr>
      <w:r>
        <w:rPr>
          <w:rFonts w:hint="eastAsia"/>
        </w:rPr>
        <w:t>签订日期：年月日</w:t>
      </w:r>
    </w:p>
    <w:p>
      <w:pPr>
        <w:pStyle w:val="10"/>
        <w:spacing w:line="360" w:lineRule="auto"/>
        <w:rPr>
          <w:rFonts w:hAnsi="宋体"/>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bookmarkStart w:id="5" w:name="_GoBack"/>
      <w:bookmarkEnd w:id="5"/>
    </w:p>
    <w:p>
      <w:pPr>
        <w:autoSpaceDE w:val="0"/>
        <w:autoSpaceDN w:val="0"/>
        <w:adjustRightInd w:val="0"/>
        <w:spacing w:line="360" w:lineRule="auto"/>
        <w:contextualSpacing/>
        <w:rPr>
          <w:rFonts w:ascii="宋体" w:hAnsi="宋体"/>
          <w:b/>
          <w:kern w:val="0"/>
          <w:sz w:val="32"/>
          <w:szCs w:val="32"/>
        </w:rPr>
      </w:pPr>
    </w:p>
    <w:p>
      <w:pPr>
        <w:autoSpaceDE w:val="0"/>
        <w:autoSpaceDN w:val="0"/>
        <w:adjustRightInd w:val="0"/>
        <w:spacing w:line="360" w:lineRule="auto"/>
        <w:contextualSpacing/>
        <w:jc w:val="center"/>
        <w:rPr>
          <w:rFonts w:ascii="宋体" w:hAnsi="宋体"/>
          <w:b/>
          <w:kern w:val="0"/>
          <w:sz w:val="32"/>
          <w:szCs w:val="32"/>
        </w:rPr>
      </w:pPr>
      <w:r>
        <w:rPr>
          <w:rFonts w:hint="eastAsia" w:ascii="宋体" w:hAnsi="宋体"/>
          <w:b/>
          <w:kern w:val="0"/>
          <w:sz w:val="32"/>
          <w:szCs w:val="32"/>
        </w:rPr>
        <w:t>第八章 响应文件有关格式</w:t>
      </w:r>
    </w:p>
    <w:p>
      <w:pPr>
        <w:autoSpaceDE w:val="0"/>
        <w:autoSpaceDN w:val="0"/>
        <w:adjustRightInd w:val="0"/>
        <w:spacing w:line="700" w:lineRule="exact"/>
        <w:ind w:firstLine="551"/>
        <w:jc w:val="center"/>
        <w:rPr>
          <w:rFonts w:ascii="宋体" w:hAnsi="宋体"/>
          <w:b/>
          <w:kern w:val="0"/>
          <w:sz w:val="36"/>
          <w:szCs w:val="36"/>
        </w:rPr>
      </w:pPr>
      <w:r>
        <w:rPr>
          <w:rFonts w:hint="eastAsia" w:ascii="宋体" w:hAnsi="宋体"/>
          <w:b/>
          <w:kern w:val="0"/>
          <w:sz w:val="36"/>
          <w:szCs w:val="36"/>
        </w:rPr>
        <w:t>（如涉及本项目的提供）</w:t>
      </w:r>
    </w:p>
    <w:p>
      <w:pPr>
        <w:spacing w:line="360" w:lineRule="auto"/>
        <w:jc w:val="center"/>
        <w:rPr>
          <w:rFonts w:ascii="宋体" w:hAnsi="宋体"/>
          <w:b/>
          <w:sz w:val="32"/>
          <w:szCs w:val="32"/>
        </w:rPr>
      </w:pPr>
    </w:p>
    <w:p>
      <w:pPr>
        <w:pStyle w:val="18"/>
      </w:pPr>
    </w:p>
    <w:p>
      <w:pPr>
        <w:spacing w:line="360" w:lineRule="auto"/>
        <w:jc w:val="left"/>
        <w:rPr>
          <w:rFonts w:ascii="宋体" w:hAnsi="宋体"/>
          <w:b/>
          <w:sz w:val="52"/>
          <w:szCs w:val="5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b/>
          <w:bCs/>
          <w:sz w:val="84"/>
          <w:szCs w:val="84"/>
        </w:rPr>
      </w:pPr>
    </w:p>
    <w:p>
      <w:pPr>
        <w:adjustRightInd w:val="0"/>
        <w:spacing w:line="360" w:lineRule="auto"/>
        <w:jc w:val="center"/>
        <w:textAlignment w:val="baseline"/>
        <w:rPr>
          <w:rFonts w:ascii="宋体" w:hAnsi="宋体"/>
          <w:b/>
          <w:bCs/>
          <w:sz w:val="48"/>
          <w:szCs w:val="48"/>
        </w:rPr>
      </w:pPr>
    </w:p>
    <w:p>
      <w:pPr>
        <w:adjustRightInd w:val="0"/>
        <w:spacing w:line="360" w:lineRule="auto"/>
        <w:jc w:val="center"/>
        <w:textAlignment w:val="baseline"/>
        <w:rPr>
          <w:rFonts w:ascii="宋体" w:hAnsi="宋体"/>
          <w:b/>
          <w:sz w:val="28"/>
          <w:szCs w:val="28"/>
        </w:rPr>
      </w:pPr>
    </w:p>
    <w:p>
      <w:pPr>
        <w:spacing w:line="360" w:lineRule="auto"/>
        <w:jc w:val="center"/>
        <w:rPr>
          <w:rFonts w:ascii="宋体" w:hAnsi="宋体"/>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采购人名称 ：</w:t>
      </w:r>
    </w:p>
    <w:p>
      <w:pPr>
        <w:spacing w:line="360" w:lineRule="auto"/>
        <w:rPr>
          <w:rFonts w:ascii="宋体" w:hAnsi="宋体"/>
          <w:b/>
          <w:sz w:val="32"/>
          <w:szCs w:val="32"/>
        </w:rPr>
      </w:pPr>
      <w:r>
        <w:rPr>
          <w:rFonts w:hint="eastAsia" w:ascii="宋体" w:hAnsi="宋体" w:cs="Lucida Sans Unicode"/>
          <w:b/>
          <w:sz w:val="36"/>
          <w:szCs w:val="36"/>
        </w:rPr>
        <w:t xml:space="preserve">     日期：</w:t>
      </w:r>
    </w:p>
    <w:p>
      <w:pPr>
        <w:spacing w:line="360" w:lineRule="auto"/>
        <w:rPr>
          <w:rFonts w:ascii="宋体" w:hAnsi="宋体"/>
          <w:sz w:val="28"/>
          <w:szCs w:val="28"/>
        </w:rPr>
      </w:pPr>
    </w:p>
    <w:p>
      <w:pPr>
        <w:pStyle w:val="21"/>
        <w:snapToGrid w:val="0"/>
        <w:spacing w:before="0" w:line="400" w:lineRule="exact"/>
        <w:jc w:val="center"/>
        <w:rPr>
          <w:rFonts w:cs="黑体"/>
          <w:kern w:val="2"/>
          <w:sz w:val="28"/>
          <w:szCs w:val="28"/>
        </w:rPr>
      </w:pPr>
      <w:r>
        <w:rPr>
          <w:rFonts w:hint="eastAsia" w:cs="黑体"/>
          <w:kern w:val="2"/>
          <w:sz w:val="28"/>
          <w:szCs w:val="28"/>
        </w:rPr>
        <w:br w:type="page"/>
      </w:r>
      <w:r>
        <w:rPr>
          <w:rFonts w:hint="eastAsia" w:cs="黑体"/>
          <w:kern w:val="2"/>
          <w:sz w:val="28"/>
          <w:szCs w:val="28"/>
        </w:rPr>
        <w:t>一、供应商应答索引表</w:t>
      </w:r>
    </w:p>
    <w:tbl>
      <w:tblPr>
        <w:tblStyle w:val="13"/>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b/>
                <w:sz w:val="22"/>
                <w:szCs w:val="22"/>
              </w:rPr>
            </w:pPr>
            <w:r>
              <w:rPr>
                <w:rFonts w:hint="eastAsia" w:ascii="宋体" w:hAnsi="宋体"/>
                <w:b/>
                <w:sz w:val="22"/>
                <w:szCs w:val="22"/>
              </w:rPr>
              <w:t>序号</w:t>
            </w:r>
          </w:p>
        </w:tc>
        <w:tc>
          <w:tcPr>
            <w:tcW w:w="3987" w:type="dxa"/>
            <w:gridSpan w:val="4"/>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2"/>
                <w:szCs w:val="22"/>
              </w:rPr>
            </w:pPr>
            <w:r>
              <w:rPr>
                <w:rFonts w:hint="eastAsia" w:ascii="宋体" w:hAnsi="宋体"/>
                <w:b/>
                <w:sz w:val="22"/>
                <w:szCs w:val="22"/>
              </w:rPr>
              <w:t>项  目</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2"/>
                <w:szCs w:val="22"/>
              </w:rPr>
            </w:pPr>
            <w:r>
              <w:rPr>
                <w:rFonts w:hint="eastAsia" w:ascii="宋体" w:hAnsi="宋体"/>
                <w:b/>
                <w:sz w:val="22"/>
                <w:szCs w:val="22"/>
              </w:rPr>
              <w:t>供应商应答</w:t>
            </w:r>
          </w:p>
          <w:p>
            <w:pPr>
              <w:snapToGrid w:val="0"/>
              <w:spacing w:line="400" w:lineRule="exact"/>
              <w:jc w:val="center"/>
              <w:rPr>
                <w:rFonts w:ascii="宋体" w:hAnsi="宋体"/>
                <w:b/>
                <w:sz w:val="22"/>
                <w:szCs w:val="22"/>
              </w:rPr>
            </w:pPr>
            <w:r>
              <w:rPr>
                <w:rFonts w:hint="eastAsia" w:ascii="宋体" w:hAnsi="宋体"/>
                <w:b/>
                <w:sz w:val="22"/>
                <w:szCs w:val="22"/>
              </w:rPr>
              <w:t>（有/没有）</w:t>
            </w: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2"/>
                <w:szCs w:val="22"/>
              </w:rPr>
            </w:pPr>
            <w:r>
              <w:rPr>
                <w:rFonts w:hint="eastAsia" w:ascii="宋体" w:hAnsi="宋体"/>
                <w:b/>
                <w:sz w:val="22"/>
                <w:szCs w:val="22"/>
              </w:rPr>
              <w:t>投标文件中所在页码</w:t>
            </w: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2"/>
                <w:szCs w:val="22"/>
              </w:rPr>
            </w:pPr>
            <w:r>
              <w:rPr>
                <w:rFonts w:hint="eastAsia" w:ascii="宋体" w:hAnsi="宋体"/>
                <w:b/>
                <w:sz w:val="22"/>
                <w:szCs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供应商应答索引表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报价一览表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投标函</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4</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法定代表人（单位负责人）资格证明书</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5</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法定代表人（单位负责人）授权书</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6</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营业执照等证明</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7</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依法纳税凭据复印件</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8</w:t>
            </w:r>
          </w:p>
        </w:tc>
        <w:tc>
          <w:tcPr>
            <w:tcW w:w="774" w:type="dxa"/>
            <w:vMerge w:val="restart"/>
            <w:tcBorders>
              <w:top w:val="nil"/>
              <w:left w:val="nil"/>
              <w:bottom w:val="single" w:color="000000" w:sz="6" w:space="0"/>
              <w:right w:val="single" w:color="auto" w:sz="4" w:space="0"/>
            </w:tcBorders>
            <w:vAlign w:val="center"/>
          </w:tcPr>
          <w:p>
            <w:pPr>
              <w:snapToGrid w:val="0"/>
              <w:spacing w:line="400" w:lineRule="exact"/>
              <w:jc w:val="center"/>
              <w:rPr>
                <w:rFonts w:ascii="宋体" w:hAnsi="宋体"/>
                <w:sz w:val="22"/>
                <w:szCs w:val="22"/>
              </w:rPr>
            </w:pPr>
            <w:r>
              <w:rPr>
                <w:rFonts w:hint="eastAsia" w:ascii="宋体" w:hAnsi="宋体"/>
                <w:sz w:val="22"/>
                <w:szCs w:val="22"/>
              </w:rPr>
              <w:t>财务状况报告</w:t>
            </w:r>
          </w:p>
        </w:tc>
        <w:tc>
          <w:tcPr>
            <w:tcW w:w="709" w:type="dxa"/>
            <w:vMerge w:val="restart"/>
            <w:tcBorders>
              <w:top w:val="nil"/>
              <w:left w:val="nil"/>
              <w:bottom w:val="single" w:color="000000" w:sz="6" w:space="0"/>
              <w:right w:val="single" w:color="auto" w:sz="6" w:space="0"/>
            </w:tcBorders>
            <w:vAlign w:val="center"/>
          </w:tcPr>
          <w:p>
            <w:pPr>
              <w:snapToGrid w:val="0"/>
              <w:spacing w:line="400" w:lineRule="exact"/>
              <w:rPr>
                <w:rFonts w:ascii="宋体" w:hAnsi="宋体"/>
                <w:sz w:val="22"/>
                <w:szCs w:val="22"/>
              </w:rPr>
            </w:pPr>
            <w:r>
              <w:rPr>
                <w:rFonts w:hint="eastAsia" w:ascii="宋体" w:hAnsi="宋体"/>
                <w:sz w:val="22"/>
                <w:szCs w:val="22"/>
              </w:rPr>
              <w:t>经审计财务报告</w:t>
            </w: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资产负债表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利润表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现金流量表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所有者权益变动表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附注</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基本开户银行资信证明</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银行资信证明</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政府采购投标担保函</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9</w:t>
            </w:r>
          </w:p>
        </w:tc>
        <w:tc>
          <w:tcPr>
            <w:tcW w:w="3987" w:type="dxa"/>
            <w:gridSpan w:val="4"/>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bCs/>
                <w:sz w:val="22"/>
                <w:szCs w:val="22"/>
              </w:rPr>
              <w:t>依法缴纳社会保险凭据复印件</w:t>
            </w:r>
          </w:p>
        </w:tc>
        <w:tc>
          <w:tcPr>
            <w:tcW w:w="1323"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10</w:t>
            </w:r>
          </w:p>
        </w:tc>
        <w:tc>
          <w:tcPr>
            <w:tcW w:w="774" w:type="dxa"/>
            <w:vMerge w:val="restart"/>
            <w:tcBorders>
              <w:top w:val="nil"/>
              <w:left w:val="nil"/>
              <w:bottom w:val="single" w:color="000000" w:sz="6" w:space="0"/>
              <w:right w:val="single" w:color="auto" w:sz="6" w:space="0"/>
            </w:tcBorders>
            <w:vAlign w:val="center"/>
          </w:tcPr>
          <w:p>
            <w:pPr>
              <w:snapToGrid w:val="0"/>
              <w:spacing w:line="400" w:lineRule="exact"/>
              <w:jc w:val="center"/>
              <w:rPr>
                <w:rFonts w:ascii="宋体" w:hAnsi="宋体"/>
                <w:sz w:val="22"/>
                <w:szCs w:val="22"/>
              </w:rPr>
            </w:pPr>
            <w:r>
              <w:rPr>
                <w:rFonts w:hint="eastAsia" w:ascii="宋体" w:hAnsi="宋体"/>
                <w:sz w:val="22"/>
                <w:szCs w:val="22"/>
              </w:rPr>
              <w:t>履行合同能力</w:t>
            </w:r>
          </w:p>
        </w:tc>
        <w:tc>
          <w:tcPr>
            <w:tcW w:w="709" w:type="dxa"/>
            <w:vMerge w:val="restart"/>
            <w:tcBorders>
              <w:top w:val="nil"/>
              <w:left w:val="nil"/>
              <w:bottom w:val="single" w:color="000000" w:sz="6" w:space="0"/>
              <w:right w:val="single" w:color="auto" w:sz="6" w:space="0"/>
            </w:tcBorders>
            <w:vAlign w:val="center"/>
          </w:tcPr>
          <w:p>
            <w:pPr>
              <w:snapToGrid w:val="0"/>
              <w:spacing w:line="400" w:lineRule="exact"/>
              <w:jc w:val="left"/>
              <w:rPr>
                <w:rFonts w:ascii="宋体" w:hAnsi="宋体"/>
                <w:sz w:val="22"/>
                <w:szCs w:val="22"/>
              </w:rPr>
            </w:pPr>
            <w:r>
              <w:rPr>
                <w:rFonts w:hint="eastAsia" w:ascii="宋体" w:hAnsi="宋体"/>
                <w:sz w:val="22"/>
                <w:szCs w:val="22"/>
              </w:rPr>
              <w:t>证明材料</w:t>
            </w: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r>
              <w:rPr>
                <w:rFonts w:hint="eastAsia" w:ascii="宋体" w:hAnsi="宋体"/>
                <w:sz w:val="22"/>
                <w:szCs w:val="22"/>
              </w:rPr>
              <w:t>设备购置发票</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技术人员职称证书</w:t>
            </w:r>
          </w:p>
        </w:tc>
        <w:tc>
          <w:tcPr>
            <w:tcW w:w="1323" w:type="dxa"/>
            <w:tcBorders>
              <w:top w:val="single" w:color="000000" w:sz="6" w:space="0"/>
              <w:left w:val="nil"/>
              <w:bottom w:val="single" w:color="000000" w:sz="6" w:space="0"/>
              <w:right w:val="single" w:color="000000" w:sz="6" w:space="0"/>
            </w:tcBorders>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用工合同</w:t>
            </w:r>
          </w:p>
        </w:tc>
        <w:tc>
          <w:tcPr>
            <w:tcW w:w="1323" w:type="dxa"/>
            <w:tcBorders>
              <w:top w:val="single" w:color="000000" w:sz="6" w:space="0"/>
              <w:left w:val="nil"/>
              <w:bottom w:val="single" w:color="000000" w:sz="6" w:space="0"/>
              <w:right w:val="single" w:color="000000" w:sz="6" w:space="0"/>
            </w:tcBorders>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供应商相关承诺函或声明</w:t>
            </w:r>
          </w:p>
        </w:tc>
        <w:tc>
          <w:tcPr>
            <w:tcW w:w="1323" w:type="dxa"/>
            <w:tcBorders>
              <w:top w:val="single" w:color="000000" w:sz="6" w:space="0"/>
              <w:left w:val="nil"/>
              <w:bottom w:val="single" w:color="000000" w:sz="6" w:space="0"/>
              <w:right w:val="single" w:color="000000" w:sz="6" w:space="0"/>
            </w:tcBorders>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11</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没有重大违法记录的声明</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12</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bCs/>
                <w:sz w:val="22"/>
                <w:szCs w:val="22"/>
              </w:rPr>
              <w:t>供应商须具备的特殊资质证书</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13</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投标承诺函</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14</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联合体协议</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15</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供应商与参加本项目投标的其他供应商之间，单位负责人不为同一人并且不存在直接控股、管理关系承诺函</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16</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供应商未为本项目提供整体设计、规范编制或者项目管理、监理、检测等服务承诺函</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2"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17</w:t>
            </w:r>
          </w:p>
        </w:tc>
        <w:tc>
          <w:tcPr>
            <w:tcW w:w="3987" w:type="dxa"/>
            <w:gridSpan w:val="4"/>
            <w:tcBorders>
              <w:top w:val="double" w:color="auto" w:sz="2"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投标分项报价表</w:t>
            </w:r>
          </w:p>
        </w:tc>
        <w:tc>
          <w:tcPr>
            <w:tcW w:w="1323" w:type="dxa"/>
            <w:tcBorders>
              <w:top w:val="double" w:color="auto" w:sz="2"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double" w:color="auto" w:sz="2"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double" w:color="auto" w:sz="2"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18</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技术规格偏离表</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19</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技术方案</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20</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服务方案</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21</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业绩情况表</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22</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政府强制采购节能产品品目清单情况</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23</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优先采购节能产品政府采购品目清单情况</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24</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优先采购环境标志产品政府采购品目清单情况</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25</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中小企业声明函</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26</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残疾人福利性单位声明函</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27</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监狱企业证明文件</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28</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CCC强制性产品认证</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29</w:t>
            </w:r>
          </w:p>
        </w:tc>
        <w:tc>
          <w:tcPr>
            <w:tcW w:w="1767" w:type="dxa"/>
            <w:gridSpan w:val="3"/>
            <w:vMerge w:val="restart"/>
            <w:tcBorders>
              <w:top w:val="nil"/>
              <w:left w:val="nil"/>
              <w:bottom w:val="single" w:color="000000" w:sz="6" w:space="0"/>
              <w:right w:val="single" w:color="000000" w:sz="6" w:space="0"/>
            </w:tcBorders>
            <w:vAlign w:val="center"/>
          </w:tcPr>
          <w:p>
            <w:pPr>
              <w:rPr>
                <w:rFonts w:ascii="宋体" w:hAnsi="宋体"/>
                <w:sz w:val="22"/>
                <w:szCs w:val="22"/>
              </w:rPr>
            </w:pPr>
            <w:r>
              <w:rPr>
                <w:rFonts w:hint="eastAsia" w:ascii="宋体" w:hAnsi="宋体"/>
                <w:kern w:val="0"/>
                <w:sz w:val="22"/>
                <w:szCs w:val="22"/>
              </w:rPr>
              <w:t>信息安全产品强制性认证</w:t>
            </w:r>
          </w:p>
        </w:tc>
        <w:tc>
          <w:tcPr>
            <w:tcW w:w="2220" w:type="dxa"/>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认证机构颁发的认证证书</w:t>
            </w:r>
          </w:p>
        </w:tc>
        <w:tc>
          <w:tcPr>
            <w:tcW w:w="1323" w:type="dxa"/>
            <w:vMerge w:val="restart"/>
            <w:tcBorders>
              <w:top w:val="nil"/>
              <w:left w:val="nil"/>
              <w:bottom w:val="single" w:color="000000" w:sz="6" w:space="0"/>
              <w:right w:val="single" w:color="000000" w:sz="6" w:space="0"/>
            </w:tcBorders>
            <w:vAlign w:val="center"/>
          </w:tcPr>
          <w:p>
            <w:pPr>
              <w:jc w:val="center"/>
              <w:rPr>
                <w:rFonts w:ascii="宋体" w:hAnsi="宋体"/>
                <w:sz w:val="22"/>
                <w:szCs w:val="22"/>
              </w:rPr>
            </w:pPr>
          </w:p>
        </w:tc>
        <w:tc>
          <w:tcPr>
            <w:tcW w:w="1560" w:type="dxa"/>
            <w:vMerge w:val="restart"/>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vMerge w:val="restart"/>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2"/>
                <w:szCs w:val="22"/>
              </w:rPr>
            </w:pPr>
          </w:p>
        </w:tc>
        <w:tc>
          <w:tcPr>
            <w:tcW w:w="1767" w:type="dxa"/>
            <w:gridSpan w:val="3"/>
            <w:vMerge w:val="continue"/>
            <w:tcBorders>
              <w:top w:val="nil"/>
              <w:left w:val="nil"/>
              <w:bottom w:val="single" w:color="000000" w:sz="6" w:space="0"/>
              <w:right w:val="single" w:color="000000" w:sz="6" w:space="0"/>
            </w:tcBorders>
            <w:vAlign w:val="center"/>
          </w:tcPr>
          <w:p>
            <w:pPr>
              <w:widowControl/>
              <w:jc w:val="left"/>
              <w:rPr>
                <w:rFonts w:ascii="宋体" w:hAnsi="宋体"/>
                <w:sz w:val="22"/>
                <w:szCs w:val="22"/>
              </w:rPr>
            </w:pPr>
          </w:p>
        </w:tc>
        <w:tc>
          <w:tcPr>
            <w:tcW w:w="2220" w:type="dxa"/>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中国信息安全认证中心官网产品查询结果截图</w:t>
            </w:r>
          </w:p>
        </w:tc>
        <w:tc>
          <w:tcPr>
            <w:tcW w:w="1323" w:type="dxa"/>
            <w:vMerge w:val="continue"/>
            <w:tcBorders>
              <w:top w:val="nil"/>
              <w:left w:val="nil"/>
              <w:bottom w:val="single" w:color="000000" w:sz="6" w:space="0"/>
              <w:right w:val="single" w:color="000000" w:sz="6" w:space="0"/>
            </w:tcBorders>
            <w:vAlign w:val="center"/>
          </w:tcPr>
          <w:p>
            <w:pPr>
              <w:widowControl/>
              <w:jc w:val="left"/>
              <w:rPr>
                <w:rFonts w:ascii="宋体" w:hAnsi="宋体"/>
                <w:sz w:val="22"/>
                <w:szCs w:val="22"/>
              </w:rPr>
            </w:pPr>
          </w:p>
        </w:tc>
        <w:tc>
          <w:tcPr>
            <w:tcW w:w="1560" w:type="dxa"/>
            <w:vMerge w:val="continue"/>
            <w:tcBorders>
              <w:top w:val="single" w:color="auto" w:sz="4" w:space="0"/>
              <w:left w:val="nil"/>
              <w:bottom w:val="single" w:color="000000" w:sz="6" w:space="0"/>
              <w:right w:val="single" w:color="000000" w:sz="6" w:space="0"/>
            </w:tcBorders>
            <w:vAlign w:val="center"/>
          </w:tcPr>
          <w:p>
            <w:pPr>
              <w:widowControl/>
              <w:jc w:val="left"/>
              <w:rPr>
                <w:rFonts w:ascii="宋体" w:hAnsi="宋体"/>
                <w:sz w:val="22"/>
                <w:szCs w:val="22"/>
              </w:rPr>
            </w:pPr>
          </w:p>
        </w:tc>
        <w:tc>
          <w:tcPr>
            <w:tcW w:w="2018" w:type="dxa"/>
            <w:vMerge w:val="continue"/>
            <w:tcBorders>
              <w:top w:val="single" w:color="auto" w:sz="4" w:space="0"/>
              <w:left w:val="nil"/>
              <w:bottom w:val="single" w:color="000000" w:sz="6" w:space="0"/>
              <w:right w:val="single" w:color="000000" w:sz="6" w:space="0"/>
            </w:tcBorders>
            <w:vAlign w:val="center"/>
          </w:tcPr>
          <w:p>
            <w:pPr>
              <w:widowControl/>
              <w:jc w:val="lef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30</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国家级贫困县域注册地证明材料</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31</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扶贫部门出具的聘用建档立卡贫困人员身份证明</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32</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建档立卡贫困人员社保材料</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33</w:t>
            </w:r>
          </w:p>
        </w:tc>
        <w:tc>
          <w:tcPr>
            <w:tcW w:w="3987" w:type="dxa"/>
            <w:gridSpan w:val="4"/>
            <w:tcBorders>
              <w:top w:val="single" w:color="000000" w:sz="6" w:space="0"/>
              <w:left w:val="nil"/>
              <w:bottom w:val="single" w:color="000000" w:sz="6" w:space="0"/>
              <w:right w:val="single" w:color="000000" w:sz="6" w:space="0"/>
            </w:tcBorders>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其它资料</w:t>
            </w:r>
          </w:p>
        </w:tc>
        <w:tc>
          <w:tcPr>
            <w:tcW w:w="1323" w:type="dxa"/>
            <w:tcBorders>
              <w:top w:val="single" w:color="000000" w:sz="6" w:space="0"/>
              <w:left w:val="nil"/>
              <w:bottom w:val="single" w:color="000000" w:sz="6" w:space="0"/>
              <w:right w:val="single" w:color="000000" w:sz="6" w:space="0"/>
            </w:tcBorders>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2"/>
                <w:szCs w:val="22"/>
              </w:rPr>
            </w:pPr>
          </w:p>
        </w:tc>
      </w:tr>
    </w:tbl>
    <w:p>
      <w:pPr>
        <w:autoSpaceDE w:val="0"/>
        <w:autoSpaceDN w:val="0"/>
        <w:adjustRightInd w:val="0"/>
        <w:spacing w:line="360" w:lineRule="auto"/>
        <w:ind w:left="385" w:leftChars="-1" w:hanging="387" w:hangingChars="176"/>
        <w:contextualSpacing/>
        <w:jc w:val="left"/>
        <w:rPr>
          <w:rFonts w:ascii="宋体" w:hAnsi="宋体"/>
          <w:sz w:val="22"/>
          <w:szCs w:val="22"/>
        </w:rPr>
      </w:pPr>
      <w:r>
        <w:rPr>
          <w:rFonts w:hint="eastAsia" w:ascii="宋体" w:hAnsi="宋体"/>
          <w:sz w:val="22"/>
          <w:szCs w:val="22"/>
        </w:rPr>
        <w:t>注：①本表序号8请按照本采购文件 “第六章资格审查与评标”资格审查表中序号3要求，根据所提供经审计财务报告、基本开户银行资信证明、银行资信证明、政府采购投标担保函情况填写其中一项即可。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②本表序号10请按照本采购文件 “第六章资格审查与评标”资格审查表中序号7要求提供，根据所提供证明材料或承诺函（声明）情况填写其中一项即可。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③本表序号29请根据所投产品提供证书或截图情况填写其中一项即可。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④本表序号30-32仅适用于物业项目。</w:t>
      </w:r>
    </w:p>
    <w:p>
      <w:pPr>
        <w:autoSpaceDE w:val="0"/>
        <w:autoSpaceDN w:val="0"/>
        <w:adjustRightInd w:val="0"/>
        <w:spacing w:line="360" w:lineRule="auto"/>
        <w:ind w:left="493" w:leftChars="-1" w:hanging="495" w:hangingChars="176"/>
        <w:contextualSpacing/>
        <w:rPr>
          <w:rFonts w:hint="eastAsia" w:ascii="等线 Light" w:hAnsi="等线 Light"/>
          <w:b/>
          <w:kern w:val="0"/>
          <w:sz w:val="28"/>
          <w:szCs w:val="28"/>
        </w:rPr>
      </w:pPr>
    </w:p>
    <w:p>
      <w:pPr>
        <w:autoSpaceDE w:val="0"/>
        <w:autoSpaceDN w:val="0"/>
        <w:adjustRightInd w:val="0"/>
        <w:spacing w:line="360" w:lineRule="auto"/>
        <w:ind w:left="424" w:leftChars="202"/>
        <w:contextualSpacing/>
        <w:rPr>
          <w:rFonts w:ascii="楷体" w:hAnsi="楷体" w:eastAsia="楷体"/>
          <w:sz w:val="24"/>
          <w:szCs w:val="24"/>
        </w:rPr>
      </w:pPr>
    </w:p>
    <w:p>
      <w:pPr>
        <w:pStyle w:val="10"/>
        <w:spacing w:line="360" w:lineRule="auto"/>
        <w:jc w:val="center"/>
        <w:rPr>
          <w:rFonts w:hint="eastAsia" w:ascii="等线 Light" w:hAnsi="等线 Light"/>
          <w:sz w:val="28"/>
          <w:szCs w:val="28"/>
        </w:rPr>
      </w:pPr>
      <w:r>
        <w:rPr>
          <w:rFonts w:hAnsi="宋体"/>
          <w:sz w:val="28"/>
          <w:szCs w:val="28"/>
        </w:rPr>
        <w:br w:type="page"/>
      </w:r>
      <w:r>
        <w:rPr>
          <w:rFonts w:hint="eastAsia" w:ascii="宋体" w:hAnsi="宋体"/>
          <w:b/>
          <w:bCs/>
          <w:sz w:val="28"/>
          <w:szCs w:val="28"/>
        </w:rPr>
        <w:t>二、</w:t>
      </w:r>
      <w:r>
        <w:rPr>
          <w:rFonts w:ascii="等线 Light" w:hAnsi="等线 Light"/>
          <w:b/>
          <w:bCs/>
          <w:sz w:val="28"/>
          <w:szCs w:val="28"/>
        </w:rPr>
        <w:t>报价一览表</w:t>
      </w:r>
    </w:p>
    <w:p>
      <w:pPr>
        <w:pStyle w:val="10"/>
        <w:spacing w:line="360" w:lineRule="auto"/>
        <w:jc w:val="center"/>
        <w:rPr>
          <w:rFonts w:hint="eastAsia" w:ascii="等线 Light" w:hAnsi="等线 Light"/>
          <w:sz w:val="28"/>
          <w:szCs w:val="28"/>
        </w:rPr>
      </w:pPr>
    </w:p>
    <w:p>
      <w:pPr>
        <w:spacing w:before="50" w:afterLines="50" w:line="360" w:lineRule="auto"/>
        <w:contextualSpacing/>
        <w:jc w:val="left"/>
        <w:rPr>
          <w:rFonts w:ascii="等线" w:hAnsi="等线"/>
          <w:sz w:val="22"/>
          <w:szCs w:val="22"/>
        </w:rPr>
      </w:pPr>
      <w:r>
        <w:rPr>
          <w:rFonts w:hint="eastAsia" w:ascii="宋体" w:hAnsi="宋体"/>
          <w:sz w:val="22"/>
          <w:szCs w:val="22"/>
        </w:rPr>
        <w:t>项目编号：</w:t>
      </w:r>
    </w:p>
    <w:p>
      <w:pPr>
        <w:spacing w:line="360" w:lineRule="auto"/>
        <w:contextualSpacing/>
        <w:rPr>
          <w:rFonts w:ascii="等线" w:hAnsi="等线"/>
          <w:sz w:val="22"/>
          <w:szCs w:val="22"/>
        </w:rPr>
      </w:pPr>
      <w:r>
        <w:rPr>
          <w:rFonts w:hint="eastAsia" w:ascii="宋体" w:hAnsi="宋体"/>
          <w:sz w:val="22"/>
          <w:szCs w:val="22"/>
        </w:rPr>
        <w:t>项目名称：</w:t>
      </w:r>
      <w:r>
        <w:rPr>
          <w:rFonts w:hint="eastAsia" w:ascii="宋体" w:hAnsi="宋体"/>
          <w:sz w:val="22"/>
          <w:szCs w:val="22"/>
          <w:lang w:val="en-US" w:eastAsia="zh-CN"/>
        </w:rPr>
        <w:t xml:space="preserve">                                              </w:t>
      </w:r>
      <w:r>
        <w:rPr>
          <w:rFonts w:hint="eastAsia" w:ascii="宋体" w:hAnsi="宋体" w:cs="Arial"/>
          <w:sz w:val="22"/>
          <w:szCs w:val="22"/>
        </w:rPr>
        <w:t>单位：元（人民币）</w:t>
      </w:r>
    </w:p>
    <w:tbl>
      <w:tblPr>
        <w:tblStyle w:val="13"/>
        <w:tblW w:w="10105" w:type="dxa"/>
        <w:jc w:val="center"/>
        <w:tblLayout w:type="fixed"/>
        <w:tblCellMar>
          <w:top w:w="0" w:type="dxa"/>
          <w:left w:w="108" w:type="dxa"/>
          <w:bottom w:w="0" w:type="dxa"/>
          <w:right w:w="108" w:type="dxa"/>
        </w:tblCellMar>
      </w:tblPr>
      <w:tblGrid>
        <w:gridCol w:w="1198"/>
        <w:gridCol w:w="2552"/>
        <w:gridCol w:w="3431"/>
        <w:gridCol w:w="1781"/>
        <w:gridCol w:w="1143"/>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标包</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343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78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运营服务期限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供应商名称：</w:t>
      </w:r>
      <w:r>
        <w:rPr>
          <w:rFonts w:hint="eastAsia" w:ascii="宋体" w:hAnsi="宋体"/>
          <w:sz w:val="22"/>
          <w:szCs w:val="22"/>
          <w:u w:val="single"/>
        </w:rPr>
        <w:t>（全称）</w:t>
      </w:r>
      <w:r>
        <w:rPr>
          <w:rFonts w:hint="eastAsia" w:ascii="宋体" w:hAnsi="宋体"/>
          <w:sz w:val="22"/>
          <w:szCs w:val="22"/>
        </w:rPr>
        <w:t>（公章）</w:t>
      </w: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供应商法定代表人（或授权代表）签字：</w:t>
      </w:r>
    </w:p>
    <w:p>
      <w:pPr>
        <w:autoSpaceDE w:val="0"/>
        <w:autoSpaceDN w:val="0"/>
        <w:adjustRightInd w:val="0"/>
        <w:spacing w:line="480" w:lineRule="auto"/>
        <w:rPr>
          <w:rFonts w:ascii="等线" w:hAnsi="等线" w:cs="宋体"/>
          <w:sz w:val="22"/>
          <w:szCs w:val="22"/>
        </w:rPr>
      </w:pPr>
      <w:r>
        <w:rPr>
          <w:rFonts w:hint="eastAsia" w:ascii="宋体" w:hAnsi="宋体"/>
          <w:sz w:val="22"/>
          <w:szCs w:val="22"/>
        </w:rPr>
        <w:t>日期：年</w:t>
      </w:r>
      <w:r>
        <w:rPr>
          <w:rFonts w:hint="eastAsia" w:ascii="宋体" w:hAnsi="宋体"/>
          <w:sz w:val="22"/>
          <w:szCs w:val="22"/>
          <w:lang w:val="en-US" w:eastAsia="zh-CN"/>
        </w:rPr>
        <w:t xml:space="preserve"> </w:t>
      </w:r>
      <w:r>
        <w:rPr>
          <w:rFonts w:hint="eastAsia" w:ascii="宋体" w:hAnsi="宋体"/>
          <w:sz w:val="22"/>
          <w:szCs w:val="22"/>
        </w:rPr>
        <w:t>月</w:t>
      </w:r>
      <w:r>
        <w:rPr>
          <w:rFonts w:hint="eastAsia" w:ascii="宋体" w:hAnsi="宋体"/>
          <w:sz w:val="22"/>
          <w:szCs w:val="22"/>
          <w:lang w:val="en-US" w:eastAsia="zh-CN"/>
        </w:rPr>
        <w:t xml:space="preserve"> </w:t>
      </w:r>
      <w:r>
        <w:rPr>
          <w:rFonts w:hint="eastAsia" w:ascii="宋体" w:hAnsi="宋体"/>
          <w:sz w:val="22"/>
          <w:szCs w:val="22"/>
        </w:rPr>
        <w:t>日</w:t>
      </w:r>
    </w:p>
    <w:p>
      <w:pPr>
        <w:pStyle w:val="10"/>
        <w:spacing w:line="360" w:lineRule="auto"/>
        <w:jc w:val="center"/>
        <w:rPr>
          <w:rFonts w:hAnsi="宋体"/>
          <w:sz w:val="28"/>
          <w:szCs w:val="28"/>
        </w:rPr>
      </w:pPr>
    </w:p>
    <w:p>
      <w:pPr>
        <w:autoSpaceDE w:val="0"/>
        <w:autoSpaceDN w:val="0"/>
        <w:adjustRightInd w:val="0"/>
        <w:spacing w:line="480" w:lineRule="auto"/>
        <w:rPr>
          <w:rFonts w:ascii="宋体" w:hAnsi="宋体"/>
          <w:u w:val="single"/>
        </w:rPr>
      </w:pPr>
    </w:p>
    <w:p>
      <w:pPr>
        <w:rPr>
          <w:rFonts w:ascii="宋体" w:hAnsi="宋体" w:cs="黑体"/>
          <w:b/>
          <w:bCs/>
          <w:sz w:val="28"/>
          <w:szCs w:val="28"/>
        </w:rPr>
      </w:pPr>
    </w:p>
    <w:p>
      <w:pPr>
        <w:rPr>
          <w:rFonts w:ascii="宋体" w:hAnsi="宋体" w:cs="黑体"/>
          <w:b/>
          <w:bCs/>
          <w:sz w:val="28"/>
          <w:szCs w:val="28"/>
        </w:rPr>
      </w:pPr>
    </w:p>
    <w:p>
      <w:pPr>
        <w:pStyle w:val="2"/>
        <w:ind w:firstLine="281"/>
        <w:rPr>
          <w:rFonts w:hAnsi="宋体" w:cs="黑体"/>
          <w:b/>
          <w:bCs/>
          <w:sz w:val="28"/>
          <w:szCs w:val="28"/>
        </w:rPr>
      </w:pPr>
    </w:p>
    <w:p>
      <w:pPr>
        <w:rPr>
          <w:rFonts w:ascii="宋体" w:hAnsi="宋体" w:cs="黑体"/>
          <w:b/>
          <w:bCs/>
          <w:sz w:val="28"/>
          <w:szCs w:val="28"/>
        </w:rPr>
      </w:pPr>
    </w:p>
    <w:p>
      <w:pPr>
        <w:pStyle w:val="2"/>
        <w:ind w:firstLine="340"/>
      </w:pPr>
    </w:p>
    <w:p>
      <w:pPr>
        <w:rPr>
          <w:rFonts w:ascii="宋体" w:hAnsi="宋体" w:cs="黑体"/>
          <w:b/>
          <w:bCs/>
          <w:sz w:val="28"/>
          <w:szCs w:val="28"/>
        </w:rPr>
      </w:pPr>
    </w:p>
    <w:p>
      <w:pPr>
        <w:jc w:val="center"/>
        <w:rPr>
          <w:rFonts w:ascii="宋体" w:hAnsi="宋体" w:cs="黑体"/>
          <w:b/>
          <w:bCs/>
          <w:sz w:val="28"/>
          <w:szCs w:val="28"/>
        </w:rPr>
      </w:pPr>
    </w:p>
    <w:p>
      <w:pPr>
        <w:jc w:val="center"/>
        <w:rPr>
          <w:rFonts w:hAnsi="宋体"/>
          <w:b/>
          <w:sz w:val="36"/>
          <w:szCs w:val="36"/>
        </w:rPr>
      </w:pPr>
      <w:r>
        <w:rPr>
          <w:rFonts w:hint="eastAsia" w:ascii="宋体" w:hAnsi="宋体" w:cs="黑体"/>
          <w:b/>
          <w:bCs/>
          <w:sz w:val="28"/>
          <w:szCs w:val="28"/>
        </w:rPr>
        <w:t>三、资格审查证明材料</w:t>
      </w:r>
    </w:p>
    <w:p>
      <w:pPr>
        <w:autoSpaceDE w:val="0"/>
        <w:autoSpaceDN w:val="0"/>
        <w:spacing w:line="480" w:lineRule="auto"/>
        <w:jc w:val="center"/>
        <w:rPr>
          <w:rFonts w:ascii="宋体" w:hAnsi="宋体"/>
          <w:b/>
          <w:sz w:val="22"/>
          <w:szCs w:val="22"/>
        </w:rPr>
      </w:pPr>
      <w:r>
        <w:rPr>
          <w:rFonts w:hint="eastAsia" w:ascii="宋体" w:hAnsi="宋体"/>
          <w:b/>
          <w:sz w:val="22"/>
          <w:szCs w:val="22"/>
        </w:rPr>
        <w:t>3.1 投标函</w:t>
      </w:r>
    </w:p>
    <w:p>
      <w:pPr>
        <w:autoSpaceDE w:val="0"/>
        <w:autoSpaceDN w:val="0"/>
        <w:adjustRightInd w:val="0"/>
        <w:spacing w:line="480" w:lineRule="auto"/>
        <w:rPr>
          <w:rFonts w:ascii="宋体" w:hAnsi="宋体"/>
          <w:sz w:val="22"/>
          <w:szCs w:val="22"/>
          <w:u w:val="single"/>
        </w:rPr>
      </w:pPr>
      <w:r>
        <w:rPr>
          <w:rFonts w:hint="eastAsia" w:ascii="宋体" w:hAnsi="宋体"/>
          <w:sz w:val="22"/>
          <w:szCs w:val="22"/>
        </w:rPr>
        <w:t>致：</w:t>
      </w:r>
      <w:r>
        <w:rPr>
          <w:rFonts w:hint="eastAsia" w:ascii="宋体" w:hAnsi="宋体"/>
          <w:sz w:val="22"/>
          <w:szCs w:val="22"/>
          <w:u w:val="single"/>
        </w:rPr>
        <w:t>（采购人）</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 xml:space="preserve"> 根据贵方</w:t>
      </w:r>
      <w:r>
        <w:rPr>
          <w:rFonts w:hint="eastAsia" w:ascii="宋体" w:hAnsi="宋体"/>
          <w:sz w:val="22"/>
          <w:szCs w:val="22"/>
          <w:u w:val="single"/>
        </w:rPr>
        <w:t>（项目名称、项目编号）</w:t>
      </w:r>
      <w:r>
        <w:rPr>
          <w:rFonts w:hint="eastAsia" w:ascii="宋体" w:hAnsi="宋体"/>
          <w:sz w:val="22"/>
          <w:szCs w:val="22"/>
        </w:rPr>
        <w:t>采购的采购公告及投标邀请，</w:t>
      </w:r>
      <w:r>
        <w:rPr>
          <w:rFonts w:hint="eastAsia" w:ascii="宋体" w:hAnsi="宋体"/>
          <w:sz w:val="22"/>
          <w:szCs w:val="22"/>
          <w:u w:val="single"/>
        </w:rPr>
        <w:t>（姓名和职务）</w:t>
      </w:r>
      <w:r>
        <w:rPr>
          <w:rFonts w:hint="eastAsia" w:ascii="宋体" w:hAnsi="宋体"/>
          <w:sz w:val="22"/>
          <w:szCs w:val="22"/>
        </w:rPr>
        <w:t>被正式授权并代表供应商</w:t>
      </w:r>
      <w:r>
        <w:rPr>
          <w:rFonts w:hint="eastAsia" w:ascii="宋体" w:hAnsi="宋体"/>
          <w:sz w:val="22"/>
          <w:szCs w:val="22"/>
          <w:u w:val="single"/>
        </w:rPr>
        <w:t>（供应商名称、地址）</w:t>
      </w:r>
      <w:r>
        <w:rPr>
          <w:rFonts w:hint="eastAsia" w:ascii="宋体" w:hAnsi="宋体"/>
          <w:sz w:val="22"/>
          <w:szCs w:val="22"/>
        </w:rPr>
        <w:t>提交。</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 xml:space="preserve">     我方确认收到贵方提供的</w:t>
      </w:r>
      <w:r>
        <w:rPr>
          <w:rFonts w:hint="eastAsia" w:ascii="宋体" w:hAnsi="宋体"/>
          <w:sz w:val="22"/>
          <w:szCs w:val="22"/>
          <w:u w:val="single"/>
        </w:rPr>
        <w:t>（项目名称、项目编号）</w:t>
      </w:r>
      <w:r>
        <w:rPr>
          <w:rFonts w:hint="eastAsia" w:ascii="宋体" w:hAnsi="宋体"/>
          <w:sz w:val="22"/>
          <w:szCs w:val="22"/>
        </w:rPr>
        <w:t>采购文件的全部内容。</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u w:val="single"/>
        </w:rPr>
        <w:t>（供应商名称）</w:t>
      </w:r>
      <w:r>
        <w:rPr>
          <w:rFonts w:hint="eastAsia" w:ascii="宋体" w:hAnsi="宋体"/>
          <w:sz w:val="22"/>
          <w:szCs w:val="22"/>
        </w:rPr>
        <w:t>作为供应商正式授权</w:t>
      </w:r>
      <w:r>
        <w:rPr>
          <w:rFonts w:hint="eastAsia" w:ascii="宋体" w:hAnsi="宋体"/>
          <w:sz w:val="22"/>
          <w:szCs w:val="22"/>
          <w:u w:val="single"/>
        </w:rPr>
        <w:t>(授权代表全名, 职务)</w:t>
      </w:r>
      <w:r>
        <w:rPr>
          <w:rFonts w:hint="eastAsia" w:ascii="宋体" w:hAnsi="宋体"/>
          <w:sz w:val="22"/>
          <w:szCs w:val="22"/>
        </w:rPr>
        <w:t>代表我方全权处理有关本投标的一切事宜。</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我方已完全明白采购文件的所有条款要求，并申明如下：</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 xml:space="preserve">一、按招标文件提供的全部货物与相关服务的投标单价大写 </w:t>
      </w:r>
      <w:r>
        <w:rPr>
          <w:rFonts w:hint="eastAsia" w:ascii="宋体" w:hAnsi="宋体"/>
          <w:sz w:val="22"/>
          <w:szCs w:val="22"/>
          <w:u w:val="single"/>
          <w:lang w:val="en-US" w:eastAsia="zh-CN"/>
        </w:rPr>
        <w:t xml:space="preserve">   </w:t>
      </w: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rPr>
        <w:t>。</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二、本投标文件的有效期为投标截止时间起</w:t>
      </w:r>
      <w:r>
        <w:rPr>
          <w:rFonts w:hint="eastAsia" w:ascii="宋体" w:hAnsi="宋体"/>
          <w:sz w:val="22"/>
          <w:szCs w:val="22"/>
          <w:u w:val="single"/>
          <w:lang w:val="en-US" w:eastAsia="zh-CN"/>
        </w:rPr>
        <w:t xml:space="preserve">   </w:t>
      </w:r>
      <w:r>
        <w:rPr>
          <w:rFonts w:hint="eastAsia" w:ascii="宋体" w:hAnsi="宋体"/>
          <w:sz w:val="22"/>
          <w:szCs w:val="22"/>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adjustRightInd w:val="0"/>
        <w:spacing w:line="480" w:lineRule="auto"/>
        <w:ind w:firstLine="440" w:firstLineChars="200"/>
        <w:rPr>
          <w:rFonts w:hint="eastAsia" w:ascii="宋体" w:hAnsi="宋体" w:eastAsia="宋体"/>
          <w:sz w:val="22"/>
          <w:szCs w:val="22"/>
          <w:lang w:eastAsia="zh-CN"/>
        </w:rPr>
      </w:pPr>
      <w:r>
        <w:rPr>
          <w:rFonts w:hint="eastAsia" w:ascii="宋体" w:hAnsi="宋体"/>
          <w:sz w:val="22"/>
          <w:szCs w:val="22"/>
        </w:rPr>
        <w:t>三、我方同意按照贵方可能提出的要求而提供与投标有关的任何其它数据、信息或资料。</w:t>
      </w:r>
    </w:p>
    <w:p>
      <w:pPr>
        <w:autoSpaceDE w:val="0"/>
        <w:autoSpaceDN w:val="0"/>
        <w:adjustRightInd w:val="0"/>
        <w:spacing w:line="480" w:lineRule="auto"/>
        <w:ind w:firstLine="440" w:firstLineChars="200"/>
        <w:rPr>
          <w:rFonts w:ascii="宋体" w:hAnsi="宋体"/>
          <w:sz w:val="22"/>
          <w:szCs w:val="22"/>
        </w:rPr>
      </w:pPr>
      <w:r>
        <w:rPr>
          <w:rFonts w:hint="eastAsia" w:ascii="宋体" w:hAnsi="宋体"/>
          <w:sz w:val="22"/>
          <w:szCs w:val="22"/>
        </w:rPr>
        <w:t>四、我方明白并同意，在规定的开标日之后，投标有效期之内撤销投标的，将承担相应责任。</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五、我方理解贵方不一定接受最低投标价或任何贵方可能收到的投标。</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六、我方如果中标，将保证履行采购文件及其澄清、修改文件（如果有）中的全部责任和义务，按质、按量、按期完成《项目需求》及《合同书》中的全部任务。</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九、我方具备《政府采购法》第二十二条规定的条件；承诺如下：</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（1）具有独立承担民事责任能力的在中华人民共和国境内注册的法人或其他组织或自然人，有效的营业执照（或事业法人登记证或身份证等相关证明）。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（2）我方已依法缴纳了各项税费及社会保险费用，如有需要，可随时向采购人提供近六个月内的相关缴费证明，以便核查。</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（3）我方已依法建立健全的财务会计制度，如有需要，可随时向采购人提供相关证明材料，以便核查。</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（4）参加政府采购活动前三年内，在经营活动中没有重大违法记录。</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（5）符合法律、行政法规规定的其他条件。</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以上内容如有虚假或与事实不符的，评审委员会可将我方做无效投标处理，我方愿意承担相应的法律责任。</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十、我方具备履行合同所必需的设备和专业技术能力。</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十一、我方对在本函及投标文件中所作的所有承诺承担法律责任。</w:t>
      </w:r>
    </w:p>
    <w:p>
      <w:pPr>
        <w:autoSpaceDE w:val="0"/>
        <w:autoSpaceDN w:val="0"/>
        <w:adjustRightInd w:val="0"/>
        <w:spacing w:line="480" w:lineRule="auto"/>
        <w:rPr>
          <w:rFonts w:hint="eastAsia" w:ascii="宋体" w:hAnsi="宋体" w:eastAsia="宋体"/>
          <w:sz w:val="22"/>
          <w:szCs w:val="22"/>
          <w:lang w:eastAsia="zh-CN"/>
        </w:rPr>
      </w:pPr>
      <w:r>
        <w:rPr>
          <w:rFonts w:hint="eastAsia" w:ascii="宋体" w:hAnsi="宋体"/>
          <w:sz w:val="22"/>
          <w:szCs w:val="22"/>
        </w:rPr>
        <w:t>所有与本招标有关的一切正式往来请寄：</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地    址：                     </w:t>
      </w:r>
      <w:r>
        <w:rPr>
          <w:rFonts w:hint="eastAsia" w:ascii="宋体" w:hAnsi="宋体"/>
          <w:sz w:val="22"/>
          <w:szCs w:val="22"/>
          <w:lang w:val="en-US" w:eastAsia="zh-CN"/>
        </w:rPr>
        <w:t xml:space="preserve">    </w:t>
      </w:r>
      <w:r>
        <w:rPr>
          <w:rFonts w:hint="eastAsia" w:ascii="宋体" w:hAnsi="宋体"/>
          <w:sz w:val="22"/>
          <w:szCs w:val="22"/>
        </w:rPr>
        <w:t xml:space="preserve">邮政编码：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电    话：                     </w:t>
      </w:r>
      <w:r>
        <w:rPr>
          <w:rFonts w:hint="eastAsia" w:ascii="宋体" w:hAnsi="宋体"/>
          <w:sz w:val="22"/>
          <w:szCs w:val="22"/>
          <w:lang w:val="en-US" w:eastAsia="zh-CN"/>
        </w:rPr>
        <w:t xml:space="preserve">    </w:t>
      </w:r>
      <w:r>
        <w:rPr>
          <w:rFonts w:hint="eastAsia" w:ascii="宋体" w:hAnsi="宋体"/>
          <w:sz w:val="22"/>
          <w:szCs w:val="22"/>
        </w:rPr>
        <w:t xml:space="preserve">传   真：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供应商代表姓名：                   职  务：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供应商法定代表人（或法定代表人授权代表）签字：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供应商名称（盖章）：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日期：      年     月   日   </w:t>
      </w:r>
    </w:p>
    <w:p>
      <w:pPr>
        <w:rPr>
          <w:sz w:val="22"/>
          <w:szCs w:val="22"/>
        </w:rPr>
      </w:pPr>
    </w:p>
    <w:p>
      <w:pPr>
        <w:spacing w:line="480" w:lineRule="exact"/>
        <w:rPr>
          <w:rFonts w:ascii="宋体" w:hAnsi="宋体"/>
          <w:b/>
          <w:bCs/>
          <w:sz w:val="22"/>
          <w:szCs w:val="22"/>
        </w:rPr>
      </w:pPr>
    </w:p>
    <w:p>
      <w:pPr>
        <w:pStyle w:val="2"/>
        <w:ind w:firstLine="340"/>
      </w:pPr>
    </w:p>
    <w:p/>
    <w:p>
      <w:pPr>
        <w:pStyle w:val="2"/>
        <w:ind w:firstLine="340"/>
      </w:pPr>
    </w:p>
    <w:p/>
    <w:p>
      <w:pPr>
        <w:pStyle w:val="2"/>
        <w:ind w:firstLine="340"/>
      </w:pPr>
    </w:p>
    <w:p/>
    <w:p>
      <w:pPr>
        <w:pStyle w:val="2"/>
        <w:ind w:firstLine="340"/>
      </w:pPr>
    </w:p>
    <w:p/>
    <w:p>
      <w:pPr>
        <w:pStyle w:val="2"/>
        <w:ind w:firstLine="340"/>
      </w:pPr>
    </w:p>
    <w:p/>
    <w:p>
      <w:pPr>
        <w:pStyle w:val="2"/>
        <w:ind w:firstLine="340"/>
      </w:pPr>
    </w:p>
    <w:p>
      <w:pPr>
        <w:spacing w:line="480" w:lineRule="exact"/>
        <w:jc w:val="center"/>
        <w:rPr>
          <w:rFonts w:ascii="宋体" w:hAnsi="宋体"/>
          <w:b/>
          <w:bCs/>
          <w:sz w:val="24"/>
          <w:szCs w:val="24"/>
        </w:rPr>
      </w:pP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22"/>
        <w:spacing w:line="480" w:lineRule="auto"/>
        <w:ind w:firstLine="495" w:firstLineChars="225"/>
        <w:jc w:val="left"/>
        <w:rPr>
          <w:rFonts w:hAnsi="宋体"/>
          <w:sz w:val="22"/>
          <w:szCs w:val="22"/>
        </w:rPr>
      </w:pPr>
      <w:r>
        <w:rPr>
          <w:rFonts w:hint="eastAsia" w:hAnsi="宋体"/>
          <w:sz w:val="22"/>
          <w:szCs w:val="22"/>
        </w:rPr>
        <w:t>单位名称：</w:t>
      </w:r>
    </w:p>
    <w:p>
      <w:pPr>
        <w:pStyle w:val="22"/>
        <w:spacing w:line="480" w:lineRule="auto"/>
        <w:ind w:firstLine="495" w:firstLineChars="225"/>
        <w:jc w:val="left"/>
        <w:rPr>
          <w:rFonts w:hAnsi="宋体"/>
          <w:sz w:val="22"/>
          <w:szCs w:val="22"/>
        </w:rPr>
      </w:pPr>
      <w:r>
        <w:rPr>
          <w:rFonts w:hint="eastAsia" w:hAnsi="宋体"/>
          <w:sz w:val="22"/>
          <w:szCs w:val="22"/>
        </w:rPr>
        <w:t>地址：</w:t>
      </w:r>
    </w:p>
    <w:p>
      <w:pPr>
        <w:pStyle w:val="22"/>
        <w:spacing w:line="480" w:lineRule="auto"/>
        <w:ind w:firstLine="495" w:firstLineChars="225"/>
        <w:jc w:val="left"/>
        <w:rPr>
          <w:rFonts w:hAnsi="宋体"/>
          <w:sz w:val="22"/>
          <w:szCs w:val="22"/>
        </w:rPr>
      </w:pPr>
      <w:r>
        <w:rPr>
          <w:rFonts w:hint="eastAsia" w:hAnsi="宋体"/>
          <w:sz w:val="22"/>
          <w:szCs w:val="22"/>
        </w:rPr>
        <w:t>姓名：  性别： 年龄：  职务：</w:t>
      </w:r>
    </w:p>
    <w:p>
      <w:pPr>
        <w:pStyle w:val="22"/>
        <w:spacing w:line="480" w:lineRule="auto"/>
        <w:ind w:firstLine="495" w:firstLineChars="225"/>
        <w:jc w:val="left"/>
        <w:rPr>
          <w:rFonts w:hAnsi="宋体"/>
          <w:sz w:val="22"/>
          <w:szCs w:val="22"/>
        </w:rPr>
      </w:pPr>
      <w:r>
        <w:rPr>
          <w:rFonts w:hint="eastAsia" w:hAnsi="宋体"/>
          <w:sz w:val="22"/>
          <w:szCs w:val="22"/>
        </w:rPr>
        <w:t>本人系</w:t>
      </w:r>
      <w:r>
        <w:rPr>
          <w:rFonts w:hint="eastAsia" w:hAnsi="宋体"/>
          <w:sz w:val="22"/>
          <w:szCs w:val="22"/>
          <w:u w:val="single"/>
        </w:rPr>
        <w:t xml:space="preserve">  供应商名称  </w:t>
      </w:r>
      <w:r>
        <w:rPr>
          <w:rFonts w:hint="eastAsia" w:hAnsi="宋体"/>
          <w:sz w:val="22"/>
          <w:szCs w:val="22"/>
        </w:rPr>
        <w:t>的法定代表人（单位负责人）。就参加贵方招标编号为</w:t>
      </w:r>
      <w:r>
        <w:rPr>
          <w:rFonts w:hint="eastAsia" w:hAnsi="宋体"/>
          <w:sz w:val="22"/>
          <w:szCs w:val="22"/>
          <w:u w:val="single"/>
        </w:rPr>
        <w:t xml:space="preserve">  项目编号   </w:t>
      </w:r>
      <w:r>
        <w:rPr>
          <w:rFonts w:hint="eastAsia" w:hAnsi="宋体"/>
          <w:sz w:val="22"/>
          <w:szCs w:val="22"/>
        </w:rPr>
        <w:t>的</w:t>
      </w:r>
      <w:r>
        <w:rPr>
          <w:rFonts w:hint="eastAsia" w:hAnsi="宋体"/>
          <w:sz w:val="22"/>
          <w:szCs w:val="22"/>
          <w:u w:val="single"/>
        </w:rPr>
        <w:t xml:space="preserve">  项目名称   </w:t>
      </w:r>
      <w:r>
        <w:rPr>
          <w:rFonts w:hint="eastAsia" w:hAnsi="宋体"/>
          <w:sz w:val="22"/>
          <w:szCs w:val="22"/>
        </w:rPr>
        <w:t>采购项目的投标报价，签署上述项目的投标文件及合同的执行、完成、服务和保修，签署合同和处理与之有关的一切事务。</w:t>
      </w:r>
    </w:p>
    <w:p>
      <w:pPr>
        <w:pStyle w:val="22"/>
        <w:spacing w:line="480" w:lineRule="auto"/>
        <w:ind w:firstLine="495" w:firstLineChars="225"/>
        <w:jc w:val="left"/>
        <w:rPr>
          <w:rFonts w:hAnsi="宋体"/>
          <w:sz w:val="22"/>
          <w:szCs w:val="22"/>
        </w:rPr>
      </w:pPr>
      <w:r>
        <w:rPr>
          <w:rFonts w:hint="eastAsia" w:hAnsi="宋体"/>
          <w:sz w:val="22"/>
          <w:szCs w:val="22"/>
        </w:rPr>
        <w:t>特此证明。</w:t>
      </w:r>
    </w:p>
    <w:p>
      <w:pPr>
        <w:pStyle w:val="22"/>
        <w:spacing w:line="480" w:lineRule="auto"/>
        <w:ind w:firstLine="495" w:firstLineChars="225"/>
        <w:jc w:val="left"/>
        <w:rPr>
          <w:rFonts w:hAnsi="宋体"/>
          <w:sz w:val="22"/>
          <w:szCs w:val="22"/>
        </w:rPr>
      </w:pPr>
    </w:p>
    <w:p>
      <w:pPr>
        <w:pStyle w:val="22"/>
        <w:spacing w:line="480" w:lineRule="auto"/>
        <w:ind w:firstLine="495" w:firstLineChars="225"/>
        <w:jc w:val="left"/>
        <w:rPr>
          <w:rFonts w:hAnsi="宋体"/>
          <w:sz w:val="22"/>
          <w:szCs w:val="22"/>
        </w:rPr>
      </w:pPr>
    </w:p>
    <w:p>
      <w:pPr>
        <w:pStyle w:val="22"/>
        <w:spacing w:line="480" w:lineRule="auto"/>
        <w:ind w:left="-538" w:leftChars="-256" w:firstLine="565" w:firstLineChars="257"/>
        <w:jc w:val="center"/>
        <w:rPr>
          <w:rFonts w:hAnsi="宋体"/>
          <w:bCs/>
          <w:sz w:val="21"/>
          <w:szCs w:val="21"/>
        </w:rPr>
      </w:pPr>
      <w:r>
        <w:rPr>
          <w:rFonts w:hint="eastAsia" w:hAnsi="宋体"/>
          <w:bCs/>
          <w:sz w:val="22"/>
          <w:szCs w:val="22"/>
        </w:rPr>
        <w:t>【此处请粘贴法定代表人（单位负责人）身份证复印件，需清晰反映身份证有效期限】</w:t>
      </w:r>
    </w:p>
    <w:p>
      <w:pPr>
        <w:pStyle w:val="22"/>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spacing w:line="480" w:lineRule="auto"/>
        <w:ind w:firstLine="4125" w:firstLineChars="1875"/>
        <w:rPr>
          <w:rFonts w:ascii="宋体" w:hAnsi="宋体" w:cs="Arial"/>
          <w:sz w:val="22"/>
          <w:szCs w:val="22"/>
          <w:u w:val="single"/>
        </w:rPr>
      </w:pPr>
      <w:r>
        <w:rPr>
          <w:rFonts w:hint="eastAsia" w:ascii="宋体" w:hAnsi="宋体" w:cs="Arial"/>
          <w:sz w:val="22"/>
          <w:szCs w:val="22"/>
        </w:rPr>
        <w:t>供应商名称（并加盖公章）：</w:t>
      </w:r>
    </w:p>
    <w:p>
      <w:pPr>
        <w:pStyle w:val="23"/>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24"/>
        <w:spacing w:line="480" w:lineRule="auto"/>
        <w:rPr>
          <w:rFonts w:ascii="宋体" w:hAnsi="宋体" w:cs="Arial"/>
          <w:sz w:val="21"/>
          <w:szCs w:val="21"/>
        </w:rPr>
      </w:pPr>
    </w:p>
    <w:p/>
    <w:p>
      <w:pPr>
        <w:spacing w:line="320" w:lineRule="exact"/>
        <w:ind w:firstLine="440" w:firstLineChars="200"/>
        <w:rPr>
          <w:rFonts w:ascii="宋体" w:hAnsi="宋体"/>
          <w:bCs/>
          <w:kern w:val="12"/>
          <w:sz w:val="22"/>
          <w:szCs w:val="22"/>
        </w:rPr>
      </w:pPr>
      <w:r>
        <w:rPr>
          <w:rFonts w:hint="eastAsia" w:ascii="宋体" w:hAnsi="宋体"/>
          <w:bCs/>
          <w:kern w:val="12"/>
          <w:sz w:val="22"/>
          <w:szCs w:val="22"/>
        </w:rPr>
        <w:t>说明：法定代表人（单位负责人）参加本采购项目投标的，仅须出具此证明书。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本人</w:t>
      </w:r>
      <w:r>
        <w:rPr>
          <w:rFonts w:hint="eastAsia" w:ascii="宋体" w:hAnsi="宋体"/>
          <w:sz w:val="22"/>
          <w:szCs w:val="22"/>
          <w:u w:val="single"/>
        </w:rPr>
        <w:t>法人姓名</w:t>
      </w:r>
      <w:r>
        <w:rPr>
          <w:rFonts w:hint="eastAsia" w:ascii="宋体" w:hAnsi="宋体" w:cs="Arial"/>
          <w:sz w:val="22"/>
          <w:szCs w:val="22"/>
        </w:rPr>
        <w:t>系</w:t>
      </w:r>
      <w:r>
        <w:rPr>
          <w:rFonts w:hint="eastAsia" w:ascii="宋体" w:hAnsi="宋体"/>
          <w:sz w:val="22"/>
          <w:szCs w:val="22"/>
          <w:u w:val="single"/>
        </w:rPr>
        <w:t xml:space="preserve">供应商名称  </w:t>
      </w:r>
      <w:r>
        <w:rPr>
          <w:rFonts w:hint="eastAsia" w:ascii="宋体" w:hAnsi="宋体" w:cs="Arial"/>
          <w:sz w:val="22"/>
          <w:szCs w:val="22"/>
        </w:rPr>
        <w:t>的法定代表人（单位负责人），现委托</w:t>
      </w:r>
      <w:r>
        <w:rPr>
          <w:rFonts w:hint="eastAsia" w:ascii="宋体" w:hAnsi="宋体"/>
          <w:sz w:val="22"/>
          <w:szCs w:val="22"/>
          <w:u w:val="single"/>
        </w:rPr>
        <w:t>姓名，职务</w:t>
      </w:r>
      <w:r>
        <w:rPr>
          <w:rFonts w:hint="eastAsia" w:ascii="宋体" w:hAnsi="宋体" w:cs="Arial"/>
          <w:sz w:val="22"/>
          <w:szCs w:val="22"/>
        </w:rPr>
        <w:t>以我方的名义参加贵方项目的投标活动，并代表我方全权办理针对上述项目的投标、开标、投标文件澄清、签约等一切具体事务和签署相关文件。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我方对被授权人的签名事项负全部责任。</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被授权人无转委托权，特此委托。</w:t>
      </w:r>
    </w:p>
    <w:p>
      <w:pPr>
        <w:spacing w:line="480" w:lineRule="auto"/>
        <w:ind w:firstLine="440" w:firstLineChars="200"/>
        <w:rPr>
          <w:rFonts w:ascii="宋体" w:hAnsi="宋体"/>
          <w:sz w:val="22"/>
          <w:szCs w:val="22"/>
        </w:rPr>
      </w:pPr>
      <w:r>
        <w:rPr>
          <w:rFonts w:hint="eastAsia" w:ascii="宋体" w:hAnsi="宋体"/>
          <w:sz w:val="22"/>
          <w:szCs w:val="22"/>
        </w:rPr>
        <w:t xml:space="preserve">供应商名称： </w:t>
      </w:r>
      <w:r>
        <w:rPr>
          <w:rFonts w:hint="eastAsia" w:ascii="宋体" w:hAnsi="宋体"/>
          <w:sz w:val="22"/>
          <w:szCs w:val="22"/>
          <w:u w:val="single"/>
        </w:rPr>
        <w:t xml:space="preserve">       （全称）               </w:t>
      </w:r>
      <w:r>
        <w:rPr>
          <w:rFonts w:hint="eastAsia" w:ascii="宋体" w:hAnsi="宋体"/>
          <w:sz w:val="22"/>
          <w:szCs w:val="22"/>
        </w:rPr>
        <w:t>（盖单位公章）</w:t>
      </w:r>
    </w:p>
    <w:p>
      <w:pPr>
        <w:spacing w:line="480" w:lineRule="auto"/>
        <w:ind w:firstLine="440" w:firstLineChars="200"/>
        <w:rPr>
          <w:rFonts w:ascii="宋体" w:hAnsi="宋体" w:cs="Arial"/>
          <w:sz w:val="22"/>
          <w:szCs w:val="22"/>
        </w:rPr>
      </w:pPr>
      <w:r>
        <w:rPr>
          <w:rFonts w:hint="eastAsia" w:ascii="宋体" w:hAnsi="宋体" w:cs="Arial"/>
          <w:sz w:val="22"/>
          <w:szCs w:val="22"/>
        </w:rPr>
        <w:t>法定代表人（单位负责人）：（签字</w:t>
      </w:r>
      <w:r>
        <w:rPr>
          <w:rFonts w:hint="eastAsia" w:ascii="宋体" w:hAnsi="宋体" w:cs="Arial"/>
          <w:sz w:val="22"/>
          <w:szCs w:val="22"/>
          <w:lang w:eastAsia="zh-CN"/>
        </w:rPr>
        <w:t>或</w:t>
      </w:r>
      <w:r>
        <w:rPr>
          <w:rFonts w:hint="eastAsia" w:ascii="宋体" w:hAnsi="宋体" w:cs="Arial"/>
          <w:sz w:val="22"/>
          <w:szCs w:val="22"/>
        </w:rPr>
        <w:t>加盖名章）</w:t>
      </w:r>
    </w:p>
    <w:p>
      <w:pPr>
        <w:spacing w:line="480" w:lineRule="auto"/>
        <w:ind w:firstLine="440" w:firstLineChars="200"/>
        <w:rPr>
          <w:rFonts w:ascii="宋体" w:hAnsi="宋体"/>
          <w:sz w:val="22"/>
          <w:szCs w:val="22"/>
        </w:rPr>
      </w:pPr>
      <w:r>
        <w:rPr>
          <w:rFonts w:hint="eastAsia" w:ascii="宋体" w:hAnsi="宋体" w:cs="Arial"/>
          <w:sz w:val="22"/>
          <w:szCs w:val="22"/>
        </w:rPr>
        <w:t>法定代表人（单位负责人）</w:t>
      </w:r>
      <w:r>
        <w:rPr>
          <w:rFonts w:hint="eastAsia" w:ascii="宋体" w:hAnsi="宋体"/>
          <w:sz w:val="22"/>
          <w:szCs w:val="22"/>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法定代表人（单位负责人）身份证（正面）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（正面）</w:t>
            </w:r>
          </w:p>
        </w:tc>
        <w:tc>
          <w:tcPr>
            <w:tcW w:w="4492"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Lines="50" w:afterLines="50" w:line="360" w:lineRule="auto"/>
        <w:ind w:firstLine="440" w:firstLineChars="200"/>
        <w:rPr>
          <w:rFonts w:ascii="宋体" w:hAnsi="宋体"/>
          <w:sz w:val="22"/>
          <w:szCs w:val="22"/>
        </w:rPr>
      </w:pPr>
      <w:r>
        <w:rPr>
          <w:rFonts w:hint="eastAsia" w:ascii="宋体" w:hAnsi="宋体"/>
          <w:sz w:val="22"/>
          <w:szCs w:val="22"/>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40" w:firstLineChars="200"/>
        <w:rPr>
          <w:rFonts w:ascii="宋体" w:hAnsi="宋体"/>
          <w:sz w:val="22"/>
          <w:szCs w:val="22"/>
        </w:rPr>
      </w:pPr>
      <w:r>
        <w:rPr>
          <w:rFonts w:hint="eastAsia" w:ascii="宋体" w:hAnsi="宋体"/>
          <w:sz w:val="22"/>
          <w:szCs w:val="22"/>
        </w:rPr>
        <w:t>特此声明。</w:t>
      </w:r>
    </w:p>
    <w:p>
      <w:pPr>
        <w:spacing w:beforeLines="50" w:afterLines="50" w:line="360" w:lineRule="auto"/>
        <w:ind w:firstLine="440" w:firstLineChars="200"/>
        <w:rPr>
          <w:rFonts w:ascii="宋体" w:hAnsi="宋体"/>
          <w:sz w:val="22"/>
          <w:szCs w:val="22"/>
        </w:rPr>
      </w:pPr>
      <w:r>
        <w:rPr>
          <w:rFonts w:hint="eastAsia" w:ascii="宋体" w:hAnsi="宋体"/>
          <w:sz w:val="22"/>
          <w:szCs w:val="22"/>
        </w:rPr>
        <w:t>本公司对上述声明的真实性负责。如有虚假，将依法承担相应责任。</w:t>
      </w:r>
    </w:p>
    <w:p>
      <w:pPr>
        <w:spacing w:afterLines="50" w:line="360" w:lineRule="auto"/>
        <w:rPr>
          <w:rFonts w:ascii="宋体" w:hAnsi="宋体"/>
          <w:sz w:val="22"/>
          <w:szCs w:val="22"/>
        </w:rPr>
      </w:pPr>
    </w:p>
    <w:p>
      <w:pPr>
        <w:spacing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8"/>
        <w:spacing w:before="60"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8"/>
        <w:spacing w:before="60"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lang w:val="en-US" w:eastAsia="zh-CN"/>
        </w:rPr>
        <w:t xml:space="preserve">   </w:t>
      </w:r>
      <w:r>
        <w:rPr>
          <w:rFonts w:hint="eastAsia" w:ascii="宋体" w:hAnsi="宋体" w:cs="Arial"/>
          <w:sz w:val="22"/>
          <w:szCs w:val="22"/>
        </w:rPr>
        <w:t>年</w:t>
      </w:r>
      <w:r>
        <w:rPr>
          <w:rFonts w:hint="eastAsia" w:ascii="宋体" w:hAnsi="宋体" w:cs="Arial"/>
          <w:sz w:val="22"/>
          <w:szCs w:val="22"/>
          <w:lang w:val="en-US" w:eastAsia="zh-CN"/>
        </w:rPr>
        <w:t xml:space="preserve"> </w:t>
      </w:r>
      <w:r>
        <w:rPr>
          <w:rFonts w:hint="eastAsia" w:ascii="宋体" w:hAnsi="宋体" w:cs="Arial"/>
          <w:sz w:val="22"/>
          <w:szCs w:val="22"/>
        </w:rPr>
        <w:t>月</w:t>
      </w:r>
      <w:r>
        <w:rPr>
          <w:rFonts w:hint="eastAsia" w:ascii="宋体" w:hAnsi="宋体" w:cs="Arial"/>
          <w:sz w:val="22"/>
          <w:szCs w:val="22"/>
          <w:lang w:val="en-US" w:eastAsia="zh-CN"/>
        </w:rPr>
        <w:t xml:space="preserve"> </w:t>
      </w:r>
      <w:r>
        <w:rPr>
          <w:rFonts w:hint="eastAsia" w:ascii="宋体" w:hAnsi="宋体" w:cs="Arial"/>
          <w:sz w:val="22"/>
          <w:szCs w:val="22"/>
        </w:rPr>
        <w:t>日</w:t>
      </w:r>
    </w:p>
    <w:p>
      <w:pPr>
        <w:spacing w:beforeLines="50" w:afterLines="50" w:line="360" w:lineRule="auto"/>
        <w:ind w:right="420" w:firstLine="5486" w:firstLineChars="2286"/>
        <w:rPr>
          <w:rFonts w:ascii="宋体" w:hAnsi="宋体"/>
          <w:sz w:val="24"/>
          <w:szCs w:val="24"/>
        </w:rPr>
      </w:pPr>
    </w:p>
    <w:p>
      <w:pPr>
        <w:spacing w:beforeLines="50" w:afterLines="50" w:line="360" w:lineRule="auto"/>
        <w:ind w:right="420" w:firstLine="5486" w:firstLineChars="2286"/>
        <w:rPr>
          <w:rFonts w:ascii="宋体" w:hAnsi="宋体"/>
          <w:sz w:val="24"/>
          <w:szCs w:val="24"/>
        </w:rPr>
      </w:pPr>
    </w:p>
    <w:p>
      <w:pPr>
        <w:autoSpaceDE w:val="0"/>
        <w:autoSpaceDN w:val="0"/>
        <w:adjustRightInd w:val="0"/>
        <w:jc w:val="center"/>
        <w:outlineLvl w:val="0"/>
        <w:rPr>
          <w:b/>
          <w:sz w:val="30"/>
          <w:szCs w:val="30"/>
        </w:rPr>
      </w:pPr>
    </w:p>
    <w:p>
      <w:pPr>
        <w:autoSpaceDE w:val="0"/>
        <w:autoSpaceDN w:val="0"/>
        <w:adjustRightInd w:val="0"/>
        <w:spacing w:after="300"/>
        <w:jc w:val="center"/>
        <w:outlineLvl w:val="0"/>
        <w:rPr>
          <w:b/>
          <w:sz w:val="30"/>
          <w:szCs w:val="30"/>
        </w:rPr>
      </w:pPr>
    </w:p>
    <w:p>
      <w:pPr>
        <w:autoSpaceDE w:val="0"/>
        <w:autoSpaceDN w:val="0"/>
        <w:adjustRightInd w:val="0"/>
        <w:jc w:val="center"/>
        <w:outlineLvl w:val="0"/>
        <w:rPr>
          <w:b/>
          <w:sz w:val="30"/>
          <w:szCs w:val="30"/>
        </w:rPr>
      </w:pPr>
    </w:p>
    <w:p>
      <w:pPr>
        <w:pStyle w:val="2"/>
        <w:ind w:firstLine="301"/>
        <w:rPr>
          <w:b/>
          <w:sz w:val="30"/>
          <w:szCs w:val="30"/>
        </w:rPr>
      </w:pPr>
    </w:p>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Lines="50" w:line="320" w:lineRule="exact"/>
        <w:rPr>
          <w:rFonts w:ascii="宋体" w:hAnsi="宋体"/>
          <w:sz w:val="24"/>
          <w:szCs w:val="24"/>
        </w:rPr>
      </w:pPr>
    </w:p>
    <w:p>
      <w:pPr>
        <w:spacing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u w:val="single"/>
        </w:rPr>
        <w:t xml:space="preserve">      （采购人）    </w:t>
      </w:r>
    </w:p>
    <w:p>
      <w:pPr>
        <w:spacing w:line="360" w:lineRule="auto"/>
        <w:ind w:firstLine="635"/>
        <w:rPr>
          <w:rFonts w:ascii="宋体" w:hAnsi="宋体"/>
          <w:sz w:val="22"/>
          <w:szCs w:val="22"/>
        </w:rPr>
      </w:pPr>
      <w:r>
        <w:rPr>
          <w:rFonts w:hint="eastAsia" w:ascii="宋体" w:hAnsi="宋体"/>
          <w:sz w:val="22"/>
          <w:szCs w:val="22"/>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2"/>
        </w:rPr>
      </w:pPr>
      <w:r>
        <w:rPr>
          <w:rFonts w:hint="eastAsia" w:ascii="宋体" w:hAnsi="宋体"/>
          <w:sz w:val="22"/>
          <w:szCs w:val="22"/>
        </w:rPr>
        <w:t>一、依法参与政府采购活动，遵纪守法，诚信经营，公平竞争。</w:t>
      </w:r>
    </w:p>
    <w:p>
      <w:pPr>
        <w:spacing w:line="360" w:lineRule="auto"/>
        <w:ind w:firstLine="635"/>
        <w:rPr>
          <w:rFonts w:ascii="宋体" w:hAnsi="宋体"/>
          <w:sz w:val="22"/>
          <w:szCs w:val="22"/>
        </w:rPr>
      </w:pPr>
      <w:r>
        <w:rPr>
          <w:rFonts w:hint="eastAsia" w:ascii="宋体" w:hAnsi="宋体"/>
          <w:sz w:val="22"/>
          <w:szCs w:val="22"/>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2"/>
        </w:rPr>
      </w:pPr>
      <w:r>
        <w:rPr>
          <w:rFonts w:hint="eastAsia" w:ascii="宋体" w:hAnsi="宋体"/>
          <w:sz w:val="22"/>
          <w:szCs w:val="22"/>
        </w:rPr>
        <w:t>三、不以提供虚假资质文件等形式参与政府采购活动，不以虚假材料谋取成交。</w:t>
      </w:r>
    </w:p>
    <w:p>
      <w:pPr>
        <w:spacing w:line="360" w:lineRule="auto"/>
        <w:ind w:firstLine="635"/>
        <w:rPr>
          <w:rFonts w:ascii="宋体" w:hAnsi="宋体"/>
          <w:sz w:val="22"/>
          <w:szCs w:val="22"/>
        </w:rPr>
      </w:pPr>
      <w:r>
        <w:rPr>
          <w:rFonts w:hint="eastAsia" w:ascii="宋体" w:hAnsi="宋体"/>
          <w:sz w:val="22"/>
          <w:szCs w:val="22"/>
        </w:rPr>
        <w:t>四、不采取不正当手段诋毁、排挤其他供应商，与其他参与政府采购活动供应商保持良性的竞争关系。</w:t>
      </w:r>
    </w:p>
    <w:p>
      <w:pPr>
        <w:spacing w:line="360" w:lineRule="auto"/>
        <w:ind w:firstLine="635"/>
        <w:rPr>
          <w:rFonts w:ascii="宋体" w:hAnsi="宋体"/>
          <w:sz w:val="22"/>
          <w:szCs w:val="22"/>
        </w:rPr>
      </w:pPr>
      <w:r>
        <w:rPr>
          <w:rFonts w:hint="eastAsia" w:ascii="宋体" w:hAnsi="宋体"/>
          <w:sz w:val="22"/>
          <w:szCs w:val="22"/>
        </w:rPr>
        <w:t>五、不与采购单位、采购机构和政府采购评审专家恶意串通，自觉维护政府采购公平竞争的市场秩序。</w:t>
      </w:r>
    </w:p>
    <w:p>
      <w:pPr>
        <w:spacing w:line="360" w:lineRule="auto"/>
        <w:ind w:firstLine="635"/>
        <w:rPr>
          <w:rFonts w:ascii="宋体" w:hAnsi="宋体"/>
          <w:sz w:val="22"/>
          <w:szCs w:val="22"/>
        </w:rPr>
      </w:pPr>
      <w:r>
        <w:rPr>
          <w:rFonts w:hint="eastAsia" w:ascii="宋体" w:hAnsi="宋体"/>
          <w:sz w:val="22"/>
          <w:szCs w:val="22"/>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2"/>
        </w:rPr>
      </w:pPr>
      <w:r>
        <w:rPr>
          <w:rFonts w:hint="eastAsia" w:ascii="宋体" w:hAnsi="宋体"/>
          <w:sz w:val="22"/>
          <w:szCs w:val="22"/>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2"/>
        </w:rPr>
      </w:pPr>
      <w:r>
        <w:rPr>
          <w:rFonts w:hint="eastAsia" w:ascii="宋体" w:hAnsi="宋体"/>
          <w:sz w:val="22"/>
          <w:szCs w:val="22"/>
        </w:rPr>
        <w:t>八、自觉接受并积极配合财政部门和纪检监察机关依法实施的监督检查，如实反映情况，及时提供有关证明材料。</w:t>
      </w:r>
    </w:p>
    <w:p>
      <w:pPr>
        <w:spacing w:afterLines="50" w:line="360" w:lineRule="auto"/>
        <w:rPr>
          <w:rFonts w:ascii="宋体" w:hAnsi="宋体"/>
          <w:sz w:val="22"/>
          <w:szCs w:val="22"/>
        </w:rPr>
      </w:pPr>
    </w:p>
    <w:p>
      <w:pPr>
        <w:spacing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8"/>
        <w:spacing w:before="60"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8"/>
        <w:spacing w:before="60"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lang w:val="en-US" w:eastAsia="zh-CN"/>
        </w:rPr>
        <w:t xml:space="preserve"> </w:t>
      </w:r>
      <w:r>
        <w:rPr>
          <w:rFonts w:hint="eastAsia" w:ascii="宋体" w:hAnsi="宋体" w:cs="Arial"/>
          <w:sz w:val="22"/>
          <w:szCs w:val="22"/>
        </w:rPr>
        <w:t>年</w:t>
      </w:r>
      <w:r>
        <w:rPr>
          <w:rFonts w:hint="eastAsia" w:ascii="宋体" w:hAnsi="宋体" w:cs="Arial"/>
          <w:sz w:val="22"/>
          <w:szCs w:val="22"/>
          <w:lang w:val="en-US" w:eastAsia="zh-CN"/>
        </w:rPr>
        <w:t xml:space="preserve"> </w:t>
      </w:r>
      <w:r>
        <w:rPr>
          <w:rFonts w:hint="eastAsia" w:ascii="宋体" w:hAnsi="宋体" w:cs="Arial"/>
          <w:sz w:val="22"/>
          <w:szCs w:val="22"/>
        </w:rPr>
        <w:t>月</w:t>
      </w:r>
      <w:r>
        <w:rPr>
          <w:rFonts w:hint="eastAsia" w:ascii="宋体" w:hAnsi="宋体" w:cs="Arial"/>
          <w:sz w:val="22"/>
          <w:szCs w:val="22"/>
          <w:lang w:val="en-US" w:eastAsia="zh-CN"/>
        </w:rPr>
        <w:t xml:space="preserve"> </w:t>
      </w:r>
      <w:r>
        <w:rPr>
          <w:rFonts w:hint="eastAsia" w:ascii="宋体" w:hAnsi="宋体" w:cs="Arial"/>
          <w:sz w:val="22"/>
          <w:szCs w:val="22"/>
        </w:rPr>
        <w:t>日</w:t>
      </w:r>
    </w:p>
    <w:p>
      <w:pPr>
        <w:pStyle w:val="8"/>
        <w:spacing w:before="60" w:afterLines="50" w:line="360" w:lineRule="auto"/>
        <w:ind w:firstLine="0"/>
        <w:rPr>
          <w:rFonts w:ascii="宋体" w:hAnsi="宋体" w:cs="Arial"/>
          <w:sz w:val="22"/>
          <w:szCs w:val="22"/>
        </w:rPr>
      </w:pPr>
    </w:p>
    <w:p>
      <w:pPr>
        <w:pStyle w:val="8"/>
        <w:spacing w:before="60" w:afterLines="50" w:line="360" w:lineRule="auto"/>
        <w:ind w:firstLine="0"/>
        <w:rPr>
          <w:rFonts w:ascii="宋体" w:hAnsi="宋体" w:cs="Arial"/>
          <w:sz w:val="22"/>
          <w:szCs w:val="22"/>
        </w:rPr>
      </w:pPr>
    </w:p>
    <w:p>
      <w:pPr>
        <w:pStyle w:val="8"/>
        <w:spacing w:before="60" w:afterLines="50" w:line="360" w:lineRule="auto"/>
        <w:ind w:firstLine="0"/>
        <w:rPr>
          <w:rFonts w:ascii="宋体" w:hAnsi="宋体" w:cs="Arial"/>
          <w:sz w:val="22"/>
          <w:szCs w:val="22"/>
        </w:rPr>
      </w:pPr>
    </w:p>
    <w:p>
      <w:pPr>
        <w:pStyle w:val="8"/>
        <w:spacing w:before="60" w:afterLines="50" w:line="360" w:lineRule="auto"/>
        <w:ind w:firstLine="0"/>
        <w:rPr>
          <w:rFonts w:ascii="宋体" w:hAnsi="宋体" w:cs="Arial"/>
          <w:sz w:val="22"/>
          <w:szCs w:val="22"/>
        </w:rPr>
      </w:pPr>
    </w:p>
    <w:p>
      <w:pPr>
        <w:spacing w:beforeLines="50"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Lines="50" w:afterLines="50" w:line="360" w:lineRule="auto"/>
        <w:ind w:firstLine="440" w:firstLineChars="200"/>
        <w:rPr>
          <w:rFonts w:ascii="宋体" w:hAnsi="宋体"/>
          <w:sz w:val="22"/>
          <w:szCs w:val="22"/>
        </w:rPr>
      </w:pPr>
      <w:r>
        <w:rPr>
          <w:rFonts w:hint="eastAsia" w:ascii="宋体" w:hAnsi="宋体"/>
          <w:sz w:val="22"/>
          <w:szCs w:val="22"/>
        </w:rPr>
        <w:t>本企业郑重承诺：</w:t>
      </w:r>
    </w:p>
    <w:p>
      <w:pPr>
        <w:spacing w:beforeLines="50" w:afterLines="50" w:line="360" w:lineRule="auto"/>
        <w:ind w:firstLine="440" w:firstLineChars="200"/>
        <w:rPr>
          <w:rFonts w:ascii="宋体" w:hAnsi="宋体"/>
          <w:sz w:val="22"/>
          <w:szCs w:val="22"/>
        </w:rPr>
      </w:pPr>
      <w:r>
        <w:rPr>
          <w:rFonts w:hint="eastAsia" w:ascii="宋体" w:hAnsi="宋体"/>
          <w:sz w:val="22"/>
          <w:szCs w:val="22"/>
        </w:rPr>
        <w:t>一、将遵循公开、公平、公正和诚实信用的原则参加</w:t>
      </w:r>
      <w:r>
        <w:rPr>
          <w:rFonts w:hint="eastAsia" w:ascii="宋体" w:hAnsi="宋体"/>
          <w:sz w:val="22"/>
          <w:szCs w:val="22"/>
          <w:u w:val="single"/>
        </w:rPr>
        <w:t>(具体政府采购项目名称）</w:t>
      </w:r>
      <w:r>
        <w:rPr>
          <w:rFonts w:hint="eastAsia" w:ascii="宋体" w:hAnsi="宋体"/>
          <w:sz w:val="22"/>
          <w:szCs w:val="22"/>
        </w:rPr>
        <w:t>的投标；</w:t>
      </w:r>
    </w:p>
    <w:p>
      <w:pPr>
        <w:spacing w:beforeLines="50" w:afterLines="50" w:line="360" w:lineRule="auto"/>
        <w:ind w:firstLine="440" w:firstLineChars="200"/>
        <w:rPr>
          <w:rFonts w:ascii="宋体" w:hAnsi="宋体"/>
          <w:sz w:val="22"/>
          <w:szCs w:val="22"/>
        </w:rPr>
      </w:pPr>
      <w:r>
        <w:rPr>
          <w:rFonts w:hint="eastAsia" w:ascii="宋体" w:hAnsi="宋体"/>
          <w:sz w:val="22"/>
          <w:szCs w:val="22"/>
        </w:rPr>
        <w:t>二、本次投标所提供的一切材料都是真实、有效、合法的；</w:t>
      </w:r>
    </w:p>
    <w:p>
      <w:pPr>
        <w:spacing w:beforeLines="50" w:afterLines="50" w:line="360" w:lineRule="auto"/>
        <w:ind w:firstLine="440" w:firstLineChars="200"/>
        <w:rPr>
          <w:rFonts w:ascii="宋体" w:hAnsi="宋体"/>
          <w:sz w:val="22"/>
          <w:szCs w:val="22"/>
        </w:rPr>
      </w:pPr>
      <w:r>
        <w:rPr>
          <w:rFonts w:hint="eastAsia" w:ascii="宋体" w:hAnsi="宋体"/>
          <w:sz w:val="22"/>
          <w:szCs w:val="22"/>
        </w:rPr>
        <w:t>三、不与其他供应商相互串通投标报价，不排挤其他供应商的公平竞争，不损害采购人或其他供应商的合法权益；</w:t>
      </w:r>
    </w:p>
    <w:p>
      <w:pPr>
        <w:spacing w:beforeLines="50" w:afterLines="50" w:line="360" w:lineRule="auto"/>
        <w:ind w:firstLine="440" w:firstLineChars="200"/>
        <w:rPr>
          <w:rFonts w:ascii="宋体" w:hAnsi="宋体"/>
          <w:sz w:val="22"/>
          <w:szCs w:val="22"/>
        </w:rPr>
      </w:pPr>
      <w:r>
        <w:rPr>
          <w:rFonts w:hint="eastAsia" w:ascii="宋体" w:hAnsi="宋体"/>
          <w:sz w:val="22"/>
          <w:szCs w:val="22"/>
        </w:rPr>
        <w:t>四、不与采购人或采购机构串通投标，不损害国家利益、社会公共利益或者他人的合法权益；</w:t>
      </w:r>
    </w:p>
    <w:p>
      <w:pPr>
        <w:spacing w:beforeLines="50" w:afterLines="50" w:line="360" w:lineRule="auto"/>
        <w:ind w:firstLine="440" w:firstLineChars="200"/>
        <w:rPr>
          <w:rFonts w:ascii="宋体" w:hAnsi="宋体"/>
          <w:b/>
          <w:bCs/>
          <w:sz w:val="22"/>
          <w:szCs w:val="22"/>
        </w:rPr>
      </w:pPr>
      <w:r>
        <w:rPr>
          <w:rFonts w:hint="eastAsia" w:ascii="宋体" w:hAnsi="宋体"/>
          <w:sz w:val="22"/>
          <w:szCs w:val="22"/>
        </w:rPr>
        <w:t>五、</w:t>
      </w:r>
      <w:r>
        <w:rPr>
          <w:rFonts w:hint="eastAsia" w:ascii="宋体" w:hAnsi="宋体"/>
          <w:sz w:val="22"/>
          <w:szCs w:val="22"/>
          <w:u w:val="none"/>
        </w:rPr>
        <w:t>不向采购人或者</w:t>
      </w:r>
      <w:r>
        <w:rPr>
          <w:u w:val="none"/>
        </w:rPr>
        <w:fldChar w:fldCharType="begin"/>
      </w:r>
      <w:r>
        <w:rPr>
          <w:u w:val="none"/>
        </w:rPr>
        <w:instrText xml:space="preserve"> HYPERLINK "http://www.cbi360.net/hyjd/1zt102.html" </w:instrText>
      </w:r>
      <w:r>
        <w:rPr>
          <w:u w:val="none"/>
        </w:rPr>
        <w:fldChar w:fldCharType="separate"/>
      </w:r>
      <w:r>
        <w:rPr>
          <w:rStyle w:val="25"/>
          <w:rFonts w:hint="eastAsia" w:ascii="宋体" w:hAnsi="宋体"/>
          <w:bCs/>
          <w:sz w:val="22"/>
          <w:szCs w:val="22"/>
          <w:u w:val="none"/>
        </w:rPr>
        <w:t>评标</w:t>
      </w:r>
      <w:r>
        <w:rPr>
          <w:rStyle w:val="25"/>
          <w:rFonts w:hint="eastAsia" w:ascii="宋体" w:hAnsi="宋体"/>
          <w:bCs/>
          <w:sz w:val="22"/>
          <w:szCs w:val="22"/>
          <w:u w:val="none"/>
        </w:rPr>
        <w:fldChar w:fldCharType="end"/>
      </w:r>
      <w:r>
        <w:rPr>
          <w:rFonts w:hint="eastAsia" w:ascii="宋体" w:hAnsi="宋体"/>
          <w:sz w:val="22"/>
          <w:szCs w:val="22"/>
          <w:u w:val="none"/>
        </w:rPr>
        <w:t>委员会成员行贿以牟取</w:t>
      </w:r>
      <w:r>
        <w:rPr>
          <w:u w:val="none"/>
        </w:rPr>
        <w:fldChar w:fldCharType="begin"/>
      </w:r>
      <w:r>
        <w:rPr>
          <w:u w:val="none"/>
        </w:rPr>
        <w:instrText xml:space="preserve"> HYPERLINK "http://hhb.cbi360.net/TenderBangSoso.aspx" </w:instrText>
      </w:r>
      <w:r>
        <w:rPr>
          <w:u w:val="none"/>
        </w:rPr>
        <w:fldChar w:fldCharType="separate"/>
      </w:r>
      <w:r>
        <w:rPr>
          <w:rStyle w:val="25"/>
          <w:rFonts w:hint="eastAsia" w:ascii="宋体" w:hAnsi="宋体"/>
          <w:bCs/>
          <w:sz w:val="22"/>
          <w:szCs w:val="22"/>
          <w:u w:val="none"/>
        </w:rPr>
        <w:t>中标</w:t>
      </w:r>
      <w:r>
        <w:rPr>
          <w:rStyle w:val="25"/>
          <w:rFonts w:hint="eastAsia" w:ascii="宋体" w:hAnsi="宋体"/>
          <w:bCs/>
          <w:sz w:val="22"/>
          <w:szCs w:val="22"/>
          <w:u w:val="none"/>
        </w:rPr>
        <w:fldChar w:fldCharType="end"/>
      </w:r>
      <w:r>
        <w:rPr>
          <w:rFonts w:hint="eastAsia" w:ascii="宋体" w:hAnsi="宋体"/>
          <w:sz w:val="22"/>
          <w:szCs w:val="22"/>
          <w:u w:val="none"/>
        </w:rPr>
        <w:t>；</w:t>
      </w:r>
    </w:p>
    <w:p>
      <w:pPr>
        <w:spacing w:beforeLines="50" w:afterLines="50" w:line="360" w:lineRule="auto"/>
        <w:ind w:firstLine="440" w:firstLineChars="200"/>
        <w:rPr>
          <w:rFonts w:ascii="宋体" w:hAnsi="宋体"/>
          <w:sz w:val="22"/>
          <w:szCs w:val="22"/>
        </w:rPr>
      </w:pPr>
      <w:r>
        <w:rPr>
          <w:rFonts w:hint="eastAsia" w:ascii="宋体" w:hAnsi="宋体"/>
          <w:sz w:val="22"/>
          <w:szCs w:val="22"/>
        </w:rPr>
        <w:t>六、不以他人名义投标或者以其他方式弄虚作假，骗取中标；</w:t>
      </w:r>
    </w:p>
    <w:p>
      <w:pPr>
        <w:spacing w:beforeLines="50" w:afterLines="50" w:line="360" w:lineRule="auto"/>
        <w:ind w:firstLine="440" w:firstLineChars="200"/>
        <w:rPr>
          <w:rFonts w:ascii="宋体" w:hAnsi="宋体"/>
          <w:sz w:val="22"/>
          <w:szCs w:val="22"/>
        </w:rPr>
      </w:pPr>
      <w:r>
        <w:rPr>
          <w:rFonts w:hint="eastAsia" w:ascii="宋体" w:hAnsi="宋体"/>
          <w:sz w:val="22"/>
          <w:szCs w:val="22"/>
        </w:rPr>
        <w:t>七、不扰乱长葛市政府采购市场秩序；</w:t>
      </w:r>
    </w:p>
    <w:p>
      <w:pPr>
        <w:spacing w:beforeLines="50" w:afterLines="50" w:line="360" w:lineRule="auto"/>
        <w:ind w:firstLine="440" w:firstLineChars="200"/>
        <w:rPr>
          <w:rFonts w:ascii="宋体" w:hAnsi="宋体"/>
          <w:sz w:val="22"/>
          <w:szCs w:val="22"/>
        </w:rPr>
      </w:pPr>
      <w:r>
        <w:rPr>
          <w:rFonts w:hint="eastAsia" w:ascii="宋体" w:hAnsi="宋体"/>
          <w:sz w:val="22"/>
          <w:szCs w:val="22"/>
        </w:rPr>
        <w:t>八、</w:t>
      </w:r>
      <w:r>
        <w:rPr>
          <w:rFonts w:hint="eastAsia" w:ascii="宋体" w:hAnsi="宋体"/>
          <w:sz w:val="22"/>
          <w:szCs w:val="22"/>
          <w:u w:val="none"/>
        </w:rPr>
        <w:t>不在</w:t>
      </w:r>
      <w:r>
        <w:rPr>
          <w:u w:val="none"/>
        </w:rPr>
        <w:fldChar w:fldCharType="begin"/>
      </w:r>
      <w:r>
        <w:rPr>
          <w:u w:val="none"/>
        </w:rPr>
        <w:instrText xml:space="preserve"> HYPERLINK "http://www.cbi360.net/hyjd/1zt99.html" </w:instrText>
      </w:r>
      <w:r>
        <w:rPr>
          <w:u w:val="none"/>
        </w:rPr>
        <w:fldChar w:fldCharType="separate"/>
      </w:r>
      <w:r>
        <w:rPr>
          <w:rStyle w:val="25"/>
          <w:rFonts w:hint="eastAsia" w:ascii="宋体" w:hAnsi="宋体"/>
          <w:bCs/>
          <w:sz w:val="22"/>
          <w:szCs w:val="22"/>
          <w:u w:val="none"/>
        </w:rPr>
        <w:t>开标</w:t>
      </w:r>
      <w:r>
        <w:rPr>
          <w:rStyle w:val="25"/>
          <w:rFonts w:hint="eastAsia" w:ascii="宋体" w:hAnsi="宋体"/>
          <w:bCs/>
          <w:sz w:val="22"/>
          <w:szCs w:val="22"/>
          <w:u w:val="none"/>
        </w:rPr>
        <w:fldChar w:fldCharType="end"/>
      </w:r>
      <w:r>
        <w:rPr>
          <w:rFonts w:hint="eastAsia" w:ascii="宋体" w:hAnsi="宋体"/>
          <w:sz w:val="22"/>
          <w:szCs w:val="22"/>
          <w:u w:val="none"/>
        </w:rPr>
        <w:t>后进行虚假恶意投诉；</w:t>
      </w:r>
    </w:p>
    <w:p>
      <w:pPr>
        <w:spacing w:beforeLines="50" w:afterLines="50" w:line="360" w:lineRule="auto"/>
        <w:ind w:firstLine="440" w:firstLineChars="200"/>
        <w:rPr>
          <w:rFonts w:ascii="宋体" w:hAnsi="宋体"/>
          <w:sz w:val="22"/>
          <w:szCs w:val="22"/>
          <w:u w:val="none"/>
        </w:rPr>
      </w:pPr>
      <w:r>
        <w:rPr>
          <w:rFonts w:hint="eastAsia" w:ascii="宋体" w:hAnsi="宋体"/>
          <w:sz w:val="22"/>
          <w:szCs w:val="22"/>
        </w:rPr>
        <w:t>九、</w:t>
      </w:r>
      <w:r>
        <w:rPr>
          <w:rFonts w:hint="eastAsia" w:ascii="宋体" w:hAnsi="宋体"/>
          <w:sz w:val="22"/>
          <w:szCs w:val="22"/>
          <w:u w:val="none"/>
        </w:rPr>
        <w:t>中标后不得将</w:t>
      </w:r>
      <w:r>
        <w:rPr>
          <w:u w:val="none"/>
        </w:rPr>
        <w:fldChar w:fldCharType="begin"/>
      </w:r>
      <w:r>
        <w:rPr>
          <w:u w:val="none"/>
        </w:rPr>
        <w:instrText xml:space="preserve"> HYPERLINK "http://www.cbi360.net/hyjd/1zt49.html" </w:instrText>
      </w:r>
      <w:r>
        <w:rPr>
          <w:u w:val="none"/>
        </w:rPr>
        <w:fldChar w:fldCharType="separate"/>
      </w:r>
      <w:r>
        <w:rPr>
          <w:rStyle w:val="25"/>
          <w:rFonts w:hint="eastAsia" w:ascii="宋体" w:hAnsi="宋体"/>
          <w:bCs/>
          <w:sz w:val="22"/>
          <w:szCs w:val="22"/>
          <w:u w:val="none"/>
        </w:rPr>
        <w:t>招标文件</w:t>
      </w:r>
      <w:r>
        <w:rPr>
          <w:rStyle w:val="25"/>
          <w:rFonts w:hint="eastAsia" w:ascii="宋体" w:hAnsi="宋体"/>
          <w:bCs/>
          <w:sz w:val="22"/>
          <w:szCs w:val="22"/>
          <w:u w:val="none"/>
        </w:rPr>
        <w:fldChar w:fldCharType="end"/>
      </w:r>
      <w:r>
        <w:rPr>
          <w:rFonts w:hint="eastAsia" w:ascii="宋体" w:hAnsi="宋体"/>
          <w:sz w:val="22"/>
          <w:szCs w:val="22"/>
          <w:u w:val="none"/>
        </w:rPr>
        <w:t>规定不予转包、分包的项目转包、分包于他人。</w:t>
      </w:r>
    </w:p>
    <w:p>
      <w:pPr>
        <w:spacing w:beforeLines="50" w:afterLines="50" w:line="360" w:lineRule="auto"/>
        <w:ind w:firstLine="440" w:firstLineChars="200"/>
        <w:rPr>
          <w:rFonts w:ascii="宋体" w:hAnsi="宋体"/>
          <w:sz w:val="22"/>
          <w:szCs w:val="22"/>
        </w:rPr>
      </w:pPr>
      <w:r>
        <w:rPr>
          <w:rFonts w:hint="eastAsia" w:ascii="宋体" w:hAnsi="宋体"/>
          <w:sz w:val="22"/>
          <w:szCs w:val="22"/>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40" w:firstLineChars="200"/>
        <w:rPr>
          <w:rFonts w:ascii="宋体" w:hAnsi="宋体"/>
          <w:sz w:val="22"/>
          <w:szCs w:val="22"/>
        </w:rPr>
      </w:pPr>
    </w:p>
    <w:p>
      <w:pPr>
        <w:spacing w:beforeLines="50" w:afterLines="50" w:line="360" w:lineRule="auto"/>
        <w:ind w:right="960"/>
        <w:rPr>
          <w:rFonts w:ascii="宋体" w:hAnsi="宋体"/>
          <w:sz w:val="22"/>
          <w:szCs w:val="22"/>
        </w:rPr>
      </w:pPr>
      <w:r>
        <w:rPr>
          <w:rFonts w:hint="eastAsia" w:ascii="宋体" w:hAnsi="宋体"/>
          <w:sz w:val="22"/>
          <w:szCs w:val="22"/>
        </w:rPr>
        <w:t>法定代表人或被委托人（签字)：</w:t>
      </w:r>
    </w:p>
    <w:p>
      <w:pPr>
        <w:spacing w:beforeLines="50" w:afterLines="50" w:line="360" w:lineRule="auto"/>
        <w:ind w:right="960"/>
        <w:rPr>
          <w:rFonts w:ascii="宋体" w:hAnsi="宋体"/>
          <w:sz w:val="22"/>
          <w:szCs w:val="22"/>
        </w:rPr>
      </w:pPr>
      <w:r>
        <w:rPr>
          <w:rFonts w:hint="eastAsia" w:ascii="宋体" w:hAnsi="宋体"/>
          <w:sz w:val="22"/>
          <w:szCs w:val="22"/>
        </w:rPr>
        <w:t>供应商名称(盖章)：</w:t>
      </w:r>
    </w:p>
    <w:p>
      <w:pPr>
        <w:spacing w:beforeLines="50" w:afterLines="50" w:line="360" w:lineRule="auto"/>
        <w:ind w:right="420"/>
        <w:rPr>
          <w:rFonts w:ascii="宋体" w:hAnsi="宋体"/>
          <w:sz w:val="22"/>
          <w:szCs w:val="22"/>
        </w:rPr>
      </w:pPr>
      <w:r>
        <w:rPr>
          <w:rFonts w:hint="eastAsia" w:ascii="宋体" w:hAnsi="宋体"/>
          <w:sz w:val="22"/>
          <w:szCs w:val="22"/>
        </w:rPr>
        <w:t>日期：</w:t>
      </w:r>
      <w:r>
        <w:rPr>
          <w:rFonts w:hint="eastAsia" w:ascii="宋体" w:hAnsi="宋体"/>
          <w:sz w:val="22"/>
          <w:szCs w:val="22"/>
          <w:lang w:val="en-US" w:eastAsia="zh-CN"/>
        </w:rPr>
        <w:t xml:space="preserve">  </w:t>
      </w:r>
      <w:r>
        <w:rPr>
          <w:rFonts w:hint="eastAsia" w:ascii="宋体" w:hAnsi="宋体"/>
          <w:sz w:val="22"/>
          <w:szCs w:val="22"/>
        </w:rPr>
        <w:t>年</w:t>
      </w:r>
      <w:r>
        <w:rPr>
          <w:rFonts w:hint="eastAsia" w:ascii="宋体" w:hAnsi="宋体"/>
          <w:sz w:val="22"/>
          <w:szCs w:val="22"/>
          <w:lang w:val="en-US" w:eastAsia="zh-CN"/>
        </w:rPr>
        <w:t xml:space="preserve"> </w:t>
      </w:r>
      <w:r>
        <w:rPr>
          <w:rFonts w:hint="eastAsia" w:ascii="宋体" w:hAnsi="宋体"/>
          <w:sz w:val="22"/>
          <w:szCs w:val="22"/>
        </w:rPr>
        <w:t>月</w:t>
      </w:r>
      <w:r>
        <w:rPr>
          <w:rFonts w:hint="eastAsia" w:ascii="宋体" w:hAnsi="宋体"/>
          <w:sz w:val="22"/>
          <w:szCs w:val="22"/>
          <w:lang w:val="en-US" w:eastAsia="zh-CN"/>
        </w:rPr>
        <w:t xml:space="preserve"> </w:t>
      </w:r>
      <w:r>
        <w:rPr>
          <w:rFonts w:hint="eastAsia" w:ascii="宋体" w:hAnsi="宋体"/>
          <w:sz w:val="22"/>
          <w:szCs w:val="22"/>
        </w:rPr>
        <w:t>日</w:t>
      </w:r>
    </w:p>
    <w:p>
      <w:pPr>
        <w:autoSpaceDE w:val="0"/>
        <w:autoSpaceDN w:val="0"/>
        <w:adjustRightInd w:val="0"/>
        <w:spacing w:line="360" w:lineRule="auto"/>
        <w:jc w:val="center"/>
        <w:rPr>
          <w:rFonts w:ascii="等线" w:hAnsi="等线" w:cs="宋体"/>
          <w:sz w:val="24"/>
          <w:szCs w:val="24"/>
        </w:rPr>
      </w:pPr>
    </w:p>
    <w:p>
      <w:pPr>
        <w:pStyle w:val="2"/>
        <w:ind w:firstLine="240"/>
        <w:rPr>
          <w:rFonts w:ascii="等线" w:hAnsi="等线"/>
          <w:sz w:val="24"/>
          <w:szCs w:val="24"/>
        </w:rPr>
      </w:pPr>
    </w:p>
    <w:p>
      <w:pPr>
        <w:rPr>
          <w:rFonts w:ascii="宋体" w:hAnsi="宋体"/>
          <w:sz w:val="24"/>
          <w:szCs w:val="24"/>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rPr>
          <w:rFonts w:ascii="宋体" w:hAnsi="宋体" w:cs="黑体"/>
          <w:b/>
          <w:bCs/>
          <w:sz w:val="44"/>
          <w:szCs w:val="44"/>
        </w:rPr>
      </w:pPr>
    </w:p>
    <w:p>
      <w:pPr>
        <w:autoSpaceDE w:val="0"/>
        <w:autoSpaceDN w:val="0"/>
        <w:adjustRightInd w:val="0"/>
        <w:spacing w:line="360" w:lineRule="auto"/>
        <w:jc w:val="center"/>
        <w:rPr>
          <w:rFonts w:ascii="宋体" w:hAnsi="宋体" w:cs="黑体"/>
          <w:b/>
          <w:bCs/>
          <w:sz w:val="44"/>
          <w:szCs w:val="44"/>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br w:type="page"/>
      </w:r>
      <w:r>
        <w:rPr>
          <w:rFonts w:hint="eastAsia" w:ascii="宋体" w:hAnsi="宋体" w:cs="黑体"/>
          <w:b/>
          <w:bCs/>
          <w:sz w:val="28"/>
          <w:szCs w:val="28"/>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4.1投标分项报价表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13"/>
        <w:tblW w:w="9400" w:type="dxa"/>
        <w:tblInd w:w="116"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ascii="宋体" w:hAnsi="宋体" w:cs="宋体"/>
                <w:b/>
                <w:sz w:val="24"/>
                <w:szCs w:val="24"/>
                <w:lang w:val="zh-CN"/>
              </w:rPr>
            </w:pPr>
            <w:r>
              <w:rPr>
                <w:rFonts w:hint="eastAsia" w:ascii="宋体" w:hAnsi="宋体" w:cs="宋体"/>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供应商法定代表人（单位负责人）或授权代表签字：</w:t>
      </w:r>
    </w:p>
    <w:p>
      <w:pPr>
        <w:spacing w:line="300" w:lineRule="exact"/>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pStyle w:val="6"/>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pStyle w:val="6"/>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pStyle w:val="6"/>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t>4.2</w:t>
      </w:r>
      <w:r>
        <w:rPr>
          <w:rFonts w:hint="eastAsia" w:ascii="宋体" w:hAnsi="宋体"/>
          <w:b/>
          <w:bCs/>
          <w:sz w:val="24"/>
          <w:szCs w:val="24"/>
        </w:rPr>
        <w:t xml:space="preserve"> 技术规格偏离表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13"/>
        <w:tblW w:w="9322" w:type="dxa"/>
        <w:tblInd w:w="116"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t>4.3</w:t>
      </w:r>
      <w:r>
        <w:rPr>
          <w:rFonts w:hint="eastAsia" w:ascii="宋体" w:hAnsi="宋体"/>
          <w:b/>
          <w:bCs/>
          <w:sz w:val="24"/>
          <w:szCs w:val="24"/>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pStyle w:val="2"/>
        <w:rPr>
          <w:rFonts w:hAnsi="宋体"/>
          <w:b/>
          <w:snapToGrid w:val="0"/>
          <w:kern w:val="0"/>
          <w:sz w:val="36"/>
          <w:szCs w:val="36"/>
        </w:rPr>
      </w:pPr>
    </w:p>
    <w:p>
      <w:pPr>
        <w:pStyle w:val="4"/>
        <w:rPr>
          <w:rFonts w:hAnsi="宋体"/>
          <w:b/>
          <w:snapToGrid w:val="0"/>
          <w:kern w:val="0"/>
          <w:sz w:val="36"/>
          <w:szCs w:val="36"/>
        </w:rPr>
      </w:pPr>
    </w:p>
    <w:p>
      <w:pPr>
        <w:pStyle w:val="6"/>
        <w:rPr>
          <w:rFonts w:hAnsi="宋体"/>
          <w:b/>
          <w:snapToGrid w:val="0"/>
          <w:kern w:val="0"/>
          <w:sz w:val="36"/>
          <w:szCs w:val="36"/>
        </w:rPr>
      </w:pPr>
    </w:p>
    <w:p>
      <w:pPr>
        <w:rPr>
          <w:rFonts w:hAnsi="宋体"/>
          <w:b/>
          <w:snapToGrid w:val="0"/>
          <w:kern w:val="0"/>
          <w:sz w:val="36"/>
          <w:szCs w:val="36"/>
        </w:rPr>
      </w:pPr>
    </w:p>
    <w:p>
      <w:pPr>
        <w:pStyle w:val="2"/>
        <w:rPr>
          <w:rFonts w:hAnsi="宋体"/>
          <w:b/>
          <w:snapToGrid w:val="0"/>
          <w:kern w:val="0"/>
          <w:sz w:val="36"/>
          <w:szCs w:val="36"/>
        </w:rPr>
      </w:pPr>
    </w:p>
    <w:p>
      <w:pPr>
        <w:pStyle w:val="4"/>
        <w:rPr>
          <w:rFonts w:hAnsi="宋体"/>
          <w:b/>
          <w:snapToGrid w:val="0"/>
          <w:kern w:val="0"/>
          <w:sz w:val="36"/>
          <w:szCs w:val="36"/>
        </w:rPr>
      </w:pPr>
    </w:p>
    <w:p>
      <w:pPr>
        <w:pStyle w:val="6"/>
        <w:rPr>
          <w:rFonts w:hAnsi="宋体"/>
          <w:b/>
          <w:snapToGrid w:val="0"/>
          <w:kern w:val="0"/>
          <w:sz w:val="36"/>
          <w:szCs w:val="36"/>
        </w:rPr>
      </w:pPr>
    </w:p>
    <w:p>
      <w:pPr>
        <w:rPr>
          <w:rFonts w:hAnsi="宋体"/>
          <w:b/>
          <w:snapToGrid w:val="0"/>
          <w:kern w:val="0"/>
          <w:sz w:val="36"/>
          <w:szCs w:val="36"/>
        </w:rPr>
      </w:pPr>
    </w:p>
    <w:p>
      <w:pPr>
        <w:pStyle w:val="2"/>
        <w:rPr>
          <w:rFonts w:hAnsi="宋体"/>
          <w:b/>
          <w:snapToGrid w:val="0"/>
          <w:kern w:val="0"/>
          <w:sz w:val="36"/>
          <w:szCs w:val="36"/>
        </w:rPr>
      </w:pPr>
    </w:p>
    <w:p>
      <w:pPr>
        <w:pStyle w:val="4"/>
        <w:rPr>
          <w:rFonts w:hAnsi="宋体"/>
          <w:b/>
          <w:snapToGrid w:val="0"/>
          <w:kern w:val="0"/>
          <w:sz w:val="36"/>
          <w:szCs w:val="36"/>
        </w:rPr>
      </w:pPr>
    </w:p>
    <w:p>
      <w:pPr>
        <w:pStyle w:val="6"/>
        <w:rPr>
          <w:rFonts w:hAnsi="宋体"/>
          <w:b/>
          <w:snapToGrid w:val="0"/>
          <w:kern w:val="0"/>
          <w:sz w:val="36"/>
          <w:szCs w:val="36"/>
        </w:rPr>
      </w:pPr>
    </w:p>
    <w:p>
      <w:pPr>
        <w:rPr>
          <w:rFonts w:hAnsi="宋体"/>
          <w:b/>
          <w:snapToGrid w:val="0"/>
          <w:kern w:val="0"/>
          <w:sz w:val="36"/>
          <w:szCs w:val="36"/>
        </w:rPr>
      </w:pPr>
    </w:p>
    <w:p>
      <w:pPr>
        <w:pStyle w:val="2"/>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4</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rPr>
      </w:pPr>
      <w:r>
        <w:rPr>
          <w:rFonts w:hint="eastAsia" w:ascii="宋体" w:hAnsi="宋体"/>
          <w:sz w:val="24"/>
          <w:szCs w:val="24"/>
        </w:rPr>
        <w:t>项目名称：</w:t>
      </w:r>
      <w:r>
        <w:rPr>
          <w:rFonts w:hint="eastAsia" w:ascii="宋体" w:hAnsi="宋体"/>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spacing w:before="50" w:afterLines="50" w:line="360" w:lineRule="auto"/>
        <w:contextualSpacing/>
        <w:jc w:val="left"/>
        <w:rPr>
          <w:rFonts w:hint="eastAsia" w:ascii="宋体" w:hAnsi="宋体"/>
          <w:sz w:val="24"/>
          <w:szCs w:val="24"/>
          <w:lang w:val="zh-CN"/>
        </w:rPr>
      </w:pP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w:t>
      </w:r>
      <w:r>
        <w:rPr>
          <w:rFonts w:ascii="宋体" w:hAnsi="宋体"/>
          <w:b/>
          <w:bCs/>
          <w:sz w:val="24"/>
          <w:szCs w:val="24"/>
        </w:rPr>
        <w:t>5</w:t>
      </w:r>
      <w:r>
        <w:rPr>
          <w:rFonts w:hint="eastAsia" w:ascii="宋体" w:hAnsi="宋体"/>
          <w:b/>
          <w:bCs/>
          <w:sz w:val="24"/>
          <w:szCs w:val="24"/>
        </w:rPr>
        <w:t>售后服务方案</w:t>
      </w: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2"/>
        <w:rPr>
          <w:rFonts w:ascii="宋体" w:hAnsi="宋体"/>
          <w:b/>
          <w:bCs/>
          <w:sz w:val="36"/>
          <w:szCs w:val="36"/>
        </w:rPr>
      </w:pPr>
    </w:p>
    <w:p>
      <w:pPr>
        <w:pStyle w:val="4"/>
        <w:rPr>
          <w:rFonts w:ascii="宋体" w:hAnsi="宋体"/>
          <w:b/>
          <w:bCs/>
          <w:sz w:val="36"/>
          <w:szCs w:val="36"/>
        </w:rPr>
      </w:pPr>
    </w:p>
    <w:p>
      <w:pPr>
        <w:pStyle w:val="6"/>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pStyle w:val="4"/>
        <w:rPr>
          <w:rFonts w:ascii="宋体" w:hAnsi="宋体"/>
          <w:b/>
          <w:bCs/>
          <w:sz w:val="36"/>
          <w:szCs w:val="36"/>
        </w:rPr>
      </w:pPr>
    </w:p>
    <w:p>
      <w:pPr>
        <w:pStyle w:val="6"/>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pStyle w:val="4"/>
        <w:rPr>
          <w:rFonts w:ascii="宋体" w:hAnsi="宋体"/>
          <w:b/>
          <w:bCs/>
          <w:sz w:val="36"/>
          <w:szCs w:val="36"/>
        </w:rPr>
      </w:pPr>
    </w:p>
    <w:p>
      <w:pPr>
        <w:pStyle w:val="6"/>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pStyle w:val="4"/>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6</w:t>
      </w:r>
      <w:r>
        <w:rPr>
          <w:rFonts w:hint="eastAsia" w:ascii="宋体" w:hAnsi="宋体"/>
          <w:b/>
          <w:bCs/>
          <w:sz w:val="24"/>
          <w:szCs w:val="24"/>
        </w:rPr>
        <w:t>“节能产品政府采购品目清单”强制节能产品情况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 w:val="24"/>
          <w:szCs w:val="24"/>
        </w:rPr>
      </w:pPr>
      <w:r>
        <w:rPr>
          <w:rFonts w:hint="eastAsia" w:ascii="宋体" w:hAnsi="宋体"/>
          <w:sz w:val="24"/>
          <w:szCs w:val="24"/>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pStyle w:val="6"/>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pStyle w:val="6"/>
        <w:rPr>
          <w:rFonts w:ascii="宋体" w:hAnsi="宋体"/>
          <w:b/>
          <w:bCs/>
          <w:sz w:val="24"/>
          <w:szCs w:val="24"/>
        </w:rPr>
      </w:pPr>
    </w:p>
    <w:p>
      <w:pPr>
        <w:rPr>
          <w:rFonts w:ascii="宋体" w:hAnsi="宋体"/>
          <w:b/>
          <w:bCs/>
          <w:sz w:val="24"/>
          <w:szCs w:val="24"/>
        </w:rPr>
      </w:pPr>
    </w:p>
    <w:p>
      <w:pPr>
        <w:pStyle w:val="2"/>
      </w:pPr>
    </w:p>
    <w:p>
      <w:pPr>
        <w:pStyle w:val="6"/>
      </w:pPr>
    </w:p>
    <w:p>
      <w:pPr>
        <w:pStyle w:val="6"/>
        <w:rPr>
          <w:rFonts w:ascii="宋体" w:hAnsi="宋体"/>
          <w:b/>
          <w:bCs/>
          <w:sz w:val="24"/>
          <w:szCs w:val="24"/>
        </w:rPr>
      </w:pPr>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7</w:t>
      </w:r>
      <w:r>
        <w:rPr>
          <w:rFonts w:hint="eastAsia" w:ascii="宋体" w:hAnsi="宋体"/>
          <w:b/>
          <w:bCs/>
          <w:sz w:val="24"/>
          <w:szCs w:val="24"/>
        </w:rPr>
        <w:t xml:space="preserve"> “节能产品政府采购品目清单”优先采购产品情况</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 w:val="24"/>
          <w:szCs w:val="24"/>
        </w:rPr>
      </w:pPr>
      <w:r>
        <w:rPr>
          <w:rFonts w:hint="eastAsia" w:ascii="宋体" w:hAnsi="宋体"/>
          <w:sz w:val="24"/>
          <w:szCs w:val="24"/>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Lines="50" w:line="360" w:lineRule="auto"/>
        <w:contextualSpacing/>
        <w:jc w:val="left"/>
        <w:rPr>
          <w:rFonts w:ascii="宋体" w:hAnsi="宋体" w:cs="宋体"/>
          <w:lang w:val="zh-CN"/>
        </w:rPr>
      </w:pPr>
      <w:r>
        <w:rPr>
          <w:rFonts w:hint="eastAsia" w:ascii="宋体" w:hAnsi="宋体"/>
          <w:sz w:val="24"/>
          <w:szCs w:val="24"/>
          <w:lang w:val="zh-CN"/>
        </w:rPr>
        <w:t>供应商法定代表人（单位负责人）或授权代表签字：</w:t>
      </w:r>
    </w:p>
    <w:p>
      <w:pPr>
        <w:spacing w:line="360" w:lineRule="auto"/>
        <w:rPr>
          <w:rFonts w:ascii="宋体" w:hAnsi="宋体"/>
          <w:b/>
          <w:bCs/>
          <w:sz w:val="36"/>
          <w:szCs w:val="36"/>
        </w:rPr>
      </w:pPr>
      <w:r>
        <w:rPr>
          <w:rFonts w:hint="eastAsia" w:ascii="宋体" w:hAnsi="宋体" w:cs="宋体"/>
          <w:lang w:val="zh-CN"/>
        </w:rPr>
        <w:t>说明：所投产品节能认证证书须附后。</w:t>
      </w:r>
    </w:p>
    <w:p>
      <w:pPr>
        <w:spacing w:line="360" w:lineRule="auto"/>
        <w:jc w:val="both"/>
        <w:rPr>
          <w:rFonts w:ascii="宋体" w:hAnsi="宋体" w:cs="宋体"/>
          <w:lang w:val="zh-CN"/>
        </w:rPr>
      </w:pPr>
    </w:p>
    <w:p>
      <w:pPr>
        <w:pStyle w:val="2"/>
        <w:rPr>
          <w:rFonts w:ascii="宋体" w:hAnsi="宋体" w:cs="宋体"/>
          <w:lang w:val="zh-CN"/>
        </w:rPr>
      </w:pPr>
    </w:p>
    <w:p>
      <w:pPr>
        <w:pStyle w:val="4"/>
        <w:rPr>
          <w:rFonts w:ascii="宋体" w:hAnsi="宋体" w:cs="宋体"/>
          <w:lang w:val="zh-CN"/>
        </w:rPr>
      </w:pPr>
    </w:p>
    <w:p>
      <w:pPr>
        <w:pStyle w:val="6"/>
        <w:rPr>
          <w:rFonts w:ascii="宋体" w:hAnsi="宋体" w:cs="宋体"/>
          <w:lang w:val="zh-CN"/>
        </w:rPr>
      </w:pPr>
    </w:p>
    <w:p>
      <w:pPr>
        <w:rPr>
          <w:rFonts w:ascii="宋体" w:hAnsi="宋体" w:cs="宋体"/>
          <w:lang w:val="zh-CN"/>
        </w:rPr>
      </w:pPr>
    </w:p>
    <w:p>
      <w:pPr>
        <w:pStyle w:val="2"/>
        <w:rPr>
          <w:rFonts w:ascii="宋体" w:hAnsi="宋体" w:cs="宋体"/>
          <w:lang w:val="zh-CN"/>
        </w:rPr>
      </w:pPr>
    </w:p>
    <w:p>
      <w:pPr>
        <w:pStyle w:val="4"/>
        <w:rPr>
          <w:rFonts w:ascii="宋体" w:hAnsi="宋体" w:cs="宋体"/>
          <w:lang w:val="zh-CN"/>
        </w:rPr>
      </w:pPr>
    </w:p>
    <w:p>
      <w:pPr>
        <w:pStyle w:val="6"/>
        <w:rPr>
          <w:rFonts w:ascii="宋体" w:hAnsi="宋体" w:cs="宋体"/>
          <w:lang w:val="zh-CN"/>
        </w:rPr>
      </w:pPr>
    </w:p>
    <w:p>
      <w:pPr>
        <w:rPr>
          <w:rFonts w:ascii="宋体" w:hAnsi="宋体" w:cs="宋体"/>
          <w:lang w:val="zh-CN"/>
        </w:rPr>
      </w:pPr>
    </w:p>
    <w:p>
      <w:pPr>
        <w:pStyle w:val="2"/>
        <w:rPr>
          <w:rFonts w:ascii="宋体" w:hAnsi="宋体" w:cs="宋体"/>
          <w:lang w:val="zh-CN"/>
        </w:rPr>
      </w:pPr>
    </w:p>
    <w:p>
      <w:pPr>
        <w:pStyle w:val="4"/>
        <w:rPr>
          <w:rFonts w:ascii="宋体" w:hAnsi="宋体" w:cs="宋体"/>
          <w:lang w:val="zh-CN"/>
        </w:rPr>
      </w:pPr>
    </w:p>
    <w:p>
      <w:pPr>
        <w:pStyle w:val="6"/>
        <w:rPr>
          <w:rFonts w:ascii="宋体" w:hAnsi="宋体" w:cs="宋体"/>
          <w:lang w:val="zh-CN"/>
        </w:rPr>
      </w:pPr>
    </w:p>
    <w:p>
      <w:pPr>
        <w:rPr>
          <w:rFonts w:ascii="宋体" w:hAnsi="宋体" w:cs="宋体"/>
          <w:lang w:val="zh-CN"/>
        </w:rPr>
      </w:pPr>
    </w:p>
    <w:p>
      <w:pPr>
        <w:pStyle w:val="2"/>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8</w:t>
      </w:r>
      <w:r>
        <w:rPr>
          <w:rFonts w:hint="eastAsia" w:ascii="宋体" w:hAnsi="宋体"/>
          <w:b/>
          <w:bCs/>
          <w:sz w:val="24"/>
          <w:szCs w:val="24"/>
        </w:rPr>
        <w:t xml:space="preserve"> “环境标志产品政府采购品目清单”优先采购产品情况</w:t>
      </w: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ind w:left="630" w:hanging="630" w:hangingChars="300"/>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pStyle w:val="6"/>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pStyle w:val="6"/>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pStyle w:val="6"/>
        <w:rPr>
          <w:rFonts w:ascii="宋体" w:hAnsi="宋体"/>
          <w:b/>
          <w:bCs/>
          <w:sz w:val="24"/>
          <w:szCs w:val="24"/>
        </w:rPr>
      </w:pPr>
    </w:p>
    <w:p>
      <w:pPr>
        <w:rPr>
          <w:rFonts w:ascii="宋体" w:hAnsi="宋体"/>
          <w:b/>
          <w:bCs/>
          <w:sz w:val="24"/>
          <w:szCs w:val="24"/>
        </w:rPr>
      </w:pPr>
    </w:p>
    <w:p>
      <w:pPr>
        <w:pStyle w:val="2"/>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9</w:t>
      </w:r>
      <w:r>
        <w:rPr>
          <w:rFonts w:hint="eastAsia" w:ascii="宋体" w:hAnsi="宋体"/>
          <w:b/>
          <w:bCs/>
          <w:sz w:val="24"/>
          <w:szCs w:val="24"/>
        </w:rPr>
        <w:t xml:space="preserve"> 中小企业声明函</w:t>
      </w:r>
    </w:p>
    <w:p>
      <w:pPr>
        <w:spacing w:line="360" w:lineRule="auto"/>
        <w:jc w:val="center"/>
        <w:rPr>
          <w:rFonts w:ascii="宋体" w:hAnsi="宋体"/>
          <w:b/>
          <w:bCs/>
        </w:rPr>
      </w:pPr>
    </w:p>
    <w:p>
      <w:pPr>
        <w:spacing w:before="50" w:afterLines="50" w:line="360" w:lineRule="auto"/>
        <w:ind w:firstLine="720" w:firstLineChars="300"/>
        <w:contextualSpacing/>
        <w:jc w:val="left"/>
        <w:rPr>
          <w:rFonts w:hint="eastAsia" w:ascii="宋体" w:hAnsi="宋体"/>
          <w:sz w:val="24"/>
          <w:szCs w:val="24"/>
          <w:lang w:val="zh-CN"/>
        </w:rPr>
      </w:pPr>
      <w:r>
        <w:rPr>
          <w:rFonts w:hint="eastAsia" w:ascii="宋体" w:hAnsi="宋体"/>
          <w:sz w:val="24"/>
          <w:szCs w:val="24"/>
          <w:lang w:val="zh-CN"/>
        </w:rPr>
        <w:t xml:space="preserve">本公司（联合体）郑重声明，根据《政府采购促进中小 企业发展管理办法》（财库﹝2020﹞46号）的规定，本公司 </w:t>
      </w:r>
      <w:r>
        <w:rPr>
          <w:rFonts w:hint="eastAsia" w:ascii="宋体" w:hAnsi="宋体"/>
          <w:sz w:val="24"/>
          <w:szCs w:val="24"/>
          <w:u w:val="single"/>
          <w:lang w:val="zh-CN"/>
        </w:rPr>
        <w:t xml:space="preserve">（联合体） </w:t>
      </w:r>
      <w:r>
        <w:rPr>
          <w:rFonts w:hint="eastAsia" w:ascii="宋体" w:hAnsi="宋体"/>
          <w:sz w:val="24"/>
          <w:szCs w:val="24"/>
          <w:lang w:val="zh-CN"/>
        </w:rPr>
        <w:t>参加</w:t>
      </w:r>
      <w:r>
        <w:rPr>
          <w:rFonts w:hint="eastAsia" w:ascii="宋体" w:hAnsi="宋体"/>
          <w:sz w:val="24"/>
          <w:szCs w:val="24"/>
          <w:u w:val="single"/>
          <w:lang w:val="zh-CN"/>
        </w:rPr>
        <w:t xml:space="preserve"> （单位名称）</w:t>
      </w:r>
      <w:r>
        <w:rPr>
          <w:rFonts w:hint="eastAsia" w:ascii="宋体" w:hAnsi="宋体"/>
          <w:sz w:val="24"/>
          <w:szCs w:val="24"/>
          <w:lang w:val="zh-CN"/>
        </w:rPr>
        <w:t xml:space="preserve">  的 </w:t>
      </w:r>
      <w:r>
        <w:rPr>
          <w:rFonts w:hint="eastAsia" w:ascii="宋体" w:hAnsi="宋体"/>
          <w:sz w:val="24"/>
          <w:szCs w:val="24"/>
          <w:u w:val="single"/>
          <w:lang w:val="zh-CN"/>
        </w:rPr>
        <w:t xml:space="preserve">（项目名称） </w:t>
      </w:r>
      <w:r>
        <w:rPr>
          <w:rFonts w:hint="eastAsia" w:ascii="宋体" w:hAnsi="宋体"/>
          <w:sz w:val="24"/>
          <w:szCs w:val="24"/>
          <w:lang w:val="zh-CN"/>
        </w:rPr>
        <w:t>采购活动，提供的货物全部由符合政策要求的中小企业制造。相关企业（含联合体中的中小企业、签订分包意向协议的中小企业） 的具体情况如下：</w:t>
      </w:r>
    </w:p>
    <w:p>
      <w:pPr>
        <w:spacing w:before="50" w:afterLines="50" w:line="360" w:lineRule="auto"/>
        <w:contextualSpacing/>
        <w:jc w:val="left"/>
        <w:rPr>
          <w:rFonts w:hint="eastAsia" w:ascii="宋体" w:hAnsi="宋体"/>
          <w:sz w:val="24"/>
          <w:szCs w:val="24"/>
          <w:u w:val="single"/>
          <w:lang w:val="zh-CN"/>
        </w:rPr>
      </w:pPr>
      <w:r>
        <w:rPr>
          <w:rFonts w:hint="eastAsia" w:ascii="宋体" w:hAnsi="宋体"/>
          <w:sz w:val="24"/>
          <w:szCs w:val="24"/>
          <w:lang w:val="en-US" w:eastAsia="zh-CN"/>
        </w:rPr>
        <w:t>1.</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lang w:val="en-US" w:eastAsia="zh-CN"/>
        </w:rPr>
        <w:t xml:space="preserve">    </w:t>
      </w:r>
      <w:r>
        <w:rPr>
          <w:rFonts w:hint="eastAsia" w:ascii="宋体" w:hAnsi="宋体"/>
          <w:sz w:val="24"/>
          <w:szCs w:val="24"/>
          <w:lang w:val="zh-CN"/>
        </w:rPr>
        <w:t>人，营业收入为</w:t>
      </w:r>
      <w:r>
        <w:rPr>
          <w:rFonts w:hint="eastAsia" w:ascii="宋体" w:hAnsi="宋体"/>
          <w:sz w:val="24"/>
          <w:szCs w:val="24"/>
          <w:u w:val="single"/>
          <w:lang w:val="en-US" w:eastAsia="zh-CN"/>
        </w:rPr>
        <w:t xml:space="preserve">    </w:t>
      </w:r>
      <w:r>
        <w:rPr>
          <w:rFonts w:hint="eastAsia" w:ascii="宋体" w:hAnsi="宋体"/>
          <w:sz w:val="24"/>
          <w:szCs w:val="24"/>
          <w:lang w:val="zh-CN"/>
        </w:rPr>
        <w:t>万元，资产总额为</w:t>
      </w:r>
      <w:r>
        <w:rPr>
          <w:rFonts w:hint="eastAsia" w:ascii="宋体" w:hAnsi="宋体"/>
          <w:sz w:val="24"/>
          <w:szCs w:val="24"/>
          <w:u w:val="single"/>
          <w:lang w:val="en-US" w:eastAsia="zh-CN"/>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 型企业、微型企业）</w:t>
      </w:r>
      <w:r>
        <w:rPr>
          <w:rFonts w:hint="eastAsia" w:ascii="宋体" w:hAnsi="宋体"/>
          <w:sz w:val="24"/>
          <w:szCs w:val="24"/>
          <w:u w:val="none"/>
          <w:lang w:val="zh-CN"/>
        </w:rPr>
        <w:t xml:space="preserve">； </w:t>
      </w:r>
    </w:p>
    <w:p>
      <w:pPr>
        <w:spacing w:before="50" w:afterLines="50" w:line="360" w:lineRule="auto"/>
        <w:contextualSpacing/>
        <w:jc w:val="left"/>
        <w:rPr>
          <w:rFonts w:hint="eastAsia" w:ascii="宋体" w:hAnsi="宋体"/>
          <w:sz w:val="24"/>
          <w:szCs w:val="24"/>
          <w:u w:val="single"/>
          <w:lang w:val="zh-CN"/>
        </w:rPr>
      </w:pPr>
      <w:r>
        <w:rPr>
          <w:rFonts w:hint="eastAsia" w:ascii="宋体" w:hAnsi="宋体"/>
          <w:sz w:val="24"/>
          <w:szCs w:val="24"/>
          <w:lang w:val="en-US" w:eastAsia="zh-CN"/>
        </w:rPr>
        <w:t>2.</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lang w:val="en-US" w:eastAsia="zh-CN"/>
        </w:rPr>
        <w:t xml:space="preserve">    </w:t>
      </w:r>
      <w:r>
        <w:rPr>
          <w:rFonts w:hint="eastAsia" w:ascii="宋体" w:hAnsi="宋体"/>
          <w:sz w:val="24"/>
          <w:szCs w:val="24"/>
          <w:lang w:val="zh-CN"/>
        </w:rPr>
        <w:t>人，营业收入为</w:t>
      </w:r>
      <w:r>
        <w:rPr>
          <w:rFonts w:hint="eastAsia" w:ascii="宋体" w:hAnsi="宋体"/>
          <w:sz w:val="24"/>
          <w:szCs w:val="24"/>
          <w:u w:val="single"/>
          <w:lang w:val="en-US" w:eastAsia="zh-CN"/>
        </w:rPr>
        <w:t xml:space="preserve">    </w:t>
      </w:r>
      <w:r>
        <w:rPr>
          <w:rFonts w:hint="eastAsia" w:ascii="宋体" w:hAnsi="宋体"/>
          <w:sz w:val="24"/>
          <w:szCs w:val="24"/>
          <w:lang w:val="zh-CN"/>
        </w:rPr>
        <w:t>万元，资产总额为</w:t>
      </w:r>
      <w:r>
        <w:rPr>
          <w:rFonts w:hint="eastAsia" w:ascii="宋体" w:hAnsi="宋体"/>
          <w:sz w:val="24"/>
          <w:szCs w:val="24"/>
          <w:u w:val="single"/>
          <w:lang w:val="en-US" w:eastAsia="zh-CN"/>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 型企业、微型企业）</w:t>
      </w:r>
      <w:r>
        <w:rPr>
          <w:rFonts w:hint="eastAsia" w:ascii="宋体" w:hAnsi="宋体"/>
          <w:sz w:val="24"/>
          <w:szCs w:val="24"/>
          <w:u w:val="none"/>
          <w:lang w:val="zh-CN"/>
        </w:rPr>
        <w:t xml:space="preserve">； </w:t>
      </w:r>
    </w:p>
    <w:p>
      <w:pPr>
        <w:spacing w:before="50" w:afterLines="50" w:line="360" w:lineRule="auto"/>
        <w:contextualSpacing/>
        <w:jc w:val="left"/>
        <w:rPr>
          <w:rFonts w:hint="eastAsia" w:ascii="宋体" w:hAnsi="宋体"/>
          <w:sz w:val="24"/>
          <w:szCs w:val="24"/>
          <w:lang w:val="zh-CN"/>
        </w:rPr>
      </w:pP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 xml:space="preserve"> …… </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以上企业，不属于大企业的分支机构，不存在控股股东为大企业的情形，也不存在与大企业的负责人为同一人的情形。本企业对上述声明内容的真实性负责。如有虚假，将依法承担相应责任。</w:t>
      </w:r>
    </w:p>
    <w:p>
      <w:pPr>
        <w:spacing w:before="50" w:afterLines="50" w:line="360" w:lineRule="auto"/>
        <w:contextualSpacing/>
        <w:jc w:val="left"/>
        <w:rPr>
          <w:rFonts w:hint="eastAsia" w:ascii="宋体" w:hAnsi="宋体"/>
          <w:sz w:val="24"/>
          <w:szCs w:val="24"/>
          <w:lang w:val="zh-CN"/>
        </w:rPr>
      </w:pPr>
    </w:p>
    <w:p>
      <w:pPr>
        <w:spacing w:before="50" w:afterLines="50" w:line="360" w:lineRule="auto"/>
        <w:contextualSpacing/>
        <w:jc w:val="left"/>
        <w:rPr>
          <w:rFonts w:hint="eastAsia" w:ascii="宋体" w:hAnsi="宋体"/>
          <w:sz w:val="24"/>
          <w:szCs w:val="24"/>
          <w:lang w:val="zh-CN"/>
        </w:rPr>
      </w:pPr>
    </w:p>
    <w:p>
      <w:pPr>
        <w:spacing w:before="50" w:afterLines="50" w:line="360" w:lineRule="auto"/>
        <w:contextualSpacing/>
        <w:jc w:val="center"/>
        <w:rPr>
          <w:rFonts w:hint="eastAsia" w:ascii="宋体" w:hAnsi="宋体"/>
          <w:sz w:val="24"/>
          <w:szCs w:val="24"/>
          <w:lang w:val="zh-CN"/>
        </w:rPr>
      </w:pPr>
      <w:r>
        <w:rPr>
          <w:rFonts w:hint="eastAsia" w:ascii="宋体" w:hAnsi="宋体"/>
          <w:sz w:val="24"/>
          <w:szCs w:val="24"/>
          <w:lang w:val="zh-CN"/>
        </w:rPr>
        <w:t>企业名称（盖章）：</w:t>
      </w:r>
    </w:p>
    <w:p>
      <w:pPr>
        <w:spacing w:before="50" w:afterLines="50" w:line="360" w:lineRule="auto"/>
        <w:contextualSpacing/>
        <w:jc w:val="center"/>
        <w:rPr>
          <w:rFonts w:hint="eastAsia" w:ascii="宋体" w:hAnsi="宋体"/>
          <w:sz w:val="24"/>
          <w:szCs w:val="24"/>
          <w:lang w:val="zh-CN"/>
        </w:rPr>
      </w:pPr>
      <w:r>
        <w:rPr>
          <w:rFonts w:hint="eastAsia" w:ascii="宋体" w:hAnsi="宋体"/>
          <w:sz w:val="24"/>
          <w:szCs w:val="24"/>
          <w:lang w:val="en-US" w:eastAsia="zh-CN"/>
        </w:rPr>
        <w:t xml:space="preserve">           </w:t>
      </w:r>
      <w:r>
        <w:rPr>
          <w:rFonts w:hint="eastAsia" w:ascii="宋体" w:hAnsi="宋体"/>
          <w:sz w:val="24"/>
          <w:szCs w:val="24"/>
          <w:lang w:val="zh-CN"/>
        </w:rPr>
        <w:t>日</w:t>
      </w:r>
      <w:r>
        <w:rPr>
          <w:rFonts w:hint="eastAsia" w:ascii="宋体" w:hAnsi="宋体"/>
          <w:sz w:val="24"/>
          <w:szCs w:val="24"/>
          <w:lang w:val="en-US" w:eastAsia="zh-CN"/>
        </w:rPr>
        <w:t xml:space="preserve"> </w:t>
      </w:r>
      <w:r>
        <w:rPr>
          <w:rFonts w:hint="eastAsia" w:ascii="宋体" w:hAnsi="宋体"/>
          <w:sz w:val="24"/>
          <w:szCs w:val="24"/>
          <w:lang w:val="zh-CN"/>
        </w:rPr>
        <w:t xml:space="preserve">  期：      年    月    日</w:t>
      </w:r>
    </w:p>
    <w:p>
      <w:pPr>
        <w:spacing w:before="50" w:afterLines="50" w:line="360" w:lineRule="auto"/>
        <w:contextualSpacing/>
        <w:jc w:val="left"/>
        <w:rPr>
          <w:rFonts w:hint="eastAsia" w:ascii="宋体" w:hAnsi="宋体"/>
          <w:sz w:val="24"/>
          <w:szCs w:val="24"/>
          <w:lang w:val="zh-CN"/>
        </w:rPr>
      </w:pP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zh-CN"/>
        </w:rPr>
        <w:t>说明：</w:t>
      </w:r>
    </w:p>
    <w:p>
      <w:pPr>
        <w:spacing w:before="50" w:afterLines="50" w:line="360" w:lineRule="auto"/>
        <w:contextualSpacing/>
        <w:jc w:val="left"/>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从业人员、营业收入、资产总额填报上一年度数据，无上一年度数据的新成立企业可不填报。</w:t>
      </w:r>
    </w:p>
    <w:p>
      <w:pPr>
        <w:spacing w:before="50" w:afterLines="50" w:line="360" w:lineRule="auto"/>
        <w:contextualSpacing/>
        <w:jc w:val="left"/>
        <w:rPr>
          <w:rFonts w:hint="eastAsia" w:ascii="宋体" w:hAnsi="宋体"/>
          <w:sz w:val="24"/>
          <w:szCs w:val="24"/>
          <w:lang w:val="zh-CN" w:eastAsia="zh-CN"/>
        </w:rPr>
      </w:pPr>
      <w:bookmarkStart w:id="2" w:name="_Toc32061"/>
      <w:r>
        <w:rPr>
          <w:rFonts w:hint="eastAsia" w:ascii="宋体" w:hAnsi="宋体"/>
          <w:sz w:val="24"/>
          <w:szCs w:val="24"/>
          <w:lang w:val="en-US" w:eastAsia="zh-CN"/>
        </w:rPr>
        <w:t>2、</w:t>
      </w:r>
      <w:r>
        <w:rPr>
          <w:rFonts w:hint="eastAsia" w:ascii="宋体" w:hAnsi="宋体"/>
          <w:sz w:val="24"/>
          <w:szCs w:val="24"/>
          <w:lang w:val="zh-CN"/>
        </w:rPr>
        <w:t>如供应商未涉及中小企业单位等政府采购政策，响应文件中可不附此项内容</w:t>
      </w:r>
      <w:r>
        <w:rPr>
          <w:rFonts w:hint="eastAsia" w:ascii="宋体" w:hAnsi="宋体"/>
          <w:sz w:val="24"/>
          <w:szCs w:val="24"/>
          <w:lang w:val="zh-CN" w:eastAsia="zh-CN"/>
        </w:rPr>
        <w:t>。</w:t>
      </w:r>
      <w:bookmarkEnd w:id="2"/>
    </w:p>
    <w:p>
      <w:pPr>
        <w:widowControl/>
        <w:spacing w:before="100" w:beforeAutospacing="1" w:after="100" w:afterAutospacing="1" w:line="360" w:lineRule="auto"/>
        <w:contextualSpacing/>
        <w:jc w:val="left"/>
        <w:rPr>
          <w:rFonts w:hint="default" w:ascii="宋体" w:hAnsi="宋体" w:cs="Arial"/>
          <w:kern w:val="0"/>
          <w:lang w:val="en-US" w:eastAsia="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10</w:t>
      </w:r>
      <w:r>
        <w:rPr>
          <w:rFonts w:hint="eastAsia" w:ascii="宋体" w:hAnsi="宋体"/>
          <w:b/>
          <w:bCs/>
          <w:sz w:val="24"/>
          <w:szCs w:val="24"/>
        </w:rPr>
        <w:t xml:space="preserve">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                                   </w:t>
      </w:r>
      <w:bookmarkStart w:id="3" w:name="_Hlk51678165"/>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w:t>
      </w:r>
      <w:r>
        <w:rPr>
          <w:rFonts w:hint="eastAsia" w:ascii="宋体" w:hAnsi="宋体" w:cs="宋体"/>
        </w:rPr>
        <w:t>年    月    日</w:t>
      </w:r>
    </w:p>
    <w:p/>
    <w:p/>
    <w:p/>
    <w:p/>
    <w:p/>
    <w:p/>
    <w:p/>
    <w:p>
      <w:pPr>
        <w:pStyle w:val="2"/>
      </w:pPr>
    </w:p>
    <w:p>
      <w:pPr>
        <w:pStyle w:val="4"/>
      </w:pPr>
    </w:p>
    <w:p>
      <w:pPr>
        <w:pStyle w:val="6"/>
      </w:pPr>
    </w:p>
    <w:p/>
    <w:p>
      <w:pPr>
        <w:pStyle w:val="2"/>
      </w:pPr>
    </w:p>
    <w:p>
      <w:pPr>
        <w:pStyle w:val="4"/>
      </w:pPr>
    </w:p>
    <w:p>
      <w:pPr>
        <w:pStyle w:val="6"/>
      </w:pPr>
    </w:p>
    <w:p/>
    <w:p>
      <w:pPr>
        <w:pStyle w:val="2"/>
      </w:pPr>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11</w:t>
      </w:r>
      <w:r>
        <w:rPr>
          <w:rFonts w:hint="eastAsia" w:ascii="宋体" w:hAnsi="宋体"/>
          <w:b/>
          <w:bCs/>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rPr>
      </w:pPr>
      <w:r>
        <w:rPr>
          <w:rFonts w:hint="eastAsia" w:ascii="宋体" w:hAnsi="宋体" w:cs="Arial"/>
          <w:kern w:val="0"/>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bookmarkEnd w:id="3"/>
    <w:p>
      <w:pPr>
        <w:widowControl/>
        <w:spacing w:before="100" w:beforeAutospacing="1" w:after="100" w:afterAutospacing="1" w:line="360" w:lineRule="auto"/>
        <w:jc w:val="center"/>
        <w:rPr>
          <w:rFonts w:ascii="宋体" w:hAnsi="宋体"/>
          <w:b/>
          <w:bCs/>
          <w:sz w:val="36"/>
          <w:szCs w:val="36"/>
        </w:rPr>
      </w:pPr>
    </w:p>
    <w:p/>
    <w:p>
      <w:pPr>
        <w:pStyle w:val="2"/>
      </w:pPr>
    </w:p>
    <w:p>
      <w:pPr>
        <w:pStyle w:val="4"/>
      </w:pPr>
    </w:p>
    <w:p>
      <w:pPr>
        <w:pStyle w:val="6"/>
      </w:pPr>
    </w:p>
    <w:p/>
    <w:p>
      <w:pPr>
        <w:pStyle w:val="2"/>
      </w:pPr>
    </w:p>
    <w:p>
      <w:pPr>
        <w:pStyle w:val="4"/>
      </w:pPr>
    </w:p>
    <w:p>
      <w:pPr>
        <w:pStyle w:val="6"/>
      </w:pPr>
    </w:p>
    <w:p/>
    <w:p>
      <w:pPr>
        <w:pStyle w:val="2"/>
      </w:pPr>
    </w:p>
    <w:p>
      <w:pPr>
        <w:pStyle w:val="4"/>
      </w:pPr>
    </w:p>
    <w:p>
      <w:pPr>
        <w:pStyle w:val="6"/>
      </w:pPr>
    </w:p>
    <w:p/>
    <w:p>
      <w:pPr>
        <w:pStyle w:val="2"/>
      </w:pPr>
    </w:p>
    <w:p>
      <w:pPr>
        <w:pStyle w:val="4"/>
      </w:pPr>
    </w:p>
    <w:p>
      <w:pPr>
        <w:pStyle w:val="6"/>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bookmarkStart w:id="4" w:name="_Hlk51678189"/>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bookmarkEnd w:id="4"/>
    <w:p/>
    <w:p/>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roman"/>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4063"/>
    <w:multiLevelType w:val="singleLevel"/>
    <w:tmpl w:val="992C4063"/>
    <w:lvl w:ilvl="0" w:tentative="0">
      <w:start w:val="1"/>
      <w:numFmt w:val="decimal"/>
      <w:lvlText w:val="%1."/>
      <w:lvlJc w:val="left"/>
      <w:pPr>
        <w:ind w:left="425" w:hanging="425"/>
      </w:pPr>
      <w:rPr>
        <w:rFonts w:hint="default"/>
      </w:rPr>
    </w:lvl>
  </w:abstractNum>
  <w:abstractNum w:abstractNumId="1">
    <w:nsid w:val="9C29FC86"/>
    <w:multiLevelType w:val="singleLevel"/>
    <w:tmpl w:val="9C29FC86"/>
    <w:lvl w:ilvl="0" w:tentative="0">
      <w:start w:val="1"/>
      <w:numFmt w:val="decimal"/>
      <w:lvlText w:val="%1."/>
      <w:lvlJc w:val="left"/>
      <w:pPr>
        <w:ind w:left="425" w:hanging="425"/>
      </w:pPr>
      <w:rPr>
        <w:rFonts w:hint="default"/>
      </w:rPr>
    </w:lvl>
  </w:abstractNum>
  <w:abstractNum w:abstractNumId="2">
    <w:nsid w:val="9EE14E6E"/>
    <w:multiLevelType w:val="singleLevel"/>
    <w:tmpl w:val="9EE14E6E"/>
    <w:lvl w:ilvl="0" w:tentative="0">
      <w:start w:val="1"/>
      <w:numFmt w:val="decimal"/>
      <w:suff w:val="space"/>
      <w:lvlText w:val="%1."/>
      <w:lvlJc w:val="left"/>
      <w:pPr>
        <w:ind w:left="-420"/>
      </w:pPr>
    </w:lvl>
  </w:abstractNum>
  <w:abstractNum w:abstractNumId="3">
    <w:nsid w:val="A598B7AF"/>
    <w:multiLevelType w:val="singleLevel"/>
    <w:tmpl w:val="A598B7AF"/>
    <w:lvl w:ilvl="0" w:tentative="0">
      <w:start w:val="1"/>
      <w:numFmt w:val="decimal"/>
      <w:lvlText w:val="%1."/>
      <w:lvlJc w:val="left"/>
      <w:pPr>
        <w:tabs>
          <w:tab w:val="left" w:pos="312"/>
        </w:tabs>
      </w:pPr>
    </w:lvl>
  </w:abstractNum>
  <w:abstractNum w:abstractNumId="4">
    <w:nsid w:val="C4A7D46F"/>
    <w:multiLevelType w:val="singleLevel"/>
    <w:tmpl w:val="C4A7D46F"/>
    <w:lvl w:ilvl="0" w:tentative="0">
      <w:start w:val="1"/>
      <w:numFmt w:val="decimal"/>
      <w:lvlText w:val="%1."/>
      <w:lvlJc w:val="left"/>
      <w:pPr>
        <w:ind w:left="425" w:hanging="425"/>
      </w:pPr>
      <w:rPr>
        <w:rFonts w:hint="default"/>
      </w:rPr>
    </w:lvl>
  </w:abstractNum>
  <w:abstractNum w:abstractNumId="5">
    <w:nsid w:val="D92D535F"/>
    <w:multiLevelType w:val="singleLevel"/>
    <w:tmpl w:val="D92D535F"/>
    <w:lvl w:ilvl="0" w:tentative="0">
      <w:start w:val="1"/>
      <w:numFmt w:val="decimal"/>
      <w:lvlText w:val="%1."/>
      <w:lvlJc w:val="left"/>
      <w:pPr>
        <w:ind w:left="425" w:hanging="425"/>
      </w:pPr>
      <w:rPr>
        <w:rFonts w:hint="default"/>
      </w:rPr>
    </w:lvl>
  </w:abstractNum>
  <w:abstractNum w:abstractNumId="6">
    <w:nsid w:val="EE98C95C"/>
    <w:multiLevelType w:val="singleLevel"/>
    <w:tmpl w:val="EE98C95C"/>
    <w:lvl w:ilvl="0" w:tentative="0">
      <w:start w:val="1"/>
      <w:numFmt w:val="decimal"/>
      <w:lvlText w:val="%1."/>
      <w:lvlJc w:val="left"/>
      <w:pPr>
        <w:ind w:left="425" w:hanging="425"/>
      </w:pPr>
      <w:rPr>
        <w:rFonts w:hint="default"/>
      </w:rPr>
    </w:lvl>
  </w:abstractNum>
  <w:abstractNum w:abstractNumId="7">
    <w:nsid w:val="F90666DF"/>
    <w:multiLevelType w:val="singleLevel"/>
    <w:tmpl w:val="F90666DF"/>
    <w:lvl w:ilvl="0" w:tentative="0">
      <w:start w:val="1"/>
      <w:numFmt w:val="decimal"/>
      <w:lvlText w:val="%1."/>
      <w:lvlJc w:val="left"/>
      <w:pPr>
        <w:tabs>
          <w:tab w:val="left" w:pos="312"/>
        </w:tabs>
      </w:pPr>
    </w:lvl>
  </w:abstractNum>
  <w:abstractNum w:abstractNumId="8">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0000008"/>
    <w:multiLevelType w:val="singleLevel"/>
    <w:tmpl w:val="00000008"/>
    <w:lvl w:ilvl="0" w:tentative="0">
      <w:start w:val="3"/>
      <w:numFmt w:val="decimal"/>
      <w:suff w:val="nothing"/>
      <w:lvlText w:val="%1、"/>
      <w:lvlJc w:val="left"/>
      <w:pPr>
        <w:ind w:left="0" w:firstLine="0"/>
      </w:pPr>
    </w:lvl>
  </w:abstractNum>
  <w:abstractNum w:abstractNumId="13">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0A5B710C"/>
    <w:multiLevelType w:val="multilevel"/>
    <w:tmpl w:val="0A5B710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476B42"/>
    <w:multiLevelType w:val="singleLevel"/>
    <w:tmpl w:val="15476B42"/>
    <w:lvl w:ilvl="0" w:tentative="0">
      <w:start w:val="2"/>
      <w:numFmt w:val="chineseCounting"/>
      <w:suff w:val="nothing"/>
      <w:lvlText w:val="%1、"/>
      <w:lvlJc w:val="left"/>
      <w:rPr>
        <w:rFonts w:hint="eastAsia"/>
      </w:rPr>
    </w:lvl>
  </w:abstractNum>
  <w:abstractNum w:abstractNumId="16">
    <w:nsid w:val="175008D2"/>
    <w:multiLevelType w:val="multilevel"/>
    <w:tmpl w:val="175008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57633E"/>
    <w:multiLevelType w:val="singleLevel"/>
    <w:tmpl w:val="2157633E"/>
    <w:lvl w:ilvl="0" w:tentative="0">
      <w:start w:val="1"/>
      <w:numFmt w:val="decimal"/>
      <w:lvlText w:val="%1."/>
      <w:lvlJc w:val="left"/>
      <w:pPr>
        <w:ind w:left="425" w:hanging="425"/>
      </w:pPr>
      <w:rPr>
        <w:rFonts w:hint="default"/>
      </w:rPr>
    </w:lvl>
  </w:abstractNum>
  <w:abstractNum w:abstractNumId="18">
    <w:nsid w:val="2D961F44"/>
    <w:multiLevelType w:val="multilevel"/>
    <w:tmpl w:val="2D961F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5360E1"/>
    <w:multiLevelType w:val="multilevel"/>
    <w:tmpl w:val="2E5360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0B0225"/>
    <w:multiLevelType w:val="multilevel"/>
    <w:tmpl w:val="320B02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AF1B2B"/>
    <w:multiLevelType w:val="multilevel"/>
    <w:tmpl w:val="36AF1B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D5647CC"/>
    <w:multiLevelType w:val="multilevel"/>
    <w:tmpl w:val="3D5647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33465A9"/>
    <w:multiLevelType w:val="multilevel"/>
    <w:tmpl w:val="733465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E53FA3"/>
    <w:multiLevelType w:val="multilevel"/>
    <w:tmpl w:val="7FE53F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
  </w:num>
  <w:num w:numId="5">
    <w:abstractNumId w:val="5"/>
  </w:num>
  <w:num w:numId="6">
    <w:abstractNumId w:val="20"/>
  </w:num>
  <w:num w:numId="7">
    <w:abstractNumId w:val="6"/>
  </w:num>
  <w:num w:numId="8">
    <w:abstractNumId w:val="14"/>
  </w:num>
  <w:num w:numId="9">
    <w:abstractNumId w:val="18"/>
  </w:num>
  <w:num w:numId="10">
    <w:abstractNumId w:val="22"/>
  </w:num>
  <w:num w:numId="11">
    <w:abstractNumId w:val="25"/>
  </w:num>
  <w:num w:numId="12">
    <w:abstractNumId w:val="16"/>
  </w:num>
  <w:num w:numId="13">
    <w:abstractNumId w:val="23"/>
  </w:num>
  <w:num w:numId="14">
    <w:abstractNumId w:val="0"/>
  </w:num>
  <w:num w:numId="15">
    <w:abstractNumId w:val="19"/>
  </w:num>
  <w:num w:numId="16">
    <w:abstractNumId w:val="26"/>
  </w:num>
  <w:num w:numId="17">
    <w:abstractNumId w:val="17"/>
  </w:num>
  <w:num w:numId="18">
    <w:abstractNumId w:val="2"/>
  </w:num>
  <w:num w:numId="19">
    <w:abstractNumId w:val="7"/>
  </w:num>
  <w:num w:numId="20">
    <w:abstractNumId w:val="9"/>
  </w:num>
  <w:num w:numId="21">
    <w:abstractNumId w:val="21"/>
  </w:num>
  <w:num w:numId="22">
    <w:abstractNumId w:val="8"/>
  </w:num>
  <w:num w:numId="23">
    <w:abstractNumId w:val="13"/>
  </w:num>
  <w:num w:numId="24">
    <w:abstractNumId w:val="10"/>
  </w:num>
  <w:num w:numId="25">
    <w:abstractNumId w:val="11"/>
  </w:num>
  <w:num w:numId="26">
    <w:abstractNumId w:val="12"/>
    <w:lvlOverride w:ilvl="0">
      <w:startOverride w:val="3"/>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B26FD"/>
    <w:rsid w:val="00EC7C14"/>
    <w:rsid w:val="051722E9"/>
    <w:rsid w:val="075149D6"/>
    <w:rsid w:val="12D61C19"/>
    <w:rsid w:val="13A43592"/>
    <w:rsid w:val="14457F93"/>
    <w:rsid w:val="148060F6"/>
    <w:rsid w:val="1769546E"/>
    <w:rsid w:val="1F5409E4"/>
    <w:rsid w:val="25CC5C97"/>
    <w:rsid w:val="26074D8D"/>
    <w:rsid w:val="262428FE"/>
    <w:rsid w:val="28D523AE"/>
    <w:rsid w:val="32BC5E42"/>
    <w:rsid w:val="32FE4216"/>
    <w:rsid w:val="4442144C"/>
    <w:rsid w:val="480E32EE"/>
    <w:rsid w:val="48A718E7"/>
    <w:rsid w:val="493B26FD"/>
    <w:rsid w:val="4E765862"/>
    <w:rsid w:val="546B3613"/>
    <w:rsid w:val="563606E3"/>
    <w:rsid w:val="58001EC1"/>
    <w:rsid w:val="59B224FB"/>
    <w:rsid w:val="5D810E5C"/>
    <w:rsid w:val="5DFD0B0E"/>
    <w:rsid w:val="5F137489"/>
    <w:rsid w:val="622D5C27"/>
    <w:rsid w:val="65014A88"/>
    <w:rsid w:val="65FF4843"/>
    <w:rsid w:val="75F84AFC"/>
    <w:rsid w:val="7F0B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7">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宋体" w:hAnsi="Times New Roman" w:cs="宋体"/>
      <w:kern w:val="0"/>
      <w:sz w:val="34"/>
      <w:szCs w:val="34"/>
    </w:rPr>
  </w:style>
  <w:style w:type="paragraph" w:styleId="3">
    <w:name w:val="Body Text"/>
    <w:basedOn w:val="1"/>
    <w:next w:val="2"/>
    <w:unhideWhenUsed/>
    <w:qFormat/>
    <w:uiPriority w:val="99"/>
    <w:pPr>
      <w:spacing w:before="100" w:beforeAutospacing="1" w:after="120"/>
    </w:pPr>
  </w:style>
  <w:style w:type="paragraph" w:styleId="4">
    <w:name w:val="Body Text First Indent 2"/>
    <w:basedOn w:val="5"/>
    <w:next w:val="6"/>
    <w:qFormat/>
    <w:uiPriority w:val="0"/>
    <w:pPr>
      <w:ind w:firstLine="420" w:firstLineChars="200"/>
    </w:pPr>
    <w:rPr>
      <w:rFonts w:ascii="Times New Roman" w:hAnsi="Times New Roman"/>
    </w:rPr>
  </w:style>
  <w:style w:type="paragraph" w:styleId="5">
    <w:name w:val="Body Text Indent"/>
    <w:basedOn w:val="1"/>
    <w:next w:val="4"/>
    <w:qFormat/>
    <w:uiPriority w:val="0"/>
    <w:pPr>
      <w:spacing w:after="120"/>
      <w:ind w:left="420" w:leftChars="200"/>
    </w:pPr>
    <w:rPr>
      <w:rFonts w:ascii="Calibri" w:hAnsi="Calibri"/>
    </w:rPr>
  </w:style>
  <w:style w:type="paragraph" w:styleId="6">
    <w:name w:val="Date"/>
    <w:basedOn w:val="1"/>
    <w:next w:val="1"/>
    <w:qFormat/>
    <w:uiPriority w:val="99"/>
    <w:pPr>
      <w:ind w:left="100" w:leftChars="2500"/>
    </w:pPr>
  </w:style>
  <w:style w:type="paragraph" w:styleId="8">
    <w:name w:val="Normal Indent"/>
    <w:basedOn w:val="1"/>
    <w:unhideWhenUsed/>
    <w:qFormat/>
    <w:uiPriority w:val="99"/>
    <w:pPr>
      <w:ind w:firstLine="425"/>
    </w:pPr>
    <w:rPr>
      <w:rFonts w:ascii="Times New Roman" w:hAnsi="Times New Roman" w:cs="Times New Roman"/>
    </w:rPr>
  </w:style>
  <w:style w:type="paragraph" w:styleId="9">
    <w:name w:val="caption"/>
    <w:basedOn w:val="1"/>
    <w:next w:val="1"/>
    <w:qFormat/>
    <w:uiPriority w:val="99"/>
    <w:rPr>
      <w:rFonts w:ascii="Arial" w:hAnsi="Arial" w:eastAsia="黑体" w:cs="Arial"/>
      <w:sz w:val="20"/>
      <w:szCs w:val="20"/>
    </w:rPr>
  </w:style>
  <w:style w:type="paragraph" w:styleId="10">
    <w:name w:val="Plain Text"/>
    <w:basedOn w:val="1"/>
    <w:unhideWhenUsed/>
    <w:qFormat/>
    <w:uiPriority w:val="0"/>
    <w:rPr>
      <w:rFonts w:ascii="Times New Roman" w:hAnsi="Times New Roman" w:cs="Times New Roman"/>
      <w:kern w:val="0"/>
      <w:sz w:val="24"/>
      <w:szCs w:val="24"/>
    </w:rPr>
  </w:style>
  <w:style w:type="paragraph" w:styleId="11">
    <w:name w:val="footer"/>
    <w:basedOn w:val="1"/>
    <w:unhideWhenUsed/>
    <w:qFormat/>
    <w:uiPriority w:val="99"/>
    <w:pPr>
      <w:snapToGrid w:val="0"/>
      <w:jc w:val="left"/>
    </w:pPr>
    <w:rPr>
      <w:rFonts w:ascii="Times New Roman" w:hAnsi="Times New Roman" w:cs="Times New Roman"/>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styleId="17">
    <w:name w:val="List Paragraph"/>
    <w:basedOn w:val="1"/>
    <w:qFormat/>
    <w:uiPriority w:val="99"/>
    <w:pPr>
      <w:ind w:firstLine="420" w:firstLineChars="200"/>
    </w:p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2">
    <w:name w:val="正文文本缩进1"/>
    <w:basedOn w:val="1"/>
    <w:qFormat/>
    <w:uiPriority w:val="0"/>
    <w:pPr>
      <w:spacing w:line="360" w:lineRule="auto"/>
      <w:ind w:firstLine="480" w:firstLineChars="200"/>
    </w:pPr>
    <w:rPr>
      <w:rFonts w:ascii="宋体" w:hAnsi="Times New Roman" w:cs="宋体"/>
      <w:kern w:val="0"/>
      <w:sz w:val="24"/>
      <w:szCs w:val="24"/>
    </w:rPr>
  </w:style>
  <w:style w:type="paragraph" w:customStyle="1" w:styleId="23">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4">
    <w:name w:val="日期1"/>
    <w:basedOn w:val="1"/>
    <w:next w:val="1"/>
    <w:qFormat/>
    <w:uiPriority w:val="0"/>
    <w:rPr>
      <w:rFonts w:ascii="Times New Roman" w:hAnsi="Times New Roman" w:cs="Times New Roman"/>
      <w:kern w:val="0"/>
      <w:sz w:val="24"/>
      <w:szCs w:val="24"/>
    </w:rPr>
  </w:style>
  <w:style w:type="character" w:customStyle="1" w:styleId="25">
    <w:name w:val="15"/>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2021-10-26T04:50:00Z</dcterms:created>
  <dc:creator>珂</dc:creator>
  <cp:lastModifiedBy>珂</cp:lastModifiedBy>
  <cp:lastPrinted>2021-10-26T08:31:00Z</cp:lastPrinted>
  <dcterms:modified xsi:type="dcterms:W3CDTF">2021-10-28T01:01:22Z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2CF3D7C20A0B4EBCB0E273EB57361F2B</vt:lpwstr>
  </property>
</Properties>
</file>