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jc w:val="center"/>
        <w:rPr>
          <w:rFonts w:hint="eastAsia" w:hAnsi="宋体"/>
          <w:b/>
          <w:spacing w:val="20"/>
          <w:sz w:val="52"/>
          <w:szCs w:val="44"/>
          <w:lang w:val="en-US" w:eastAsia="zh-CN"/>
        </w:rPr>
      </w:pPr>
      <w:r>
        <w:rPr>
          <w:rFonts w:hint="eastAsia" w:hAnsi="宋体"/>
          <w:b/>
          <w:spacing w:val="20"/>
          <w:sz w:val="52"/>
          <w:szCs w:val="44"/>
          <w:lang w:val="en-US" w:eastAsia="zh-CN"/>
        </w:rPr>
        <w:t>禹州市乡村振兴人才队伍培训项目</w:t>
      </w:r>
    </w:p>
    <w:p>
      <w:pPr>
        <w:spacing w:before="98"/>
        <w:jc w:val="center"/>
        <w:rPr>
          <w:rFonts w:hint="default" w:hAnsi="宋体" w:eastAsiaTheme="minorEastAsia"/>
          <w:b/>
          <w:spacing w:val="20"/>
          <w:sz w:val="52"/>
          <w:szCs w:val="44"/>
          <w:lang w:val="en-US" w:eastAsia="zh-CN"/>
        </w:rPr>
      </w:pPr>
      <w:r>
        <w:rPr>
          <w:rFonts w:hint="eastAsia" w:hAnsi="宋体"/>
          <w:b/>
          <w:spacing w:val="20"/>
          <w:sz w:val="52"/>
          <w:szCs w:val="44"/>
          <w:lang w:val="en-US" w:eastAsia="zh-CN"/>
        </w:rPr>
        <w:t xml:space="preserve"> </w:t>
      </w:r>
    </w:p>
    <w:p/>
    <w:p>
      <w:pPr>
        <w:spacing w:before="98"/>
        <w:jc w:val="center"/>
        <w:rPr>
          <w:rFonts w:hint="eastAsia" w:hAnsi="宋体"/>
          <w:b/>
          <w:spacing w:val="20"/>
          <w:sz w:val="52"/>
          <w:szCs w:val="44"/>
          <w:lang w:val="en-US" w:eastAsia="zh-CN"/>
        </w:rPr>
      </w:pPr>
      <w:r>
        <w:rPr>
          <w:rFonts w:hint="eastAsia" w:hAnsi="宋体"/>
          <w:b/>
          <w:spacing w:val="20"/>
          <w:sz w:val="52"/>
          <w:szCs w:val="44"/>
          <w:lang w:val="en-US" w:eastAsia="zh-CN"/>
        </w:rPr>
        <w:t xml:space="preserve">采 购 文 </w:t>
      </w:r>
      <w:r>
        <w:rPr>
          <w:rFonts w:hint="eastAsia" w:hAnsi="宋体"/>
          <w:b/>
          <w:spacing w:val="20"/>
          <w:sz w:val="52"/>
          <w:szCs w:val="44"/>
          <w:lang w:val="en-US" w:eastAsia="zh-CN"/>
        </w:rPr>
        <w:tab/>
      </w:r>
      <w:r>
        <w:rPr>
          <w:rFonts w:hint="eastAsia" w:hAnsi="宋体"/>
          <w:b/>
          <w:spacing w:val="20"/>
          <w:sz w:val="52"/>
          <w:szCs w:val="44"/>
          <w:lang w:val="en-US" w:eastAsia="zh-CN"/>
        </w:rPr>
        <w:t>件</w:t>
      </w:r>
    </w:p>
    <w:p>
      <w:pPr>
        <w:jc w:val="center"/>
        <w:rPr>
          <w:sz w:val="24"/>
        </w:rPr>
      </w:pPr>
    </w:p>
    <w:p>
      <w:pPr>
        <w:jc w:val="center"/>
        <w:rPr>
          <w:rFonts w:hint="default" w:cs="仿宋_GB2312" w:asciiTheme="minorEastAsia" w:hAnsiTheme="minorEastAsia" w:eastAsiaTheme="minorEastAsia"/>
          <w:sz w:val="28"/>
          <w:szCs w:val="24"/>
          <w:shd w:val="clear" w:color="auto" w:fill="FFFFFF"/>
          <w:lang w:val="en-US" w:eastAsia="zh-CN"/>
        </w:rPr>
      </w:pPr>
      <w:r>
        <w:rPr>
          <w:rFonts w:hint="eastAsia" w:cs="仿宋_GB2312" w:asciiTheme="minorEastAsia" w:hAnsiTheme="minorEastAsia"/>
          <w:sz w:val="28"/>
          <w:szCs w:val="24"/>
          <w:shd w:val="clear" w:color="auto" w:fill="FFFFFF"/>
          <w:lang w:val="en-US" w:eastAsia="zh-CN"/>
        </w:rPr>
        <w:t>项目</w:t>
      </w:r>
      <w:r>
        <w:rPr>
          <w:rFonts w:hint="eastAsia" w:cs="仿宋_GB2312" w:asciiTheme="minorEastAsia" w:hAnsiTheme="minorEastAsia"/>
          <w:sz w:val="28"/>
          <w:szCs w:val="24"/>
          <w:shd w:val="clear" w:color="auto" w:fill="FFFFFF"/>
        </w:rPr>
        <w:t>编号：YZCG-DL</w:t>
      </w:r>
      <w:r>
        <w:rPr>
          <w:rFonts w:hint="eastAsia" w:cs="仿宋_GB2312" w:asciiTheme="minorEastAsia" w:hAnsiTheme="minorEastAsia"/>
          <w:sz w:val="28"/>
          <w:szCs w:val="24"/>
          <w:shd w:val="clear" w:color="auto" w:fill="FFFFFF"/>
          <w:lang w:val="en-US" w:eastAsia="zh-CN"/>
        </w:rPr>
        <w:t xml:space="preserve">G2021126 </w:t>
      </w:r>
    </w:p>
    <w:p>
      <w:pPr>
        <w:rPr>
          <w:sz w:val="22"/>
        </w:rPr>
      </w:pPr>
    </w:p>
    <w:p/>
    <w:p>
      <w:pPr>
        <w:jc w:val="center"/>
      </w:pPr>
      <w:r>
        <w:drawing>
          <wp:inline distT="0" distB="0" distL="0" distR="0">
            <wp:extent cx="2548890" cy="1852295"/>
            <wp:effectExtent l="0" t="0" r="3810" b="14605"/>
            <wp:docPr id="2" name="图片 1" descr="F:\河南林昱工程管理有限公司\河南林昱工程管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河南林昱工程管理有限公司\河南林昱工程管理1.jpg"/>
                    <pic:cNvPicPr>
                      <a:picLocks noChangeAspect="1" noChangeArrowheads="1"/>
                    </pic:cNvPicPr>
                  </pic:nvPicPr>
                  <pic:blipFill>
                    <a:blip r:embed="rId6"/>
                    <a:srcRect/>
                    <a:stretch>
                      <a:fillRect/>
                    </a:stretch>
                  </pic:blipFill>
                  <pic:spPr>
                    <a:xfrm>
                      <a:off x="0" y="0"/>
                      <a:ext cx="2550401" cy="1853762"/>
                    </a:xfrm>
                    <a:prstGeom prst="rect">
                      <a:avLst/>
                    </a:prstGeom>
                    <a:noFill/>
                    <a:ln w="9525">
                      <a:noFill/>
                      <a:miter lim="800000"/>
                      <a:headEnd/>
                      <a:tailEnd/>
                    </a:ln>
                  </pic:spPr>
                </pic:pic>
              </a:graphicData>
            </a:graphic>
          </wp:inline>
        </w:drawing>
      </w:r>
    </w:p>
    <w:p/>
    <w:p/>
    <w:p/>
    <w:p>
      <w:pPr>
        <w:spacing w:line="600" w:lineRule="auto"/>
        <w:jc w:val="both"/>
        <w:rPr>
          <w:rFonts w:hAnsi="宋体" w:cs="宋体"/>
          <w:b/>
          <w:spacing w:val="40"/>
          <w:sz w:val="36"/>
          <w:szCs w:val="36"/>
        </w:rPr>
      </w:pPr>
    </w:p>
    <w:p>
      <w:pPr>
        <w:spacing w:line="360" w:lineRule="auto"/>
        <w:ind w:firstLine="2108" w:firstLineChars="700"/>
        <w:rPr>
          <w:rFonts w:hAnsi="宋体"/>
          <w:b/>
          <w:sz w:val="30"/>
          <w:szCs w:val="30"/>
        </w:rPr>
      </w:pPr>
      <w:r>
        <w:rPr>
          <w:rFonts w:hint="eastAsia" w:hAnsi="宋体"/>
          <w:b/>
          <w:sz w:val="30"/>
          <w:szCs w:val="30"/>
        </w:rPr>
        <w:t>采购单位：</w:t>
      </w:r>
      <w:r>
        <w:rPr>
          <w:rFonts w:hint="eastAsia" w:hAnsi="宋体"/>
          <w:b/>
          <w:sz w:val="30"/>
          <w:szCs w:val="30"/>
          <w:lang w:val="en-US" w:eastAsia="zh-CN"/>
        </w:rPr>
        <w:t>中共禹州市委党校</w:t>
      </w:r>
      <w:r>
        <w:rPr>
          <w:rFonts w:hAnsi="宋体"/>
          <w:b/>
          <w:sz w:val="30"/>
          <w:szCs w:val="30"/>
        </w:rPr>
        <w:t xml:space="preserve"> </w:t>
      </w:r>
    </w:p>
    <w:p>
      <w:pPr>
        <w:tabs>
          <w:tab w:val="left" w:pos="2850"/>
        </w:tabs>
        <w:spacing w:line="580" w:lineRule="exact"/>
        <w:ind w:firstLine="2108" w:firstLineChars="700"/>
        <w:jc w:val="both"/>
        <w:rPr>
          <w:rFonts w:hint="eastAsia" w:hAnsi="宋体"/>
          <w:b/>
          <w:sz w:val="30"/>
          <w:szCs w:val="30"/>
          <w:lang w:eastAsia="zh-CN"/>
        </w:rPr>
      </w:pPr>
      <w:r>
        <w:rPr>
          <w:rFonts w:hint="eastAsia" w:hAnsi="宋体"/>
          <w:b/>
          <w:sz w:val="30"/>
          <w:szCs w:val="30"/>
        </w:rPr>
        <w:t>监督单位：</w:t>
      </w:r>
      <w:r>
        <w:rPr>
          <w:rFonts w:hint="eastAsia" w:hAnsi="宋体"/>
          <w:b/>
          <w:sz w:val="30"/>
          <w:szCs w:val="30"/>
          <w:lang w:eastAsia="zh-CN"/>
        </w:rPr>
        <w:t>禹州市政府采购监督管理办公室</w:t>
      </w:r>
    </w:p>
    <w:p>
      <w:pPr>
        <w:tabs>
          <w:tab w:val="left" w:pos="2850"/>
        </w:tabs>
        <w:spacing w:line="580" w:lineRule="exact"/>
        <w:ind w:firstLine="2108" w:firstLineChars="700"/>
        <w:jc w:val="both"/>
        <w:rPr>
          <w:rFonts w:ascii="宋体" w:hAnsi="宋体"/>
          <w:b/>
          <w:bCs/>
          <w:sz w:val="32"/>
          <w:szCs w:val="32"/>
        </w:rPr>
      </w:pPr>
      <w:r>
        <w:rPr>
          <w:rFonts w:hint="eastAsia" w:hAnsi="宋体"/>
          <w:b/>
          <w:sz w:val="30"/>
          <w:szCs w:val="30"/>
        </w:rPr>
        <w:t>招标代理：河南林昱工程管理有限公司</w:t>
      </w:r>
    </w:p>
    <w:p>
      <w:pPr>
        <w:jc w:val="center"/>
        <w:rPr>
          <w:rFonts w:hint="eastAsia" w:hAnsi="宋体"/>
          <w:b/>
          <w:sz w:val="30"/>
          <w:szCs w:val="30"/>
        </w:rPr>
      </w:pPr>
      <w:r>
        <w:rPr>
          <w:rFonts w:hint="eastAsia" w:hAnsi="宋体"/>
          <w:b/>
          <w:sz w:val="30"/>
          <w:szCs w:val="30"/>
        </w:rPr>
        <w:t>二零二一年</w:t>
      </w:r>
      <w:r>
        <w:rPr>
          <w:rFonts w:hint="eastAsia" w:hAnsi="宋体"/>
          <w:b/>
          <w:sz w:val="30"/>
          <w:szCs w:val="30"/>
          <w:lang w:val="en-US" w:eastAsia="zh-CN"/>
        </w:rPr>
        <w:t>十一</w:t>
      </w:r>
      <w:r>
        <w:rPr>
          <w:rFonts w:hint="eastAsia" w:hAnsi="宋体"/>
          <w:b/>
          <w:sz w:val="30"/>
          <w:szCs w:val="30"/>
        </w:rPr>
        <w:t>月</w:t>
      </w:r>
    </w:p>
    <w:p>
      <w:pPr>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48"/>
        <w:rPr>
          <w:rFonts w:asciiTheme="majorEastAsia" w:hAnsiTheme="majorEastAsia" w:eastAsiaTheme="majorEastAsia"/>
          <w:b/>
          <w:color w:val="auto"/>
          <w:sz w:val="32"/>
          <w:szCs w:val="32"/>
        </w:rPr>
      </w:pPr>
    </w:p>
    <w:p>
      <w:pPr>
        <w:pStyle w:val="48"/>
        <w:rPr>
          <w:rFonts w:asciiTheme="majorEastAsia" w:hAnsiTheme="majorEastAsia" w:eastAsiaTheme="majorEastAsia"/>
          <w:b/>
          <w:color w:val="auto"/>
          <w:sz w:val="32"/>
          <w:szCs w:val="32"/>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河南林昱工程管理有限公司</w:t>
      </w:r>
      <w:r>
        <w:rPr>
          <w:rFonts w:hint="eastAsia" w:ascii="宋体" w:hAnsi="宋体" w:eastAsia="宋体" w:cs="宋体"/>
          <w:color w:val="auto"/>
          <w:szCs w:val="21"/>
          <w:shd w:val="clear" w:color="auto" w:fill="FFFFFF"/>
        </w:rPr>
        <w:t>受</w:t>
      </w:r>
      <w:r>
        <w:rPr>
          <w:rFonts w:hint="eastAsia" w:ascii="宋体" w:hAnsi="宋体" w:eastAsia="宋体" w:cs="宋体"/>
          <w:color w:val="auto"/>
          <w:szCs w:val="21"/>
          <w:shd w:val="clear" w:color="auto" w:fill="FFFFFF"/>
          <w:lang w:val="en-US" w:eastAsia="zh-CN"/>
        </w:rPr>
        <w:t>中共禹州市委党校</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val="en-US" w:eastAsia="zh-CN"/>
        </w:rPr>
        <w:t>禹州市乡村振兴人才队伍培训项目</w:t>
      </w:r>
      <w:r>
        <w:rPr>
          <w:rFonts w:hint="eastAsia" w:ascii="宋体" w:hAnsi="宋体" w:eastAsia="宋体" w:cs="宋体"/>
          <w:color w:val="auto"/>
          <w:szCs w:val="21"/>
          <w:shd w:val="clear" w:color="auto" w:fill="FFFFFF"/>
        </w:rPr>
        <w:t>”进行公开招标，欢迎合格的投标人前来投标。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rPr>
        <w:t>一、</w:t>
      </w:r>
      <w:r>
        <w:rPr>
          <w:rFonts w:hint="eastAsia" w:ascii="宋体" w:hAnsi="宋体" w:eastAsia="宋体" w:cs="宋体"/>
          <w:b/>
          <w:bCs/>
          <w:color w:val="auto"/>
          <w:szCs w:val="21"/>
          <w:shd w:val="clear" w:color="auto" w:fill="FFFFFF"/>
        </w:rPr>
        <w:t>项目基本情况</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中共禹州市委党校</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val="en-US" w:eastAsia="zh-CN"/>
        </w:rPr>
        <w:t>禹州市乡村振兴人才队伍培训项目</w:t>
      </w: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3、采购编号：YZCG-DL</w:t>
      </w:r>
      <w:r>
        <w:rPr>
          <w:rFonts w:hint="eastAsia" w:ascii="宋体" w:hAnsi="宋体" w:eastAsia="宋体" w:cs="宋体"/>
          <w:color w:val="auto"/>
          <w:szCs w:val="21"/>
          <w:shd w:val="clear" w:color="auto" w:fill="FFFFFF"/>
          <w:lang w:val="en-US" w:eastAsia="zh-CN"/>
        </w:rPr>
        <w:t xml:space="preserve">G2021126 </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val="en-US" w:eastAsia="zh-CN"/>
        </w:rPr>
        <w:t>禹州市乡村振兴人才队伍培训项目</w:t>
      </w:r>
      <w:r>
        <w:rPr>
          <w:rFonts w:hint="eastAsia" w:ascii="宋体" w:hAnsi="宋体" w:eastAsia="宋体" w:cs="宋体"/>
          <w:color w:val="auto"/>
          <w:szCs w:val="21"/>
          <w:shd w:val="clear" w:color="auto" w:fill="FFFFFF"/>
        </w:rPr>
        <w:t>（详见招标文件）</w:t>
      </w:r>
    </w:p>
    <w:p>
      <w:pPr>
        <w:spacing w:line="360" w:lineRule="auto"/>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3100500.00元</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w:t>
      </w:r>
      <w:r>
        <w:rPr>
          <w:rFonts w:hint="eastAsia" w:cs="宋体" w:asciiTheme="minorEastAsia" w:hAnsiTheme="minorEastAsia"/>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cs="宋体" w:asciiTheme="minorEastAsia" w:hAnsiTheme="minorEastAsia"/>
          <w:bCs/>
          <w:color w:val="auto"/>
          <w:kern w:val="0"/>
          <w:szCs w:val="21"/>
          <w:lang w:val="zh-CN"/>
        </w:rPr>
        <w:t>合同签订后</w:t>
      </w:r>
      <w:r>
        <w:rPr>
          <w:rFonts w:hint="eastAsia" w:cs="宋体" w:asciiTheme="minorEastAsia" w:hAnsiTheme="minorEastAsia"/>
          <w:bCs/>
          <w:color w:val="auto"/>
          <w:kern w:val="0"/>
          <w:szCs w:val="21"/>
          <w:lang w:val="en-US" w:eastAsia="zh-CN"/>
        </w:rPr>
        <w:t xml:space="preserve"> 12 </w:t>
      </w:r>
      <w:r>
        <w:rPr>
          <w:rFonts w:hint="eastAsia" w:cs="宋体" w:asciiTheme="minorEastAsia" w:hAnsiTheme="minorEastAsia"/>
          <w:bCs/>
          <w:color w:val="auto"/>
          <w:kern w:val="0"/>
          <w:szCs w:val="21"/>
        </w:rPr>
        <w:t>个月内</w:t>
      </w:r>
      <w:r>
        <w:rPr>
          <w:rFonts w:hint="eastAsia" w:cs="宋体" w:asciiTheme="minorEastAsia" w:hAnsiTheme="minorEastAsia"/>
          <w:bCs/>
          <w:color w:val="auto"/>
          <w:kern w:val="0"/>
          <w:szCs w:val="21"/>
          <w:lang w:val="zh-CN"/>
        </w:rPr>
        <w:t>。</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1、符合《政府采购法》第二十二条之规定；</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lang w:val="zh-CN"/>
        </w:rPr>
        <w:t>未被列入“信用中国”网站(www.creditchina.gov.cn)失信被执行人、重大税收违法案件当事人名单的供应商；“中国政府采购网” (www.ccgp.gov.cn)政府采购严重违法失信行为记录名单的供应商；“中国社会组织政务服务平台”网站（www.chinanpo.gov.cn）严重违法失信名单的社会组织。</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3、被委托人须是本单位职工，提供公司为本人缴纳社会保险证明；</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4、本项目不接受联合体投标。</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四、获取招标文件的方式</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360" w:lineRule="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（二）在招标响应截止时间前均可登录《全国公共资源交易平台（河南省·许昌市）》“投标人/供应商登录”入口</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自行免费下载招标文件（详见“常见问题解答-交易系统操作手册”）。</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（三）招标文件每份售价人民币0元</w:t>
      </w:r>
      <w:r>
        <w:rPr>
          <w:rFonts w:hint="eastAsia" w:ascii="宋体" w:hAnsi="宋体" w:eastAsia="宋体" w:cs="宋体"/>
          <w:color w:val="auto"/>
          <w:szCs w:val="21"/>
          <w:shd w:val="clear" w:color="auto" w:fill="FFFFFF"/>
          <w:lang w:eastAsia="zh-CN"/>
        </w:rPr>
        <w:t>。</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五、投标文件提交截止时间及开标时间</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1、投标文件提交截止时间及开标时间：2021年</w:t>
      </w:r>
      <w:r>
        <w:rPr>
          <w:rFonts w:hint="eastAsia" w:ascii="宋体" w:hAnsi="宋体" w:eastAsia="宋体" w:cs="宋体"/>
          <w:color w:val="auto"/>
          <w:szCs w:val="21"/>
          <w:shd w:val="clear" w:color="auto" w:fill="FFFFFF"/>
          <w:lang w:val="en-US" w:eastAsia="zh-CN"/>
        </w:rPr>
        <w:t xml:space="preserve"> 12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 13 </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 xml:space="preserve"> 10：30 分</w:t>
      </w:r>
      <w:r>
        <w:rPr>
          <w:rFonts w:hint="eastAsia" w:ascii="宋体" w:hAnsi="宋体" w:eastAsia="宋体" w:cs="宋体"/>
          <w:color w:val="0000FF"/>
          <w:szCs w:val="21"/>
          <w:shd w:val="clear" w:color="auto" w:fill="FFFFFF"/>
        </w:rPr>
        <w:t>（</w:t>
      </w:r>
      <w:r>
        <w:rPr>
          <w:rFonts w:hint="eastAsia" w:ascii="宋体" w:hAnsi="宋体" w:eastAsia="宋体" w:cs="宋体"/>
          <w:color w:val="auto"/>
          <w:szCs w:val="21"/>
          <w:shd w:val="clear" w:color="auto" w:fill="FFFFFF"/>
        </w:rPr>
        <w:t>北京时间），逾期提交或不符合规定的响应文件恕不接受。</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2、投标文件开启时间：同响应文件提交截止时间。</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六、投标文件开启</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（一）开启地点：禹州市公共资源交易中心九楼第</w:t>
      </w:r>
      <w:r>
        <w:rPr>
          <w:rFonts w:hint="eastAsia" w:ascii="宋体" w:hAnsi="宋体" w:eastAsia="宋体" w:cs="宋体"/>
          <w:color w:val="auto"/>
          <w:szCs w:val="21"/>
          <w:shd w:val="clear" w:color="auto" w:fill="FFFFFF"/>
          <w:lang w:val="en-US" w:eastAsia="zh-CN"/>
        </w:rPr>
        <w:t xml:space="preserve"> 2 </w:t>
      </w:r>
      <w:r>
        <w:rPr>
          <w:rFonts w:hint="eastAsia" w:ascii="宋体" w:hAnsi="宋体" w:eastAsia="宋体" w:cs="宋体"/>
          <w:color w:val="auto"/>
          <w:szCs w:val="21"/>
          <w:shd w:val="clear" w:color="auto" w:fill="FFFFFF"/>
        </w:rPr>
        <w:t>开标室。（本项目采用远程不见面开标，供应商无须到达现场）。</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 本项目为全流程电子化交易项目，供应商须提交电子投标文件。</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1、加密电子投标文件（.file格式）须在投标文件提交截止时间（投标截止时间）前通过《全国公共资源交易平台(河南省▪许昌市)》公共资源交易系统成功上传。</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投标截止时间前，投标供应商应登录不见面开标大厅，按照投标截止时间准时参加线上投标文件开启，在系统规定时间内对电子投标文件进行远程解密，未在规定时间内解密或因供应商原因解密失败的，其投标文件将被拒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3、不见面开标大厅登录：投标供应商使用CA数字证书登录全国公共资源交易平台（河南省·许昌市）——进入公共资源交易系统</w:t>
      </w:r>
      <w:r>
        <w:rPr>
          <w:color w:val="auto"/>
        </w:rPr>
        <w:fldChar w:fldCharType="begin"/>
      </w:r>
      <w:r>
        <w:rPr>
          <w:color w:val="auto"/>
        </w:rPr>
        <w:instrText xml:space="preserve"> HYPERLINK "（一）持CA数字认证证书，登录《全国公共资源交易平台（河南省·许昌市）》" </w:instrText>
      </w:r>
      <w:r>
        <w:rPr>
          <w:color w:val="auto"/>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七、本次招标公告同时在</w:t>
      </w:r>
      <w:r>
        <w:rPr>
          <w:rFonts w:hint="eastAsia" w:ascii="宋体" w:hAnsi="宋体" w:eastAsia="宋体" w:cs="宋体"/>
          <w:b/>
          <w:bCs/>
          <w:color w:val="auto"/>
          <w:szCs w:val="21"/>
          <w:shd w:val="clear" w:color="auto" w:fill="FFFFFF"/>
          <w:lang w:val="en-GB" w:eastAsia="zh-CN"/>
        </w:rPr>
        <w:t>《中国政府采购网》、</w:t>
      </w:r>
      <w:r>
        <w:rPr>
          <w:rFonts w:hint="eastAsia" w:ascii="宋体" w:hAnsi="宋体" w:eastAsia="宋体" w:cs="宋体"/>
          <w:b/>
          <w:bCs/>
          <w:color w:val="auto"/>
          <w:szCs w:val="21"/>
          <w:shd w:val="clear" w:color="auto" w:fill="FFFFFF"/>
        </w:rPr>
        <w:t>《河南省政府采购网》、《许昌市政府采购网》、《全国公共资源交易平台（河南省·许昌市）》发布等。</w:t>
      </w:r>
    </w:p>
    <w:p>
      <w:pPr>
        <w:spacing w:line="360" w:lineRule="auto"/>
        <w:ind w:firstLine="422" w:firstLineChars="200"/>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中共禹州市委党校</w:t>
      </w:r>
    </w:p>
    <w:p>
      <w:pPr>
        <w:spacing w:line="360" w:lineRule="auto"/>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shd w:val="clear" w:color="auto" w:fill="FFFFFF"/>
          <w:lang w:val="en-US" w:eastAsia="zh-CN"/>
        </w:rPr>
        <w:t>河南省禹州市颍北大道西段</w:t>
      </w:r>
    </w:p>
    <w:p>
      <w:pPr>
        <w:autoSpaceDE w:val="0"/>
        <w:autoSpaceDN w:val="0"/>
        <w:adjustRightInd w:val="0"/>
        <w:spacing w:line="360" w:lineRule="auto"/>
        <w:ind w:firstLine="420" w:firstLineChars="200"/>
        <w:jc w:val="left"/>
        <w:rPr>
          <w:rFonts w:hint="eastAsia"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val="en-US" w:eastAsia="zh-CN"/>
        </w:rPr>
        <w:t>王先生</w:t>
      </w:r>
    </w:p>
    <w:p>
      <w:pPr>
        <w:spacing w:line="360" w:lineRule="auto"/>
        <w:ind w:firstLine="420" w:firstLineChars="200"/>
        <w:rPr>
          <w:rFonts w:hint="default" w:ascii="宋体" w:hAnsi="宋体" w:cs="宋体" w:eastAsiaTheme="minorEastAsia"/>
          <w:color w:val="auto"/>
          <w:szCs w:val="21"/>
          <w:shd w:val="clear" w:color="auto" w:fill="FFFFFF"/>
          <w:lang w:val="en-US" w:eastAsia="zh-CN"/>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0372-7037679</w:t>
      </w:r>
    </w:p>
    <w:p>
      <w:pPr>
        <w:spacing w:line="360" w:lineRule="auto"/>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val="en-US" w:eastAsia="zh-CN"/>
        </w:rPr>
        <w:t>河南林昱工程管理有限公司</w:t>
      </w:r>
    </w:p>
    <w:p>
      <w:pPr>
        <w:spacing w:line="360" w:lineRule="auto"/>
        <w:rPr>
          <w:rFonts w:hint="eastAsia" w:ascii="宋体" w:hAnsi="宋体" w:eastAsia="宋体" w:cs="Times New Roman"/>
          <w:b w:val="0"/>
          <w:bCs/>
          <w:color w:val="auto"/>
          <w:sz w:val="24"/>
          <w:szCs w:val="24"/>
        </w:rPr>
      </w:pP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地址：</w:t>
      </w:r>
      <w:r>
        <w:rPr>
          <w:rFonts w:hint="eastAsia" w:ascii="宋体" w:hAnsi="宋体" w:eastAsia="宋体" w:cs="Times New Roman"/>
          <w:b w:val="0"/>
          <w:bCs/>
          <w:color w:val="auto"/>
          <w:sz w:val="21"/>
          <w:szCs w:val="21"/>
        </w:rPr>
        <w:t>河南省许昌市市辖区学院路以东恒大绿洲</w:t>
      </w:r>
    </w:p>
    <w:p>
      <w:pPr>
        <w:spacing w:line="360" w:lineRule="auto"/>
        <w:ind w:firstLine="420" w:firstLineChars="200"/>
        <w:rPr>
          <w:rFonts w:hint="eastAsia" w:ascii="宋体" w:hAnsi="宋体" w:eastAsia="宋体" w:cs="宋体"/>
          <w:color w:val="auto"/>
          <w:szCs w:val="21"/>
          <w:shd w:val="clear" w:color="auto" w:fill="FFFFFF"/>
          <w:lang w:val="en-US" w:eastAsia="zh-CN"/>
        </w:rPr>
      </w:pPr>
    </w:p>
    <w:p>
      <w:pPr>
        <w:spacing w:line="360" w:lineRule="auto"/>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val="en-US" w:eastAsia="zh-CN"/>
        </w:rPr>
        <w:t>陈</w:t>
      </w:r>
      <w:r>
        <w:rPr>
          <w:rFonts w:hint="eastAsia" w:ascii="宋体" w:hAnsi="宋体" w:eastAsia="宋体" w:cs="宋体"/>
          <w:color w:val="auto"/>
          <w:szCs w:val="21"/>
          <w:shd w:val="clear" w:color="auto" w:fill="FFFFFF"/>
          <w:lang w:eastAsia="zh-CN"/>
        </w:rPr>
        <w:t>女士</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联系电话：18864642424</w:t>
      </w:r>
    </w:p>
    <w:p>
      <w:pPr>
        <w:spacing w:line="360" w:lineRule="auto"/>
        <w:ind w:firstLine="420" w:firstLineChars="200"/>
        <w:rPr>
          <w:color w:val="auto"/>
          <w:szCs w:val="21"/>
        </w:rPr>
      </w:pPr>
      <w:r>
        <w:rPr>
          <w:rFonts w:hint="eastAsia" w:ascii="宋体" w:hAnsi="宋体" w:eastAsia="宋体" w:cs="宋体"/>
          <w:color w:val="auto"/>
          <w:szCs w:val="21"/>
          <w:shd w:val="clear" w:color="auto" w:fill="FFFFFF"/>
        </w:rPr>
        <w:t>监督单位：</w:t>
      </w:r>
      <w:r>
        <w:rPr>
          <w:rFonts w:hint="eastAsia" w:ascii="宋体" w:hAnsi="宋体" w:eastAsia="宋体" w:cs="宋体"/>
          <w:color w:val="auto"/>
          <w:szCs w:val="21"/>
          <w:shd w:val="clear" w:color="auto" w:fill="FFFFFF"/>
          <w:lang w:eastAsia="zh-CN"/>
        </w:rPr>
        <w:t xml:space="preserve">禹州市政府采购监督管理办公室 </w:t>
      </w:r>
    </w:p>
    <w:p>
      <w:pPr>
        <w:pStyle w:val="3"/>
        <w:rPr>
          <w:color w:val="auto"/>
        </w:rPr>
      </w:pPr>
    </w:p>
    <w:p>
      <w:pPr>
        <w:spacing w:line="360" w:lineRule="auto"/>
        <w:rPr>
          <w:rFonts w:ascii="宋体" w:hAnsi="宋体" w:eastAsia="宋体" w:cs="宋体"/>
          <w:b/>
          <w:color w:val="auto"/>
          <w:szCs w:val="21"/>
        </w:rPr>
      </w:pPr>
      <w:r>
        <w:rPr>
          <w:rFonts w:hint="eastAsia" w:ascii="宋体" w:hAnsi="宋体" w:eastAsia="宋体" w:cs="宋体"/>
          <w:b/>
          <w:color w:val="auto"/>
          <w:szCs w:val="21"/>
        </w:rPr>
        <w:t>温馨提示：</w:t>
      </w:r>
    </w:p>
    <w:p>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2.电子文件下载、制作、提交期间和远程不见面开标（</w:t>
      </w:r>
      <w:r>
        <w:rPr>
          <w:rFonts w:hint="eastAsia" w:ascii="宋体" w:hAnsi="宋体" w:eastAsia="宋体" w:cs="宋体"/>
          <w:color w:val="auto"/>
          <w:szCs w:val="21"/>
        </w:rPr>
        <w:t>电子投标文件的解密</w:t>
      </w:r>
      <w:r>
        <w:rPr>
          <w:rFonts w:hint="eastAsia" w:ascii="宋体" w:hAnsi="宋体" w:eastAsia="宋体" w:cs="宋体"/>
          <w:b/>
          <w:color w:val="auto"/>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3.电子投标文件的制作</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3.1 投标人登录《全国公共资源交易平台(河南省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电子投标文件的制作，参考《全国公共资源交易平台(河南省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许昌市)》公共资源交易系统——组件下载——交易系统操作手册（投标人、供应商）。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4.加密电子投标文件的提交</w:t>
      </w:r>
    </w:p>
    <w:p>
      <w:pPr>
        <w:tabs>
          <w:tab w:val="left" w:pos="7095"/>
        </w:tabs>
        <w:spacing w:line="360" w:lineRule="auto"/>
        <w:rPr>
          <w:rFonts w:ascii="宋体" w:hAnsi="宋体" w:eastAsia="宋体" w:cs="宋体"/>
          <w:color w:val="auto"/>
          <w:szCs w:val="21"/>
        </w:rPr>
      </w:pPr>
      <w:r>
        <w:rPr>
          <w:rFonts w:hint="eastAsia" w:ascii="宋体" w:hAnsi="宋体" w:eastAsia="宋体" w:cs="宋体"/>
          <w:color w:val="auto"/>
          <w:szCs w:val="21"/>
        </w:rPr>
        <w:t xml:space="preserve">    4.1加密电子投标文件应按规定在投标截止时间（开标时间）之前成功提交至《全国公共资源交易平台(河南省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投标人应充分考虑并预留技术处理和上传数据所需时间。</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4.2 投标人对同一项目多个标段进行投标的，加密电子投标文件应按标段分别提交。</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宋体"/>
          <w:color w:val="auto"/>
          <w:szCs w:val="21"/>
        </w:rPr>
        <w:t>http://221.14.6.70:8088/ggzy/</w:t>
      </w:r>
      <w:r>
        <w:rPr>
          <w:rFonts w:hint="eastAsia" w:ascii="宋体" w:hAnsi="宋体" w:eastAsia="宋体" w:cs="宋体"/>
          <w:color w:val="auto"/>
          <w:szCs w:val="21"/>
        </w:rPr>
        <w:fldChar w:fldCharType="end"/>
      </w:r>
      <w:r>
        <w:rPr>
          <w:rFonts w:hint="eastAsia" w:ascii="宋体" w:hAnsi="宋体" w:eastAsia="宋体" w:cs="宋体"/>
          <w:color w:val="auto"/>
          <w:szCs w:val="21"/>
        </w:rPr>
        <w:t>）生成“投标文件提交回执单”。</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5.远程不见面开标（电子投标文件的解密）</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 投标人应熟悉《许昌市不见面操作手册》，并提前设置不见面开标浏览器（设置流程详见《许昌市不见面操作手册》）。</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5.2 《许昌市不见面操作手册》下载路径：全国公共资源交易平台（河南省·许昌市）—“资料下载”栏目。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6.评标依据</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6.1全流程电子化交易（不见面开标）项目，评标委员会以成功上传、解密的电子投标文件为依据评审。</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投标人通过电子邮件提供的书面说明或相关证明材料应加盖公章，或者由法定代表人或其授权的代表签字。</w:t>
      </w:r>
    </w:p>
    <w:p>
      <w:pPr>
        <w:tabs>
          <w:tab w:val="left" w:pos="7095"/>
        </w:tabs>
        <w:spacing w:line="360" w:lineRule="auto"/>
        <w:contextualSpacing/>
        <w:jc w:val="center"/>
        <w:rPr>
          <w:rFonts w:cs="宋体" w:asciiTheme="majorEastAsia" w:hAnsiTheme="majorEastAsia" w:eastAsiaTheme="majorEastAsia"/>
          <w:b/>
          <w:color w:val="auto"/>
          <w:kern w:val="0"/>
          <w:sz w:val="32"/>
          <w:szCs w:val="32"/>
        </w:rPr>
      </w:pPr>
    </w:p>
    <w:p>
      <w:pPr>
        <w:pStyle w:val="48"/>
        <w:rPr>
          <w:color w:val="auto"/>
        </w:rPr>
      </w:pPr>
    </w:p>
    <w:p>
      <w:pPr>
        <w:pStyle w:val="48"/>
        <w:rPr>
          <w:color w:val="auto"/>
        </w:rPr>
      </w:pPr>
    </w:p>
    <w:p>
      <w:pPr>
        <w:pStyle w:val="48"/>
        <w:rPr>
          <w:color w:val="auto"/>
        </w:rPr>
      </w:pPr>
    </w:p>
    <w:p>
      <w:pPr>
        <w:pStyle w:val="48"/>
        <w:rPr>
          <w:color w:val="auto"/>
        </w:rPr>
      </w:pPr>
    </w:p>
    <w:p>
      <w:pPr>
        <w:pStyle w:val="48"/>
        <w:rPr>
          <w:color w:val="auto"/>
        </w:rPr>
      </w:pPr>
    </w:p>
    <w:p>
      <w:pPr>
        <w:tabs>
          <w:tab w:val="left" w:pos="7095"/>
        </w:tabs>
        <w:spacing w:line="360" w:lineRule="auto"/>
        <w:ind w:firstLine="3213" w:firstLineChars="1000"/>
        <w:contextualSpacing/>
        <w:rPr>
          <w:color w:val="auto"/>
          <w:lang w:val="zh-CN"/>
        </w:rPr>
      </w:pPr>
      <w:r>
        <w:rPr>
          <w:rFonts w:hint="eastAsia" w:cs="宋体" w:asciiTheme="majorEastAsia" w:hAnsiTheme="majorEastAsia" w:eastAsiaTheme="majorEastAsia"/>
          <w:b/>
          <w:color w:val="auto"/>
          <w:kern w:val="0"/>
          <w:sz w:val="32"/>
          <w:szCs w:val="32"/>
        </w:rPr>
        <w:t>第二章  采购需求</w:t>
      </w:r>
    </w:p>
    <w:p>
      <w:pPr>
        <w:spacing w:line="360" w:lineRule="auto"/>
        <w:ind w:left="420" w:leftChars="200"/>
        <w:contextualSpacing/>
        <w:rPr>
          <w:rFonts w:hint="eastAsia" w:ascii="宋体" w:hAnsi="宋体" w:eastAsia="宋体" w:cs="宋体"/>
          <w:b/>
          <w:bCs/>
          <w:color w:val="0000FF"/>
          <w:szCs w:val="21"/>
          <w:lang w:val="en-US" w:eastAsia="zh-CN"/>
        </w:rPr>
      </w:pPr>
      <w:r>
        <w:rPr>
          <w:rFonts w:hint="eastAsia" w:ascii="宋体" w:hAnsi="宋体" w:eastAsia="宋体" w:cs="宋体"/>
          <w:b/>
          <w:bCs/>
          <w:color w:val="auto"/>
          <w:szCs w:val="21"/>
          <w:lang w:val="en-US" w:eastAsia="zh-CN"/>
        </w:rPr>
        <w:t>一、采购需求</w:t>
      </w:r>
      <w:r>
        <w:rPr>
          <w:rFonts w:hint="eastAsia" w:ascii="宋体" w:hAnsi="宋体" w:eastAsia="宋体" w:cs="宋体"/>
          <w:b/>
          <w:bCs/>
          <w:color w:val="0000FF"/>
          <w:szCs w:val="21"/>
          <w:lang w:val="en-US" w:eastAsia="zh-CN"/>
        </w:rPr>
        <w:t xml:space="preserve"> </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1、乡村治理人才培训（一），参加人员：全市各乡镇（局委）负责乡村振兴工作的科级干部40人，培训时长4天。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2、乡村治理人才培训（二），参加人员：全市负责乡村振兴的村组干部300人，培训时长4天。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3、乡村治理人才培训（三），参加人员：乡村社会工作人员和司法工作人员60人，培训时长5天。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4、乡村产业经营人才培训（一），参加人员：各乡镇经济组织负责人30人，培训时长5天。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5、乡村产业经营人才培训（二），参加人员：各乡镇经济组织骨干成员100人，培训时长5天。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6、农村科技人才培训，参加人员：各乡镇农技人员、农业科技推广人员等60人，培训时长5天。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7、宏观经济形势与县域经济发展专题研修，参加人员：市委、市政府负责乡村振兴的科级以上干部40人，培训时长2天。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8、公共服务人才培训（一），参加人员：全市各乡镇中小学校长200人，培训时长5天。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9、公共服务人才培训（二），参加人员：各乡镇医疗卫生、文化旅游等行业从业人员300人，培训时长5天。</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10、公共服务人才培训（三），参加人员：全市各乡镇骨干教师300人，培训时长5天。</w:t>
      </w:r>
    </w:p>
    <w:p>
      <w:pPr>
        <w:spacing w:line="480" w:lineRule="exact"/>
        <w:ind w:firstLine="420" w:firstLineChars="200"/>
        <w:rPr>
          <w:rFonts w:hint="eastAsia" w:ascii="宋体" w:hAnsi="宋体" w:eastAsia="宋体" w:cs="宋体"/>
          <w:b/>
          <w:bCs/>
          <w:color w:val="auto"/>
          <w:szCs w:val="21"/>
          <w:lang w:val="en-US" w:eastAsia="zh-CN"/>
        </w:rPr>
      </w:pPr>
      <w:r>
        <w:rPr>
          <w:rFonts w:hint="eastAsia" w:ascii="宋体" w:hAnsi="宋体" w:eastAsia="宋体" w:cs="宋体"/>
          <w:color w:val="auto"/>
          <w:szCs w:val="21"/>
          <w:lang w:val="en-US" w:eastAsia="zh-CN"/>
        </w:rPr>
        <w:t>11、禹州市委党校教职工培训，参加人员：禹州市委党校职工40人，培训时长5天。</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en-US" w:eastAsia="zh-CN"/>
        </w:rPr>
        <w:t>二</w:t>
      </w:r>
      <w:r>
        <w:rPr>
          <w:rFonts w:hint="eastAsia" w:cs="宋体" w:asciiTheme="minorEastAsia" w:hAnsiTheme="minorEastAsia"/>
          <w:b/>
          <w:color w:val="auto"/>
          <w:kern w:val="0"/>
          <w:szCs w:val="21"/>
        </w:rPr>
        <w:t>.</w:t>
      </w:r>
      <w:r>
        <w:rPr>
          <w:rFonts w:hint="eastAsia" w:cs="宋体" w:asciiTheme="minorEastAsia" w:hAnsiTheme="minorEastAsia"/>
          <w:b/>
          <w:color w:val="auto"/>
          <w:kern w:val="0"/>
          <w:szCs w:val="21"/>
          <w:lang w:eastAsia="zh-CN"/>
        </w:rPr>
        <w:t>、</w:t>
      </w:r>
      <w:r>
        <w:rPr>
          <w:rFonts w:hint="eastAsia" w:cs="宋体" w:asciiTheme="minorEastAsia" w:hAnsiTheme="minorEastAsia"/>
          <w:b/>
          <w:color w:val="auto"/>
          <w:kern w:val="0"/>
          <w:szCs w:val="21"/>
          <w:lang w:val="zh-CN"/>
        </w:rPr>
        <w:t>服务标准、期限、效率等要求</w:t>
      </w:r>
    </w:p>
    <w:p>
      <w:pPr>
        <w:spacing w:line="360" w:lineRule="auto"/>
        <w:ind w:left="420" w:left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★服务标准：</w:t>
      </w:r>
      <w:r>
        <w:rPr>
          <w:rFonts w:hint="eastAsia" w:cs="宋体" w:asciiTheme="minorEastAsia" w:hAnsiTheme="minorEastAsia"/>
          <w:bCs/>
          <w:color w:val="auto"/>
          <w:kern w:val="0"/>
          <w:szCs w:val="21"/>
          <w:lang w:val="en-US" w:eastAsia="zh-CN"/>
        </w:rPr>
        <w:t xml:space="preserve"> </w:t>
      </w:r>
      <w:r>
        <w:rPr>
          <w:rFonts w:hint="eastAsia" w:cs="宋体" w:asciiTheme="minorEastAsia" w:hAnsiTheme="minorEastAsia"/>
          <w:bCs/>
          <w:color w:val="auto"/>
          <w:kern w:val="0"/>
          <w:szCs w:val="21"/>
          <w:lang w:val="zh-CN"/>
        </w:rPr>
        <w:t>。</w:t>
      </w:r>
    </w:p>
    <w:p>
      <w:pPr>
        <w:spacing w:line="360" w:lineRule="auto"/>
        <w:ind w:left="420" w:leftChars="200"/>
        <w:contextualSpacing/>
        <w:rPr>
          <w:rFonts w:cs="宋体" w:asciiTheme="minorEastAsia" w:hAnsiTheme="minorEastAsia"/>
          <w:bCs/>
          <w:color w:val="auto"/>
          <w:kern w:val="0"/>
          <w:szCs w:val="21"/>
          <w:lang w:val="zh-CN"/>
        </w:rPr>
      </w:pPr>
      <w:r>
        <w:rPr>
          <w:rFonts w:hint="eastAsia" w:cs="宋体" w:asciiTheme="minorEastAsia" w:hAnsiTheme="minorEastAsia"/>
          <w:bCs/>
          <w:color w:val="auto"/>
          <w:kern w:val="0"/>
          <w:szCs w:val="21"/>
          <w:lang w:val="zh-CN"/>
        </w:rPr>
        <w:t>★交付（服务、完工）期限：合同签订后</w:t>
      </w:r>
      <w:r>
        <w:rPr>
          <w:rFonts w:hint="eastAsia" w:cs="宋体" w:asciiTheme="minorEastAsia" w:hAnsiTheme="minorEastAsia"/>
          <w:bCs/>
          <w:color w:val="auto"/>
          <w:kern w:val="0"/>
          <w:szCs w:val="21"/>
          <w:lang w:val="en-US" w:eastAsia="zh-CN"/>
        </w:rPr>
        <w:t xml:space="preserve"> 12 </w:t>
      </w:r>
      <w:r>
        <w:rPr>
          <w:rFonts w:hint="eastAsia" w:cs="宋体" w:asciiTheme="minorEastAsia" w:hAnsiTheme="minorEastAsia"/>
          <w:bCs/>
          <w:color w:val="auto"/>
          <w:kern w:val="0"/>
          <w:szCs w:val="21"/>
        </w:rPr>
        <w:t>个月内</w:t>
      </w:r>
      <w:r>
        <w:rPr>
          <w:rFonts w:hint="eastAsia" w:cs="宋体" w:asciiTheme="minorEastAsia" w:hAnsiTheme="minorEastAsia"/>
          <w:bCs/>
          <w:color w:val="auto"/>
          <w:kern w:val="0"/>
          <w:szCs w:val="21"/>
          <w:lang w:val="zh-CN"/>
        </w:rPr>
        <w:t>。</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en-US" w:eastAsia="zh-CN"/>
        </w:rPr>
        <w:t>三</w:t>
      </w:r>
      <w:r>
        <w:rPr>
          <w:rFonts w:hint="eastAsia" w:cs="宋体" w:asciiTheme="minorEastAsia" w:hAnsiTheme="minorEastAsia"/>
          <w:b/>
          <w:color w:val="auto"/>
          <w:kern w:val="0"/>
          <w:szCs w:val="21"/>
        </w:rPr>
        <w:t>.</w:t>
      </w:r>
      <w:r>
        <w:rPr>
          <w:rFonts w:hint="eastAsia" w:cs="宋体" w:asciiTheme="minorEastAsia" w:hAnsiTheme="minorEastAsia"/>
          <w:b/>
          <w:color w:val="auto"/>
          <w:kern w:val="0"/>
          <w:szCs w:val="21"/>
          <w:lang w:eastAsia="zh-CN"/>
        </w:rPr>
        <w:t>、</w:t>
      </w:r>
      <w:r>
        <w:rPr>
          <w:rFonts w:hint="eastAsia" w:cs="宋体" w:asciiTheme="minorEastAsia" w:hAnsiTheme="minorEastAsia"/>
          <w:b/>
          <w:color w:val="auto"/>
          <w:kern w:val="0"/>
          <w:szCs w:val="21"/>
          <w:lang w:val="zh-CN"/>
        </w:rPr>
        <w:t>采购标的的其他技术、服务等要求</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.招标</w:t>
      </w:r>
      <w:r>
        <w:rPr>
          <w:rFonts w:hint="eastAsia" w:ascii="宋体" w:hAnsi="宋体" w:eastAsia="宋体" w:cs="宋体"/>
          <w:color w:val="auto"/>
          <w:szCs w:val="21"/>
          <w:lang w:val="zh-CN"/>
        </w:rPr>
        <w:t>中所列需求为最低要求，对招标文件中没有列出而对本项目必不可少的其他要求，投标人必须给予实现。</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2）.本项目最高投标限价，不允许超出，否则将承担其投标被视为非实质性响应投标的风险，投标人根据自身情况进行投标，合同履约过程中因其它未知因素所产生的相关费用，均由投标人自行负责。</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3）.合同履约期间，因</w:t>
      </w:r>
      <w:r>
        <w:rPr>
          <w:rFonts w:hint="eastAsia" w:ascii="宋体" w:hAnsi="宋体" w:eastAsia="宋体" w:cs="宋体"/>
          <w:color w:val="auto"/>
          <w:szCs w:val="21"/>
          <w:lang w:val="en-US" w:eastAsia="zh-CN"/>
        </w:rPr>
        <w:t>非采购人原因</w:t>
      </w:r>
      <w:r>
        <w:rPr>
          <w:rFonts w:hint="eastAsia" w:ascii="宋体" w:hAnsi="宋体" w:eastAsia="宋体" w:cs="宋体"/>
          <w:color w:val="auto"/>
          <w:szCs w:val="21"/>
          <w:lang w:val="zh-CN"/>
        </w:rPr>
        <w:t>导致合同无法履行的，采购人有权与拟中标人解除合同关系。</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4）.单位负责人为同一人或者存在直接控股、管理关系的不同供应商，不得参加同一合同项下的政府采购活动。</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5）</w:t>
      </w:r>
      <w:r>
        <w:rPr>
          <w:rFonts w:hint="eastAsia" w:ascii="宋体" w:hAnsi="宋体" w:eastAsia="宋体" w:cs="宋体"/>
          <w:color w:val="auto"/>
          <w:szCs w:val="21"/>
          <w:lang w:val="zh-CN"/>
        </w:rPr>
        <w:t>.投标人应提供专项承诺书，承诺所提交的类似业绩和其他证明材料真实可查，如有伪造、弄虚作假等行为，一经查实，取消本项目投标</w:t>
      </w:r>
      <w:r>
        <w:rPr>
          <w:rFonts w:hint="eastAsia" w:ascii="宋体" w:hAnsi="宋体" w:eastAsia="宋体" w:cs="宋体"/>
          <w:color w:val="auto"/>
          <w:szCs w:val="21"/>
        </w:rPr>
        <w:t>/中标</w:t>
      </w:r>
      <w:r>
        <w:rPr>
          <w:rFonts w:hint="eastAsia" w:ascii="宋体" w:hAnsi="宋体" w:eastAsia="宋体" w:cs="宋体"/>
          <w:color w:val="auto"/>
          <w:szCs w:val="21"/>
          <w:lang w:val="zh-CN"/>
        </w:rPr>
        <w:t>资格。</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6）</w:t>
      </w:r>
      <w:r>
        <w:rPr>
          <w:rFonts w:hint="eastAsia" w:ascii="宋体" w:hAnsi="宋体" w:eastAsia="宋体" w:cs="宋体"/>
          <w:color w:val="auto"/>
          <w:szCs w:val="21"/>
          <w:lang w:val="zh-CN"/>
        </w:rPr>
        <w:t>.投标人应就本项目完整投标，否则为无效投标。</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rPr>
        <w:t>7）</w:t>
      </w:r>
      <w:r>
        <w:rPr>
          <w:rFonts w:hint="eastAsia" w:ascii="宋体" w:hAnsi="宋体" w:eastAsia="宋体" w:cs="宋体"/>
          <w:color w:val="auto"/>
          <w:szCs w:val="21"/>
          <w:lang w:val="zh-CN"/>
        </w:rPr>
        <w:t>.本项目为交钥匙</w:t>
      </w:r>
      <w:r>
        <w:rPr>
          <w:rFonts w:hint="eastAsia" w:ascii="宋体" w:hAnsi="宋体" w:eastAsia="宋体" w:cs="宋体"/>
          <w:color w:val="auto"/>
          <w:szCs w:val="21"/>
          <w:lang w:val="en-US" w:eastAsia="zh-CN"/>
        </w:rPr>
        <w:t>项目</w:t>
      </w:r>
      <w:r>
        <w:rPr>
          <w:rFonts w:hint="eastAsia" w:ascii="宋体" w:hAnsi="宋体" w:eastAsia="宋体" w:cs="宋体"/>
          <w:color w:val="auto"/>
          <w:szCs w:val="21"/>
          <w:lang w:val="zh-CN"/>
        </w:rPr>
        <w:t>（包括与其它协作单位所产生的费用等）。</w:t>
      </w:r>
    </w:p>
    <w:p>
      <w:pPr>
        <w:spacing w:line="480" w:lineRule="exact"/>
        <w:ind w:firstLine="422" w:firstLineChars="200"/>
        <w:rPr>
          <w:rFonts w:ascii="宋体" w:hAnsi="宋体" w:eastAsia="宋体" w:cs="宋体"/>
          <w:b/>
          <w:bCs/>
          <w:color w:val="auto"/>
          <w:szCs w:val="21"/>
          <w:lang w:val="zh-CN"/>
        </w:rPr>
      </w:pPr>
      <w:r>
        <w:rPr>
          <w:rFonts w:hint="eastAsia" w:ascii="宋体" w:hAnsi="宋体" w:eastAsia="宋体" w:cs="宋体"/>
          <w:b/>
          <w:bCs/>
          <w:color w:val="auto"/>
          <w:szCs w:val="21"/>
          <w:lang w:val="zh-CN"/>
        </w:rPr>
        <w:t>四、验收标准</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lang w:val="en-US" w:eastAsia="zh-CN"/>
        </w:rPr>
        <w:t>由采购人成立验收小组,按照采购合同的约定对中标人履约情况进行验收。验收时,按照采购合同的约定对履约情况进行确认。验收结束后,出具验收书, 按照招标文件要求、投标文件响应和承诺验收</w:t>
      </w:r>
      <w:r>
        <w:rPr>
          <w:rFonts w:hint="eastAsia" w:ascii="宋体" w:hAnsi="宋体" w:eastAsia="宋体" w:cs="宋体"/>
          <w:color w:val="auto"/>
          <w:szCs w:val="21"/>
          <w:lang w:val="zh-CN"/>
        </w:rPr>
        <w:t>。</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2.供应商应在</w:t>
      </w:r>
      <w:r>
        <w:rPr>
          <w:rFonts w:hint="eastAsia" w:ascii="宋体" w:hAnsi="宋体" w:eastAsia="宋体" w:cs="宋体"/>
          <w:color w:val="auto"/>
          <w:szCs w:val="21"/>
          <w:lang w:val="en-US" w:eastAsia="zh-CN"/>
        </w:rPr>
        <w:t>投标</w:t>
      </w:r>
      <w:r>
        <w:rPr>
          <w:rFonts w:hint="eastAsia" w:ascii="宋体" w:hAnsi="宋体" w:eastAsia="宋体" w:cs="宋体"/>
          <w:color w:val="auto"/>
          <w:szCs w:val="21"/>
          <w:lang w:val="zh-CN"/>
        </w:rPr>
        <w:t>文件中承诺完全响应</w:t>
      </w:r>
      <w:r>
        <w:rPr>
          <w:rFonts w:hint="eastAsia" w:ascii="宋体" w:hAnsi="宋体" w:eastAsia="宋体" w:cs="宋体"/>
          <w:color w:val="auto"/>
          <w:szCs w:val="21"/>
          <w:lang w:val="en-US" w:eastAsia="zh-CN"/>
        </w:rPr>
        <w:t>招标</w:t>
      </w:r>
      <w:r>
        <w:rPr>
          <w:rFonts w:hint="eastAsia" w:ascii="宋体" w:hAnsi="宋体" w:eastAsia="宋体" w:cs="宋体"/>
          <w:color w:val="auto"/>
          <w:szCs w:val="21"/>
          <w:lang w:val="zh-CN"/>
        </w:rPr>
        <w:t>文件要求，并承诺按采购人要求验收。</w:t>
      </w:r>
    </w:p>
    <w:p>
      <w:pPr>
        <w:spacing w:line="48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五、本项目预算金额：</w:t>
      </w:r>
      <w:r>
        <w:rPr>
          <w:rFonts w:hint="eastAsia" w:ascii="宋体" w:hAnsi="宋体" w:eastAsia="宋体" w:cs="宋体"/>
          <w:color w:val="auto"/>
          <w:szCs w:val="21"/>
          <w:lang w:val="zh-CN" w:eastAsia="zh-CN"/>
        </w:rPr>
        <w:t>3100500.00</w:t>
      </w:r>
      <w:r>
        <w:rPr>
          <w:rFonts w:hint="eastAsia" w:ascii="宋体" w:hAnsi="宋体" w:eastAsia="宋体" w:cs="宋体"/>
          <w:color w:val="auto"/>
          <w:szCs w:val="21"/>
          <w:lang w:val="zh-CN"/>
        </w:rPr>
        <w:t>元。超出预算金额的</w:t>
      </w:r>
      <w:r>
        <w:rPr>
          <w:rFonts w:hint="eastAsia" w:ascii="宋体" w:hAnsi="宋体" w:eastAsia="宋体" w:cs="宋体"/>
          <w:color w:val="auto"/>
          <w:szCs w:val="21"/>
          <w:lang w:val="en-US" w:eastAsia="zh-CN"/>
        </w:rPr>
        <w:t>投标</w:t>
      </w:r>
      <w:r>
        <w:rPr>
          <w:rFonts w:hint="eastAsia" w:ascii="宋体" w:hAnsi="宋体" w:eastAsia="宋体" w:cs="宋体"/>
          <w:color w:val="auto"/>
          <w:szCs w:val="21"/>
          <w:lang w:val="zh-CN"/>
        </w:rPr>
        <w:t>响应无效。</w:t>
      </w:r>
    </w:p>
    <w:p>
      <w:pPr>
        <w:spacing w:line="480" w:lineRule="exact"/>
        <w:ind w:firstLine="422" w:firstLineChars="200"/>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六、资金支付</w:t>
      </w:r>
    </w:p>
    <w:p>
      <w:pPr>
        <w:spacing w:line="48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1.支付方式：</w:t>
      </w:r>
      <w:r>
        <w:rPr>
          <w:rFonts w:hint="eastAsia" w:ascii="宋体" w:hAnsi="宋体" w:eastAsia="宋体" w:cs="宋体"/>
          <w:color w:val="auto"/>
          <w:szCs w:val="21"/>
          <w:lang w:val="zh-CN"/>
        </w:rPr>
        <w:t>双方按照合同约定执行。</w:t>
      </w:r>
    </w:p>
    <w:p>
      <w:pPr>
        <w:spacing w:line="48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2.支付时间及条件：双方按照合同约定执行。</w:t>
      </w: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3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val="en-US" w:eastAsia="zh-CN"/>
              </w:rPr>
              <w:t>禹州市乡村振兴人才队伍培训项目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采购单位：</w:t>
            </w:r>
            <w:r>
              <w:rPr>
                <w:rFonts w:hint="eastAsia" w:cs="仿宋_GB2312" w:asciiTheme="minorEastAsia" w:hAnsiTheme="minorEastAsia"/>
                <w:color w:val="auto"/>
                <w:szCs w:val="21"/>
                <w:lang w:val="en-US" w:eastAsia="zh-CN"/>
              </w:rPr>
              <w:t>中共禹州市委党校</w:t>
            </w:r>
          </w:p>
          <w:p>
            <w:pPr>
              <w:autoSpaceDE w:val="0"/>
              <w:autoSpaceDN w:val="0"/>
              <w:adjustRightInd w:val="0"/>
              <w:spacing w:line="360" w:lineRule="auto"/>
              <w:jc w:val="left"/>
              <w:rPr>
                <w:rFonts w:hint="default" w:cs="仿宋_GB2312" w:asciiTheme="minorEastAsia" w:hAnsiTheme="minorEastAsia"/>
                <w:color w:val="auto"/>
                <w:szCs w:val="21"/>
                <w:lang w:val="en-US"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val="en-US" w:eastAsia="zh-CN"/>
              </w:rPr>
              <w:t xml:space="preserve"> 河南省禹州市颍北大道西段</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val="en-US" w:eastAsia="zh-CN"/>
              </w:rPr>
              <w:t xml:space="preserve"> 王先生</w:t>
            </w:r>
          </w:p>
          <w:p>
            <w:pPr>
              <w:autoSpaceDE w:val="0"/>
              <w:autoSpaceDN w:val="0"/>
              <w:adjustRightInd w:val="0"/>
              <w:spacing w:line="360" w:lineRule="auto"/>
              <w:jc w:val="left"/>
              <w:rPr>
                <w:rFonts w:hint="default" w:cs="仿宋_GB2312" w:asciiTheme="minorEastAsia" w:hAnsiTheme="minorEastAsia" w:eastAsiaTheme="minorEastAsia"/>
                <w:color w:val="auto"/>
                <w:szCs w:val="21"/>
                <w:lang w:val="en-US" w:eastAsia="zh-CN"/>
              </w:rPr>
            </w:pPr>
            <w:r>
              <w:rPr>
                <w:rFonts w:hint="eastAsia" w:cs="仿宋_GB2312" w:asciiTheme="minorEastAsia" w:hAnsiTheme="minorEastAsia"/>
                <w:color w:val="auto"/>
                <w:szCs w:val="21"/>
              </w:rPr>
              <w:t>联系电话：</w:t>
            </w:r>
            <w:r>
              <w:rPr>
                <w:rFonts w:hint="eastAsia" w:cs="仿宋_GB2312" w:asciiTheme="minorEastAsia" w:hAnsiTheme="minorEastAsia"/>
                <w:color w:val="auto"/>
                <w:szCs w:val="21"/>
                <w:lang w:val="en-US" w:eastAsia="zh-CN"/>
              </w:rPr>
              <w:t>0374-7037679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代理机构：</w:t>
            </w:r>
            <w:r>
              <w:rPr>
                <w:rFonts w:hint="eastAsia" w:cs="仿宋_GB2312" w:asciiTheme="minorEastAsia" w:hAnsiTheme="minorEastAsia"/>
                <w:color w:val="auto"/>
                <w:szCs w:val="21"/>
                <w:lang w:val="zh-CN" w:eastAsia="zh-CN"/>
              </w:rPr>
              <w:t>河南林昱工程管理有限公司</w:t>
            </w:r>
          </w:p>
          <w:p>
            <w:pPr>
              <w:spacing w:line="360" w:lineRule="auto"/>
              <w:rPr>
                <w:rFonts w:hint="eastAsia" w:ascii="宋体" w:hAnsi="宋体" w:eastAsia="宋体" w:cs="Times New Roman"/>
                <w:b w:val="0"/>
                <w:bCs/>
                <w:color w:val="auto"/>
                <w:sz w:val="21"/>
                <w:szCs w:val="21"/>
              </w:rPr>
            </w:pPr>
            <w:r>
              <w:rPr>
                <w:rFonts w:hint="eastAsia" w:cs="仿宋_GB2312" w:asciiTheme="minorEastAsia" w:hAnsiTheme="minorEastAsia"/>
                <w:color w:val="auto"/>
                <w:szCs w:val="21"/>
                <w:lang w:val="zh-CN"/>
              </w:rPr>
              <w:t>地址：</w:t>
            </w:r>
            <w:r>
              <w:rPr>
                <w:rFonts w:hint="eastAsia" w:ascii="宋体" w:hAnsi="宋体" w:eastAsia="宋体" w:cs="Times New Roman"/>
                <w:b w:val="0"/>
                <w:bCs/>
                <w:color w:val="auto"/>
                <w:sz w:val="21"/>
                <w:szCs w:val="21"/>
              </w:rPr>
              <w:t>河南省许昌市市辖区学院路以东恒大绿洲</w:t>
            </w:r>
          </w:p>
          <w:p>
            <w:pPr>
              <w:autoSpaceDE w:val="0"/>
              <w:autoSpaceDN w:val="0"/>
              <w:adjustRightInd w:val="0"/>
              <w:spacing w:line="360" w:lineRule="auto"/>
              <w:jc w:val="left"/>
              <w:rPr>
                <w:rFonts w:hint="eastAsia" w:cs="仿宋_GB2312" w:asciiTheme="minorEastAsia" w:hAnsiTheme="minorEastAsia"/>
                <w:color w:val="auto"/>
                <w:szCs w:val="21"/>
                <w:lang w:val="zh-CN" w:eastAsia="zh-CN"/>
              </w:rPr>
            </w:pPr>
            <w:r>
              <w:rPr>
                <w:rFonts w:hint="eastAsia" w:cs="仿宋_GB2312" w:asciiTheme="minorEastAsia" w:hAnsiTheme="minorEastAsia"/>
                <w:color w:val="auto"/>
                <w:szCs w:val="21"/>
                <w:lang w:val="zh-CN"/>
              </w:rPr>
              <w:t>联系人：</w:t>
            </w:r>
            <w:r>
              <w:rPr>
                <w:rFonts w:hint="eastAsia" w:cs="仿宋_GB2312" w:asciiTheme="minorEastAsia" w:hAnsiTheme="minorEastAsia"/>
                <w:color w:val="auto"/>
                <w:szCs w:val="21"/>
                <w:lang w:val="en-US" w:eastAsia="zh-CN"/>
              </w:rPr>
              <w:t>陈</w:t>
            </w:r>
            <w:r>
              <w:rPr>
                <w:rFonts w:hint="eastAsia" w:cs="仿宋_GB2312" w:asciiTheme="minorEastAsia" w:hAnsiTheme="minorEastAsia"/>
                <w:color w:val="auto"/>
                <w:szCs w:val="21"/>
                <w:lang w:val="zh-CN" w:eastAsia="zh-CN"/>
              </w:rPr>
              <w:t>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lang w:val="zh-CN"/>
              </w:rPr>
              <w:t>联系电话：18864642424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pPr>
              <w:autoSpaceDE w:val="0"/>
              <w:autoSpaceDN w:val="0"/>
              <w:adjustRightInd w:val="0"/>
              <w:spacing w:line="360" w:lineRule="auto"/>
              <w:jc w:val="left"/>
              <w:rPr>
                <w:color w:val="auto"/>
                <w:lang w:val="zh-CN"/>
              </w:rPr>
            </w:pPr>
            <w:r>
              <w:rPr>
                <w:rFonts w:hint="eastAsia"/>
                <w:color w:val="auto"/>
                <w:lang w:val="zh-CN"/>
              </w:rPr>
              <w:t>5、自然人身份证明。（自然人提供）</w:t>
            </w:r>
          </w:p>
          <w:p>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pPr>
              <w:autoSpaceDE w:val="0"/>
              <w:autoSpaceDN w:val="0"/>
              <w:adjustRightInd w:val="0"/>
              <w:spacing w:line="360" w:lineRule="auto"/>
              <w:jc w:val="left"/>
              <w:rPr>
                <w:color w:val="auto"/>
              </w:rPr>
            </w:pPr>
            <w:r>
              <w:rPr>
                <w:rFonts w:hint="eastAsia"/>
                <w:color w:val="auto"/>
              </w:rPr>
              <w:t>二、财务状况报告相关材料</w:t>
            </w:r>
          </w:p>
          <w:p>
            <w:pPr>
              <w:spacing w:line="360" w:lineRule="auto"/>
              <w:rPr>
                <w:color w:val="auto"/>
              </w:rPr>
            </w:pPr>
            <w:r>
              <w:rPr>
                <w:rFonts w:hint="eastAsia"/>
                <w:color w:val="auto"/>
              </w:rPr>
              <w:t>（1）供应商是法人（法人包括企业法人、机关法人、事业单位法人和社会团体法人），提供本单位：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②基本开户银行出具的资信证明；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spacing w:line="360" w:lineRule="auto"/>
              <w:rPr>
                <w:color w:val="auto"/>
              </w:rPr>
            </w:pPr>
            <w:r>
              <w:rPr>
                <w:rFonts w:hint="eastAsia"/>
                <w:color w:val="auto"/>
                <w:lang w:val="zh-CN"/>
              </w:rPr>
              <w:t>注：仅需提供序号</w:t>
            </w:r>
            <w:r>
              <w:rPr>
                <w:rFonts w:hint="eastAsia"/>
                <w:color w:val="auto"/>
              </w:rPr>
              <w:t>①～③其中之一即可。</w:t>
            </w:r>
          </w:p>
          <w:p>
            <w:pPr>
              <w:spacing w:line="360" w:lineRule="auto"/>
              <w:rPr>
                <w:color w:val="auto"/>
              </w:rPr>
            </w:pPr>
            <w:r>
              <w:rPr>
                <w:rFonts w:hint="eastAsia"/>
                <w:color w:val="auto"/>
              </w:rPr>
              <w:t>（2）供应商（其他组织和自然人）提供本单位：</w:t>
            </w:r>
          </w:p>
          <w:p>
            <w:pPr>
              <w:spacing w:line="360" w:lineRule="auto"/>
              <w:rPr>
                <w:color w:val="auto"/>
              </w:rPr>
            </w:pPr>
            <w:r>
              <w:rPr>
                <w:rFonts w:hint="eastAsia"/>
                <w:color w:val="auto"/>
              </w:rPr>
              <w:t>①2020年度经审计的财务报告，包括资产负债表、利润表、现金流量表、所有者权益变动表及其附注；</w:t>
            </w:r>
          </w:p>
          <w:p>
            <w:pPr>
              <w:spacing w:line="360" w:lineRule="auto"/>
              <w:rPr>
                <w:color w:val="auto"/>
              </w:rPr>
            </w:pPr>
            <w:r>
              <w:rPr>
                <w:rFonts w:hint="eastAsia"/>
                <w:color w:val="auto"/>
              </w:rPr>
              <w:t>②银行出具的资信证明；</w:t>
            </w:r>
          </w:p>
          <w:p>
            <w:pPr>
              <w:spacing w:line="360" w:lineRule="auto"/>
              <w:rPr>
                <w:color w:val="auto"/>
              </w:rPr>
            </w:pPr>
            <w:r>
              <w:rPr>
                <w:rFonts w:hint="eastAsia"/>
                <w:color w:val="auto"/>
              </w:rPr>
              <w:t>③财政部门认可的政府采购专业担保机构的证明文件和担保机构出具的投标担保函。</w:t>
            </w:r>
          </w:p>
          <w:p>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pPr>
              <w:autoSpaceDE w:val="0"/>
              <w:autoSpaceDN w:val="0"/>
              <w:adjustRightInd w:val="0"/>
              <w:spacing w:line="360" w:lineRule="auto"/>
              <w:ind w:right="-11"/>
              <w:rPr>
                <w:color w:val="auto"/>
                <w:lang w:val="zh-CN"/>
              </w:rPr>
            </w:pPr>
            <w:r>
              <w:rPr>
                <w:rFonts w:hint="eastAsia"/>
                <w:color w:val="auto"/>
              </w:rPr>
              <w:t>三、依法缴纳税收相关材料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pPr>
              <w:autoSpaceDE w:val="0"/>
              <w:autoSpaceDN w:val="0"/>
              <w:adjustRightInd w:val="0"/>
              <w:spacing w:line="360" w:lineRule="auto"/>
              <w:ind w:right="-11"/>
              <w:rPr>
                <w:color w:val="auto"/>
                <w:lang w:val="zh-CN"/>
              </w:rPr>
            </w:pPr>
            <w:r>
              <w:rPr>
                <w:rFonts w:hint="eastAsia"/>
                <w:color w:val="auto"/>
                <w:lang w:val="zh-CN"/>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color w:val="auto"/>
                <w:lang w:val="zh-CN"/>
              </w:rPr>
            </w:pPr>
            <w:r>
              <w:rPr>
                <w:rFonts w:hint="eastAsia"/>
                <w:color w:val="auto"/>
                <w:lang w:val="zh-CN"/>
              </w:rPr>
              <w:t>五、履行合同所必须的服务能力的证明材料</w:t>
            </w:r>
          </w:p>
          <w:p>
            <w:pPr>
              <w:autoSpaceDE w:val="0"/>
              <w:autoSpaceDN w:val="0"/>
              <w:adjustRightInd w:val="0"/>
              <w:spacing w:line="360" w:lineRule="auto"/>
              <w:jc w:val="left"/>
              <w:rPr>
                <w:color w:val="auto"/>
                <w:lang w:val="zh-CN"/>
              </w:rPr>
            </w:pPr>
            <w:r>
              <w:rPr>
                <w:rFonts w:hint="eastAsia"/>
                <w:color w:val="auto"/>
                <w:lang w:val="zh-CN"/>
              </w:rPr>
              <w:t>①相关服务专业技术人员职称证书、用工合同等；</w:t>
            </w:r>
          </w:p>
          <w:p>
            <w:pPr>
              <w:spacing w:line="360" w:lineRule="auto"/>
              <w:rPr>
                <w:color w:val="auto"/>
              </w:rPr>
            </w:pPr>
            <w:r>
              <w:rPr>
                <w:rFonts w:hint="eastAsia"/>
                <w:color w:val="auto"/>
              </w:rPr>
              <w:t>②供应商具备履行合同所必须的服务能力承诺函或声明（承诺函或声明格式自拟）。</w:t>
            </w:r>
          </w:p>
          <w:p>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color w:val="auto"/>
              </w:rPr>
            </w:pPr>
            <w:r>
              <w:rPr>
                <w:rFonts w:hint="eastAsia"/>
                <w:color w:val="auto"/>
                <w:lang w:val="zh-CN"/>
              </w:rPr>
              <w:t>七、</w:t>
            </w:r>
            <w:r>
              <w:rPr>
                <w:color w:val="auto"/>
              </w:rPr>
              <w:t>未被列入“信用中国”网站(www.creditchina.gov.cn)失信被执行人、重大税收违法案件当事人名单的</w:t>
            </w:r>
            <w:r>
              <w:rPr>
                <w:rFonts w:hint="eastAsia"/>
                <w:color w:val="auto"/>
              </w:rPr>
              <w:t>供应商</w:t>
            </w:r>
            <w:r>
              <w:rPr>
                <w:color w:val="auto"/>
              </w:rPr>
              <w:t>；</w:t>
            </w:r>
            <w:r>
              <w:rPr>
                <w:rFonts w:hint="eastAsia"/>
                <w:color w:val="auto"/>
              </w:rPr>
              <w:t>“</w:t>
            </w:r>
            <w:r>
              <w:rPr>
                <w:color w:val="auto"/>
              </w:rPr>
              <w:t>中国政府采购网</w:t>
            </w:r>
            <w:r>
              <w:rPr>
                <w:rFonts w:hint="eastAsia"/>
                <w:color w:val="auto"/>
              </w:rPr>
              <w:t>”</w:t>
            </w:r>
            <w:r>
              <w:rPr>
                <w:color w:val="auto"/>
              </w:rPr>
              <w:t xml:space="preserve"> (www.ccgp.gov.cn)政府采购严重违法失信行为记录名单的</w:t>
            </w:r>
            <w:r>
              <w:rPr>
                <w:rFonts w:hint="eastAsia"/>
                <w:color w:val="auto"/>
              </w:rPr>
              <w:t>供应商</w:t>
            </w:r>
            <w:r>
              <w:rPr>
                <w:rFonts w:hint="eastAsia"/>
                <w:color w:val="auto"/>
                <w:lang w:val="zh-CN"/>
              </w:rPr>
              <w:t>；</w:t>
            </w:r>
            <w:r>
              <w:rPr>
                <w:rFonts w:hint="eastAsia"/>
                <w:color w:val="auto"/>
              </w:rPr>
              <w:t xml:space="preserve"> “中国社会组织公共服务平台”网站（</w:t>
            </w:r>
            <w:r>
              <w:rPr>
                <w:color w:val="auto"/>
              </w:rPr>
              <w:t>www.chinanpo.gov.cn</w:t>
            </w:r>
            <w:r>
              <w:rPr>
                <w:rFonts w:hint="eastAsia"/>
                <w:color w:val="auto"/>
              </w:rPr>
              <w:t>）严重违法失信社会组织名单的供应商（联合体形式投标的，联合体成员存在不良信用记录，视同联合体存在不良信用记录）。</w:t>
            </w:r>
          </w:p>
          <w:p>
            <w:pPr>
              <w:spacing w:line="360" w:lineRule="auto"/>
              <w:rPr>
                <w:color w:val="auto"/>
              </w:rPr>
            </w:pPr>
            <w:r>
              <w:rPr>
                <w:rFonts w:hint="eastAsia"/>
                <w:color w:val="auto"/>
              </w:rPr>
              <w:t>1、查询渠道：</w:t>
            </w:r>
          </w:p>
          <w:p>
            <w:pPr>
              <w:spacing w:line="360" w:lineRule="auto"/>
              <w:rPr>
                <w:color w:val="auto"/>
              </w:rPr>
            </w:pPr>
            <w:r>
              <w:rPr>
                <w:rFonts w:hint="eastAsia"/>
                <w:color w:val="auto"/>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w:t>
            </w:r>
          </w:p>
          <w:p>
            <w:pPr>
              <w:spacing w:line="360" w:lineRule="auto"/>
              <w:rPr>
                <w:color w:val="auto"/>
              </w:rPr>
            </w:pPr>
            <w:r>
              <w:rPr>
                <w:rFonts w:hint="eastAsia"/>
                <w:color w:val="auto"/>
              </w:rPr>
              <w:t>②“中国政府采购网”（www.ccgp.gov.cn）</w:t>
            </w:r>
          </w:p>
          <w:p>
            <w:pPr>
              <w:spacing w:line="360" w:lineRule="auto"/>
              <w:rPr>
                <w:color w:val="auto"/>
              </w:rPr>
            </w:pPr>
            <w:r>
              <w:rPr>
                <w:rFonts w:hint="eastAsia"/>
                <w:color w:val="auto"/>
              </w:rPr>
              <w:t>③“中国社会组织公共服务平台”网站（</w:t>
            </w:r>
            <w:r>
              <w:rPr>
                <w:color w:val="auto"/>
              </w:rPr>
              <w:t>www.chinanpo.gov.cn</w:t>
            </w:r>
            <w:r>
              <w:rPr>
                <w:rFonts w:hint="eastAsia"/>
                <w:color w:val="auto"/>
              </w:rPr>
              <w:t>）（仅查询社会组织）；</w:t>
            </w:r>
          </w:p>
          <w:p>
            <w:pPr>
              <w:autoSpaceDE w:val="0"/>
              <w:autoSpaceDN w:val="0"/>
              <w:spacing w:line="360" w:lineRule="auto"/>
              <w:contextualSpacing/>
              <w:rPr>
                <w:color w:val="auto"/>
              </w:rPr>
            </w:pPr>
            <w:r>
              <w:rPr>
                <w:rFonts w:hint="eastAsia"/>
                <w:color w:val="auto"/>
              </w:rPr>
              <w:t>2、截止时间：同投标截止时间；</w:t>
            </w:r>
          </w:p>
          <w:p>
            <w:pPr>
              <w:autoSpaceDE w:val="0"/>
              <w:autoSpaceDN w:val="0"/>
              <w:spacing w:line="360" w:lineRule="auto"/>
              <w:contextualSpacing/>
              <w:rPr>
                <w:color w:val="auto"/>
              </w:rPr>
            </w:pPr>
            <w:r>
              <w:rPr>
                <w:rFonts w:hint="eastAsia"/>
                <w:color w:val="auto"/>
              </w:rPr>
              <w:t>3、信用信息查询记录和证据留存具体方式：经评标委员会确认的查询结果网页截图作为查询记录和证据，与其他采购文件一并保存；</w:t>
            </w:r>
          </w:p>
          <w:p>
            <w:pPr>
              <w:autoSpaceDE w:val="0"/>
              <w:autoSpaceDN w:val="0"/>
              <w:spacing w:line="360" w:lineRule="auto"/>
              <w:contextualSpacing/>
              <w:rPr>
                <w:color w:val="auto"/>
              </w:rPr>
            </w:pPr>
            <w:r>
              <w:rPr>
                <w:rFonts w:hint="eastAsia"/>
                <w:color w:val="auto"/>
              </w:rPr>
              <w:t>4、信用信息的使用原则：经评标委员会认定的被列入失信被执行人、重大税收违法案件当事人名单、</w:t>
            </w:r>
            <w:r>
              <w:rPr>
                <w:color w:val="auto"/>
              </w:rPr>
              <w:t>政府采购严重违法失信行为记录名单</w:t>
            </w:r>
            <w:r>
              <w:rPr>
                <w:rFonts w:hint="eastAsia"/>
                <w:color w:val="auto"/>
              </w:rPr>
              <w:t>、严重违法失信社会组织名单的供应商，将拒绝其参与本次政府采购活动。</w:t>
            </w:r>
          </w:p>
          <w:p>
            <w:pPr>
              <w:autoSpaceDE w:val="0"/>
              <w:autoSpaceDN w:val="0"/>
              <w:spacing w:line="360" w:lineRule="auto"/>
              <w:contextualSpacing/>
              <w:rPr>
                <w:color w:val="auto"/>
              </w:rPr>
            </w:pPr>
            <w:r>
              <w:rPr>
                <w:rFonts w:hint="eastAsia"/>
                <w:color w:val="auto"/>
              </w:rPr>
              <w:t>5、供应商不良信用记录以评标委员会查询结果为准，评标委员会查询之后，网站信息发生的任何变更不再作为评审依据，供应商自行提供的与网站信息不一致的其他证明材料亦不作为评审依据。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eastAsia="zh-CN"/>
              </w:rPr>
              <w:t>3100500.00</w:t>
            </w:r>
            <w:r>
              <w:rPr>
                <w:rFonts w:hint="eastAsia" w:cs="宋体" w:asciiTheme="minorEastAsia" w:hAnsiTheme="minorEastAsia"/>
                <w:bCs/>
                <w:color w:val="auto"/>
                <w:szCs w:val="21"/>
                <w:lang w:val="zh-CN"/>
              </w:rPr>
              <w:t>元，超出预算金额的投标文件无效。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bCs w:val="0"/>
                <w:color w:val="auto"/>
                <w:szCs w:val="21"/>
                <w:lang w:val="zh-CN"/>
              </w:rPr>
              <w:t>2021年</w:t>
            </w:r>
            <w:r>
              <w:rPr>
                <w:rFonts w:hint="eastAsia" w:cs="仿宋_GB2312" w:asciiTheme="minorEastAsia" w:hAnsiTheme="minorEastAsia"/>
                <w:bCs w:val="0"/>
                <w:color w:val="auto"/>
                <w:szCs w:val="21"/>
                <w:lang w:val="en-US" w:eastAsia="zh-CN"/>
              </w:rPr>
              <w:t xml:space="preserve"> 12 </w:t>
            </w:r>
            <w:r>
              <w:rPr>
                <w:rFonts w:hint="eastAsia" w:cs="仿宋_GB2312" w:asciiTheme="minorEastAsia" w:hAnsiTheme="minorEastAsia"/>
                <w:bCs w:val="0"/>
                <w:color w:val="auto"/>
                <w:szCs w:val="21"/>
                <w:lang w:val="zh-CN"/>
              </w:rPr>
              <w:t>月</w:t>
            </w:r>
            <w:r>
              <w:rPr>
                <w:rFonts w:hint="eastAsia" w:cs="仿宋_GB2312" w:asciiTheme="minorEastAsia" w:hAnsiTheme="minorEastAsia"/>
                <w:bCs w:val="0"/>
                <w:color w:val="auto"/>
                <w:szCs w:val="21"/>
                <w:lang w:val="en-US" w:eastAsia="zh-CN"/>
              </w:rPr>
              <w:t xml:space="preserve"> 13 </w:t>
            </w:r>
            <w:r>
              <w:rPr>
                <w:rFonts w:hint="eastAsia" w:cs="仿宋_GB2312" w:asciiTheme="minorEastAsia" w:hAnsiTheme="minorEastAsia"/>
                <w:bCs w:val="0"/>
                <w:color w:val="auto"/>
                <w:szCs w:val="21"/>
                <w:lang w:val="zh-CN"/>
              </w:rPr>
              <w:t>日</w:t>
            </w:r>
            <w:r>
              <w:rPr>
                <w:rFonts w:hint="eastAsia" w:cs="仿宋_GB2312" w:asciiTheme="minorEastAsia" w:hAnsiTheme="minorEastAsia"/>
                <w:bCs w:val="0"/>
                <w:color w:val="auto"/>
                <w:szCs w:val="21"/>
                <w:lang w:val="en-US" w:eastAsia="zh-CN"/>
              </w:rPr>
              <w:t xml:space="preserve">  10</w:t>
            </w:r>
            <w:bookmarkStart w:id="9" w:name="_GoBack"/>
            <w:bookmarkEnd w:id="9"/>
            <w:r>
              <w:rPr>
                <w:rFonts w:hint="eastAsia" w:cs="仿宋_GB2312" w:asciiTheme="minorEastAsia" w:hAnsiTheme="minorEastAsia"/>
                <w:bCs w:val="0"/>
                <w:color w:val="auto"/>
                <w:szCs w:val="21"/>
                <w:lang w:val="zh-CN"/>
              </w:rPr>
              <w:t xml:space="preserve"> ：</w:t>
            </w:r>
            <w:r>
              <w:rPr>
                <w:rFonts w:hint="eastAsia" w:cs="仿宋_GB2312" w:asciiTheme="minorEastAsia" w:hAnsiTheme="minorEastAsia"/>
                <w:bCs w:val="0"/>
                <w:color w:val="auto"/>
                <w:szCs w:val="21"/>
                <w:lang w:val="en-US" w:eastAsia="zh-CN"/>
              </w:rPr>
              <w:t xml:space="preserve">30  </w:t>
            </w:r>
            <w:r>
              <w:rPr>
                <w:rFonts w:hint="eastAsia" w:cs="仿宋_GB2312" w:asciiTheme="minorEastAsia" w:hAnsiTheme="minorEastAsia"/>
                <w:bCs w:val="0"/>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 xml:space="preserve"> 2 </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w:t>
            </w:r>
            <w:r>
              <w:rPr>
                <w:rFonts w:hint="eastAsia" w:cs="宋体" w:asciiTheme="minorEastAsia" w:hAnsiTheme="minorEastAsia"/>
                <w:color w:val="auto"/>
                <w:szCs w:val="21"/>
                <w:lang w:eastAsia="zh-CN"/>
              </w:rPr>
              <w:t>《</w:t>
            </w:r>
            <w:r>
              <w:rPr>
                <w:rFonts w:hint="eastAsia" w:cs="宋体" w:asciiTheme="minorEastAsia" w:hAnsiTheme="minorEastAsia"/>
                <w:color w:val="auto"/>
                <w:szCs w:val="21"/>
                <w:lang w:val="en-US" w:eastAsia="zh-CN"/>
              </w:rPr>
              <w:t>中国政府采购网》、</w:t>
            </w:r>
            <w:r>
              <w:rPr>
                <w:rFonts w:hint="eastAsia" w:cs="宋体" w:asciiTheme="minorEastAsia" w:hAnsiTheme="minorEastAsia"/>
                <w:color w:val="auto"/>
                <w:szCs w:val="21"/>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仿宋_GB2312" w:asciiTheme="minorEastAsia" w:hAnsiTheme="minorEastAsia"/>
                <w:b/>
                <w:bCs/>
                <w:color w:val="auto"/>
                <w:szCs w:val="21"/>
                <w:lang w:val="zh-CN"/>
              </w:rPr>
              <w:sym w:font="Wingdings 2" w:char="0052"/>
            </w:r>
            <w:r>
              <w:rPr>
                <w:rFonts w:hint="eastAsia" w:cs="仿宋_GB2312" w:asciiTheme="minorEastAsia" w:hAnsiTheme="minorEastAsia"/>
                <w:color w:val="auto"/>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color w:val="auto"/>
                <w:kern w:val="0"/>
                <w:szCs w:val="21"/>
                <w:lang w:val="zh-CN"/>
              </w:rPr>
              <w:t xml:space="preserve">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49"/>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3、根据财政部、工业和信息化部发布的《政府采购促进中小企业发展管理办法》（财库〔2020〕46号）规定，对小型和微型企业投标价格给予6%-10%（工程3%-5%）的扣除，用扣除后的价格参与评审。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zh-CN"/>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中标人在接到中标通知时，须向代理机构发送投标报价及分项报价一览表（包含主要中标标的的名称、规格型号、数量、单价、服务要求等）电子文档，电话：18864642424，邮箱：563276508@qq.com。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3"/>
              <w:rPr>
                <w:color w:val="auto"/>
                <w:lang w:val="zh-CN"/>
              </w:rPr>
            </w:pPr>
            <w:r>
              <w:rPr>
                <w:rFonts w:hint="eastAsia"/>
                <w:color w:val="auto"/>
              </w:rPr>
              <w:t>2、</w:t>
            </w:r>
            <w:r>
              <w:rPr>
                <w:rFonts w:hint="eastAsia"/>
                <w:color w:val="auto"/>
                <w:lang w:val="zh-CN"/>
              </w:rPr>
              <w:t>项目编号以本项目招标文件项目编号为准。</w:t>
            </w:r>
          </w:p>
          <w:p>
            <w:pPr>
              <w:pStyle w:val="3"/>
              <w:rPr>
                <w:color w:val="auto"/>
                <w:lang w:val="zh-CN"/>
              </w:rPr>
            </w:pPr>
            <w:r>
              <w:rPr>
                <w:rFonts w:hint="eastAsia"/>
                <w:color w:val="auto"/>
              </w:rPr>
              <w:t>3、</w:t>
            </w:r>
            <w:r>
              <w:rPr>
                <w:rFonts w:hint="eastAsia"/>
                <w:color w:val="auto"/>
                <w:lang w:val="zh-CN"/>
              </w:rPr>
              <w:t>投标文件格式的先后顺序不作为废标项。</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3"/>
        <w:rPr>
          <w:rFonts w:cs="宋体" w:asciiTheme="majorEastAsia" w:hAnsiTheme="majorEastAsia" w:eastAsiaTheme="majorEastAsia"/>
          <w:b/>
          <w:color w:val="auto"/>
          <w:kern w:val="0"/>
          <w:sz w:val="32"/>
          <w:szCs w:val="32"/>
        </w:rPr>
      </w:pPr>
    </w:p>
    <w:p>
      <w:pPr>
        <w:pStyle w:val="48"/>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0"/>
        <w:numPr>
          <w:ilvl w:val="0"/>
          <w:numId w:val="4"/>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0"/>
        <w:numPr>
          <w:ilvl w:val="0"/>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0"/>
        <w:numPr>
          <w:ilvl w:val="1"/>
          <w:numId w:val="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0"/>
        <w:numPr>
          <w:ilvl w:val="0"/>
          <w:numId w:val="4"/>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0"/>
        <w:numPr>
          <w:ilvl w:val="0"/>
          <w:numId w:val="5"/>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0"/>
        <w:numPr>
          <w:ilvl w:val="1"/>
          <w:numId w:val="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0"/>
        <w:numPr>
          <w:ilvl w:val="1"/>
          <w:numId w:val="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0"/>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0"/>
        <w:numPr>
          <w:ilvl w:val="1"/>
          <w:numId w:val="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w:t>
      </w:r>
    </w:p>
    <w:p>
      <w:pPr>
        <w:pStyle w:val="50"/>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地址、电话、联系人见“投标人须知前附表”。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0"/>
        <w:numPr>
          <w:ilvl w:val="1"/>
          <w:numId w:val="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w:t>
      </w:r>
    </w:p>
    <w:p>
      <w:pPr>
        <w:pStyle w:val="50"/>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文件的各项规定，且按照本项目招标公告及招标文件规定的方式获取招标文件的法人、其他组织或者自然人。</w:t>
      </w:r>
    </w:p>
    <w:p>
      <w:pPr>
        <w:pStyle w:val="50"/>
        <w:numPr>
          <w:ilvl w:val="1"/>
          <w:numId w:val="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w:t>
      </w:r>
    </w:p>
    <w:p>
      <w:pPr>
        <w:pStyle w:val="50"/>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文件的各项规定，响应招标、参加投标竞争，从招标人处按规定获取招标文件，并按照招标文件要求向招标人提交投标文件的法人、其他组织或者自然人。</w:t>
      </w:r>
    </w:p>
    <w:p>
      <w:pPr>
        <w:pStyle w:val="50"/>
        <w:numPr>
          <w:ilvl w:val="1"/>
          <w:numId w:val="4"/>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w:t>
      </w:r>
    </w:p>
    <w:p>
      <w:pPr>
        <w:pStyle w:val="50"/>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包括已经进入中国境内的进口产品。详见《关于政府采购进口产品管理有关问题的通知》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0"/>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56"/>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在中华人民共和国境内注册，具有本项目生产、制造、供应或实施能力，符合、承认并承诺履行本招标文件各项规定的法人、其他组织或者自然人。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6"/>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8"/>
          <w:rFonts w:cs="宋体"/>
          <w:color w:val="auto"/>
          <w:szCs w:val="21"/>
        </w:rPr>
        <w:t>www.creditchina.gov.cn</w:t>
      </w:r>
      <w:r>
        <w:rPr>
          <w:rStyle w:val="38"/>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8"/>
          <w:rFonts w:cs="宋体"/>
          <w:color w:val="auto"/>
          <w:szCs w:val="21"/>
        </w:rPr>
        <w:t>www.ccgp.gov.cn</w:t>
      </w:r>
      <w:r>
        <w:rPr>
          <w:rStyle w:val="38"/>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8"/>
          <w:rFonts w:cs="宋体"/>
          <w:color w:val="auto"/>
          <w:szCs w:val="21"/>
        </w:rPr>
        <w:t>www.gsxt.gov.cn</w:t>
      </w:r>
      <w:r>
        <w:rPr>
          <w:rStyle w:val="38"/>
          <w:rFonts w:cs="宋体"/>
          <w:color w:val="auto"/>
          <w:szCs w:val="21"/>
        </w:rPr>
        <w:fldChar w:fldCharType="end"/>
      </w:r>
      <w:r>
        <w:rPr>
          <w:rFonts w:hint="eastAsia" w:ascii="宋体" w:hAnsi="宋体" w:cs="宋体"/>
          <w:color w:val="auto"/>
          <w:szCs w:val="21"/>
        </w:rPr>
        <w:t>）、“中国社会组织公共服务平台”网站（</w:t>
      </w:r>
      <w:r>
        <w:rPr>
          <w:color w:val="auto"/>
        </w:rPr>
        <w:fldChar w:fldCharType="begin"/>
      </w:r>
      <w:r>
        <w:rPr>
          <w:color w:val="auto"/>
        </w:rPr>
        <w:instrText xml:space="preserve"> HYPERLINK "http://www.chinanpo.gov.cn" </w:instrText>
      </w:r>
      <w:r>
        <w:rPr>
          <w:color w:val="auto"/>
        </w:rPr>
        <w:fldChar w:fldCharType="separate"/>
      </w:r>
      <w:r>
        <w:rPr>
          <w:rStyle w:val="38"/>
          <w:rFonts w:cs="宋体"/>
          <w:color w:val="auto"/>
          <w:szCs w:val="21"/>
        </w:rPr>
        <w:t>www.chinanpo.gov.cn</w:t>
      </w:r>
      <w:r>
        <w:rPr>
          <w:rStyle w:val="38"/>
          <w:rFonts w:cs="宋体"/>
          <w:color w:val="auto"/>
          <w:szCs w:val="21"/>
        </w:rPr>
        <w:fldChar w:fldCharType="end"/>
      </w:r>
      <w:r>
        <w:rPr>
          <w:rFonts w:hint="eastAsia" w:ascii="宋体" w:hAnsi="宋体" w:cs="宋体"/>
          <w:color w:val="auto"/>
          <w:szCs w:val="21"/>
        </w:rPr>
        <w:t>）；</w:t>
      </w:r>
    </w:p>
    <w:p>
      <w:pPr>
        <w:numPr>
          <w:ilvl w:val="0"/>
          <w:numId w:val="6"/>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截止时间：同投标截止时间；</w:t>
      </w:r>
    </w:p>
    <w:p>
      <w:pPr>
        <w:numPr>
          <w:ilvl w:val="0"/>
          <w:numId w:val="6"/>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信用信息查询记录和证据留存具体方式：经采购人确认的查询结果网页截图作为查询记录和证据，与其他采购文件一并保存；</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93"/>
        <w:ind w:firstLine="420"/>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0"/>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0"/>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0"/>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0"/>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0"/>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0"/>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pStyle w:val="50"/>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中国政府采购网》、</w:t>
      </w:r>
      <w:r>
        <w:rPr>
          <w:rFonts w:hint="eastAsia" w:ascii="宋体" w:hAnsi="宋体" w:cs="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）投标邀请（招标公告）</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w:t>
      </w:r>
      <w:r>
        <w:rPr>
          <w:rFonts w:ascii="宋体" w:hAnsi="宋体" w:cs="宋体"/>
          <w:color w:val="auto"/>
          <w:kern w:val="0"/>
          <w:szCs w:val="21"/>
        </w:rPr>
        <w:t xml:space="preserve"> </w:t>
      </w:r>
      <w:r>
        <w:rPr>
          <w:rFonts w:hint="eastAsia" w:ascii="宋体" w:hAnsi="宋体" w:cs="宋体"/>
          <w:color w:val="auto"/>
          <w:kern w:val="0"/>
          <w:szCs w:val="21"/>
        </w:rPr>
        <w:t>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 w:val="21"/>
          <w:szCs w:val="21"/>
        </w:rPr>
      </w:pPr>
      <w:r>
        <w:rPr>
          <w:rFonts w:hint="eastAsia" w:ascii="宋体" w:hAnsi="宋体" w:cs="宋体"/>
          <w:b/>
          <w:color w:val="auto"/>
          <w:kern w:val="0"/>
          <w:sz w:val="21"/>
          <w:szCs w:val="21"/>
          <w:lang w:eastAsia="zh-CN"/>
        </w:rPr>
        <w:t>三</w:t>
      </w:r>
      <w:r>
        <w:rPr>
          <w:rFonts w:hint="eastAsia" w:ascii="宋体" w:hAnsi="宋体" w:cs="宋体"/>
          <w:b/>
          <w:color w:val="auto"/>
          <w:kern w:val="0"/>
          <w:sz w:val="21"/>
          <w:szCs w:val="21"/>
        </w:rPr>
        <w:t>、投标文件的编制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49"/>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58Z"/>
          <w:rFonts w:hint="eastAsia"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四、投标文件的递交</w:t>
      </w:r>
    </w:p>
    <w:p>
      <w:pPr>
        <w:numPr>
          <w:ilvl w:val="0"/>
          <w:numId w:val="7"/>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0"/>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ascii="宋体" w:hAnsi="宋体" w:cs="宋体"/>
          <w:color w:val="auto"/>
          <w:szCs w:val="21"/>
          <w:lang w:val="zh-CN"/>
        </w:rPr>
        <w:t xml:space="preserve">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0"/>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0"/>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0"/>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.1.5</w:t>
      </w:r>
      <w:r>
        <w:rPr>
          <w:rFonts w:hint="eastAsia" w:ascii="宋体" w:hAnsi="宋体" w:cs="宋体"/>
          <w:color w:val="auto"/>
          <w:szCs w:val="21"/>
        </w:rPr>
        <w:t xml:space="preserve"> </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20"/>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0"/>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20"/>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20"/>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20"/>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20"/>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20"/>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20"/>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0"/>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color w:val="auto"/>
          <w:szCs w:val="21"/>
        </w:rPr>
        <w:t>30</w:t>
      </w:r>
      <w:r>
        <w:rPr>
          <w:rFonts w:ascii="宋体" w:hAnsi="宋体" w:cs="宋体"/>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2</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3</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4</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 w:val="21"/>
          <w:szCs w:val="21"/>
        </w:rPr>
      </w:pPr>
      <w:r>
        <w:rPr>
          <w:rFonts w:hint="eastAsia" w:ascii="宋体" w:hAnsi="宋体" w:cs="宋体"/>
          <w:b/>
          <w:color w:val="auto"/>
          <w:kern w:val="0"/>
          <w:sz w:val="21"/>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7</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8</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38.1.1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hint="eastAsia" w:ascii="宋体" w:hAnsi="宋体" w:cs="宋体" w:eastAsiaTheme="minorEastAsia"/>
          <w:color w:val="auto"/>
          <w:szCs w:val="21"/>
          <w:lang w:eastAsia="zh-CN"/>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cs="宋体"/>
          <w:color w:val="auto"/>
          <w:szCs w:val="21"/>
        </w:rPr>
        <w:t xml:space="preserve">    </w:t>
      </w: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39</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0"/>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41.政府采购合同融资</w:t>
      </w:r>
    </w:p>
    <w:p>
      <w:pPr>
        <w:pStyle w:val="50"/>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0374-7313551  18937425515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地址：禹州市禹王大道与府东路交叉口</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2</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pStyle w:val="12"/>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2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20"/>
        <w:spacing w:line="360" w:lineRule="auto"/>
        <w:contextualSpacing/>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20"/>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20"/>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 w:val="21"/>
          <w:szCs w:val="21"/>
          <w:lang w:val="zh-CN"/>
        </w:rPr>
      </w:pPr>
      <w:r>
        <w:rPr>
          <w:rFonts w:hint="eastAsia" w:ascii="宋体" w:hAnsi="宋体" w:eastAsia="宋体" w:cs="仿宋_GB2312"/>
          <w:color w:val="auto"/>
          <w:sz w:val="21"/>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 w:val="21"/>
          <w:szCs w:val="21"/>
          <w:lang w:val="zh-CN"/>
        </w:rPr>
      </w:pPr>
      <w:r>
        <w:rPr>
          <w:rFonts w:hint="eastAsia" w:ascii="宋体" w:hAnsi="宋体" w:eastAsia="宋体" w:cs="仿宋_GB2312"/>
          <w:color w:val="auto"/>
          <w:sz w:val="21"/>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 w:val="21"/>
          <w:szCs w:val="21"/>
          <w:lang w:val="zh-CN"/>
        </w:rPr>
      </w:pPr>
      <w:r>
        <w:rPr>
          <w:rFonts w:hint="eastAsia" w:asciiTheme="majorEastAsia" w:hAnsiTheme="majorEastAsia" w:eastAsiaTheme="majorEastAsia" w:cstheme="majorEastAsia"/>
          <w:color w:val="auto"/>
          <w:sz w:val="21"/>
          <w:szCs w:val="21"/>
          <w:lang w:val="zh-CN"/>
        </w:rPr>
        <w:t>资格审查中所涉及到的证书及材料，均须在响应投标文件中提供原件扫描件（或图片）。</w:t>
      </w: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资格审查因素</w:t>
            </w:r>
          </w:p>
        </w:tc>
        <w:tc>
          <w:tcPr>
            <w:tcW w:w="5954"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410"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Cs/>
                <w:color w:val="auto"/>
                <w:sz w:val="21"/>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（1）企业法人营业执照或营业执照。（企业投标提供）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（2）事业单位法人证书。（事业单位投标提供）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（3）执业许可证。（非企业专业服务机构投标提供）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（4）个体工商户营业执照。（个体工商户投标提供）</w:t>
            </w:r>
          </w:p>
          <w:p>
            <w:pPr>
              <w:spacing w:line="360"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（5）自然人身份证明。（自然人投标提供）</w:t>
            </w:r>
          </w:p>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财务状况报告相关材料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（1）投标人是法人（法人包括企业法人、机关法人、事业单位法人和社会团体法人），提供本单位：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①2020年度经审计的财务报告，包括资产负债表、利润表、现金流量表、所有者权益变动表及其附注；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②基本开户银行出具的资信证明；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（2）投标人（其他组织和自然人）提供本单位：</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①2020年度经审计的财务报告，包括资产负债表、利润表、现金流量表、所有者权益变动表及其附注；</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②银行出具的资信证明；</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依法缴纳税收相关材料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依法缴纳社会保障资金的证明材料</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投标人提供参加本次政府采购项目投标截止时间前六个月内任意一个月缴纳社会保险凭据。（依法不需要缴纳社会保障资金的投标人，应提供相应文件证明依法不需要缴纳社会保障资金）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①与本项目投标相关设备的购置发票、专业技术人员职称证书、用工合同等；</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②投标人具备履行合同所必须的设备和专业技术能力承诺函或声明（承诺函或声明格式自拟）。</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
                <w:bCs/>
                <w:color w:val="auto"/>
                <w:sz w:val="21"/>
                <w:szCs w:val="21"/>
              </w:rPr>
            </w:pPr>
            <w:r>
              <w:rPr>
                <w:rFonts w:hint="eastAsia" w:ascii="宋体" w:hAnsi="宋体" w:eastAsia="宋体" w:cs="宋体"/>
                <w:bCs/>
                <w:color w:val="auto"/>
                <w:sz w:val="21"/>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241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w:t>信用记录查询及使用</w:t>
            </w:r>
          </w:p>
        </w:tc>
        <w:tc>
          <w:tcPr>
            <w:tcW w:w="5954" w:type="dxa"/>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hint="eastAsia" w:ascii="宋体" w:hAnsi="宋体" w:eastAsia="宋体" w:cs="宋体"/>
                <w:color w:val="auto"/>
                <w:sz w:val="21"/>
                <w:szCs w:val="21"/>
              </w:rPr>
              <w:t>“中国社会组织公共服务平台”网站（www.chinanpo.gov.cn）严重违法失信社会组织</w:t>
            </w:r>
            <w:r>
              <w:rPr>
                <w:rFonts w:hint="eastAsia" w:ascii="宋体" w:hAnsi="宋体" w:eastAsia="宋体" w:cs="宋体"/>
                <w:b/>
                <w:color w:val="auto"/>
                <w:sz w:val="21"/>
                <w:szCs w:val="21"/>
              </w:rPr>
              <w:t>；</w:t>
            </w:r>
            <w:r>
              <w:rPr>
                <w:rFonts w:hint="eastAsia" w:ascii="宋体" w:hAnsi="宋体" w:eastAsia="宋体" w:cs="宋体"/>
                <w:bCs/>
                <w:color w:val="auto"/>
                <w:sz w:val="21"/>
                <w:szCs w:val="21"/>
              </w:rPr>
              <w:t>（联合体形式投标的，联合体成员存在不良信用记录，视同联合体存在不良信用记录）。</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（1）查询渠道：</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①“信用中国”网站（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Style w:val="38"/>
                <w:rFonts w:hint="eastAsia" w:ascii="宋体" w:hAnsi="宋体" w:eastAsia="宋体" w:cs="宋体"/>
                <w:bCs/>
                <w:color w:val="auto"/>
                <w:sz w:val="21"/>
                <w:szCs w:val="21"/>
              </w:rPr>
              <w:t>www.creditchina.gov.cn</w:t>
            </w:r>
            <w:r>
              <w:rPr>
                <w:rStyle w:val="38"/>
                <w:rFonts w:hint="eastAsia" w:ascii="宋体" w:hAnsi="宋体" w:eastAsia="宋体" w:cs="宋体"/>
                <w:bCs/>
                <w:color w:val="auto"/>
                <w:sz w:val="21"/>
                <w:szCs w:val="21"/>
              </w:rPr>
              <w:fldChar w:fldCharType="end"/>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②“中国政府采购网”（www.ccgp.gov.cn）</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③</w:t>
            </w:r>
            <w:r>
              <w:rPr>
                <w:rFonts w:hint="eastAsia" w:ascii="宋体" w:hAnsi="宋体" w:eastAsia="宋体" w:cs="宋体"/>
                <w:color w:val="auto"/>
                <w:sz w:val="21"/>
                <w:szCs w:val="21"/>
              </w:rPr>
              <w:t>“中国社会组织公共服务平台”网站（www.chinanpo.gov.cn）（仅查询社会组织）</w:t>
            </w:r>
            <w:r>
              <w:rPr>
                <w:rFonts w:hint="eastAsia" w:ascii="宋体" w:hAnsi="宋体" w:eastAsia="宋体" w:cs="宋体"/>
                <w:bCs/>
                <w:color w:val="auto"/>
                <w:sz w:val="21"/>
                <w:szCs w:val="21"/>
              </w:rPr>
              <w:t>；</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（2）截止时间：同投标截止时间；</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（3）信用信息查询记录和证据留存具体方式：经采购人确认的查询结果网页截图作为查询记录和证据，与其他采购文件一并保存；</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（4）信用信息的使用原则：经采购人认定的被列入</w:t>
            </w:r>
            <w:r>
              <w:rPr>
                <w:rFonts w:hint="eastAsia" w:ascii="宋体" w:hAnsi="宋体" w:eastAsia="宋体" w:cs="宋体"/>
                <w:color w:val="auto"/>
                <w:kern w:val="0"/>
                <w:sz w:val="21"/>
                <w:szCs w:val="21"/>
              </w:rPr>
              <w:t>失信被执行人、重大税收违法案件当事人名单、</w:t>
            </w:r>
            <w:r>
              <w:rPr>
                <w:rFonts w:hint="eastAsia" w:ascii="宋体" w:hAnsi="宋体" w:eastAsia="宋体" w:cs="宋体"/>
                <w:color w:val="auto"/>
                <w:sz w:val="21"/>
                <w:szCs w:val="21"/>
                <w:shd w:val="clear" w:color="auto" w:fill="FFFFFF"/>
              </w:rPr>
              <w:t>政府采购严重违法失信行为记录名单</w:t>
            </w:r>
            <w:r>
              <w:rPr>
                <w:rFonts w:hint="eastAsia" w:ascii="宋体" w:hAnsi="宋体" w:eastAsia="宋体" w:cs="宋体"/>
                <w:bCs/>
                <w:color w:val="auto"/>
                <w:sz w:val="21"/>
                <w:szCs w:val="21"/>
              </w:rPr>
              <w:t>的投标人</w:t>
            </w:r>
            <w:r>
              <w:rPr>
                <w:rFonts w:hint="eastAsia" w:ascii="宋体" w:hAnsi="宋体" w:eastAsia="宋体" w:cs="宋体"/>
                <w:color w:val="auto"/>
                <w:sz w:val="21"/>
                <w:szCs w:val="21"/>
                <w:shd w:val="clear" w:color="auto" w:fill="FFFFFF"/>
              </w:rPr>
              <w:t>、</w:t>
            </w:r>
            <w:r>
              <w:rPr>
                <w:rFonts w:hint="eastAsia" w:ascii="宋体" w:hAnsi="宋体" w:eastAsia="宋体" w:cs="宋体"/>
                <w:color w:val="auto"/>
                <w:kern w:val="0"/>
                <w:sz w:val="21"/>
                <w:szCs w:val="21"/>
              </w:rPr>
              <w:t>严重违法失信社会组织</w:t>
            </w:r>
            <w:r>
              <w:rPr>
                <w:rFonts w:hint="eastAsia" w:ascii="宋体" w:hAnsi="宋体" w:eastAsia="宋体" w:cs="宋体"/>
                <w:bCs/>
                <w:color w:val="auto"/>
                <w:sz w:val="21"/>
                <w:szCs w:val="21"/>
              </w:rPr>
              <w:t>，将拒绝其参与本次政府采购活动。</w:t>
            </w:r>
          </w:p>
          <w:p>
            <w:pPr>
              <w:spacing w:line="360" w:lineRule="auto"/>
              <w:rPr>
                <w:rFonts w:hint="eastAsia" w:ascii="宋体" w:hAnsi="宋体" w:eastAsia="宋体" w:cs="宋体"/>
                <w:b/>
                <w:bCs/>
                <w:color w:val="auto"/>
                <w:sz w:val="21"/>
                <w:szCs w:val="21"/>
              </w:rPr>
            </w:pPr>
            <w:r>
              <w:rPr>
                <w:rFonts w:hint="eastAsia" w:ascii="宋体" w:hAnsi="宋体" w:eastAsia="宋体" w:cs="宋体"/>
                <w:color w:val="auto"/>
                <w:kern w:val="0"/>
                <w:sz w:val="21"/>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p>
        </w:tc>
        <w:tc>
          <w:tcPr>
            <w:tcW w:w="2410"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投标人须具备的特殊</w:t>
            </w:r>
          </w:p>
          <w:p>
            <w:pPr>
              <w:spacing w:line="36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资质证书</w:t>
            </w:r>
          </w:p>
        </w:tc>
        <w:tc>
          <w:tcPr>
            <w:tcW w:w="5954"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w:t>
            </w:r>
            <w:r>
              <w:rPr>
                <w:rFonts w:hint="eastAsia" w:ascii="宋体" w:hAnsi="宋体" w:eastAsia="宋体" w:cs="宋体"/>
                <w:b/>
                <w:color w:val="auto"/>
                <w:sz w:val="21"/>
                <w:szCs w:val="21"/>
                <w:lang w:val="zh-CN"/>
              </w:rPr>
              <w:t>报价</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color w:val="auto"/>
                <w:sz w:val="21"/>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 w:val="21"/>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241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投标承诺函</w:t>
            </w:r>
          </w:p>
        </w:tc>
        <w:tc>
          <w:tcPr>
            <w:tcW w:w="5954" w:type="dxa"/>
            <w:vAlign w:val="center"/>
          </w:tcPr>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12</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联合体协议</w:t>
            </w:r>
          </w:p>
        </w:tc>
        <w:tc>
          <w:tcPr>
            <w:tcW w:w="5954" w:type="dxa"/>
          </w:tcPr>
          <w:p>
            <w:pPr>
              <w:spacing w:line="360" w:lineRule="auto"/>
              <w:rPr>
                <w:rFonts w:hint="eastAsia" w:ascii="宋体" w:hAnsi="宋体" w:eastAsia="宋体" w:cs="宋体"/>
                <w:b/>
                <w:bCs/>
                <w:color w:val="auto"/>
                <w:sz w:val="21"/>
                <w:szCs w:val="21"/>
              </w:rPr>
            </w:pPr>
            <w:r>
              <w:rPr>
                <w:rFonts w:hint="eastAsia" w:ascii="宋体" w:hAnsi="宋体" w:eastAsia="宋体" w:cs="宋体"/>
                <w:bCs/>
                <w:color w:val="auto"/>
                <w:sz w:val="21"/>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13</w:t>
            </w:r>
          </w:p>
        </w:tc>
        <w:tc>
          <w:tcPr>
            <w:tcW w:w="2410" w:type="dxa"/>
            <w:vAlign w:val="center"/>
          </w:tcPr>
          <w:p>
            <w:pPr>
              <w:spacing w:line="360" w:lineRule="auto"/>
              <w:contextualSpacing/>
              <w:rPr>
                <w:rFonts w:hint="eastAsia" w:ascii="宋体" w:hAnsi="宋体" w:eastAsia="宋体" w:cs="宋体"/>
                <w:b/>
                <w:color w:val="auto"/>
                <w:sz w:val="21"/>
                <w:szCs w:val="21"/>
              </w:rPr>
            </w:pPr>
            <w:r>
              <w:rPr>
                <w:rFonts w:hint="eastAsia" w:ascii="宋体" w:hAnsi="宋体" w:eastAsia="宋体" w:cs="宋体"/>
                <w:b/>
                <w:color w:val="auto"/>
                <w:sz w:val="21"/>
                <w:szCs w:val="21"/>
              </w:rPr>
              <w:t>投标人身份证明及授权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（1）法定代表人身份证明或提供法定代表人授权委托书及被授权人身份证明。（法人投标提供）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（2）单位负责人身份证明或提供单位负责人授权委托书及被授权人身份证明。（非法人投标提供）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14</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15</w:t>
            </w:r>
          </w:p>
        </w:tc>
        <w:tc>
          <w:tcPr>
            <w:tcW w:w="2410"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为本项目提供整体设计、规范编制或者项目管理、监理、检测等服务的供应商不得参加本项目投标</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w:t>
            </w:r>
            <w:bookmarkStart w:id="1" w:name="baidusnap2"/>
            <w:bookmarkEnd w:id="1"/>
            <w:r>
              <w:rPr>
                <w:rFonts w:hint="eastAsia" w:ascii="宋体" w:hAnsi="宋体" w:eastAsia="宋体" w:cs="宋体"/>
                <w:color w:val="auto"/>
                <w:sz w:val="21"/>
                <w:szCs w:val="21"/>
                <w:lang w:val="zh-CN"/>
              </w:rPr>
              <w:t>提供未为本项目提供整体设计、</w:t>
            </w:r>
            <w:bookmarkStart w:id="2" w:name="baidusnap9"/>
            <w:bookmarkEnd w:id="2"/>
            <w:r>
              <w:rPr>
                <w:rFonts w:hint="eastAsia" w:ascii="宋体" w:hAnsi="宋体" w:eastAsia="宋体" w:cs="宋体"/>
                <w:color w:val="auto"/>
                <w:sz w:val="21"/>
                <w:szCs w:val="21"/>
                <w:lang w:val="zh-CN"/>
              </w:rPr>
              <w:t>规范编制或者项目管理、监理、检测等服务承诺函（承诺函格式自拟）。</w:t>
            </w:r>
          </w:p>
          <w:p>
            <w:pPr>
              <w:spacing w:line="360" w:lineRule="auto"/>
              <w:rPr>
                <w:rFonts w:hint="eastAsia" w:ascii="宋体" w:hAnsi="宋体" w:eastAsia="宋体" w:cs="宋体"/>
                <w:bCs/>
                <w:color w:val="auto"/>
                <w:sz w:val="21"/>
                <w:szCs w:val="21"/>
              </w:rPr>
            </w:pPr>
          </w:p>
        </w:tc>
      </w:tr>
    </w:tbl>
    <w:p>
      <w:pPr>
        <w:pStyle w:val="20"/>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20"/>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20"/>
        <w:spacing w:line="360" w:lineRule="auto"/>
        <w:ind w:firstLine="422" w:firstLineChars="200"/>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1、审查、评价投标文件是否符合招标文件的商务、技术等实质性要求；</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评标委员会对符合资格的投标人的投标文件进行符合性审查，以确定其是否满足招标文件的商务、技术等实质性要求。</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注：符合性审查中所涉及到的证书及材料，均应在电子投标文件中提供原件扫描件（或图片）。</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2、要求投标人对投标文件有关事项作出澄清或者说明；</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0"/>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3、对投标文件进行比较和评价；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注：评标标准中所涉及到的证书及材料，均应在电子投标文件中提供原件扫描件（或图片）。</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（1）价格分计算</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rPr>
        <w:t>如果本项目非专门面向中小企业采购，对符合《政府采购促进中小企业发展管理办法》(财库〔2020〕46号规定的小微企业报价给予</w:t>
      </w:r>
      <w:r>
        <w:rPr>
          <w:rFonts w:hint="eastAsia" w:ascii="宋体" w:hAnsi="宋体" w:eastAsia="宋体" w:cs="宋体"/>
          <w:color w:val="auto"/>
          <w:sz w:val="21"/>
          <w:szCs w:val="21"/>
          <w:lang w:val="zh-CN"/>
        </w:rPr>
        <w:t>6%-10%</w:t>
      </w:r>
      <w:r>
        <w:rPr>
          <w:rFonts w:hint="eastAsia" w:ascii="宋体" w:hAnsi="宋体" w:eastAsia="宋体" w:cs="宋体"/>
          <w:color w:val="auto"/>
          <w:sz w:val="21"/>
          <w:szCs w:val="21"/>
        </w:rPr>
        <w:t>（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2）监狱企业视同小型、微型企业，对监狱企业价格给予6%</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w:t>
      </w:r>
      <w:r>
        <w:rPr>
          <w:rFonts w:hint="eastAsia" w:ascii="宋体" w:hAnsi="宋体" w:eastAsia="宋体" w:cs="宋体"/>
          <w:color w:val="auto"/>
          <w:sz w:val="21"/>
          <w:szCs w:val="21"/>
        </w:rPr>
        <w:t>-10%</w:t>
      </w:r>
      <w:r>
        <w:rPr>
          <w:rFonts w:hint="eastAsia" w:ascii="宋体" w:hAnsi="宋体" w:eastAsia="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关于相同品牌产品</w:t>
      </w:r>
      <w:r>
        <w:rPr>
          <w:rFonts w:hint="eastAsia" w:ascii="宋体" w:hAnsi="宋体" w:eastAsia="宋体" w:cs="宋体"/>
          <w:b/>
          <w:bCs/>
          <w:color w:val="auto"/>
          <w:sz w:val="21"/>
          <w:szCs w:val="21"/>
          <w:lang w:val="zh-CN"/>
        </w:rPr>
        <w:t>（服务类项目不适用本条款规定）</w:t>
      </w:r>
    </w:p>
    <w:p>
      <w:pPr>
        <w:pStyle w:val="20"/>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20"/>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（3）强制采购节能产品和优先采购节能产品、优先采购环保产品</w:t>
      </w:r>
    </w:p>
    <w:p>
      <w:pPr>
        <w:pStyle w:val="20"/>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1）对《节能产品政府采购品目清单》所列的政府强制采购节能产品</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20"/>
        <w:spacing w:line="360" w:lineRule="auto"/>
        <w:ind w:firstLine="465"/>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65"/>
        <w:contextualSpacing/>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（4）关于强制性产品认证</w:t>
      </w:r>
    </w:p>
    <w:p>
      <w:pPr>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2)投标人所投产品如被列入《信息安全产品强制性认证目录》，</w:t>
      </w:r>
      <w:r>
        <w:rPr>
          <w:rFonts w:hint="eastAsia" w:ascii="宋体" w:hAnsi="宋体" w:eastAsia="宋体" w:cs="宋体"/>
          <w:color w:val="auto"/>
          <w:sz w:val="21"/>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rPr>
        <w:t>②中国信息安全认证中心</w:t>
      </w:r>
      <w:r>
        <w:rPr>
          <w:rFonts w:hint="eastAsia" w:ascii="宋体" w:hAnsi="宋体" w:eastAsia="宋体" w:cs="宋体"/>
          <w:color w:val="auto"/>
          <w:sz w:val="21"/>
          <w:szCs w:val="21"/>
          <w:lang w:val="zh-CN"/>
        </w:rPr>
        <w:t>颁发的《中国国家信息安全产品认证证书》加盖投标人公章的原件扫描件（或图片）。</w:t>
      </w:r>
    </w:p>
    <w:p>
      <w:pPr>
        <w:wordWrap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注：仅需提供序号</w:t>
      </w:r>
      <w:r>
        <w:rPr>
          <w:rFonts w:hint="eastAsia" w:ascii="宋体" w:hAnsi="宋体" w:eastAsia="宋体" w:cs="宋体"/>
          <w:color w:val="auto"/>
          <w:sz w:val="21"/>
          <w:szCs w:val="21"/>
        </w:rPr>
        <w:t>①～②其中之一即可。</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（5）支持脱贫攻坚（物业服务项目）</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（6）投标无效情形</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d.不同投标人的投标文件异常一致或者投标报价呈规律性差异；</w:t>
      </w:r>
    </w:p>
    <w:p>
      <w:pPr>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5）法律、法规和招标文件规定的其他无效情形。</w:t>
      </w:r>
    </w:p>
    <w:p>
      <w:pPr>
        <w:pStyle w:val="20"/>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32"/>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4"/>
        <w:gridCol w:w="1379"/>
        <w:gridCol w:w="762"/>
        <w:gridCol w:w="5516"/>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blHeader/>
          <w:jc w:val="center"/>
        </w:trPr>
        <w:tc>
          <w:tcPr>
            <w:tcW w:w="1084" w:type="dxa"/>
            <w:noWrap/>
            <w:vAlign w:val="center"/>
          </w:tcPr>
          <w:p>
            <w:pPr>
              <w:spacing w:line="440" w:lineRule="exact"/>
              <w:jc w:val="center"/>
              <w:rPr>
                <w:rFonts w:ascii="宋体" w:hAnsi="宋体" w:cs="宋体"/>
                <w:b/>
                <w:sz w:val="21"/>
                <w:szCs w:val="21"/>
              </w:rPr>
            </w:pPr>
            <w:r>
              <w:rPr>
                <w:rFonts w:hint="eastAsia" w:ascii="宋体" w:hAnsi="宋体" w:eastAsia="宋体" w:cs="宋体"/>
                <w:b/>
                <w:sz w:val="21"/>
                <w:szCs w:val="21"/>
              </w:rPr>
              <w:t>评分项</w:t>
            </w:r>
          </w:p>
        </w:tc>
        <w:tc>
          <w:tcPr>
            <w:tcW w:w="1379" w:type="dxa"/>
            <w:noWrap/>
            <w:vAlign w:val="center"/>
          </w:tcPr>
          <w:p>
            <w:pPr>
              <w:spacing w:line="440" w:lineRule="exact"/>
              <w:jc w:val="center"/>
              <w:rPr>
                <w:rFonts w:ascii="宋体" w:hAnsi="宋体" w:cs="宋体"/>
                <w:b/>
                <w:sz w:val="21"/>
                <w:szCs w:val="21"/>
              </w:rPr>
            </w:pPr>
            <w:r>
              <w:rPr>
                <w:rFonts w:hint="eastAsia" w:ascii="宋体" w:hAnsi="宋体" w:eastAsia="宋体" w:cs="宋体"/>
                <w:b/>
                <w:sz w:val="21"/>
                <w:szCs w:val="21"/>
              </w:rPr>
              <w:t>评审内容</w:t>
            </w:r>
          </w:p>
        </w:tc>
        <w:tc>
          <w:tcPr>
            <w:tcW w:w="762" w:type="dxa"/>
            <w:noWrap/>
            <w:vAlign w:val="center"/>
          </w:tcPr>
          <w:p>
            <w:pPr>
              <w:spacing w:line="440" w:lineRule="exact"/>
              <w:jc w:val="center"/>
              <w:rPr>
                <w:rFonts w:ascii="宋体" w:hAnsi="宋体" w:cs="宋体"/>
                <w:b/>
                <w:sz w:val="21"/>
                <w:szCs w:val="21"/>
              </w:rPr>
            </w:pPr>
            <w:r>
              <w:rPr>
                <w:rFonts w:hint="eastAsia" w:ascii="宋体" w:hAnsi="宋体" w:eastAsia="宋体" w:cs="宋体"/>
                <w:b/>
                <w:sz w:val="21"/>
                <w:szCs w:val="21"/>
              </w:rPr>
              <w:t>分值</w:t>
            </w:r>
          </w:p>
        </w:tc>
        <w:tc>
          <w:tcPr>
            <w:tcW w:w="5516" w:type="dxa"/>
            <w:noWrap/>
            <w:vAlign w:val="center"/>
          </w:tcPr>
          <w:p>
            <w:pPr>
              <w:spacing w:line="440" w:lineRule="exact"/>
              <w:jc w:val="center"/>
              <w:rPr>
                <w:rFonts w:ascii="宋体" w:hAnsi="宋体" w:cs="宋体"/>
                <w:b/>
                <w:sz w:val="21"/>
                <w:szCs w:val="21"/>
              </w:rPr>
            </w:pPr>
            <w:r>
              <w:rPr>
                <w:rFonts w:hint="eastAsia" w:ascii="宋体" w:hAnsi="宋体" w:eastAsia="宋体" w:cs="宋体"/>
                <w:b/>
                <w:sz w:val="21"/>
                <w:szCs w:val="21"/>
              </w:rPr>
              <w:t>评分准则</w:t>
            </w:r>
          </w:p>
        </w:tc>
        <w:tc>
          <w:tcPr>
            <w:tcW w:w="753" w:type="dxa"/>
            <w:noWrap/>
            <w:vAlign w:val="center"/>
          </w:tcPr>
          <w:p>
            <w:pPr>
              <w:spacing w:line="440" w:lineRule="exact"/>
              <w:jc w:val="center"/>
              <w:rPr>
                <w:rFonts w:ascii="宋体" w:hAnsi="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4" w:type="dxa"/>
            <w:noWrap/>
            <w:vAlign w:val="center"/>
          </w:tcPr>
          <w:p>
            <w:pPr>
              <w:spacing w:line="440" w:lineRule="exact"/>
              <w:ind w:firstLine="210" w:firstLineChars="100"/>
              <w:rPr>
                <w:rFonts w:ascii="宋体" w:hAnsi="宋体" w:cs="宋体"/>
                <w:sz w:val="21"/>
                <w:szCs w:val="21"/>
              </w:rPr>
            </w:pPr>
            <w:r>
              <w:rPr>
                <w:rFonts w:hint="eastAsia" w:ascii="宋体" w:hAnsi="宋体" w:eastAsia="宋体" w:cs="宋体"/>
                <w:sz w:val="21"/>
                <w:szCs w:val="21"/>
              </w:rPr>
              <w:t>价格</w:t>
            </w:r>
          </w:p>
          <w:p>
            <w:pPr>
              <w:spacing w:line="440" w:lineRule="exact"/>
              <w:rPr>
                <w:rFonts w:ascii="宋体" w:hAnsi="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cs="宋体"/>
                <w:sz w:val="21"/>
                <w:szCs w:val="21"/>
              </w:rPr>
              <w:t>0</w:t>
            </w:r>
            <w:r>
              <w:rPr>
                <w:rFonts w:hint="eastAsia" w:ascii="宋体" w:hAnsi="宋体" w:eastAsia="宋体" w:cs="宋体"/>
                <w:sz w:val="21"/>
                <w:szCs w:val="21"/>
              </w:rPr>
              <w:t>分）</w:t>
            </w:r>
          </w:p>
        </w:tc>
        <w:tc>
          <w:tcPr>
            <w:tcW w:w="1379" w:type="dxa"/>
            <w:noWrap/>
            <w:vAlign w:val="center"/>
          </w:tcPr>
          <w:p>
            <w:pPr>
              <w:pStyle w:val="94"/>
              <w:spacing w:line="440" w:lineRule="exact"/>
              <w:jc w:val="center"/>
              <w:rPr>
                <w:sz w:val="21"/>
                <w:szCs w:val="21"/>
              </w:rPr>
            </w:pPr>
            <w:r>
              <w:rPr>
                <w:rFonts w:hint="eastAsia"/>
                <w:sz w:val="21"/>
                <w:szCs w:val="21"/>
                <w:lang w:val="en-US" w:eastAsia="zh-CN"/>
              </w:rPr>
              <w:t>投标</w:t>
            </w:r>
            <w:r>
              <w:rPr>
                <w:rFonts w:hint="eastAsia"/>
                <w:sz w:val="21"/>
                <w:szCs w:val="21"/>
              </w:rPr>
              <w:t>报价</w:t>
            </w:r>
          </w:p>
        </w:tc>
        <w:tc>
          <w:tcPr>
            <w:tcW w:w="762" w:type="dxa"/>
            <w:noWrap/>
            <w:vAlign w:val="center"/>
          </w:tcPr>
          <w:p>
            <w:pPr>
              <w:spacing w:line="440" w:lineRule="exact"/>
              <w:jc w:val="center"/>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0</w:t>
            </w:r>
            <w:r>
              <w:rPr>
                <w:rFonts w:hint="eastAsia" w:ascii="宋体" w:hAnsi="宋体" w:eastAsia="宋体" w:cs="宋体"/>
                <w:sz w:val="21"/>
                <w:szCs w:val="21"/>
              </w:rPr>
              <w:t>分</w:t>
            </w:r>
          </w:p>
        </w:tc>
        <w:tc>
          <w:tcPr>
            <w:tcW w:w="5516" w:type="dxa"/>
            <w:noWrap/>
            <w:vAlign w:val="center"/>
          </w:tcPr>
          <w:p>
            <w:pPr>
              <w:pStyle w:val="94"/>
              <w:spacing w:line="440" w:lineRule="exact"/>
              <w:ind w:firstLine="420" w:firstLineChars="200"/>
              <w:jc w:val="left"/>
              <w:rPr>
                <w:sz w:val="21"/>
                <w:szCs w:val="21"/>
                <w:lang w:val="en-US"/>
              </w:rPr>
            </w:pPr>
            <w:r>
              <w:rPr>
                <w:rFonts w:hint="eastAsia"/>
                <w:sz w:val="21"/>
                <w:szCs w:val="21"/>
                <w:lang w:val="en-US"/>
              </w:rPr>
              <w:t>评标基准价：满足招标文件要求的有效投标报价中，最低的投标报价为评标基准价。</w:t>
            </w:r>
          </w:p>
          <w:p>
            <w:pPr>
              <w:pStyle w:val="94"/>
              <w:spacing w:line="440" w:lineRule="exact"/>
              <w:ind w:firstLine="420" w:firstLineChars="200"/>
              <w:jc w:val="left"/>
              <w:rPr>
                <w:sz w:val="21"/>
                <w:szCs w:val="21"/>
                <w:lang w:val="en-US"/>
              </w:rPr>
            </w:pPr>
            <w:r>
              <w:rPr>
                <w:rFonts w:hint="eastAsia"/>
                <w:sz w:val="21"/>
                <w:szCs w:val="21"/>
                <w:lang w:val="en-US"/>
              </w:rPr>
              <w:t>投标报价得分=（评标基准价/投标报价）×</w:t>
            </w:r>
            <w:r>
              <w:rPr>
                <w:rFonts w:hint="eastAsia"/>
                <w:sz w:val="21"/>
                <w:szCs w:val="21"/>
                <w:lang w:val="en-US" w:eastAsia="zh-CN"/>
              </w:rPr>
              <w:t>2</w:t>
            </w:r>
            <w:r>
              <w:rPr>
                <w:rFonts w:hint="eastAsia"/>
                <w:sz w:val="21"/>
                <w:szCs w:val="21"/>
                <w:lang w:val="en-US"/>
              </w:rPr>
              <w:t xml:space="preserve">0   </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1084" w:type="dxa"/>
            <w:vMerge w:val="restart"/>
            <w:noWrap/>
            <w:vAlign w:val="center"/>
          </w:tcPr>
          <w:p>
            <w:pPr>
              <w:spacing w:line="44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eastAsia="zh-CN"/>
              </w:rPr>
              <w:t>技术部分（</w:t>
            </w:r>
            <w:r>
              <w:rPr>
                <w:rFonts w:hint="eastAsia" w:ascii="宋体" w:hAnsi="宋体" w:cs="宋体"/>
                <w:sz w:val="21"/>
                <w:szCs w:val="21"/>
                <w:lang w:val="en-US" w:eastAsia="zh-CN"/>
              </w:rPr>
              <w:t>50分）</w:t>
            </w:r>
          </w:p>
        </w:tc>
        <w:tc>
          <w:tcPr>
            <w:tcW w:w="1379" w:type="dxa"/>
            <w:noWrap/>
            <w:vAlign w:val="center"/>
          </w:tcPr>
          <w:p>
            <w:pPr>
              <w:spacing w:line="440" w:lineRule="exact"/>
              <w:jc w:val="center"/>
              <w:rPr>
                <w:rFonts w:ascii="宋体" w:hAnsi="宋体" w:cs="宋体"/>
                <w:bCs/>
                <w:color w:val="auto"/>
                <w:sz w:val="21"/>
                <w:szCs w:val="21"/>
              </w:rPr>
            </w:pPr>
            <w:r>
              <w:rPr>
                <w:rFonts w:hint="eastAsia"/>
                <w:color w:val="auto"/>
                <w:sz w:val="21"/>
                <w:szCs w:val="21"/>
                <w:lang w:val="en-US" w:eastAsia="zh-CN"/>
              </w:rPr>
              <w:t>1</w:t>
            </w:r>
            <w:r>
              <w:rPr>
                <w:rFonts w:hint="eastAsia"/>
                <w:color w:val="auto"/>
                <w:sz w:val="21"/>
                <w:szCs w:val="21"/>
              </w:rPr>
              <w:t>、总体方案</w:t>
            </w:r>
          </w:p>
        </w:tc>
        <w:tc>
          <w:tcPr>
            <w:tcW w:w="762" w:type="dxa"/>
            <w:noWrap/>
            <w:vAlign w:val="center"/>
          </w:tcPr>
          <w:p>
            <w:pPr>
              <w:spacing w:line="440" w:lineRule="exact"/>
              <w:jc w:val="center"/>
              <w:rPr>
                <w:rFonts w:ascii="宋体" w:hAnsi="宋体" w:cs="宋体"/>
                <w:color w:val="auto"/>
                <w:sz w:val="21"/>
                <w:szCs w:val="21"/>
              </w:rPr>
            </w:pPr>
            <w:r>
              <w:rPr>
                <w:rFonts w:hint="eastAsia" w:ascii="宋体" w:hAnsi="宋体" w:eastAsia="宋体" w:cs="宋体"/>
                <w:color w:val="auto"/>
                <w:sz w:val="21"/>
                <w:szCs w:val="21"/>
              </w:rPr>
              <w:t>0-</w:t>
            </w:r>
            <w:r>
              <w:rPr>
                <w:rFonts w:hint="eastAsia" w:ascii="宋体" w:hAnsi="宋体" w:cs="宋体"/>
                <w:color w:val="auto"/>
                <w:sz w:val="21"/>
                <w:szCs w:val="21"/>
              </w:rPr>
              <w:t>12</w:t>
            </w:r>
            <w:r>
              <w:rPr>
                <w:rFonts w:hint="eastAsia" w:ascii="宋体" w:hAnsi="宋体" w:eastAsia="宋体" w:cs="宋体"/>
                <w:color w:val="auto"/>
                <w:sz w:val="21"/>
                <w:szCs w:val="21"/>
              </w:rPr>
              <w:t>分</w:t>
            </w:r>
          </w:p>
        </w:tc>
        <w:tc>
          <w:tcPr>
            <w:tcW w:w="5516" w:type="dxa"/>
            <w:noWrap/>
            <w:vAlign w:val="center"/>
          </w:tcPr>
          <w:p>
            <w:pPr>
              <w:spacing w:line="400" w:lineRule="exact"/>
              <w:rPr>
                <w:rFonts w:hint="eastAsia" w:eastAsiaTheme="minorEastAsia"/>
                <w:color w:val="auto"/>
                <w:sz w:val="21"/>
                <w:szCs w:val="21"/>
                <w:lang w:eastAsia="zh-CN"/>
              </w:rPr>
            </w:pPr>
            <w:r>
              <w:rPr>
                <w:rFonts w:hint="eastAsia"/>
                <w:color w:val="auto"/>
                <w:sz w:val="21"/>
                <w:szCs w:val="21"/>
              </w:rPr>
              <w:t>总体方案目标清晰，具有较强的可操作性、前瞻性和创造性</w:t>
            </w:r>
            <w:r>
              <w:rPr>
                <w:rFonts w:hint="eastAsia"/>
                <w:color w:val="auto"/>
                <w:sz w:val="21"/>
                <w:szCs w:val="21"/>
                <w:lang w:eastAsia="zh-CN"/>
              </w:rPr>
              <w:t>。</w:t>
            </w:r>
          </w:p>
          <w:p>
            <w:pPr>
              <w:spacing w:line="400" w:lineRule="exact"/>
              <w:rPr>
                <w:color w:val="auto"/>
                <w:sz w:val="21"/>
                <w:szCs w:val="21"/>
              </w:rPr>
            </w:pPr>
            <w:r>
              <w:rPr>
                <w:rFonts w:hint="eastAsia"/>
                <w:color w:val="auto"/>
                <w:sz w:val="21"/>
                <w:szCs w:val="21"/>
                <w:lang w:val="en-US" w:eastAsia="zh-CN"/>
              </w:rPr>
              <w:t>根据综合评定</w:t>
            </w:r>
            <w:r>
              <w:rPr>
                <w:rFonts w:hint="eastAsia"/>
                <w:color w:val="auto"/>
                <w:sz w:val="21"/>
                <w:szCs w:val="21"/>
              </w:rPr>
              <w:t>优得</w:t>
            </w:r>
            <w:r>
              <w:rPr>
                <w:rFonts w:hint="eastAsia"/>
                <w:color w:val="auto"/>
                <w:sz w:val="21"/>
                <w:szCs w:val="21"/>
                <w:lang w:val="en-US" w:eastAsia="zh-CN"/>
              </w:rPr>
              <w:t>12</w:t>
            </w:r>
            <w:r>
              <w:rPr>
                <w:rFonts w:hint="eastAsia"/>
                <w:color w:val="auto"/>
                <w:sz w:val="21"/>
                <w:szCs w:val="21"/>
              </w:rPr>
              <w:t>分，良得</w:t>
            </w:r>
            <w:r>
              <w:rPr>
                <w:rFonts w:hint="eastAsia"/>
                <w:color w:val="auto"/>
                <w:sz w:val="21"/>
                <w:szCs w:val="21"/>
                <w:lang w:val="en-US" w:eastAsia="zh-CN"/>
              </w:rPr>
              <w:t>7</w:t>
            </w:r>
            <w:r>
              <w:rPr>
                <w:rFonts w:hint="eastAsia"/>
                <w:color w:val="auto"/>
                <w:sz w:val="21"/>
                <w:szCs w:val="21"/>
              </w:rPr>
              <w:t>分，一般得</w:t>
            </w:r>
            <w:r>
              <w:rPr>
                <w:rFonts w:hint="eastAsia"/>
                <w:color w:val="auto"/>
                <w:sz w:val="21"/>
                <w:szCs w:val="21"/>
                <w:lang w:val="en-US" w:eastAsia="zh-CN"/>
              </w:rPr>
              <w:t>5</w:t>
            </w:r>
            <w:r>
              <w:rPr>
                <w:rFonts w:hint="eastAsia"/>
                <w:color w:val="auto"/>
                <w:sz w:val="21"/>
                <w:szCs w:val="21"/>
              </w:rPr>
              <w:t>分</w:t>
            </w:r>
            <w:r>
              <w:rPr>
                <w:rFonts w:hint="eastAsia"/>
                <w:color w:val="auto"/>
                <w:sz w:val="21"/>
                <w:szCs w:val="21"/>
                <w:lang w:eastAsia="zh-CN"/>
              </w:rPr>
              <w:t>，</w:t>
            </w:r>
            <w:r>
              <w:rPr>
                <w:rFonts w:hint="eastAsia"/>
                <w:color w:val="auto"/>
                <w:sz w:val="21"/>
                <w:szCs w:val="21"/>
              </w:rPr>
              <w:t>缺项得0分。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1084" w:type="dxa"/>
            <w:vMerge w:val="continue"/>
            <w:noWrap/>
            <w:vAlign w:val="center"/>
          </w:tcPr>
          <w:p>
            <w:pPr>
              <w:spacing w:line="440" w:lineRule="exact"/>
              <w:jc w:val="center"/>
              <w:rPr>
                <w:rFonts w:ascii="宋体" w:hAnsi="宋体" w:cs="宋体"/>
                <w:sz w:val="21"/>
                <w:szCs w:val="21"/>
              </w:rPr>
            </w:pPr>
          </w:p>
        </w:tc>
        <w:tc>
          <w:tcPr>
            <w:tcW w:w="1379" w:type="dxa"/>
            <w:noWrap/>
            <w:vAlign w:val="center"/>
          </w:tcPr>
          <w:p>
            <w:pPr>
              <w:spacing w:line="440" w:lineRule="exact"/>
              <w:jc w:val="center"/>
              <w:rPr>
                <w:color w:val="auto"/>
                <w:sz w:val="21"/>
                <w:szCs w:val="21"/>
              </w:rPr>
            </w:pPr>
            <w:r>
              <w:rPr>
                <w:rFonts w:hint="eastAsia"/>
                <w:color w:val="auto"/>
                <w:sz w:val="21"/>
                <w:szCs w:val="21"/>
                <w:lang w:val="en-US" w:eastAsia="zh-CN"/>
              </w:rPr>
              <w:t>2</w:t>
            </w:r>
            <w:r>
              <w:rPr>
                <w:rFonts w:hint="eastAsia"/>
                <w:color w:val="auto"/>
                <w:sz w:val="21"/>
                <w:szCs w:val="21"/>
              </w:rPr>
              <w:t>、基本思路和成果</w:t>
            </w:r>
          </w:p>
        </w:tc>
        <w:tc>
          <w:tcPr>
            <w:tcW w:w="762" w:type="dxa"/>
            <w:noWrap/>
            <w:vAlign w:val="center"/>
          </w:tcPr>
          <w:p>
            <w:pPr>
              <w:spacing w:line="440" w:lineRule="exact"/>
              <w:jc w:val="center"/>
              <w:rPr>
                <w:rFonts w:ascii="宋体" w:hAnsi="宋体" w:cs="宋体"/>
                <w:color w:val="auto"/>
                <w:sz w:val="21"/>
                <w:szCs w:val="21"/>
              </w:rPr>
            </w:pPr>
            <w:r>
              <w:rPr>
                <w:rFonts w:hint="eastAsia" w:ascii="宋体" w:hAnsi="宋体" w:eastAsia="宋体" w:cs="宋体"/>
                <w:color w:val="auto"/>
                <w:sz w:val="21"/>
                <w:szCs w:val="21"/>
              </w:rPr>
              <w:t>0-1</w:t>
            </w:r>
            <w:r>
              <w:rPr>
                <w:rFonts w:hint="eastAsia" w:ascii="宋体" w:hAnsi="宋体" w:cs="宋体"/>
                <w:color w:val="auto"/>
                <w:sz w:val="21"/>
                <w:szCs w:val="21"/>
              </w:rPr>
              <w:t>2</w:t>
            </w:r>
            <w:r>
              <w:rPr>
                <w:rFonts w:hint="eastAsia" w:ascii="宋体" w:hAnsi="宋体" w:eastAsia="宋体" w:cs="宋体"/>
                <w:color w:val="auto"/>
                <w:sz w:val="21"/>
                <w:szCs w:val="21"/>
              </w:rPr>
              <w:t>分</w:t>
            </w:r>
          </w:p>
        </w:tc>
        <w:tc>
          <w:tcPr>
            <w:tcW w:w="5516" w:type="dxa"/>
            <w:noWrap/>
            <w:vAlign w:val="center"/>
          </w:tcPr>
          <w:p>
            <w:pPr>
              <w:spacing w:line="400" w:lineRule="exact"/>
              <w:rPr>
                <w:rFonts w:hint="eastAsia"/>
                <w:color w:val="auto"/>
                <w:sz w:val="21"/>
                <w:szCs w:val="21"/>
                <w:lang w:eastAsia="zh-CN"/>
              </w:rPr>
            </w:pPr>
            <w:r>
              <w:rPr>
                <w:rFonts w:hint="eastAsia"/>
                <w:color w:val="auto"/>
                <w:sz w:val="21"/>
                <w:szCs w:val="21"/>
              </w:rPr>
              <w:t>针对本项目的基本思路和提交成果内容</w:t>
            </w:r>
            <w:r>
              <w:rPr>
                <w:rFonts w:hint="eastAsia"/>
                <w:color w:val="auto"/>
                <w:sz w:val="21"/>
                <w:szCs w:val="21"/>
                <w:lang w:eastAsia="zh-CN"/>
              </w:rPr>
              <w:t>。</w:t>
            </w:r>
          </w:p>
          <w:p>
            <w:pPr>
              <w:spacing w:line="400" w:lineRule="exact"/>
              <w:rPr>
                <w:color w:val="auto"/>
                <w:sz w:val="21"/>
                <w:szCs w:val="21"/>
              </w:rPr>
            </w:pPr>
            <w:r>
              <w:rPr>
                <w:rFonts w:hint="eastAsia"/>
                <w:color w:val="auto"/>
                <w:sz w:val="21"/>
                <w:szCs w:val="21"/>
                <w:lang w:val="en-US" w:eastAsia="zh-CN"/>
              </w:rPr>
              <w:t>根据综合评定</w:t>
            </w:r>
            <w:r>
              <w:rPr>
                <w:rFonts w:hint="eastAsia"/>
                <w:color w:val="auto"/>
                <w:sz w:val="21"/>
                <w:szCs w:val="21"/>
              </w:rPr>
              <w:t>优得</w:t>
            </w:r>
            <w:r>
              <w:rPr>
                <w:rFonts w:hint="eastAsia"/>
                <w:color w:val="auto"/>
                <w:sz w:val="21"/>
                <w:szCs w:val="21"/>
                <w:lang w:val="en-US" w:eastAsia="zh-CN"/>
              </w:rPr>
              <w:t>12</w:t>
            </w:r>
            <w:r>
              <w:rPr>
                <w:rFonts w:hint="eastAsia"/>
                <w:color w:val="auto"/>
                <w:sz w:val="21"/>
                <w:szCs w:val="21"/>
              </w:rPr>
              <w:t>分，良得</w:t>
            </w:r>
            <w:r>
              <w:rPr>
                <w:rFonts w:hint="eastAsia"/>
                <w:color w:val="auto"/>
                <w:sz w:val="21"/>
                <w:szCs w:val="21"/>
                <w:lang w:val="en-US" w:eastAsia="zh-CN"/>
              </w:rPr>
              <w:t>7</w:t>
            </w:r>
            <w:r>
              <w:rPr>
                <w:rFonts w:hint="eastAsia"/>
                <w:color w:val="auto"/>
                <w:sz w:val="21"/>
                <w:szCs w:val="21"/>
              </w:rPr>
              <w:t>分，一般得</w:t>
            </w:r>
            <w:r>
              <w:rPr>
                <w:rFonts w:hint="eastAsia"/>
                <w:color w:val="auto"/>
                <w:sz w:val="21"/>
                <w:szCs w:val="21"/>
                <w:lang w:val="en-US" w:eastAsia="zh-CN"/>
              </w:rPr>
              <w:t>5</w:t>
            </w:r>
            <w:r>
              <w:rPr>
                <w:rFonts w:hint="eastAsia"/>
                <w:color w:val="auto"/>
                <w:sz w:val="21"/>
                <w:szCs w:val="21"/>
              </w:rPr>
              <w:t>分</w:t>
            </w:r>
            <w:r>
              <w:rPr>
                <w:rFonts w:hint="eastAsia"/>
                <w:color w:val="auto"/>
                <w:sz w:val="21"/>
                <w:szCs w:val="21"/>
                <w:lang w:eastAsia="zh-CN"/>
              </w:rPr>
              <w:t>，</w:t>
            </w:r>
            <w:r>
              <w:rPr>
                <w:rFonts w:hint="eastAsia"/>
                <w:color w:val="auto"/>
                <w:sz w:val="21"/>
                <w:szCs w:val="21"/>
              </w:rPr>
              <w:t>缺项得0分。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084" w:type="dxa"/>
            <w:vMerge w:val="continue"/>
            <w:noWrap/>
            <w:vAlign w:val="center"/>
          </w:tcPr>
          <w:p>
            <w:pPr>
              <w:spacing w:line="440" w:lineRule="exact"/>
              <w:jc w:val="center"/>
              <w:rPr>
                <w:rFonts w:ascii="宋体" w:hAnsi="宋体" w:cs="宋体"/>
                <w:sz w:val="21"/>
                <w:szCs w:val="21"/>
              </w:rPr>
            </w:pPr>
          </w:p>
        </w:tc>
        <w:tc>
          <w:tcPr>
            <w:tcW w:w="1379" w:type="dxa"/>
            <w:noWrap/>
            <w:vAlign w:val="center"/>
          </w:tcPr>
          <w:p>
            <w:pPr>
              <w:spacing w:line="440" w:lineRule="exact"/>
              <w:jc w:val="center"/>
              <w:rPr>
                <w:color w:val="auto"/>
                <w:sz w:val="21"/>
                <w:szCs w:val="21"/>
              </w:rPr>
            </w:pPr>
            <w:r>
              <w:rPr>
                <w:rFonts w:hint="eastAsia"/>
                <w:color w:val="auto"/>
                <w:sz w:val="21"/>
                <w:szCs w:val="21"/>
                <w:lang w:val="en-US" w:eastAsia="zh-CN"/>
              </w:rPr>
              <w:t>3</w:t>
            </w:r>
            <w:r>
              <w:rPr>
                <w:rFonts w:hint="eastAsia"/>
                <w:color w:val="auto"/>
                <w:sz w:val="21"/>
                <w:szCs w:val="21"/>
              </w:rPr>
              <w:t>、重难点分析</w:t>
            </w:r>
          </w:p>
        </w:tc>
        <w:tc>
          <w:tcPr>
            <w:tcW w:w="762" w:type="dxa"/>
            <w:noWrap/>
            <w:vAlign w:val="center"/>
          </w:tcPr>
          <w:p>
            <w:pPr>
              <w:spacing w:line="440" w:lineRule="exact"/>
              <w:jc w:val="center"/>
              <w:rPr>
                <w:rFonts w:ascii="宋体" w:hAnsi="宋体" w:cs="宋体"/>
                <w:color w:val="auto"/>
                <w:sz w:val="21"/>
                <w:szCs w:val="21"/>
              </w:rPr>
            </w:pPr>
            <w:r>
              <w:rPr>
                <w:rFonts w:hint="eastAsia" w:ascii="宋体" w:hAnsi="宋体" w:eastAsia="宋体" w:cs="宋体"/>
                <w:color w:val="auto"/>
                <w:sz w:val="21"/>
                <w:szCs w:val="21"/>
              </w:rPr>
              <w:t>0-</w:t>
            </w:r>
            <w:r>
              <w:rPr>
                <w:rFonts w:hint="eastAsia" w:ascii="宋体" w:hAnsi="宋体" w:cs="宋体"/>
                <w:color w:val="auto"/>
                <w:sz w:val="21"/>
                <w:szCs w:val="21"/>
              </w:rPr>
              <w:t>5</w:t>
            </w:r>
            <w:r>
              <w:rPr>
                <w:rFonts w:hint="eastAsia" w:ascii="宋体" w:hAnsi="宋体" w:eastAsia="宋体" w:cs="宋体"/>
                <w:color w:val="auto"/>
                <w:sz w:val="21"/>
                <w:szCs w:val="21"/>
              </w:rPr>
              <w:t>分</w:t>
            </w:r>
          </w:p>
        </w:tc>
        <w:tc>
          <w:tcPr>
            <w:tcW w:w="5516" w:type="dxa"/>
            <w:noWrap/>
            <w:vAlign w:val="center"/>
          </w:tcPr>
          <w:p>
            <w:pPr>
              <w:spacing w:line="400" w:lineRule="exact"/>
              <w:rPr>
                <w:rFonts w:hint="eastAsia"/>
                <w:color w:val="auto"/>
                <w:sz w:val="21"/>
                <w:szCs w:val="21"/>
                <w:lang w:eastAsia="zh-CN"/>
              </w:rPr>
            </w:pPr>
            <w:r>
              <w:rPr>
                <w:rFonts w:hint="eastAsia"/>
                <w:color w:val="auto"/>
                <w:sz w:val="21"/>
                <w:szCs w:val="21"/>
              </w:rPr>
              <w:t>针对本项目的重点和难点分析</w:t>
            </w:r>
            <w:r>
              <w:rPr>
                <w:rFonts w:hint="eastAsia"/>
                <w:color w:val="auto"/>
                <w:sz w:val="21"/>
                <w:szCs w:val="21"/>
                <w:lang w:eastAsia="zh-CN"/>
              </w:rPr>
              <w:t>。</w:t>
            </w:r>
          </w:p>
          <w:p>
            <w:pPr>
              <w:spacing w:line="400" w:lineRule="exact"/>
              <w:rPr>
                <w:color w:val="auto"/>
                <w:sz w:val="21"/>
                <w:szCs w:val="21"/>
              </w:rPr>
            </w:pPr>
            <w:r>
              <w:rPr>
                <w:rFonts w:hint="eastAsia"/>
                <w:color w:val="auto"/>
                <w:sz w:val="21"/>
                <w:szCs w:val="21"/>
                <w:lang w:val="en-US" w:eastAsia="zh-CN"/>
              </w:rPr>
              <w:t>根据综合评定</w:t>
            </w:r>
            <w:r>
              <w:rPr>
                <w:rFonts w:hint="eastAsia"/>
                <w:color w:val="auto"/>
                <w:sz w:val="21"/>
                <w:szCs w:val="21"/>
              </w:rPr>
              <w:t>优得</w:t>
            </w:r>
            <w:r>
              <w:rPr>
                <w:rFonts w:hint="eastAsia"/>
                <w:color w:val="auto"/>
                <w:sz w:val="21"/>
                <w:szCs w:val="21"/>
                <w:lang w:val="en-US" w:eastAsia="zh-CN"/>
              </w:rPr>
              <w:t>5</w:t>
            </w:r>
            <w:r>
              <w:rPr>
                <w:rFonts w:hint="eastAsia"/>
                <w:color w:val="auto"/>
                <w:sz w:val="21"/>
                <w:szCs w:val="21"/>
              </w:rPr>
              <w:t>分，良得</w:t>
            </w:r>
            <w:r>
              <w:rPr>
                <w:rFonts w:hint="eastAsia"/>
                <w:color w:val="auto"/>
                <w:sz w:val="21"/>
                <w:szCs w:val="21"/>
                <w:lang w:val="en-US" w:eastAsia="zh-CN"/>
              </w:rPr>
              <w:t>3</w:t>
            </w:r>
            <w:r>
              <w:rPr>
                <w:rFonts w:hint="eastAsia"/>
                <w:color w:val="auto"/>
                <w:sz w:val="21"/>
                <w:szCs w:val="21"/>
              </w:rPr>
              <w:t>分，一般得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w:t>
            </w:r>
            <w:r>
              <w:rPr>
                <w:rFonts w:hint="eastAsia"/>
                <w:color w:val="auto"/>
                <w:sz w:val="21"/>
                <w:szCs w:val="21"/>
              </w:rPr>
              <w:t>缺项得0分。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1084" w:type="dxa"/>
            <w:vMerge w:val="continue"/>
            <w:noWrap/>
            <w:vAlign w:val="center"/>
          </w:tcPr>
          <w:p>
            <w:pPr>
              <w:spacing w:line="440" w:lineRule="exact"/>
              <w:jc w:val="center"/>
              <w:rPr>
                <w:rFonts w:ascii="宋体" w:hAnsi="宋体" w:cs="宋体"/>
                <w:sz w:val="21"/>
                <w:szCs w:val="21"/>
              </w:rPr>
            </w:pPr>
          </w:p>
        </w:tc>
        <w:tc>
          <w:tcPr>
            <w:tcW w:w="1379" w:type="dxa"/>
            <w:noWrap/>
            <w:vAlign w:val="center"/>
          </w:tcPr>
          <w:p>
            <w:pPr>
              <w:spacing w:line="440" w:lineRule="exact"/>
              <w:jc w:val="center"/>
              <w:rPr>
                <w:rFonts w:ascii="宋体" w:hAnsi="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w:t>
            </w:r>
            <w:r>
              <w:rPr>
                <w:rFonts w:hint="eastAsia"/>
                <w:color w:val="auto"/>
                <w:sz w:val="21"/>
                <w:szCs w:val="21"/>
              </w:rPr>
              <w:t>实施团队</w:t>
            </w:r>
          </w:p>
        </w:tc>
        <w:tc>
          <w:tcPr>
            <w:tcW w:w="762" w:type="dxa"/>
            <w:noWrap/>
            <w:vAlign w:val="center"/>
          </w:tcPr>
          <w:p>
            <w:pPr>
              <w:spacing w:line="440" w:lineRule="exact"/>
              <w:jc w:val="center"/>
              <w:rPr>
                <w:rFonts w:ascii="宋体" w:hAnsi="宋体" w:cs="宋体"/>
                <w:color w:val="auto"/>
                <w:sz w:val="21"/>
                <w:szCs w:val="21"/>
              </w:rPr>
            </w:pPr>
            <w:r>
              <w:rPr>
                <w:rFonts w:hint="eastAsia" w:ascii="宋体" w:hAnsi="宋体" w:eastAsia="宋体" w:cs="宋体"/>
                <w:color w:val="auto"/>
                <w:sz w:val="21"/>
                <w:szCs w:val="21"/>
              </w:rPr>
              <w:t>0-</w:t>
            </w:r>
            <w:r>
              <w:rPr>
                <w:rFonts w:hint="eastAsia" w:ascii="宋体" w:hAnsi="宋体" w:cs="宋体"/>
                <w:color w:val="auto"/>
                <w:sz w:val="21"/>
                <w:szCs w:val="21"/>
              </w:rPr>
              <w:t>7</w:t>
            </w:r>
            <w:r>
              <w:rPr>
                <w:rFonts w:hint="eastAsia" w:ascii="宋体" w:hAnsi="宋体" w:eastAsia="宋体" w:cs="宋体"/>
                <w:color w:val="auto"/>
                <w:sz w:val="21"/>
                <w:szCs w:val="21"/>
              </w:rPr>
              <w:t>分</w:t>
            </w:r>
          </w:p>
        </w:tc>
        <w:tc>
          <w:tcPr>
            <w:tcW w:w="5516" w:type="dxa"/>
            <w:noWrap/>
            <w:vAlign w:val="center"/>
          </w:tcPr>
          <w:p>
            <w:pPr>
              <w:spacing w:line="400" w:lineRule="exact"/>
              <w:rPr>
                <w:rFonts w:hint="eastAsia"/>
                <w:color w:val="auto"/>
                <w:sz w:val="21"/>
                <w:szCs w:val="21"/>
              </w:rPr>
            </w:pPr>
            <w:r>
              <w:rPr>
                <w:rFonts w:hint="eastAsia"/>
                <w:color w:val="auto"/>
                <w:sz w:val="21"/>
                <w:szCs w:val="21"/>
              </w:rPr>
              <w:t>实施工作团队组织分工合理、人员安排满足项目需要。</w:t>
            </w:r>
          </w:p>
          <w:p>
            <w:pPr>
              <w:spacing w:line="400" w:lineRule="exact"/>
              <w:rPr>
                <w:color w:val="auto"/>
                <w:sz w:val="21"/>
                <w:szCs w:val="21"/>
              </w:rPr>
            </w:pPr>
            <w:r>
              <w:rPr>
                <w:rFonts w:hint="eastAsia"/>
                <w:color w:val="auto"/>
                <w:sz w:val="21"/>
                <w:szCs w:val="21"/>
                <w:lang w:val="en-US" w:eastAsia="zh-CN"/>
              </w:rPr>
              <w:t>根据综合评定</w:t>
            </w:r>
            <w:r>
              <w:rPr>
                <w:rFonts w:hint="eastAsia"/>
                <w:color w:val="auto"/>
                <w:sz w:val="21"/>
                <w:szCs w:val="21"/>
              </w:rPr>
              <w:t>优得</w:t>
            </w:r>
            <w:r>
              <w:rPr>
                <w:rFonts w:hint="eastAsia"/>
                <w:color w:val="auto"/>
                <w:sz w:val="21"/>
                <w:szCs w:val="21"/>
                <w:lang w:val="en-US" w:eastAsia="zh-CN"/>
              </w:rPr>
              <w:t>7</w:t>
            </w:r>
            <w:r>
              <w:rPr>
                <w:rFonts w:hint="eastAsia"/>
                <w:color w:val="auto"/>
                <w:sz w:val="21"/>
                <w:szCs w:val="21"/>
              </w:rPr>
              <w:t>分，良得</w:t>
            </w:r>
            <w:r>
              <w:rPr>
                <w:rFonts w:hint="eastAsia"/>
                <w:color w:val="auto"/>
                <w:sz w:val="21"/>
                <w:szCs w:val="21"/>
                <w:lang w:val="en-US" w:eastAsia="zh-CN"/>
              </w:rPr>
              <w:t>4</w:t>
            </w:r>
            <w:r>
              <w:rPr>
                <w:rFonts w:hint="eastAsia"/>
                <w:color w:val="auto"/>
                <w:sz w:val="21"/>
                <w:szCs w:val="21"/>
              </w:rPr>
              <w:t>分，一般得</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r>
              <w:rPr>
                <w:rFonts w:hint="eastAsia"/>
                <w:color w:val="auto"/>
                <w:sz w:val="21"/>
                <w:szCs w:val="21"/>
              </w:rPr>
              <w:t>缺项得0分。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084" w:type="dxa"/>
            <w:vMerge w:val="continue"/>
            <w:noWrap/>
            <w:vAlign w:val="center"/>
          </w:tcPr>
          <w:p>
            <w:pPr>
              <w:spacing w:line="440" w:lineRule="exact"/>
              <w:jc w:val="center"/>
              <w:rPr>
                <w:rFonts w:ascii="宋体" w:hAnsi="宋体" w:cs="宋体"/>
                <w:sz w:val="21"/>
                <w:szCs w:val="21"/>
              </w:rPr>
            </w:pPr>
          </w:p>
        </w:tc>
        <w:tc>
          <w:tcPr>
            <w:tcW w:w="1379" w:type="dxa"/>
            <w:noWrap/>
            <w:vAlign w:val="center"/>
          </w:tcPr>
          <w:p>
            <w:pPr>
              <w:spacing w:line="440" w:lineRule="exact"/>
              <w:jc w:val="center"/>
              <w:rPr>
                <w:rFonts w:ascii="宋体" w:hAnsi="宋体" w:cs="宋体"/>
                <w:bCs/>
                <w:color w:val="auto"/>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、进度计划</w:t>
            </w:r>
          </w:p>
        </w:tc>
        <w:tc>
          <w:tcPr>
            <w:tcW w:w="762" w:type="dxa"/>
            <w:noWrap/>
            <w:vAlign w:val="center"/>
          </w:tcPr>
          <w:p>
            <w:pPr>
              <w:spacing w:line="440" w:lineRule="exact"/>
              <w:jc w:val="center"/>
              <w:rPr>
                <w:rFonts w:ascii="宋体" w:hAnsi="宋体" w:cs="宋体"/>
                <w:color w:val="auto"/>
                <w:sz w:val="21"/>
                <w:szCs w:val="21"/>
              </w:rPr>
            </w:pPr>
            <w:r>
              <w:rPr>
                <w:rFonts w:hint="eastAsia" w:ascii="宋体" w:hAnsi="宋体" w:eastAsia="宋体" w:cs="宋体"/>
                <w:color w:val="auto"/>
                <w:sz w:val="21"/>
                <w:szCs w:val="21"/>
              </w:rPr>
              <w:t>0-</w:t>
            </w:r>
            <w:r>
              <w:rPr>
                <w:rFonts w:hint="eastAsia" w:ascii="宋体" w:hAnsi="宋体" w:cs="宋体"/>
                <w:color w:val="auto"/>
                <w:sz w:val="21"/>
                <w:szCs w:val="21"/>
              </w:rPr>
              <w:t>7</w:t>
            </w:r>
            <w:r>
              <w:rPr>
                <w:rFonts w:hint="eastAsia" w:ascii="宋体" w:hAnsi="宋体" w:eastAsia="宋体" w:cs="宋体"/>
                <w:color w:val="auto"/>
                <w:sz w:val="21"/>
                <w:szCs w:val="21"/>
              </w:rPr>
              <w:t>分</w:t>
            </w:r>
          </w:p>
        </w:tc>
        <w:tc>
          <w:tcPr>
            <w:tcW w:w="5516" w:type="dxa"/>
            <w:noWrap/>
            <w:vAlign w:val="center"/>
          </w:tcPr>
          <w:p>
            <w:pPr>
              <w:spacing w:line="400" w:lineRule="exact"/>
              <w:rPr>
                <w:rFonts w:hint="eastAsia"/>
                <w:color w:val="auto"/>
                <w:sz w:val="21"/>
                <w:szCs w:val="21"/>
                <w:lang w:eastAsia="zh-CN"/>
              </w:rPr>
            </w:pPr>
            <w:r>
              <w:rPr>
                <w:rFonts w:hint="eastAsia"/>
                <w:color w:val="auto"/>
                <w:sz w:val="21"/>
                <w:szCs w:val="21"/>
              </w:rPr>
              <w:t>本项目实施工作进度计划</w:t>
            </w:r>
            <w:r>
              <w:rPr>
                <w:rFonts w:hint="eastAsia"/>
                <w:color w:val="auto"/>
                <w:sz w:val="21"/>
                <w:szCs w:val="21"/>
                <w:lang w:eastAsia="zh-CN"/>
              </w:rPr>
              <w:t>。</w:t>
            </w:r>
          </w:p>
          <w:p>
            <w:pPr>
              <w:spacing w:line="400" w:lineRule="exact"/>
              <w:rPr>
                <w:rFonts w:ascii="宋体" w:hAnsi="宋体" w:cs="宋体"/>
                <w:bCs/>
                <w:color w:val="auto"/>
                <w:sz w:val="21"/>
                <w:szCs w:val="21"/>
              </w:rPr>
            </w:pPr>
            <w:r>
              <w:rPr>
                <w:rFonts w:hint="eastAsia"/>
                <w:color w:val="auto"/>
                <w:sz w:val="21"/>
                <w:szCs w:val="21"/>
                <w:lang w:val="en-US" w:eastAsia="zh-CN"/>
              </w:rPr>
              <w:t>根据综合评定</w:t>
            </w:r>
            <w:r>
              <w:rPr>
                <w:rFonts w:hint="eastAsia"/>
                <w:color w:val="auto"/>
                <w:sz w:val="21"/>
                <w:szCs w:val="21"/>
              </w:rPr>
              <w:t>优得</w:t>
            </w:r>
            <w:r>
              <w:rPr>
                <w:rFonts w:hint="eastAsia"/>
                <w:color w:val="auto"/>
                <w:sz w:val="21"/>
                <w:szCs w:val="21"/>
                <w:lang w:val="en-US" w:eastAsia="zh-CN"/>
              </w:rPr>
              <w:t>7</w:t>
            </w:r>
            <w:r>
              <w:rPr>
                <w:rFonts w:hint="eastAsia"/>
                <w:color w:val="auto"/>
                <w:sz w:val="21"/>
                <w:szCs w:val="21"/>
              </w:rPr>
              <w:t>分，良得</w:t>
            </w:r>
            <w:r>
              <w:rPr>
                <w:rFonts w:hint="eastAsia"/>
                <w:color w:val="auto"/>
                <w:sz w:val="21"/>
                <w:szCs w:val="21"/>
                <w:lang w:val="en-US" w:eastAsia="zh-CN"/>
              </w:rPr>
              <w:t>4</w:t>
            </w:r>
            <w:r>
              <w:rPr>
                <w:rFonts w:hint="eastAsia"/>
                <w:color w:val="auto"/>
                <w:sz w:val="21"/>
                <w:szCs w:val="21"/>
              </w:rPr>
              <w:t>分，一般得</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r>
              <w:rPr>
                <w:rFonts w:hint="eastAsia"/>
                <w:color w:val="auto"/>
                <w:sz w:val="21"/>
                <w:szCs w:val="21"/>
              </w:rPr>
              <w:t>缺项得0分。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084" w:type="dxa"/>
            <w:vMerge w:val="continue"/>
            <w:noWrap/>
            <w:vAlign w:val="center"/>
          </w:tcPr>
          <w:p>
            <w:pPr>
              <w:spacing w:line="440" w:lineRule="exact"/>
              <w:jc w:val="center"/>
              <w:rPr>
                <w:rFonts w:ascii="宋体" w:hAnsi="宋体" w:cs="宋体"/>
                <w:sz w:val="21"/>
                <w:szCs w:val="21"/>
              </w:rPr>
            </w:pPr>
          </w:p>
        </w:tc>
        <w:tc>
          <w:tcPr>
            <w:tcW w:w="1379" w:type="dxa"/>
            <w:noWrap/>
            <w:vAlign w:val="center"/>
          </w:tcPr>
          <w:p>
            <w:pPr>
              <w:spacing w:line="440" w:lineRule="exact"/>
              <w:jc w:val="center"/>
              <w:rPr>
                <w:rFonts w:ascii="宋体" w:hAnsi="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、质量控制</w:t>
            </w:r>
          </w:p>
        </w:tc>
        <w:tc>
          <w:tcPr>
            <w:tcW w:w="762" w:type="dxa"/>
            <w:noWrap/>
            <w:vAlign w:val="center"/>
          </w:tcPr>
          <w:p>
            <w:pPr>
              <w:spacing w:line="440" w:lineRule="exact"/>
              <w:jc w:val="center"/>
              <w:rPr>
                <w:rFonts w:ascii="宋体" w:hAnsi="宋体" w:cs="宋体"/>
                <w:color w:val="auto"/>
                <w:sz w:val="21"/>
                <w:szCs w:val="21"/>
              </w:rPr>
            </w:pPr>
            <w:r>
              <w:rPr>
                <w:rFonts w:hint="eastAsia" w:ascii="宋体" w:hAnsi="宋体" w:eastAsia="宋体" w:cs="宋体"/>
                <w:color w:val="auto"/>
                <w:sz w:val="21"/>
                <w:szCs w:val="21"/>
              </w:rPr>
              <w:t>0-</w:t>
            </w:r>
            <w:r>
              <w:rPr>
                <w:rFonts w:hint="eastAsia" w:ascii="宋体" w:hAnsi="宋体" w:cs="宋体"/>
                <w:color w:val="auto"/>
                <w:sz w:val="21"/>
                <w:szCs w:val="21"/>
              </w:rPr>
              <w:t>7</w:t>
            </w:r>
            <w:r>
              <w:rPr>
                <w:rFonts w:hint="eastAsia" w:ascii="宋体" w:hAnsi="宋体" w:eastAsia="宋体" w:cs="宋体"/>
                <w:color w:val="auto"/>
                <w:sz w:val="21"/>
                <w:szCs w:val="21"/>
              </w:rPr>
              <w:t>分</w:t>
            </w:r>
          </w:p>
        </w:tc>
        <w:tc>
          <w:tcPr>
            <w:tcW w:w="5516" w:type="dxa"/>
            <w:noWrap/>
            <w:vAlign w:val="center"/>
          </w:tcPr>
          <w:p>
            <w:pPr>
              <w:spacing w:line="440" w:lineRule="exact"/>
              <w:rPr>
                <w:rFonts w:hint="eastAsia"/>
                <w:color w:val="auto"/>
                <w:sz w:val="21"/>
                <w:szCs w:val="21"/>
                <w:lang w:eastAsia="zh-CN"/>
              </w:rPr>
            </w:pPr>
            <w:r>
              <w:rPr>
                <w:rFonts w:hint="eastAsia" w:ascii="宋体" w:hAnsi="宋体" w:eastAsia="宋体" w:cs="宋体"/>
                <w:bCs/>
                <w:color w:val="auto"/>
                <w:sz w:val="21"/>
                <w:szCs w:val="21"/>
              </w:rPr>
              <w:t>质量控制措施到位</w:t>
            </w:r>
            <w:r>
              <w:rPr>
                <w:rFonts w:hint="eastAsia"/>
                <w:color w:val="auto"/>
                <w:sz w:val="21"/>
                <w:szCs w:val="21"/>
              </w:rPr>
              <w:t>、切实可行</w:t>
            </w:r>
            <w:r>
              <w:rPr>
                <w:rFonts w:hint="eastAsia"/>
                <w:color w:val="auto"/>
                <w:sz w:val="21"/>
                <w:szCs w:val="21"/>
                <w:lang w:eastAsia="zh-CN"/>
              </w:rPr>
              <w:t>。</w:t>
            </w:r>
          </w:p>
          <w:p>
            <w:pPr>
              <w:spacing w:line="440" w:lineRule="exact"/>
              <w:rPr>
                <w:rFonts w:ascii="宋体" w:hAnsi="宋体" w:cs="宋体"/>
                <w:bCs/>
                <w:color w:val="auto"/>
                <w:sz w:val="21"/>
                <w:szCs w:val="21"/>
              </w:rPr>
            </w:pPr>
            <w:r>
              <w:rPr>
                <w:rFonts w:hint="eastAsia"/>
                <w:color w:val="auto"/>
                <w:sz w:val="21"/>
                <w:szCs w:val="21"/>
                <w:lang w:val="en-US" w:eastAsia="zh-CN"/>
              </w:rPr>
              <w:t>根据综合评定</w:t>
            </w:r>
            <w:r>
              <w:rPr>
                <w:rFonts w:hint="eastAsia"/>
                <w:color w:val="auto"/>
                <w:sz w:val="21"/>
                <w:szCs w:val="21"/>
              </w:rPr>
              <w:t>优得</w:t>
            </w:r>
            <w:r>
              <w:rPr>
                <w:rFonts w:hint="eastAsia"/>
                <w:color w:val="auto"/>
                <w:sz w:val="21"/>
                <w:szCs w:val="21"/>
                <w:lang w:val="en-US" w:eastAsia="zh-CN"/>
              </w:rPr>
              <w:t>7</w:t>
            </w:r>
            <w:r>
              <w:rPr>
                <w:rFonts w:hint="eastAsia"/>
                <w:color w:val="auto"/>
                <w:sz w:val="21"/>
                <w:szCs w:val="21"/>
              </w:rPr>
              <w:t>分，良得</w:t>
            </w:r>
            <w:r>
              <w:rPr>
                <w:rFonts w:hint="eastAsia"/>
                <w:color w:val="auto"/>
                <w:sz w:val="21"/>
                <w:szCs w:val="21"/>
                <w:lang w:val="en-US" w:eastAsia="zh-CN"/>
              </w:rPr>
              <w:t>4</w:t>
            </w:r>
            <w:r>
              <w:rPr>
                <w:rFonts w:hint="eastAsia"/>
                <w:color w:val="auto"/>
                <w:sz w:val="21"/>
                <w:szCs w:val="21"/>
              </w:rPr>
              <w:t>分，一般得</w:t>
            </w:r>
            <w:r>
              <w:rPr>
                <w:rFonts w:hint="eastAsia"/>
                <w:color w:val="auto"/>
                <w:sz w:val="21"/>
                <w:szCs w:val="21"/>
                <w:lang w:val="en-US" w:eastAsia="zh-CN"/>
              </w:rPr>
              <w:t>2</w:t>
            </w:r>
            <w:r>
              <w:rPr>
                <w:rFonts w:hint="eastAsia"/>
                <w:color w:val="auto"/>
                <w:sz w:val="21"/>
                <w:szCs w:val="21"/>
              </w:rPr>
              <w:t>分</w:t>
            </w:r>
            <w:r>
              <w:rPr>
                <w:rFonts w:hint="eastAsia"/>
                <w:color w:val="auto"/>
                <w:sz w:val="21"/>
                <w:szCs w:val="21"/>
                <w:lang w:eastAsia="zh-CN"/>
              </w:rPr>
              <w:t>，</w:t>
            </w:r>
            <w:r>
              <w:rPr>
                <w:rFonts w:hint="eastAsia"/>
                <w:color w:val="auto"/>
                <w:sz w:val="21"/>
                <w:szCs w:val="21"/>
              </w:rPr>
              <w:t>缺项得0分。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084" w:type="dxa"/>
            <w:vMerge w:val="restart"/>
            <w:noWrap/>
            <w:vAlign w:val="center"/>
          </w:tcPr>
          <w:p>
            <w:pPr>
              <w:spacing w:line="440" w:lineRule="exact"/>
              <w:jc w:val="center"/>
              <w:rPr>
                <w:rFonts w:ascii="宋体" w:hAnsi="宋体" w:cs="宋体"/>
                <w:color w:val="auto"/>
                <w:sz w:val="21"/>
                <w:szCs w:val="21"/>
              </w:rPr>
            </w:pPr>
            <w:r>
              <w:rPr>
                <w:rFonts w:hint="eastAsia" w:ascii="宋体" w:hAnsi="宋体" w:cs="宋体"/>
                <w:color w:val="auto"/>
                <w:sz w:val="21"/>
                <w:szCs w:val="21"/>
              </w:rPr>
              <w:t>商务部分（20分）</w:t>
            </w:r>
          </w:p>
        </w:tc>
        <w:tc>
          <w:tcPr>
            <w:tcW w:w="1379" w:type="dxa"/>
            <w:noWrap/>
            <w:vAlign w:val="center"/>
          </w:tcPr>
          <w:p>
            <w:pPr>
              <w:spacing w:line="440" w:lineRule="exact"/>
              <w:jc w:val="center"/>
              <w:rPr>
                <w:rFonts w:ascii="宋体" w:hAnsi="宋体" w:cs="宋体"/>
                <w:bCs/>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项目组团队</w:t>
            </w:r>
          </w:p>
        </w:tc>
        <w:tc>
          <w:tcPr>
            <w:tcW w:w="762" w:type="dxa"/>
            <w:noWrap/>
            <w:vAlign w:val="center"/>
          </w:tcPr>
          <w:p>
            <w:pPr>
              <w:spacing w:line="440" w:lineRule="exact"/>
              <w:jc w:val="center"/>
              <w:rPr>
                <w:rFonts w:ascii="宋体" w:hAnsi="宋体" w:cs="宋体"/>
                <w:sz w:val="21"/>
                <w:szCs w:val="21"/>
              </w:rPr>
            </w:pPr>
            <w:r>
              <w:rPr>
                <w:rFonts w:hint="eastAsia" w:ascii="宋体" w:hAnsi="宋体" w:cs="宋体"/>
                <w:sz w:val="21"/>
                <w:szCs w:val="21"/>
              </w:rPr>
              <w:t>0-8分</w:t>
            </w:r>
          </w:p>
        </w:tc>
        <w:tc>
          <w:tcPr>
            <w:tcW w:w="5516" w:type="dxa"/>
            <w:noWrap/>
            <w:vAlign w:val="center"/>
          </w:tcPr>
          <w:p>
            <w:pPr>
              <w:spacing w:line="440" w:lineRule="exact"/>
              <w:rPr>
                <w:sz w:val="21"/>
                <w:szCs w:val="21"/>
              </w:rPr>
            </w:pPr>
            <w:r>
              <w:rPr>
                <w:rFonts w:hint="eastAsia"/>
                <w:sz w:val="21"/>
                <w:szCs w:val="21"/>
              </w:rPr>
              <w:t>项目组成人员中，具有高级</w:t>
            </w:r>
            <w:r>
              <w:rPr>
                <w:rFonts w:hint="eastAsia"/>
                <w:sz w:val="21"/>
                <w:szCs w:val="21"/>
                <w:lang w:val="en-US" w:eastAsia="zh-CN"/>
              </w:rPr>
              <w:t>及以上</w:t>
            </w:r>
            <w:r>
              <w:rPr>
                <w:rFonts w:hint="eastAsia"/>
                <w:sz w:val="21"/>
                <w:szCs w:val="21"/>
              </w:rPr>
              <w:t>职称的，每有一名得</w:t>
            </w:r>
            <w:r>
              <w:rPr>
                <w:rFonts w:hint="eastAsia"/>
                <w:sz w:val="21"/>
                <w:szCs w:val="21"/>
                <w:lang w:val="en-US" w:eastAsia="zh-CN"/>
              </w:rPr>
              <w:t>1</w:t>
            </w:r>
            <w:r>
              <w:rPr>
                <w:rFonts w:hint="eastAsia"/>
                <w:sz w:val="21"/>
                <w:szCs w:val="21"/>
              </w:rPr>
              <w:t>分，本项最高得分8分。</w:t>
            </w:r>
          </w:p>
          <w:p>
            <w:pPr>
              <w:spacing w:line="440" w:lineRule="exact"/>
              <w:ind w:firstLine="420" w:firstLineChars="200"/>
              <w:rPr>
                <w:sz w:val="21"/>
                <w:szCs w:val="21"/>
              </w:rPr>
            </w:pPr>
            <w:r>
              <w:rPr>
                <w:rFonts w:hint="eastAsia" w:ascii="宋体" w:hAnsi="宋体" w:eastAsia="宋体" w:cs="宋体"/>
                <w:sz w:val="21"/>
                <w:szCs w:val="21"/>
              </w:rPr>
              <w:t>以上内容投标文件中需附</w:t>
            </w:r>
            <w:r>
              <w:rPr>
                <w:rFonts w:hint="eastAsia" w:ascii="宋体" w:hAnsi="宋体" w:cs="宋体"/>
                <w:sz w:val="21"/>
                <w:szCs w:val="21"/>
              </w:rPr>
              <w:t>团队人员的职称证书</w:t>
            </w:r>
            <w:r>
              <w:rPr>
                <w:rFonts w:hint="eastAsia" w:ascii="宋体" w:hAnsi="宋体" w:eastAsia="宋体" w:cs="宋体"/>
                <w:sz w:val="21"/>
                <w:szCs w:val="21"/>
              </w:rPr>
              <w:t>及</w:t>
            </w:r>
            <w:r>
              <w:rPr>
                <w:rFonts w:hint="eastAsia" w:ascii="宋体" w:hAnsi="宋体" w:eastAsia="宋体" w:cs="宋体"/>
                <w:sz w:val="21"/>
                <w:szCs w:val="21"/>
                <w:lang w:val="en-US" w:eastAsia="zh-CN"/>
              </w:rPr>
              <w:t>社保证明</w:t>
            </w:r>
            <w:r>
              <w:rPr>
                <w:rFonts w:hint="eastAsia" w:ascii="宋体" w:hAnsi="宋体" w:cs="宋体"/>
                <w:sz w:val="21"/>
                <w:szCs w:val="21"/>
              </w:rPr>
              <w:t>（原件扫描件）</w:t>
            </w:r>
            <w:r>
              <w:rPr>
                <w:rFonts w:hint="eastAsia" w:ascii="宋体" w:hAnsi="宋体" w:eastAsia="宋体" w:cs="宋体"/>
                <w:sz w:val="21"/>
                <w:szCs w:val="21"/>
              </w:rPr>
              <w:t>，否则不予认可。</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084" w:type="dxa"/>
            <w:vMerge w:val="continue"/>
            <w:noWrap/>
            <w:vAlign w:val="center"/>
          </w:tcPr>
          <w:p>
            <w:pPr>
              <w:spacing w:line="440" w:lineRule="exact"/>
              <w:jc w:val="center"/>
              <w:rPr>
                <w:rFonts w:ascii="宋体" w:hAnsi="宋体" w:cs="宋体"/>
                <w:sz w:val="21"/>
                <w:szCs w:val="21"/>
              </w:rPr>
            </w:pPr>
          </w:p>
        </w:tc>
        <w:tc>
          <w:tcPr>
            <w:tcW w:w="1379" w:type="dxa"/>
            <w:noWrap/>
            <w:vAlign w:val="center"/>
          </w:tcPr>
          <w:p>
            <w:pPr>
              <w:spacing w:line="440" w:lineRule="exact"/>
              <w:jc w:val="center"/>
              <w:rPr>
                <w:rFonts w:ascii="宋体" w:hAnsi="宋体" w:cs="宋体"/>
                <w:bCs/>
                <w:sz w:val="21"/>
                <w:szCs w:val="21"/>
              </w:rPr>
            </w:pPr>
            <w:r>
              <w:rPr>
                <w:rFonts w:hint="eastAsia" w:ascii="宋体" w:hAnsi="宋体" w:cs="宋体"/>
                <w:bCs/>
                <w:sz w:val="21"/>
                <w:szCs w:val="21"/>
                <w:lang w:val="en-US" w:eastAsia="zh-CN"/>
              </w:rPr>
              <w:t>2、</w:t>
            </w:r>
            <w:r>
              <w:rPr>
                <w:rFonts w:hint="eastAsia" w:ascii="宋体" w:hAnsi="宋体" w:cs="宋体"/>
                <w:bCs/>
                <w:sz w:val="21"/>
                <w:szCs w:val="21"/>
              </w:rPr>
              <w:t>企业业绩</w:t>
            </w:r>
          </w:p>
        </w:tc>
        <w:tc>
          <w:tcPr>
            <w:tcW w:w="762" w:type="dxa"/>
            <w:noWrap/>
            <w:vAlign w:val="center"/>
          </w:tcPr>
          <w:p>
            <w:pPr>
              <w:spacing w:line="440" w:lineRule="exact"/>
              <w:jc w:val="center"/>
              <w:rPr>
                <w:rFonts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6</w:t>
            </w:r>
            <w:r>
              <w:rPr>
                <w:rFonts w:hint="eastAsia" w:ascii="宋体" w:hAnsi="宋体" w:cs="宋体"/>
                <w:sz w:val="21"/>
                <w:szCs w:val="21"/>
              </w:rPr>
              <w:t>分</w:t>
            </w:r>
          </w:p>
        </w:tc>
        <w:tc>
          <w:tcPr>
            <w:tcW w:w="5516" w:type="dxa"/>
            <w:noWrap/>
            <w:vAlign w:val="center"/>
          </w:tcPr>
          <w:p>
            <w:pPr>
              <w:spacing w:line="440" w:lineRule="exact"/>
              <w:rPr>
                <w:rFonts w:ascii="宋体" w:hAnsi="宋体" w:eastAsia="宋体" w:cs="宋体"/>
                <w:sz w:val="21"/>
                <w:szCs w:val="21"/>
              </w:rPr>
            </w:pPr>
            <w:r>
              <w:rPr>
                <w:rFonts w:hint="eastAsia" w:ascii="宋体" w:hAnsi="宋体" w:cs="宋体"/>
                <w:color w:val="000000"/>
                <w:kern w:val="0"/>
                <w:sz w:val="21"/>
                <w:szCs w:val="21"/>
              </w:rPr>
              <w:t>投标人201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年1月1日以来（</w:t>
            </w:r>
            <w:r>
              <w:rPr>
                <w:rFonts w:hint="eastAsia" w:ascii="宋体" w:hAnsi="宋体" w:cs="宋体"/>
                <w:color w:val="000000"/>
                <w:kern w:val="0"/>
                <w:sz w:val="21"/>
                <w:szCs w:val="21"/>
                <w:lang w:val="en-US" w:eastAsia="zh-CN"/>
              </w:rPr>
              <w:t>合同或其他证明材料扫描件,以签订或发布时间为准</w:t>
            </w:r>
            <w:r>
              <w:rPr>
                <w:rFonts w:hint="eastAsia" w:ascii="宋体" w:hAnsi="宋体" w:cs="宋体"/>
                <w:color w:val="000000"/>
                <w:kern w:val="0"/>
                <w:sz w:val="21"/>
                <w:szCs w:val="21"/>
              </w:rPr>
              <w:t>）每有一个</w:t>
            </w:r>
            <w:r>
              <w:rPr>
                <w:rFonts w:hint="eastAsia" w:ascii="宋体" w:hAnsi="宋体" w:cs="宋体"/>
                <w:color w:val="000000"/>
                <w:kern w:val="0"/>
                <w:sz w:val="21"/>
                <w:szCs w:val="21"/>
                <w:lang w:val="en-US" w:eastAsia="zh-CN"/>
              </w:rPr>
              <w:t>类似</w:t>
            </w:r>
            <w:r>
              <w:rPr>
                <w:rFonts w:hint="eastAsia" w:ascii="宋体" w:hAnsi="宋体" w:cs="宋体"/>
                <w:color w:val="000000"/>
                <w:kern w:val="0"/>
                <w:sz w:val="21"/>
                <w:szCs w:val="21"/>
              </w:rPr>
              <w:t>项目业绩得</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分，</w:t>
            </w:r>
            <w:r>
              <w:rPr>
                <w:rFonts w:hint="eastAsia" w:ascii="宋体" w:hAnsi="宋体" w:eastAsia="宋体" w:cs="宋体"/>
                <w:sz w:val="21"/>
                <w:szCs w:val="21"/>
              </w:rPr>
              <w:t>否则不得分</w:t>
            </w:r>
            <w:r>
              <w:rPr>
                <w:rFonts w:hint="eastAsia" w:ascii="宋体" w:hAnsi="宋体" w:eastAsia="宋体" w:cs="宋体"/>
                <w:sz w:val="21"/>
                <w:szCs w:val="21"/>
                <w:lang w:val="en-US" w:eastAsia="zh-CN"/>
              </w:rPr>
              <w:t>,</w:t>
            </w:r>
            <w:r>
              <w:rPr>
                <w:rFonts w:hint="eastAsia" w:ascii="宋体" w:hAnsi="宋体" w:cs="宋体"/>
                <w:color w:val="000000"/>
                <w:kern w:val="0"/>
                <w:sz w:val="21"/>
                <w:szCs w:val="21"/>
              </w:rPr>
              <w:t>本项最高得</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084" w:type="dxa"/>
            <w:vMerge w:val="continue"/>
            <w:noWrap/>
            <w:vAlign w:val="center"/>
          </w:tcPr>
          <w:p>
            <w:pPr>
              <w:spacing w:line="440" w:lineRule="exact"/>
              <w:jc w:val="center"/>
              <w:rPr>
                <w:rFonts w:ascii="宋体" w:hAnsi="宋体" w:cs="宋体"/>
                <w:sz w:val="21"/>
                <w:szCs w:val="21"/>
              </w:rPr>
            </w:pPr>
          </w:p>
        </w:tc>
        <w:tc>
          <w:tcPr>
            <w:tcW w:w="1379" w:type="dxa"/>
            <w:noWrap/>
            <w:vAlign w:val="center"/>
          </w:tcPr>
          <w:p>
            <w:pPr>
              <w:spacing w:line="440" w:lineRule="exact"/>
              <w:jc w:val="cente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3、项目负责人业绩</w:t>
            </w:r>
          </w:p>
        </w:tc>
        <w:tc>
          <w:tcPr>
            <w:tcW w:w="762" w:type="dxa"/>
            <w:noWrap/>
            <w:vAlign w:val="center"/>
          </w:tcPr>
          <w:p>
            <w:pPr>
              <w:spacing w:line="440" w:lineRule="exact"/>
              <w:jc w:val="center"/>
              <w:rPr>
                <w:rFonts w:hint="eastAsia" w:ascii="宋体" w:hAnsi="宋体" w:cs="宋体"/>
                <w:sz w:val="21"/>
                <w:szCs w:val="21"/>
              </w:rPr>
            </w:pPr>
            <w:r>
              <w:rPr>
                <w:rFonts w:hint="eastAsia" w:ascii="宋体" w:hAnsi="宋体" w:cs="宋体"/>
                <w:sz w:val="21"/>
                <w:szCs w:val="21"/>
              </w:rPr>
              <w:t>0-</w:t>
            </w:r>
            <w:r>
              <w:rPr>
                <w:rFonts w:hint="eastAsia" w:ascii="宋体" w:hAnsi="宋体" w:cs="宋体"/>
                <w:sz w:val="21"/>
                <w:szCs w:val="21"/>
                <w:lang w:val="en-US" w:eastAsia="zh-CN"/>
              </w:rPr>
              <w:t>6</w:t>
            </w:r>
            <w:r>
              <w:rPr>
                <w:rFonts w:hint="eastAsia" w:ascii="宋体" w:hAnsi="宋体" w:cs="宋体"/>
                <w:sz w:val="21"/>
                <w:szCs w:val="21"/>
              </w:rPr>
              <w:t>分</w:t>
            </w:r>
          </w:p>
        </w:tc>
        <w:tc>
          <w:tcPr>
            <w:tcW w:w="5516" w:type="dxa"/>
            <w:noWrap/>
            <w:vAlign w:val="center"/>
          </w:tcPr>
          <w:p>
            <w:pPr>
              <w:spacing w:line="440" w:lineRule="exact"/>
              <w:rPr>
                <w:rFonts w:hint="eastAsia" w:ascii="宋体" w:hAnsi="宋体" w:cs="宋体"/>
                <w:color w:val="000000"/>
                <w:kern w:val="0"/>
                <w:sz w:val="21"/>
                <w:szCs w:val="21"/>
              </w:rPr>
            </w:pPr>
            <w:r>
              <w:rPr>
                <w:rFonts w:hint="eastAsia" w:ascii="宋体" w:hAnsi="宋体" w:cs="宋体"/>
                <w:color w:val="000000"/>
                <w:kern w:val="0"/>
                <w:sz w:val="21"/>
                <w:szCs w:val="21"/>
                <w:lang w:eastAsia="zh-CN"/>
              </w:rPr>
              <w:t>负责</w:t>
            </w:r>
            <w:r>
              <w:rPr>
                <w:rFonts w:hint="eastAsia" w:ascii="宋体" w:hAnsi="宋体" w:cs="宋体"/>
                <w:color w:val="000000"/>
                <w:kern w:val="0"/>
                <w:sz w:val="21"/>
                <w:szCs w:val="21"/>
              </w:rPr>
              <w:t>人201</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年1月1日以来（</w:t>
            </w:r>
            <w:r>
              <w:rPr>
                <w:rFonts w:hint="eastAsia" w:ascii="宋体" w:hAnsi="宋体" w:cs="宋体"/>
                <w:color w:val="000000"/>
                <w:kern w:val="0"/>
                <w:sz w:val="21"/>
                <w:szCs w:val="21"/>
                <w:lang w:val="en-US" w:eastAsia="zh-CN"/>
              </w:rPr>
              <w:t>合同或其他证明材料扫描件,以签订或发布时间为准</w:t>
            </w:r>
            <w:r>
              <w:rPr>
                <w:rFonts w:hint="eastAsia" w:ascii="宋体" w:hAnsi="宋体" w:cs="宋体"/>
                <w:color w:val="000000"/>
                <w:kern w:val="0"/>
                <w:sz w:val="21"/>
                <w:szCs w:val="21"/>
              </w:rPr>
              <w:t>）每有一个</w:t>
            </w:r>
            <w:r>
              <w:rPr>
                <w:rFonts w:hint="eastAsia" w:ascii="宋体" w:hAnsi="宋体" w:cs="宋体"/>
                <w:color w:val="000000"/>
                <w:kern w:val="0"/>
                <w:sz w:val="21"/>
                <w:szCs w:val="21"/>
                <w:lang w:val="en-US" w:eastAsia="zh-CN"/>
              </w:rPr>
              <w:t>类似</w:t>
            </w:r>
            <w:r>
              <w:rPr>
                <w:rFonts w:hint="eastAsia" w:ascii="宋体" w:hAnsi="宋体" w:cs="宋体"/>
                <w:color w:val="000000"/>
                <w:kern w:val="0"/>
                <w:sz w:val="21"/>
                <w:szCs w:val="21"/>
              </w:rPr>
              <w:t>项目业绩得</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分，</w:t>
            </w:r>
            <w:r>
              <w:rPr>
                <w:rFonts w:hint="eastAsia" w:ascii="宋体" w:hAnsi="宋体" w:eastAsia="宋体" w:cs="宋体"/>
                <w:sz w:val="21"/>
                <w:szCs w:val="21"/>
              </w:rPr>
              <w:t>否则不得分</w:t>
            </w:r>
            <w:r>
              <w:rPr>
                <w:rFonts w:hint="eastAsia" w:ascii="宋体" w:hAnsi="宋体" w:eastAsia="宋体" w:cs="宋体"/>
                <w:sz w:val="21"/>
                <w:szCs w:val="21"/>
                <w:lang w:val="en-US" w:eastAsia="zh-CN"/>
              </w:rPr>
              <w:t>,</w:t>
            </w:r>
            <w:r>
              <w:rPr>
                <w:rFonts w:hint="eastAsia" w:ascii="宋体" w:hAnsi="宋体" w:cs="宋体"/>
                <w:color w:val="000000"/>
                <w:kern w:val="0"/>
                <w:sz w:val="21"/>
                <w:szCs w:val="21"/>
              </w:rPr>
              <w:t>本项最高得</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1084" w:type="dxa"/>
            <w:vMerge w:val="restart"/>
            <w:noWrap/>
            <w:vAlign w:val="center"/>
          </w:tcPr>
          <w:p>
            <w:pPr>
              <w:spacing w:line="440" w:lineRule="exact"/>
              <w:ind w:firstLine="105" w:firstLineChars="50"/>
              <w:jc w:val="center"/>
              <w:rPr>
                <w:rFonts w:hint="eastAsia" w:ascii="宋体" w:hAnsi="宋体" w:eastAsia="宋体" w:cs="宋体"/>
                <w:sz w:val="21"/>
                <w:szCs w:val="21"/>
                <w:lang w:val="en-US" w:eastAsia="zh-CN"/>
              </w:rPr>
            </w:pPr>
            <w:r>
              <w:rPr>
                <w:rFonts w:hint="eastAsia" w:ascii="宋体" w:hAnsi="宋体" w:eastAsia="宋体" w:cs="宋体"/>
                <w:sz w:val="21"/>
                <w:szCs w:val="21"/>
              </w:rPr>
              <w:t>后</w:t>
            </w:r>
            <w:r>
              <w:rPr>
                <w:rFonts w:hint="eastAsia" w:ascii="宋体" w:hAnsi="宋体" w:eastAsia="宋体" w:cs="宋体"/>
                <w:sz w:val="21"/>
                <w:szCs w:val="21"/>
                <w:lang w:val="en-US" w:eastAsia="zh-CN"/>
              </w:rPr>
              <w:t>期</w:t>
            </w:r>
          </w:p>
          <w:p>
            <w:pPr>
              <w:spacing w:line="440" w:lineRule="exact"/>
              <w:ind w:firstLine="105" w:firstLineChars="50"/>
              <w:jc w:val="center"/>
              <w:rPr>
                <w:rFonts w:ascii="宋体" w:hAnsi="宋体" w:cs="宋体"/>
                <w:sz w:val="21"/>
                <w:szCs w:val="21"/>
              </w:rPr>
            </w:pPr>
            <w:r>
              <w:rPr>
                <w:rFonts w:hint="eastAsia" w:ascii="宋体" w:hAnsi="宋体" w:eastAsia="宋体" w:cs="宋体"/>
                <w:sz w:val="21"/>
                <w:szCs w:val="21"/>
              </w:rPr>
              <w:t>服务</w:t>
            </w:r>
          </w:p>
          <w:p>
            <w:pPr>
              <w:spacing w:line="440" w:lineRule="exact"/>
              <w:ind w:firstLine="105" w:firstLineChars="50"/>
              <w:jc w:val="center"/>
              <w:rPr>
                <w:rFonts w:ascii="宋体" w:hAnsi="宋体" w:cs="宋体"/>
                <w:sz w:val="21"/>
                <w:szCs w:val="21"/>
              </w:rPr>
            </w:pPr>
            <w:r>
              <w:rPr>
                <w:rFonts w:hint="eastAsia" w:ascii="宋体" w:hAnsi="宋体" w:eastAsia="宋体" w:cs="宋体"/>
                <w:sz w:val="21"/>
                <w:szCs w:val="21"/>
              </w:rPr>
              <w:t>（10分）</w:t>
            </w:r>
          </w:p>
        </w:tc>
        <w:tc>
          <w:tcPr>
            <w:tcW w:w="1379" w:type="dxa"/>
            <w:noWrap/>
            <w:vAlign w:val="center"/>
          </w:tcPr>
          <w:p>
            <w:pPr>
              <w:spacing w:line="440" w:lineRule="exact"/>
              <w:jc w:val="left"/>
              <w:rPr>
                <w:rFonts w:ascii="宋体" w:hAnsi="宋体" w:cs="宋体"/>
                <w:sz w:val="21"/>
                <w:szCs w:val="21"/>
              </w:rPr>
            </w:pPr>
            <w:r>
              <w:rPr>
                <w:rFonts w:hint="eastAsia" w:ascii="宋体" w:hAnsi="宋体" w:eastAsia="宋体" w:cs="宋体"/>
                <w:sz w:val="21"/>
                <w:szCs w:val="21"/>
              </w:rPr>
              <w:t>1、服务承诺</w:t>
            </w:r>
          </w:p>
        </w:tc>
        <w:tc>
          <w:tcPr>
            <w:tcW w:w="762" w:type="dxa"/>
            <w:noWrap/>
            <w:vAlign w:val="center"/>
          </w:tcPr>
          <w:p>
            <w:pPr>
              <w:spacing w:line="440" w:lineRule="exact"/>
              <w:jc w:val="center"/>
              <w:rPr>
                <w:rFonts w:ascii="宋体" w:hAnsi="宋体" w:cs="宋体"/>
                <w:sz w:val="21"/>
                <w:szCs w:val="21"/>
              </w:rPr>
            </w:pPr>
            <w:r>
              <w:rPr>
                <w:rFonts w:hint="eastAsia" w:ascii="宋体" w:hAnsi="宋体" w:eastAsia="宋体" w:cs="宋体"/>
                <w:sz w:val="21"/>
                <w:szCs w:val="21"/>
              </w:rPr>
              <w:t>0-4分</w:t>
            </w:r>
          </w:p>
        </w:tc>
        <w:tc>
          <w:tcPr>
            <w:tcW w:w="5516" w:type="dxa"/>
            <w:noWrap/>
            <w:vAlign w:val="center"/>
          </w:tcPr>
          <w:p>
            <w:pPr>
              <w:spacing w:line="440" w:lineRule="exact"/>
              <w:rPr>
                <w:rFonts w:ascii="宋体" w:hAnsi="宋体" w:cs="宋体"/>
                <w:sz w:val="21"/>
                <w:szCs w:val="21"/>
              </w:rPr>
            </w:pPr>
            <w:r>
              <w:rPr>
                <w:rFonts w:hint="eastAsia" w:ascii="宋体" w:hAnsi="宋体" w:eastAsia="宋体" w:cs="宋体"/>
                <w:sz w:val="21"/>
                <w:szCs w:val="21"/>
              </w:rPr>
              <w:t>供应商针对本项目服务的内容、形式、时间，以及计划的周密性、服务保障措施的合理性(0-4分)。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084" w:type="dxa"/>
            <w:vMerge w:val="continue"/>
            <w:noWrap/>
            <w:vAlign w:val="center"/>
          </w:tcPr>
          <w:p>
            <w:pPr>
              <w:spacing w:line="440" w:lineRule="exact"/>
              <w:ind w:firstLine="105" w:firstLineChars="50"/>
              <w:jc w:val="center"/>
              <w:rPr>
                <w:rFonts w:ascii="宋体" w:hAnsi="宋体" w:cs="宋体"/>
                <w:sz w:val="21"/>
                <w:szCs w:val="21"/>
              </w:rPr>
            </w:pPr>
          </w:p>
        </w:tc>
        <w:tc>
          <w:tcPr>
            <w:tcW w:w="1379" w:type="dxa"/>
            <w:noWrap/>
            <w:vAlign w:val="center"/>
          </w:tcPr>
          <w:p>
            <w:pPr>
              <w:spacing w:line="440" w:lineRule="exact"/>
              <w:jc w:val="left"/>
              <w:rPr>
                <w:rFonts w:ascii="宋体" w:hAnsi="宋体" w:cs="宋体"/>
                <w:sz w:val="21"/>
                <w:szCs w:val="21"/>
              </w:rPr>
            </w:pPr>
            <w:r>
              <w:rPr>
                <w:rFonts w:hint="eastAsia" w:ascii="宋体" w:hAnsi="宋体" w:eastAsia="宋体" w:cs="宋体"/>
                <w:sz w:val="21"/>
                <w:szCs w:val="21"/>
              </w:rPr>
              <w:t>2、合理化建议</w:t>
            </w:r>
          </w:p>
        </w:tc>
        <w:tc>
          <w:tcPr>
            <w:tcW w:w="762" w:type="dxa"/>
            <w:noWrap/>
            <w:vAlign w:val="center"/>
          </w:tcPr>
          <w:p>
            <w:pPr>
              <w:spacing w:line="440" w:lineRule="exact"/>
              <w:jc w:val="center"/>
              <w:rPr>
                <w:rFonts w:ascii="宋体" w:hAnsi="宋体" w:cs="宋体"/>
                <w:sz w:val="21"/>
                <w:szCs w:val="21"/>
              </w:rPr>
            </w:pPr>
            <w:r>
              <w:rPr>
                <w:rFonts w:hint="eastAsia" w:ascii="宋体" w:hAnsi="宋体" w:eastAsia="宋体" w:cs="宋体"/>
                <w:sz w:val="21"/>
                <w:szCs w:val="21"/>
              </w:rPr>
              <w:t>0-2分</w:t>
            </w:r>
          </w:p>
        </w:tc>
        <w:tc>
          <w:tcPr>
            <w:tcW w:w="5516" w:type="dxa"/>
            <w:noWrap/>
            <w:vAlign w:val="center"/>
          </w:tcPr>
          <w:p>
            <w:pPr>
              <w:spacing w:line="440" w:lineRule="exact"/>
              <w:rPr>
                <w:rFonts w:ascii="宋体" w:hAnsi="宋体" w:cs="宋体"/>
                <w:sz w:val="21"/>
                <w:szCs w:val="21"/>
              </w:rPr>
            </w:pPr>
            <w:r>
              <w:rPr>
                <w:rFonts w:hint="eastAsia" w:ascii="宋体" w:hAnsi="宋体" w:eastAsia="宋体" w:cs="宋体"/>
                <w:sz w:val="21"/>
                <w:szCs w:val="21"/>
              </w:rPr>
              <w:t>供应商结合项目情况提出的切实可行的合理化建议及实施方案(0-2分)。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084" w:type="dxa"/>
            <w:vMerge w:val="continue"/>
            <w:noWrap/>
            <w:vAlign w:val="center"/>
          </w:tcPr>
          <w:p>
            <w:pPr>
              <w:spacing w:line="440" w:lineRule="exact"/>
              <w:ind w:firstLine="105" w:firstLineChars="50"/>
              <w:jc w:val="center"/>
              <w:rPr>
                <w:rFonts w:ascii="宋体" w:hAnsi="宋体" w:cs="宋体"/>
                <w:sz w:val="21"/>
                <w:szCs w:val="21"/>
              </w:rPr>
            </w:pPr>
          </w:p>
        </w:tc>
        <w:tc>
          <w:tcPr>
            <w:tcW w:w="1379" w:type="dxa"/>
            <w:noWrap/>
            <w:vAlign w:val="center"/>
          </w:tcPr>
          <w:p>
            <w:pPr>
              <w:spacing w:line="440" w:lineRule="exact"/>
              <w:jc w:val="left"/>
              <w:rPr>
                <w:rFonts w:ascii="宋体" w:hAnsi="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后续服务</w:t>
            </w:r>
          </w:p>
        </w:tc>
        <w:tc>
          <w:tcPr>
            <w:tcW w:w="762" w:type="dxa"/>
            <w:noWrap/>
            <w:vAlign w:val="center"/>
          </w:tcPr>
          <w:p>
            <w:pPr>
              <w:spacing w:line="440" w:lineRule="exact"/>
              <w:jc w:val="center"/>
              <w:rPr>
                <w:rFonts w:ascii="宋体" w:hAnsi="宋体" w:cs="宋体"/>
                <w:sz w:val="21"/>
                <w:szCs w:val="21"/>
              </w:rPr>
            </w:pPr>
            <w:r>
              <w:rPr>
                <w:rFonts w:hint="eastAsia" w:ascii="宋体" w:hAnsi="宋体" w:eastAsia="宋体" w:cs="宋体"/>
                <w:sz w:val="21"/>
                <w:szCs w:val="21"/>
              </w:rPr>
              <w:t>0-3分</w:t>
            </w:r>
          </w:p>
        </w:tc>
        <w:tc>
          <w:tcPr>
            <w:tcW w:w="5516" w:type="dxa"/>
            <w:noWrap/>
            <w:vAlign w:val="center"/>
          </w:tcPr>
          <w:p>
            <w:pPr>
              <w:spacing w:line="440" w:lineRule="exact"/>
              <w:rPr>
                <w:rFonts w:ascii="宋体" w:hAnsi="宋体" w:cs="宋体"/>
                <w:sz w:val="21"/>
                <w:szCs w:val="21"/>
              </w:rPr>
            </w:pPr>
            <w:r>
              <w:rPr>
                <w:rFonts w:hint="eastAsia" w:ascii="宋体" w:hAnsi="宋体" w:eastAsia="宋体" w:cs="宋体"/>
                <w:sz w:val="21"/>
                <w:szCs w:val="21"/>
              </w:rPr>
              <w:t>针对本项目规划的后续服务安排、保障措施(0-3分)。</w:t>
            </w:r>
          </w:p>
        </w:tc>
        <w:tc>
          <w:tcPr>
            <w:tcW w:w="753" w:type="dxa"/>
            <w:noWrap/>
            <w:vAlign w:val="center"/>
          </w:tcPr>
          <w:p>
            <w:pPr>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084" w:type="dxa"/>
            <w:vMerge w:val="continue"/>
            <w:noWrap/>
            <w:vAlign w:val="center"/>
          </w:tcPr>
          <w:p>
            <w:pPr>
              <w:spacing w:line="440" w:lineRule="exact"/>
              <w:ind w:firstLine="105" w:firstLineChars="50"/>
              <w:jc w:val="center"/>
              <w:rPr>
                <w:rFonts w:ascii="宋体" w:hAnsi="宋体" w:cs="宋体"/>
                <w:sz w:val="21"/>
                <w:szCs w:val="21"/>
              </w:rPr>
            </w:pPr>
          </w:p>
        </w:tc>
        <w:tc>
          <w:tcPr>
            <w:tcW w:w="1379" w:type="dxa"/>
            <w:noWrap/>
            <w:vAlign w:val="center"/>
          </w:tcPr>
          <w:p>
            <w:pPr>
              <w:spacing w:line="440" w:lineRule="exact"/>
              <w:jc w:val="left"/>
              <w:rPr>
                <w:rFonts w:ascii="宋体" w:hAnsi="宋体" w:cs="宋体"/>
                <w:bCs/>
                <w:sz w:val="21"/>
                <w:szCs w:val="21"/>
              </w:rPr>
            </w:pPr>
            <w:r>
              <w:rPr>
                <w:rFonts w:hint="eastAsia" w:ascii="宋体" w:hAnsi="宋体" w:eastAsia="宋体" w:cs="宋体"/>
                <w:bCs/>
                <w:sz w:val="21"/>
                <w:szCs w:val="21"/>
              </w:rPr>
              <w:t>4、</w:t>
            </w:r>
            <w:r>
              <w:rPr>
                <w:rFonts w:hint="eastAsia" w:ascii="宋体" w:hAnsi="宋体" w:eastAsia="宋体" w:cs="宋体"/>
                <w:sz w:val="21"/>
                <w:szCs w:val="21"/>
              </w:rPr>
              <w:t>其他</w:t>
            </w:r>
          </w:p>
        </w:tc>
        <w:tc>
          <w:tcPr>
            <w:tcW w:w="762" w:type="dxa"/>
            <w:noWrap/>
            <w:vAlign w:val="center"/>
          </w:tcPr>
          <w:p>
            <w:pPr>
              <w:spacing w:line="440" w:lineRule="exact"/>
              <w:jc w:val="center"/>
              <w:rPr>
                <w:rFonts w:ascii="宋体" w:hAnsi="宋体" w:cs="宋体"/>
                <w:sz w:val="21"/>
                <w:szCs w:val="21"/>
              </w:rPr>
            </w:pPr>
            <w:r>
              <w:rPr>
                <w:rFonts w:hint="eastAsia" w:ascii="宋体" w:hAnsi="宋体" w:eastAsia="宋体" w:cs="宋体"/>
                <w:sz w:val="21"/>
                <w:szCs w:val="21"/>
              </w:rPr>
              <w:t>0-1分</w:t>
            </w:r>
          </w:p>
        </w:tc>
        <w:tc>
          <w:tcPr>
            <w:tcW w:w="5516" w:type="dxa"/>
            <w:noWrap/>
            <w:vAlign w:val="center"/>
          </w:tcPr>
          <w:p>
            <w:pPr>
              <w:spacing w:line="440" w:lineRule="exact"/>
              <w:rPr>
                <w:rFonts w:ascii="宋体" w:hAnsi="宋体" w:cs="宋体"/>
                <w:sz w:val="21"/>
                <w:szCs w:val="21"/>
              </w:rPr>
            </w:pPr>
            <w:r>
              <w:rPr>
                <w:rFonts w:hint="eastAsia" w:ascii="宋体" w:hAnsi="宋体" w:eastAsia="宋体" w:cs="宋体"/>
                <w:sz w:val="21"/>
                <w:szCs w:val="21"/>
              </w:rPr>
              <w:t>其他优惠措施(0-1分)。</w:t>
            </w:r>
          </w:p>
        </w:tc>
        <w:tc>
          <w:tcPr>
            <w:tcW w:w="753" w:type="dxa"/>
            <w:noWrap/>
            <w:vAlign w:val="center"/>
          </w:tcPr>
          <w:p>
            <w:pPr>
              <w:spacing w:line="440" w:lineRule="exact"/>
              <w:jc w:val="center"/>
              <w:rPr>
                <w:rFonts w:ascii="宋体" w:hAnsi="宋体" w:cs="宋体"/>
                <w:sz w:val="21"/>
                <w:szCs w:val="21"/>
              </w:rPr>
            </w:pPr>
          </w:p>
        </w:tc>
      </w:tr>
    </w:tbl>
    <w:p>
      <w:pPr>
        <w:pStyle w:val="49"/>
        <w:ind w:firstLine="0" w:firstLineChars="0"/>
        <w:rPr>
          <w:rFonts w:hint="eastAsia" w:ascii="宋体" w:hAnsi="宋体" w:eastAsia="宋体" w:cs="宋体"/>
          <w:color w:val="auto"/>
          <w:sz w:val="21"/>
          <w:szCs w:val="21"/>
          <w:lang w:val="zh-CN"/>
        </w:rPr>
      </w:pP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其中：价格分计算（落实政府采购政策价格调整部分）</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序号</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情形</w:t>
            </w:r>
          </w:p>
        </w:tc>
        <w:tc>
          <w:tcPr>
            <w:tcW w:w="2552"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rPr>
              <w:t>价格扣除</w:t>
            </w:r>
            <w:r>
              <w:rPr>
                <w:rFonts w:hint="eastAsia" w:ascii="宋体" w:hAnsi="宋体" w:eastAsia="宋体" w:cs="宋体"/>
                <w:b/>
                <w:color w:val="auto"/>
                <w:sz w:val="21"/>
                <w:szCs w:val="21"/>
                <w:lang w:val="en-GB"/>
              </w:rPr>
              <w:t>比例</w:t>
            </w:r>
          </w:p>
        </w:tc>
        <w:tc>
          <w:tcPr>
            <w:tcW w:w="2835"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1</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lang w:val="en-GB"/>
              </w:rPr>
              <w:t>非联合体投标人</w:t>
            </w:r>
          </w:p>
        </w:tc>
        <w:tc>
          <w:tcPr>
            <w:tcW w:w="255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对小型和微型企业报价</w:t>
            </w:r>
          </w:p>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扣除6%</w:t>
            </w:r>
          </w:p>
        </w:tc>
        <w:tc>
          <w:tcPr>
            <w:tcW w:w="2835" w:type="dxa"/>
            <w:vMerge w:val="restart"/>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w:t>
            </w:r>
            <w:r>
              <w:rPr>
                <w:rFonts w:hint="eastAsia" w:ascii="宋体" w:hAnsi="宋体" w:eastAsia="宋体" w:cs="宋体"/>
                <w:color w:val="auto"/>
                <w:sz w:val="21"/>
                <w:szCs w:val="21"/>
              </w:rPr>
              <w:t>小型和微型企业报价</w:t>
            </w:r>
            <w:r>
              <w:rPr>
                <w:rFonts w:hint="eastAsia" w:ascii="宋体" w:hAnsi="宋体" w:eastAsia="宋体" w:cs="宋体"/>
                <w:color w:val="auto"/>
                <w:sz w:val="21"/>
                <w:szCs w:val="21"/>
                <w:lang w:val="en-GB"/>
              </w:rPr>
              <w:t>×（1-6%）</w:t>
            </w:r>
          </w:p>
          <w:p>
            <w:pPr>
              <w:jc w:val="center"/>
              <w:rPr>
                <w:rFonts w:hint="eastAsia" w:ascii="宋体" w:hAnsi="宋体" w:eastAsia="宋体" w:cs="宋体"/>
                <w:b/>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2</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联合体各方均为</w:t>
            </w:r>
          </w:p>
          <w:p>
            <w:pPr>
              <w:jc w:val="center"/>
              <w:rPr>
                <w:rFonts w:hint="eastAsia" w:ascii="宋体" w:hAnsi="宋体" w:eastAsia="宋体" w:cs="宋体"/>
                <w:b/>
                <w:color w:val="auto"/>
                <w:sz w:val="21"/>
                <w:szCs w:val="21"/>
              </w:rPr>
            </w:pPr>
            <w:r>
              <w:rPr>
                <w:rFonts w:hint="eastAsia" w:ascii="宋体" w:hAnsi="宋体" w:eastAsia="宋体" w:cs="宋体"/>
                <w:color w:val="auto"/>
                <w:sz w:val="21"/>
                <w:szCs w:val="21"/>
                <w:lang w:val="en-GB"/>
              </w:rPr>
              <w:t>小型、微型企业</w:t>
            </w:r>
          </w:p>
        </w:tc>
        <w:tc>
          <w:tcPr>
            <w:tcW w:w="255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对小型和微型企业报价</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扣除6%</w:t>
            </w:r>
          </w:p>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（不再享受序号3的价格折扣）</w:t>
            </w:r>
          </w:p>
        </w:tc>
        <w:tc>
          <w:tcPr>
            <w:tcW w:w="2835" w:type="dxa"/>
            <w:vMerge w:val="continue"/>
            <w:shd w:val="clear" w:color="auto" w:fill="auto"/>
          </w:tcPr>
          <w:p>
            <w:pPr>
              <w:rPr>
                <w:rFonts w:hint="eastAsia" w:ascii="宋体" w:hAnsi="宋体" w:eastAsia="宋体" w:cs="宋体"/>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3</w:t>
            </w:r>
          </w:p>
        </w:tc>
        <w:tc>
          <w:tcPr>
            <w:tcW w:w="2823"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rPr>
              <w:t>对联合体或者大中型企业的报价</w:t>
            </w:r>
            <w:r>
              <w:rPr>
                <w:rFonts w:hint="eastAsia" w:ascii="宋体" w:hAnsi="宋体" w:eastAsia="宋体" w:cs="宋体"/>
                <w:color w:val="auto"/>
                <w:sz w:val="21"/>
                <w:szCs w:val="21"/>
                <w:lang w:val="en-GB"/>
              </w:rPr>
              <w:t>扣除</w:t>
            </w:r>
            <w:r>
              <w:rPr>
                <w:rFonts w:hint="eastAsia" w:ascii="宋体" w:hAnsi="宋体" w:eastAsia="宋体" w:cs="宋体"/>
                <w:color w:val="auto"/>
                <w:sz w:val="21"/>
                <w:szCs w:val="21"/>
              </w:rPr>
              <w:t>2%</w:t>
            </w:r>
          </w:p>
        </w:tc>
        <w:tc>
          <w:tcPr>
            <w:tcW w:w="2835" w:type="dxa"/>
            <w:shd w:val="clear" w:color="auto" w:fill="auto"/>
            <w:vAlign w:val="center"/>
          </w:tcPr>
          <w:p>
            <w:pPr>
              <w:jc w:val="center"/>
              <w:rPr>
                <w:rFonts w:hint="eastAsia" w:ascii="宋体" w:hAnsi="宋体" w:eastAsia="宋体" w:cs="宋体"/>
                <w:b/>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(1-</w:t>
            </w:r>
            <w:r>
              <w:rPr>
                <w:rFonts w:hint="eastAsia" w:ascii="宋体" w:hAnsi="宋体" w:eastAsia="宋体" w:cs="宋体"/>
                <w:color w:val="auto"/>
                <w:sz w:val="21"/>
                <w:szCs w:val="21"/>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4</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监狱企业</w:t>
            </w:r>
          </w:p>
        </w:tc>
        <w:tc>
          <w:tcPr>
            <w:tcW w:w="2552"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对监狱企业产品价格扣除</w:t>
            </w:r>
            <w:r>
              <w:rPr>
                <w:rFonts w:hint="eastAsia" w:ascii="宋体" w:hAnsi="宋体" w:eastAsia="宋体" w:cs="宋体"/>
                <w:color w:val="auto"/>
                <w:sz w:val="21"/>
                <w:szCs w:val="21"/>
              </w:rPr>
              <w:t>6%</w:t>
            </w:r>
          </w:p>
        </w:tc>
        <w:tc>
          <w:tcPr>
            <w:tcW w:w="2835" w:type="dxa"/>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监狱企业产品的价格</w:t>
            </w:r>
            <w:r>
              <w:rPr>
                <w:rFonts w:hint="eastAsia" w:ascii="宋体" w:hAnsi="宋体" w:eastAsia="宋体" w:cs="宋体"/>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 w:val="21"/>
                <w:szCs w:val="21"/>
                <w:lang w:val="en-GB"/>
              </w:rPr>
            </w:pPr>
            <w:r>
              <w:rPr>
                <w:rFonts w:hint="eastAsia" w:ascii="宋体" w:hAnsi="宋体" w:eastAsia="宋体" w:cs="宋体"/>
                <w:b/>
                <w:color w:val="auto"/>
                <w:sz w:val="21"/>
                <w:szCs w:val="21"/>
                <w:lang w:val="en-GB"/>
              </w:rPr>
              <w:t>5</w:t>
            </w:r>
          </w:p>
        </w:tc>
        <w:tc>
          <w:tcPr>
            <w:tcW w:w="2823"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残疾人福利性单位</w:t>
            </w:r>
          </w:p>
        </w:tc>
        <w:tc>
          <w:tcPr>
            <w:tcW w:w="2552" w:type="dxa"/>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对残疾人福利性单位产品价格扣除</w:t>
            </w:r>
            <w:r>
              <w:rPr>
                <w:rFonts w:hint="eastAsia" w:ascii="宋体" w:hAnsi="宋体" w:eastAsia="宋体" w:cs="宋体"/>
                <w:color w:val="auto"/>
                <w:sz w:val="21"/>
                <w:szCs w:val="21"/>
                <w:u w:val="single"/>
              </w:rPr>
              <w:t>6</w:t>
            </w:r>
            <w:r>
              <w:rPr>
                <w:rFonts w:hint="eastAsia" w:ascii="宋体" w:hAnsi="宋体" w:eastAsia="宋体" w:cs="宋体"/>
                <w:color w:val="auto"/>
                <w:sz w:val="21"/>
                <w:szCs w:val="21"/>
              </w:rPr>
              <w:t>%</w:t>
            </w:r>
          </w:p>
        </w:tc>
        <w:tc>
          <w:tcPr>
            <w:tcW w:w="2835" w:type="dxa"/>
            <w:shd w:val="clear" w:color="auto" w:fill="auto"/>
            <w:vAlign w:val="center"/>
          </w:tcPr>
          <w:p>
            <w:pPr>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评标价格＝投标报价—</w:t>
            </w:r>
            <w:r>
              <w:rPr>
                <w:rFonts w:hint="eastAsia" w:ascii="宋体" w:hAnsi="宋体" w:eastAsia="宋体" w:cs="宋体"/>
                <w:color w:val="auto"/>
                <w:sz w:val="21"/>
                <w:szCs w:val="21"/>
              </w:rPr>
              <w:t>残疾人福利性单位产品的价格</w:t>
            </w:r>
            <w:r>
              <w:rPr>
                <w:rFonts w:hint="eastAsia" w:ascii="宋体" w:hAnsi="宋体" w:eastAsia="宋体" w:cs="宋体"/>
                <w:color w:val="auto"/>
                <w:sz w:val="21"/>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其他投标报价得分=（评标基准价/评标价格）×评标标准中价格分值</w:t>
            </w:r>
          </w:p>
        </w:tc>
      </w:tr>
    </w:tbl>
    <w:p>
      <w:pPr>
        <w:pStyle w:val="49"/>
        <w:rPr>
          <w:color w:val="auto"/>
          <w:lang w:val="zh-CN"/>
        </w:rPr>
      </w:pPr>
    </w:p>
    <w:p>
      <w:pPr>
        <w:pStyle w:val="49"/>
        <w:rPr>
          <w:color w:val="auto"/>
          <w:lang w:val="zh-CN"/>
        </w:rPr>
      </w:pPr>
      <w:r>
        <w:rPr>
          <w:rFonts w:hint="eastAsia"/>
          <w:color w:val="auto"/>
          <w:lang w:val="zh-CN"/>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20"/>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adjustRightInd w:val="0"/>
        <w:snapToGrid w:val="0"/>
        <w:spacing w:line="360" w:lineRule="auto"/>
        <w:ind w:firstLine="420" w:firstLineChars="200"/>
        <w:rPr>
          <w:rFonts w:ascii="宋体" w:hAnsi="宋体" w:cs="Courier New"/>
          <w:color w:val="auto"/>
          <w:szCs w:val="21"/>
        </w:rPr>
      </w:pPr>
    </w:p>
    <w:p>
      <w:pPr>
        <w:pStyle w:val="48"/>
        <w:rPr>
          <w:color w:val="auto"/>
        </w:rPr>
      </w:pPr>
    </w:p>
    <w:p>
      <w:pPr>
        <w:adjustRightInd w:val="0"/>
        <w:snapToGrid w:val="0"/>
        <w:spacing w:line="360" w:lineRule="auto"/>
        <w:ind w:firstLine="420" w:firstLineChars="200"/>
        <w:rPr>
          <w:rFonts w:ascii="宋体" w:hAnsi="宋体" w:cs="Courier New"/>
          <w:color w:val="auto"/>
          <w:szCs w:val="21"/>
        </w:rPr>
      </w:pPr>
    </w:p>
    <w:p>
      <w:pPr>
        <w:pStyle w:val="3"/>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pStyle w:val="48"/>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最终签定合同的主要条款不能与</w:t>
      </w:r>
      <w:r>
        <w:rPr>
          <w:rFonts w:hint="eastAsia" w:ascii="宋体" w:hAnsi="宋体" w:cs="微软雅黑"/>
          <w:b/>
          <w:bCs/>
          <w:color w:val="auto"/>
          <w:szCs w:val="21"/>
          <w:lang w:val="en-US" w:eastAsia="zh-CN"/>
        </w:rPr>
        <w:t>招标</w:t>
      </w:r>
      <w:r>
        <w:rPr>
          <w:rFonts w:hint="eastAsia" w:ascii="宋体" w:hAnsi="宋体" w:cs="微软雅黑"/>
          <w:b/>
          <w:bCs/>
          <w:color w:val="auto"/>
          <w:szCs w:val="21"/>
        </w:rPr>
        <w:t>文件有冲突）</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31"/>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31"/>
        <w:spacing w:before="75" w:after="75" w:line="360" w:lineRule="auto"/>
        <w:rPr>
          <w:rFonts w:asciiTheme="minorEastAsia" w:hAnsiTheme="minorEastAsia" w:eastAsiaTheme="minorEastAsia"/>
          <w:color w:val="auto"/>
          <w:sz w:val="21"/>
          <w:szCs w:val="21"/>
        </w:rPr>
      </w:pPr>
    </w:p>
    <w:p>
      <w:pPr>
        <w:pStyle w:val="31"/>
        <w:spacing w:before="75" w:after="75" w:line="360" w:lineRule="auto"/>
        <w:rPr>
          <w:rFonts w:asciiTheme="minorEastAsia" w:hAnsiTheme="minorEastAsia" w:eastAsiaTheme="minorEastAsia"/>
          <w:color w:val="auto"/>
          <w:sz w:val="21"/>
          <w:szCs w:val="21"/>
        </w:rPr>
      </w:pP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31"/>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31"/>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31"/>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20"/>
        <w:spacing w:line="360" w:lineRule="auto"/>
        <w:contextualSpacing/>
        <w:jc w:val="center"/>
        <w:rPr>
          <w:rFonts w:cs="宋体" w:asciiTheme="minorEastAsia" w:hAnsiTheme="minorEastAsia" w:eastAsiaTheme="minorEastAsia"/>
          <w:b/>
          <w:color w:val="auto"/>
          <w:kern w:val="0"/>
          <w:sz w:val="21"/>
          <w:szCs w:val="21"/>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pStyle w:val="20"/>
        <w:spacing w:line="360" w:lineRule="auto"/>
        <w:contextualSpacing/>
        <w:jc w:val="center"/>
        <w:rPr>
          <w:rFonts w:cs="宋体" w:asciiTheme="majorEastAsia" w:hAnsiTheme="majorEastAsia" w:eastAsiaTheme="majorEastAsia"/>
          <w:b/>
          <w:color w:val="auto"/>
          <w:kern w:val="0"/>
          <w:sz w:val="36"/>
          <w:szCs w:val="36"/>
        </w:rPr>
      </w:pPr>
    </w:p>
    <w:p>
      <w:pPr>
        <w:numPr>
          <w:ilvl w:val="0"/>
          <w:numId w:val="8"/>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响应文件有关格式</w:t>
      </w:r>
    </w:p>
    <w:p>
      <w:pPr>
        <w:pStyle w:val="3"/>
        <w:rPr>
          <w:color w:val="auto"/>
        </w:rPr>
      </w:pPr>
    </w:p>
    <w:p>
      <w:pPr>
        <w:spacing w:line="480" w:lineRule="auto"/>
        <w:ind w:firstLine="1080" w:firstLineChars="300"/>
        <w:rPr>
          <w:rFonts w:ascii="宋体" w:hAnsi="宋体" w:cs="宋体"/>
          <w:color w:val="auto"/>
          <w:sz w:val="24"/>
        </w:rPr>
      </w:pPr>
      <w:r>
        <w:rPr>
          <w:rFonts w:hint="eastAsia" w:ascii="宋体" w:hAnsi="宋体" w:cs="宋体"/>
          <w:color w:val="auto"/>
          <w:sz w:val="36"/>
          <w:szCs w:val="36"/>
          <w:u w:val="single"/>
        </w:rPr>
        <w:t xml:space="preserve">                   （项目名称）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48"/>
          <w:szCs w:val="48"/>
        </w:rPr>
      </w:pPr>
      <w:r>
        <w:rPr>
          <w:rFonts w:hint="eastAsia" w:ascii="宋体" w:hAnsi="宋体" w:cs="宋体"/>
          <w:b/>
          <w:bCs/>
          <w:color w:val="auto"/>
          <w:sz w:val="48"/>
          <w:szCs w:val="48"/>
        </w:rPr>
        <w:t>投标文件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480" w:lineRule="auto"/>
        <w:ind w:firstLine="1120" w:firstLineChars="400"/>
        <w:rPr>
          <w:rFonts w:ascii="宋体" w:hAnsi="宋体" w:cs="宋体"/>
          <w:color w:val="auto"/>
          <w:sz w:val="24"/>
        </w:rPr>
      </w:pPr>
      <w:bookmarkStart w:id="3" w:name="_Toc7428_WPSOffice_Level1"/>
      <w:bookmarkStart w:id="4" w:name="_Toc27760_WPSOffice_Level1"/>
      <w:r>
        <w:rPr>
          <w:rFonts w:hint="eastAsia" w:ascii="宋体" w:hAnsi="宋体" w:cs="宋体"/>
          <w:color w:val="auto"/>
          <w:sz w:val="28"/>
          <w:szCs w:val="28"/>
        </w:rPr>
        <w:t>供应商：（全称并加盖公章）</w:t>
      </w:r>
      <w:bookmarkEnd w:id="3"/>
      <w:bookmarkEnd w:id="4"/>
    </w:p>
    <w:p>
      <w:pPr>
        <w:spacing w:line="480" w:lineRule="auto"/>
        <w:ind w:firstLine="1120" w:firstLineChars="400"/>
        <w:rPr>
          <w:rFonts w:ascii="宋体" w:hAnsi="宋体" w:cs="宋体"/>
          <w:b/>
          <w:bCs/>
          <w:color w:val="auto"/>
          <w:sz w:val="28"/>
          <w:szCs w:val="28"/>
        </w:rPr>
      </w:pPr>
      <w:bookmarkStart w:id="5" w:name="_Toc28157_WPSOffice_Level1"/>
      <w:bookmarkStart w:id="6" w:name="_Toc4840_WPSOffice_Level1"/>
      <w:r>
        <w:rPr>
          <w:rFonts w:hint="eastAsia" w:ascii="宋体" w:hAnsi="宋体" w:cs="宋体"/>
          <w:color w:val="auto"/>
          <w:sz w:val="28"/>
          <w:szCs w:val="28"/>
        </w:rPr>
        <w:t>法定代表人或委托代理人（签字）：</w:t>
      </w:r>
      <w:bookmarkEnd w:id="5"/>
      <w:bookmarkEnd w:id="6"/>
    </w:p>
    <w:p>
      <w:pPr>
        <w:spacing w:line="480" w:lineRule="auto"/>
        <w:ind w:firstLine="1120" w:firstLineChars="400"/>
        <w:rPr>
          <w:rFonts w:ascii="宋体" w:hAnsi="宋体" w:cs="宋体"/>
          <w:color w:val="auto"/>
          <w:sz w:val="24"/>
        </w:rPr>
      </w:pPr>
      <w:bookmarkStart w:id="7" w:name="_Toc15640_WPSOffice_Level1"/>
      <w:bookmarkStart w:id="8" w:name="_Toc2311_WPSOffice_Level1"/>
      <w:r>
        <w:rPr>
          <w:rFonts w:hint="eastAsia" w:ascii="宋体" w:hAnsi="宋体" w:cs="宋体"/>
          <w:color w:val="auto"/>
          <w:sz w:val="28"/>
          <w:szCs w:val="28"/>
        </w:rPr>
        <w:t>日    期：年 月 日</w:t>
      </w:r>
      <w:bookmarkEnd w:id="7"/>
      <w:bookmarkEnd w:id="8"/>
    </w:p>
    <w:p>
      <w:pPr>
        <w:spacing w:after="120"/>
        <w:ind w:left="63" w:right="63" w:firstLine="240" w:firstLineChars="100"/>
        <w:rPr>
          <w:rFonts w:ascii="宋体" w:hAnsi="宋体" w:eastAsia="宋体" w:cs="宋体"/>
          <w:color w:val="auto"/>
          <w:kern w:val="0"/>
          <w:sz w:val="24"/>
          <w:szCs w:val="20"/>
        </w:rPr>
      </w:pPr>
    </w:p>
    <w:p>
      <w:pPr>
        <w:pStyle w:val="2"/>
        <w:ind w:firstLine="0" w:firstLineChars="0"/>
        <w:rPr>
          <w:color w:val="auto"/>
          <w:lang w:val="zh-CN"/>
        </w:rPr>
      </w:pPr>
    </w:p>
    <w:p>
      <w:pPr>
        <w:pStyle w:val="6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3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20"/>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20"/>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20"/>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20"/>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20"/>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0"/>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20"/>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20"/>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val="en-US"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20"/>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20"/>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20"/>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20"/>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20"/>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20"/>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20"/>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20"/>
        <w:spacing w:line="360" w:lineRule="auto"/>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注：</w:t>
      </w:r>
    </w:p>
    <w:p>
      <w:pPr>
        <w:pStyle w:val="20"/>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①本表序号8请按照本招标文件“第六章资格审查与评标”资格审查表中序号3要求，根据所提供经审计财务报告、基本开户银行资信证明、银行资信证明、政府采购投标担保函情况填写其中一项即可。</w:t>
      </w:r>
    </w:p>
    <w:p>
      <w:pPr>
        <w:pStyle w:val="20"/>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②本表序号10请按照本招标文件 “第六章资格审查与评标”资格审查表中序号6要求提供，根据所提供证明材料或承诺函（声明）情况填写其中一项即可。</w:t>
      </w:r>
    </w:p>
    <w:p>
      <w:pPr>
        <w:pStyle w:val="20"/>
        <w:spacing w:line="360" w:lineRule="auto"/>
        <w:ind w:firstLine="360" w:firstLineChars="200"/>
        <w:jc w:val="left"/>
        <w:rPr>
          <w:rFonts w:asciiTheme="majorEastAsia" w:hAnsiTheme="majorEastAsia" w:eastAsiaTheme="majorEastAsia"/>
          <w:bCs/>
          <w:snapToGrid w:val="0"/>
          <w:color w:val="auto"/>
          <w:kern w:val="0"/>
          <w:sz w:val="18"/>
          <w:szCs w:val="18"/>
        </w:rPr>
      </w:pPr>
      <w:r>
        <w:rPr>
          <w:rFonts w:hint="eastAsia" w:asciiTheme="majorEastAsia" w:hAnsiTheme="majorEastAsia" w:eastAsiaTheme="majorEastAsia"/>
          <w:bCs/>
          <w:snapToGrid w:val="0"/>
          <w:color w:val="auto"/>
          <w:kern w:val="0"/>
          <w:sz w:val="18"/>
          <w:szCs w:val="18"/>
        </w:rPr>
        <w:t>③本表序号29请根据所投产品提供证书或截图情况填写其中一项即可。</w:t>
      </w:r>
    </w:p>
    <w:p>
      <w:pPr>
        <w:pStyle w:val="20"/>
        <w:spacing w:line="360" w:lineRule="auto"/>
        <w:ind w:firstLine="360" w:firstLineChars="200"/>
        <w:jc w:val="left"/>
        <w:rPr>
          <w:rFonts w:asciiTheme="majorEastAsia" w:hAnsiTheme="majorEastAsia" w:eastAsiaTheme="majorEastAsia"/>
          <w:bCs/>
          <w:snapToGrid w:val="0"/>
          <w:color w:val="auto"/>
          <w:kern w:val="0"/>
          <w:sz w:val="18"/>
          <w:szCs w:val="18"/>
        </w:rPr>
      </w:pPr>
      <w:r>
        <w:rPr>
          <w:rFonts w:asciiTheme="majorEastAsia" w:hAnsiTheme="majorEastAsia" w:eastAsiaTheme="majorEastAsia"/>
          <w:bCs/>
          <w:snapToGrid w:val="0"/>
          <w:color w:val="auto"/>
          <w:kern w:val="0"/>
          <w:sz w:val="18"/>
          <w:szCs w:val="18"/>
        </w:rPr>
        <w:fldChar w:fldCharType="begin"/>
      </w:r>
      <w:r>
        <w:rPr>
          <w:rFonts w:hint="eastAsia" w:asciiTheme="majorEastAsia" w:hAnsiTheme="majorEastAsia" w:eastAsiaTheme="majorEastAsia"/>
          <w:bCs/>
          <w:snapToGrid w:val="0"/>
          <w:color w:val="auto"/>
          <w:kern w:val="0"/>
          <w:sz w:val="18"/>
          <w:szCs w:val="18"/>
        </w:rPr>
        <w:instrText xml:space="preserve">= 4 \* GB3</w:instrText>
      </w:r>
      <w:r>
        <w:rPr>
          <w:rFonts w:asciiTheme="majorEastAsia" w:hAnsiTheme="majorEastAsia" w:eastAsiaTheme="majorEastAsia"/>
          <w:bCs/>
          <w:snapToGrid w:val="0"/>
          <w:color w:val="auto"/>
          <w:kern w:val="0"/>
          <w:sz w:val="18"/>
          <w:szCs w:val="18"/>
        </w:rPr>
        <w:fldChar w:fldCharType="separate"/>
      </w:r>
      <w:r>
        <w:rPr>
          <w:rFonts w:hint="eastAsia" w:asciiTheme="majorEastAsia" w:hAnsiTheme="majorEastAsia" w:eastAsiaTheme="majorEastAsia"/>
          <w:bCs/>
          <w:snapToGrid w:val="0"/>
          <w:color w:val="auto"/>
          <w:kern w:val="0"/>
          <w:sz w:val="18"/>
          <w:szCs w:val="18"/>
        </w:rPr>
        <w:t>④</w:t>
      </w:r>
      <w:r>
        <w:rPr>
          <w:rFonts w:asciiTheme="majorEastAsia" w:hAnsiTheme="majorEastAsia" w:eastAsiaTheme="majorEastAsia"/>
          <w:bCs/>
          <w:snapToGrid w:val="0"/>
          <w:color w:val="auto"/>
          <w:kern w:val="0"/>
          <w:sz w:val="18"/>
          <w:szCs w:val="18"/>
        </w:rPr>
        <w:fldChar w:fldCharType="end"/>
      </w:r>
      <w:r>
        <w:rPr>
          <w:rFonts w:hint="eastAsia" w:asciiTheme="majorEastAsia" w:hAnsiTheme="majorEastAsia" w:eastAsiaTheme="majorEastAsia"/>
          <w:bCs/>
          <w:snapToGrid w:val="0"/>
          <w:color w:val="auto"/>
          <w:kern w:val="0"/>
          <w:sz w:val="18"/>
          <w:szCs w:val="18"/>
        </w:rPr>
        <w:t>本表序号30～32仅适用于物业项目。</w:t>
      </w: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p>
    <w:p>
      <w:pPr>
        <w:pStyle w:val="20"/>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20"/>
        <w:spacing w:line="360" w:lineRule="auto"/>
        <w:jc w:val="center"/>
        <w:rPr>
          <w:rFonts w:asciiTheme="majorEastAsia" w:hAnsiTheme="majorEastAsia" w:eastAsiaTheme="majorEastAsia"/>
          <w:b/>
          <w:snapToGrid w:val="0"/>
          <w:color w:val="auto"/>
          <w:kern w:val="0"/>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3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交付（服务、完工）期限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w:t>
      </w:r>
      <w:r>
        <w:rPr>
          <w:rFonts w:hint="eastAsia" w:cs="宋体" w:asciiTheme="minorEastAsia" w:hAnsiTheme="minorEastAsia"/>
          <w:color w:val="auto"/>
          <w:szCs w:val="21"/>
          <w:lang w:val="en-US" w:eastAsia="zh-CN"/>
        </w:rPr>
        <w:t>招标</w:t>
      </w:r>
      <w:r>
        <w:rPr>
          <w:rFonts w:hint="eastAsia" w:cs="宋体" w:asciiTheme="minorEastAsia" w:hAnsiTheme="minorEastAsia"/>
          <w:color w:val="auto"/>
          <w:szCs w:val="21"/>
          <w:lang w:val="zh-CN"/>
        </w:rPr>
        <w:t>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20"/>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pStyle w:val="20"/>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20"/>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20"/>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3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3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31"/>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31"/>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20"/>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20"/>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20"/>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20"/>
        <w:adjustRightInd w:val="0"/>
        <w:snapToGrid w:val="0"/>
        <w:spacing w:line="360" w:lineRule="auto"/>
        <w:rPr>
          <w:rFonts w:asciiTheme="minorEastAsia" w:hAnsiTheme="minorEastAsia" w:eastAsiaTheme="minorEastAsia"/>
          <w:color w:val="auto"/>
          <w:sz w:val="21"/>
          <w:szCs w:val="21"/>
        </w:rPr>
      </w:pPr>
    </w:p>
    <w:p>
      <w:pPr>
        <w:pStyle w:val="20"/>
        <w:adjustRightInd w:val="0"/>
        <w:snapToGrid w:val="0"/>
        <w:spacing w:line="360" w:lineRule="auto"/>
        <w:rPr>
          <w:rFonts w:asciiTheme="minorEastAsia" w:hAnsiTheme="minorEastAsia" w:eastAsiaTheme="minorEastAsia"/>
          <w:color w:val="auto"/>
          <w:sz w:val="21"/>
          <w:szCs w:val="21"/>
        </w:rPr>
      </w:pPr>
    </w:p>
    <w:p>
      <w:pPr>
        <w:pStyle w:val="20"/>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w:t>
      </w:r>
      <w:r>
        <w:rPr>
          <w:rFonts w:hint="eastAsia" w:asciiTheme="minorEastAsia" w:hAnsiTheme="minorEastAsia" w:eastAsiaTheme="minorEastAsia"/>
          <w:color w:val="auto"/>
          <w:sz w:val="21"/>
          <w:szCs w:val="21"/>
          <w:lang w:val="en-US" w:eastAsia="zh-CN"/>
        </w:rPr>
        <w:t>招标</w:t>
      </w:r>
      <w:r>
        <w:rPr>
          <w:rFonts w:hint="eastAsia" w:asciiTheme="minorEastAsia" w:hAnsiTheme="minorEastAsia" w:eastAsiaTheme="minorEastAsia"/>
          <w:color w:val="auto"/>
          <w:sz w:val="21"/>
          <w:szCs w:val="21"/>
        </w:rPr>
        <w:t>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095" w:firstLineChars="19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rPr>
          <w:color w:val="auto"/>
        </w:rPr>
      </w:pPr>
    </w:p>
    <w:p>
      <w:pPr>
        <w:pStyle w:val="2"/>
        <w:ind w:firstLine="340"/>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2"/>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2"/>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2"/>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2"/>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2"/>
        <w:spacing w:line="480" w:lineRule="auto"/>
        <w:ind w:firstLine="472" w:firstLineChars="225"/>
        <w:jc w:val="left"/>
        <w:rPr>
          <w:rFonts w:asciiTheme="minorEastAsia" w:hAnsiTheme="minorEastAsia"/>
          <w:color w:val="auto"/>
          <w:sz w:val="21"/>
          <w:szCs w:val="21"/>
        </w:rPr>
      </w:pPr>
    </w:p>
    <w:p>
      <w:pPr>
        <w:pStyle w:val="52"/>
        <w:spacing w:line="480" w:lineRule="auto"/>
        <w:ind w:firstLine="472" w:firstLineChars="225"/>
        <w:jc w:val="left"/>
        <w:rPr>
          <w:rFonts w:asciiTheme="minorEastAsia" w:hAnsiTheme="minorEastAsia"/>
          <w:color w:val="auto"/>
          <w:sz w:val="21"/>
          <w:szCs w:val="21"/>
        </w:rPr>
      </w:pPr>
    </w:p>
    <w:p>
      <w:pPr>
        <w:pStyle w:val="52"/>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2"/>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55"/>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4"/>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32"/>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color w:val="auto"/>
          <w:szCs w:val="21"/>
          <w:lang w:val="zh-CN"/>
        </w:rPr>
      </w:pPr>
    </w:p>
    <w:p>
      <w:pPr>
        <w:spacing w:before="156" w:beforeLines="50" w:after="156" w:afterLines="50" w:line="360" w:lineRule="auto"/>
        <w:ind w:right="420" w:firstLine="4800" w:firstLineChars="2286"/>
        <w:rPr>
          <w:rFonts w:cs="宋体" w:asciiTheme="minorEastAsia" w:hAnsiTheme="minorEastAsia"/>
          <w:color w:val="auto"/>
          <w:szCs w:val="21"/>
          <w:u w:val="single"/>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3.5 </w:t>
      </w:r>
      <w:r>
        <w:rPr>
          <w:rFonts w:hint="eastAsia" w:ascii="宋体" w:hAnsi="宋体"/>
          <w:b/>
          <w:bCs/>
          <w:color w:val="auto"/>
          <w:sz w:val="24"/>
          <w:szCs w:val="24"/>
          <w:lang w:val="en-US" w:eastAsia="zh-CN"/>
        </w:rPr>
        <w:t>投标</w:t>
      </w:r>
      <w:r>
        <w:rPr>
          <w:rFonts w:hint="eastAsia" w:ascii="宋体" w:hAnsi="宋体"/>
          <w:b/>
          <w:bCs/>
          <w:color w:val="auto"/>
          <w:sz w:val="24"/>
          <w:szCs w:val="24"/>
        </w:rPr>
        <w:t>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年____月</w:t>
      </w:r>
      <w:r>
        <w:rPr>
          <w:rFonts w:hint="eastAsia" w:ascii="宋体" w:hAnsi="宋体" w:eastAsia="宋体" w:cs="宋体"/>
          <w:color w:val="auto"/>
          <w:szCs w:val="21"/>
          <w:u w:val="single"/>
          <w:lang w:val="en-US" w:eastAsia="zh-CN"/>
        </w:rPr>
        <w:t xml:space="preserve">   </w:t>
      </w:r>
      <w:r>
        <w:rPr>
          <w:rFonts w:ascii="宋体" w:hAnsi="宋体" w:eastAsia="宋体" w:cs="宋体"/>
          <w:color w:val="auto"/>
          <w:szCs w:val="21"/>
          <w:lang w:val="zh-CN"/>
        </w:rPr>
        <w:t>日</w:t>
      </w:r>
      <w:r>
        <w:rPr>
          <w:rFonts w:ascii="宋体" w:hAnsi="宋体" w:eastAsia="宋体" w:cs="宋体"/>
          <w:color w:val="auto"/>
          <w:szCs w:val="21"/>
          <w:u w:val="single"/>
          <w:lang w:val="zh-CN"/>
        </w:rPr>
        <w:t>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3"/>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3"/>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3"/>
        <w:rPr>
          <w:color w:val="auto"/>
          <w:lang w:val="zh-CN"/>
        </w:rPr>
      </w:pPr>
    </w:p>
    <w:p>
      <w:pPr>
        <w:pStyle w:val="29"/>
        <w:rPr>
          <w:color w:val="auto"/>
          <w:lang w:val="zh-CN"/>
        </w:rPr>
      </w:pPr>
    </w:p>
    <w:p>
      <w:pPr>
        <w:pStyle w:val="29"/>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w:t>
      </w:r>
      <w:r>
        <w:rPr>
          <w:rFonts w:hint="eastAsia" w:cs="黑体" w:asciiTheme="minorEastAsia" w:hAnsiTheme="minorEastAsia"/>
          <w:b/>
          <w:bCs/>
          <w:color w:val="auto"/>
          <w:sz w:val="28"/>
          <w:szCs w:val="28"/>
          <w:lang w:val="en-US" w:eastAsia="zh-CN"/>
        </w:rPr>
        <w:t>符合性</w:t>
      </w:r>
      <w:r>
        <w:rPr>
          <w:rFonts w:hint="eastAsia" w:cs="黑体" w:asciiTheme="minorEastAsia" w:hAnsiTheme="minorEastAsia"/>
          <w:b/>
          <w:bCs/>
          <w:color w:val="auto"/>
          <w:sz w:val="28"/>
          <w:szCs w:val="28"/>
          <w:lang w:val="zh-CN"/>
        </w:rPr>
        <w:t>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color w:val="auto"/>
          <w:lang w:val="zh-CN"/>
        </w:rPr>
      </w:pPr>
      <w:r>
        <w:rPr>
          <w:rFonts w:hint="eastAsia" w:ascii="宋体" w:hAnsi="宋体"/>
          <w:b/>
          <w:bCs/>
          <w:color w:val="auto"/>
          <w:sz w:val="24"/>
          <w:szCs w:val="24"/>
        </w:rPr>
        <w:t>4.1分项报价表（格式自拟）</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tbl>
      <w:tblPr>
        <w:tblStyle w:val="32"/>
        <w:tblpPr w:leftFromText="180" w:rightFromText="180" w:vertAnchor="text" w:horzAnchor="page" w:tblpXSpec="center" w:tblpY="1118"/>
        <w:tblOverlap w:val="never"/>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49"/>
        <w:gridCol w:w="2050"/>
        <w:gridCol w:w="1590"/>
        <w:gridCol w:w="166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序号</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分项名称</w:t>
            </w: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招</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投</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偏离</w:t>
            </w:r>
          </w:p>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（无偏离</w:t>
            </w:r>
            <w:r>
              <w:rPr>
                <w:rFonts w:ascii="宋体" w:hAnsi="宋体" w:eastAsia="宋体" w:cs="Arial"/>
                <w:color w:val="auto"/>
                <w:szCs w:val="21"/>
              </w:rPr>
              <w:t>/正偏离/负偏离）</w:t>
            </w:r>
          </w:p>
        </w:tc>
        <w:tc>
          <w:tcPr>
            <w:tcW w:w="1019" w:type="dxa"/>
            <w:tcBorders>
              <w:tl2br w:val="nil"/>
              <w:tr2bl w:val="nil"/>
            </w:tcBorders>
            <w:vAlign w:val="center"/>
          </w:tcPr>
          <w:p>
            <w:pPr>
              <w:jc w:val="center"/>
              <w:rPr>
                <w:rFonts w:ascii="宋体" w:hAnsi="宋体" w:eastAsia="宋体" w:cs="Arial"/>
                <w:color w:val="auto"/>
                <w:szCs w:val="21"/>
              </w:rPr>
            </w:pPr>
            <w:r>
              <w:rPr>
                <w:rFonts w:hint="eastAsia" w:ascii="宋体" w:hAnsi="宋体" w:eastAsia="宋体" w:cs="Arial"/>
                <w:color w:val="auto"/>
                <w:szCs w:val="21"/>
              </w:rPr>
              <w:t>偏离内容说明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1</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2</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3</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4</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5</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6</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bl>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480" w:lineRule="auto"/>
        <w:rPr>
          <w:rFonts w:cs="宋体" w:asciiTheme="minorEastAsia" w:hAnsiTheme="minorEastAsia"/>
          <w:color w:val="auto"/>
          <w:szCs w:val="21"/>
          <w:lang w:val="zh-CN"/>
        </w:rPr>
      </w:pPr>
    </w:p>
    <w:p>
      <w:pPr>
        <w:spacing w:line="440" w:lineRule="exact"/>
        <w:ind w:firstLine="420" w:firstLineChars="200"/>
        <w:rPr>
          <w:color w:val="auto"/>
          <w:szCs w:val="21"/>
          <w:lang w:val="zh-CN"/>
        </w:rPr>
      </w:pPr>
      <w:r>
        <w:rPr>
          <w:rFonts w:ascii="宋体" w:hAnsi="宋体" w:cs="Arial"/>
          <w:color w:val="auto"/>
          <w:szCs w:val="21"/>
        </w:rPr>
        <w:t>我们</w:t>
      </w:r>
      <w:r>
        <w:rPr>
          <w:rFonts w:hint="eastAsia" w:ascii="宋体" w:hAnsi="宋体" w:cs="Arial"/>
          <w:color w:val="auto"/>
          <w:szCs w:val="21"/>
        </w:rPr>
        <w:t>承</w:t>
      </w:r>
      <w:r>
        <w:rPr>
          <w:rFonts w:ascii="宋体" w:hAnsi="宋体" w:cs="Arial"/>
          <w:color w:val="auto"/>
          <w:szCs w:val="21"/>
        </w:rPr>
        <w:t>诺</w:t>
      </w:r>
      <w:r>
        <w:rPr>
          <w:rFonts w:hint="eastAsia" w:ascii="宋体" w:hAnsi="宋体" w:cs="Arial"/>
          <w:color w:val="auto"/>
          <w:szCs w:val="21"/>
        </w:rPr>
        <w:t>本技</w:t>
      </w:r>
      <w:r>
        <w:rPr>
          <w:rFonts w:ascii="宋体" w:hAnsi="宋体" w:cs="Arial"/>
          <w:color w:val="auto"/>
          <w:szCs w:val="21"/>
        </w:rPr>
        <w:t>术</w:t>
      </w:r>
      <w:r>
        <w:rPr>
          <w:rFonts w:hint="eastAsia" w:ascii="宋体" w:hAnsi="宋体" w:cs="Arial"/>
          <w:color w:val="auto"/>
          <w:szCs w:val="21"/>
        </w:rPr>
        <w:t>指标响应表的</w:t>
      </w:r>
      <w:r>
        <w:rPr>
          <w:rFonts w:ascii="宋体" w:hAnsi="宋体" w:cs="Arial"/>
          <w:color w:val="auto"/>
          <w:szCs w:val="21"/>
        </w:rPr>
        <w:t>内</w:t>
      </w:r>
      <w:r>
        <w:rPr>
          <w:rFonts w:hint="eastAsia" w:ascii="宋体" w:hAnsi="宋体" w:cs="Arial"/>
          <w:color w:val="auto"/>
          <w:szCs w:val="21"/>
        </w:rPr>
        <w:t>容真</w:t>
      </w:r>
      <w:r>
        <w:rPr>
          <w:rFonts w:ascii="宋体" w:hAnsi="宋体" w:cs="Arial"/>
          <w:color w:val="auto"/>
          <w:szCs w:val="21"/>
        </w:rPr>
        <w:t>实</w:t>
      </w:r>
      <w:r>
        <w:rPr>
          <w:rFonts w:hint="eastAsia" w:ascii="宋体" w:hAnsi="宋体" w:cs="Arial"/>
          <w:color w:val="auto"/>
          <w:szCs w:val="21"/>
        </w:rPr>
        <w:t>有效，</w:t>
      </w:r>
      <w:r>
        <w:rPr>
          <w:rFonts w:ascii="宋体" w:hAnsi="宋体" w:cs="Arial"/>
          <w:color w:val="auto"/>
          <w:szCs w:val="21"/>
        </w:rPr>
        <w:t>无</w:t>
      </w:r>
      <w:r>
        <w:rPr>
          <w:rFonts w:hint="eastAsia" w:ascii="宋体" w:hAnsi="宋体" w:cs="Arial"/>
          <w:color w:val="auto"/>
          <w:szCs w:val="21"/>
        </w:rPr>
        <w:t>任何</w:t>
      </w:r>
      <w:r>
        <w:rPr>
          <w:rFonts w:ascii="宋体" w:hAnsi="宋体" w:cs="Arial"/>
          <w:color w:val="auto"/>
          <w:szCs w:val="21"/>
        </w:rPr>
        <w:t>虚</w:t>
      </w:r>
      <w:r>
        <w:rPr>
          <w:rFonts w:hint="eastAsia" w:ascii="宋体" w:hAnsi="宋体" w:cs="Arial"/>
          <w:color w:val="auto"/>
          <w:szCs w:val="21"/>
        </w:rPr>
        <w:t>假之</w:t>
      </w:r>
      <w:r>
        <w:rPr>
          <w:rFonts w:ascii="宋体" w:hAnsi="宋体" w:cs="Arial"/>
          <w:color w:val="auto"/>
          <w:szCs w:val="21"/>
        </w:rPr>
        <w:t>处</w:t>
      </w:r>
      <w:r>
        <w:rPr>
          <w:rFonts w:hint="eastAsia" w:ascii="宋体" w:hAnsi="宋体" w:cs="Arial"/>
          <w:color w:val="auto"/>
          <w:szCs w:val="21"/>
        </w:rPr>
        <w:t>，并且愿意承</w:t>
      </w:r>
      <w:r>
        <w:rPr>
          <w:rFonts w:ascii="宋体" w:hAnsi="宋体" w:cs="Arial"/>
          <w:color w:val="auto"/>
          <w:szCs w:val="21"/>
        </w:rPr>
        <w:t>担</w:t>
      </w:r>
      <w:r>
        <w:rPr>
          <w:rFonts w:hint="eastAsia" w:ascii="宋体" w:hAnsi="宋体" w:cs="Arial"/>
          <w:color w:val="auto"/>
          <w:szCs w:val="21"/>
        </w:rPr>
        <w:t>因不</w:t>
      </w:r>
      <w:r>
        <w:rPr>
          <w:rFonts w:ascii="宋体" w:hAnsi="宋体" w:cs="Arial"/>
          <w:color w:val="auto"/>
          <w:szCs w:val="21"/>
        </w:rPr>
        <w:t>满</w:t>
      </w:r>
      <w:r>
        <w:rPr>
          <w:rFonts w:hint="eastAsia" w:ascii="宋体" w:hAnsi="宋体" w:cs="Arial"/>
          <w:color w:val="auto"/>
          <w:szCs w:val="21"/>
        </w:rPr>
        <w:t>足此承</w:t>
      </w:r>
      <w:r>
        <w:rPr>
          <w:rFonts w:ascii="宋体" w:hAnsi="宋体" w:cs="Arial"/>
          <w:color w:val="auto"/>
          <w:szCs w:val="21"/>
        </w:rPr>
        <w:t>诺</w:t>
      </w:r>
      <w:r>
        <w:rPr>
          <w:rFonts w:hint="eastAsia" w:ascii="宋体" w:hAnsi="宋体" w:cs="Arial"/>
          <w:color w:val="auto"/>
          <w:szCs w:val="21"/>
        </w:rPr>
        <w:t>而引起的相</w:t>
      </w:r>
      <w:r>
        <w:rPr>
          <w:rFonts w:ascii="宋体" w:hAnsi="宋体" w:cs="Arial"/>
          <w:color w:val="auto"/>
          <w:szCs w:val="21"/>
        </w:rPr>
        <w:t>应</w:t>
      </w:r>
      <w:r>
        <w:rPr>
          <w:rFonts w:hint="eastAsia" w:ascii="宋体" w:hAnsi="宋体" w:cs="Arial"/>
          <w:color w:val="auto"/>
          <w:szCs w:val="21"/>
        </w:rPr>
        <w:t>的法律</w:t>
      </w:r>
      <w:r>
        <w:rPr>
          <w:rFonts w:ascii="宋体" w:hAnsi="宋体" w:cs="Arial"/>
          <w:color w:val="auto"/>
          <w:szCs w:val="21"/>
        </w:rPr>
        <w:t>责</w:t>
      </w:r>
      <w:r>
        <w:rPr>
          <w:rFonts w:hint="eastAsia" w:ascii="宋体" w:hAnsi="宋体" w:cs="Arial"/>
          <w:color w:val="auto"/>
          <w:szCs w:val="21"/>
        </w:rPr>
        <w:t>任并接受相</w:t>
      </w:r>
      <w:r>
        <w:rPr>
          <w:rFonts w:ascii="宋体" w:hAnsi="宋体" w:cs="Arial"/>
          <w:color w:val="auto"/>
          <w:szCs w:val="21"/>
        </w:rPr>
        <w:t>关部门</w:t>
      </w:r>
      <w:r>
        <w:rPr>
          <w:rFonts w:hint="eastAsia" w:ascii="宋体" w:hAnsi="宋体" w:cs="Arial"/>
          <w:color w:val="auto"/>
          <w:szCs w:val="21"/>
        </w:rPr>
        <w:t>的</w:t>
      </w:r>
      <w:r>
        <w:rPr>
          <w:rFonts w:ascii="宋体" w:hAnsi="宋体" w:cs="Arial"/>
          <w:color w:val="auto"/>
          <w:szCs w:val="21"/>
        </w:rPr>
        <w:t>处罚</w:t>
      </w:r>
      <w:r>
        <w:rPr>
          <w:rFonts w:hint="eastAsia" w:ascii="宋体" w:hAnsi="宋体" w:cs="Arial"/>
          <w:color w:val="auto"/>
          <w:szCs w:val="21"/>
        </w:rPr>
        <w:t>。</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投标人名称（并加盖公章）：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156"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r>
        <w:rPr>
          <w:rFonts w:hint="eastAsia" w:ascii="宋体" w:hAnsi="宋体" w:eastAsia="宋体" w:cs="宋体"/>
          <w:color w:val="auto"/>
          <w:szCs w:val="21"/>
          <w:shd w:val="clear" w:color="auto" w:fill="FFFFFF"/>
        </w:rPr>
        <w:t xml:space="preserve"> </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712"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3"/>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3"/>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3"/>
              <w:spacing w:line="360" w:lineRule="auto"/>
              <w:rPr>
                <w:rFonts w:ascii="宋体" w:hAnsi="宋体" w:eastAsia="宋体" w:cs="Times New Roman"/>
                <w:color w:val="auto"/>
                <w:sz w:val="21"/>
                <w:szCs w:val="21"/>
              </w:rPr>
            </w:pPr>
          </w:p>
        </w:tc>
        <w:tc>
          <w:tcPr>
            <w:tcW w:w="3579" w:type="dxa"/>
            <w:vAlign w:val="center"/>
          </w:tcPr>
          <w:p>
            <w:pPr>
              <w:pStyle w:val="13"/>
              <w:spacing w:line="360" w:lineRule="auto"/>
              <w:rPr>
                <w:rFonts w:ascii="宋体" w:hAnsi="宋体" w:eastAsia="宋体" w:cs="Times New Roman"/>
                <w:color w:val="auto"/>
                <w:sz w:val="21"/>
                <w:szCs w:val="21"/>
              </w:rPr>
            </w:pPr>
          </w:p>
        </w:tc>
        <w:tc>
          <w:tcPr>
            <w:tcW w:w="1440" w:type="dxa"/>
            <w:vAlign w:val="center"/>
          </w:tcPr>
          <w:p>
            <w:pPr>
              <w:pStyle w:val="13"/>
              <w:spacing w:line="360" w:lineRule="auto"/>
              <w:rPr>
                <w:rFonts w:ascii="宋体" w:hAnsi="宋体" w:eastAsia="宋体" w:cs="Times New Roman"/>
                <w:color w:val="auto"/>
                <w:sz w:val="21"/>
                <w:szCs w:val="21"/>
              </w:rPr>
            </w:pPr>
          </w:p>
        </w:tc>
        <w:tc>
          <w:tcPr>
            <w:tcW w:w="1706" w:type="dxa"/>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3"/>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4.5后</w:t>
      </w:r>
      <w:r>
        <w:rPr>
          <w:rFonts w:hint="eastAsia" w:ascii="宋体" w:hAnsi="宋体"/>
          <w:b/>
          <w:bCs/>
          <w:color w:val="auto"/>
          <w:sz w:val="24"/>
          <w:szCs w:val="24"/>
          <w:lang w:val="en-US" w:eastAsia="zh-CN"/>
        </w:rPr>
        <w:t>期</w:t>
      </w:r>
      <w:r>
        <w:rPr>
          <w:rFonts w:hint="eastAsia" w:ascii="宋体" w:hAnsi="宋体"/>
          <w:b/>
          <w:bCs/>
          <w:color w:val="auto"/>
          <w:sz w:val="24"/>
          <w:szCs w:val="24"/>
        </w:rPr>
        <w:t>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（供应商根据招标文件要求自行编制）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jc w:val="center"/>
        <w:rPr>
          <w:rFonts w:ascii="宋体" w:hAnsi="宋体"/>
          <w:b/>
          <w:bCs/>
          <w:color w:val="auto"/>
          <w:sz w:val="24"/>
          <w:szCs w:val="24"/>
        </w:rPr>
      </w:pPr>
      <w:r>
        <w:rPr>
          <w:rFonts w:hint="eastAsia" w:ascii="宋体" w:hAnsi="宋体"/>
          <w:b/>
          <w:bCs/>
          <w:color w:val="auto"/>
          <w:sz w:val="24"/>
          <w:szCs w:val="24"/>
        </w:rPr>
        <w:t>4.6 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w:t>
      </w:r>
      <w:r>
        <w:rPr>
          <w:rFonts w:hint="eastAsia"/>
          <w:color w:val="auto"/>
        </w:rPr>
        <w:t>服务</w:t>
      </w:r>
      <w:r>
        <w:rPr>
          <w:color w:val="auto"/>
        </w:rPr>
        <w:t>全部由符合政策要求的中小企业</w:t>
      </w:r>
      <w:r>
        <w:rPr>
          <w:rFonts w:hint="eastAsia"/>
          <w:color w:val="auto"/>
        </w:rPr>
        <w:t>承接</w:t>
      </w:r>
      <w:r>
        <w:rPr>
          <w:color w:val="auto"/>
        </w:rPr>
        <w:t>。相关企业（含联合体中的中小企业、签订分包意向协议的中小企业）的具体情况如下：</w:t>
      </w:r>
    </w:p>
    <w:p>
      <w:pPr>
        <w:spacing w:line="360" w:lineRule="auto"/>
        <w:ind w:firstLine="420" w:firstLineChars="200"/>
        <w:jc w:val="left"/>
        <w:rPr>
          <w:color w:val="auto"/>
        </w:rPr>
      </w:pPr>
      <w:r>
        <w:rPr>
          <w:i/>
          <w:color w:val="auto"/>
          <w:u w:val="single"/>
        </w:rPr>
        <w:t>（标的名称）</w:t>
      </w:r>
      <w:r>
        <w:rPr>
          <w:color w:val="auto"/>
        </w:rPr>
        <w:t>，属于</w:t>
      </w:r>
      <w:r>
        <w:rPr>
          <w:i/>
          <w:color w:val="auto"/>
          <w:u w:val="single"/>
        </w:rPr>
        <w:t>（采购文件中明确的所属行业）</w:t>
      </w:r>
      <w:r>
        <w:rPr>
          <w:color w:val="auto"/>
        </w:rPr>
        <w:t>行业；</w:t>
      </w:r>
      <w:r>
        <w:rPr>
          <w:rFonts w:hint="eastAsia"/>
          <w:color w:val="auto"/>
        </w:rPr>
        <w:t>承接企业</w:t>
      </w:r>
      <w:r>
        <w:rPr>
          <w:color w:val="auto"/>
        </w:rPr>
        <w:t>为</w:t>
      </w:r>
      <w:r>
        <w:rPr>
          <w:i/>
          <w:color w:val="auto"/>
          <w:u w:val="single"/>
        </w:rPr>
        <w:t>（企业名称）</w:t>
      </w:r>
      <w:r>
        <w:rPr>
          <w:color w:val="auto"/>
        </w:rPr>
        <w:t>，从业人员</w:t>
      </w:r>
      <w:r>
        <w:rPr>
          <w:rFonts w:hint="eastAsia"/>
          <w:color w:val="auto"/>
          <w:u w:val="single"/>
        </w:rPr>
        <w:t xml:space="preserve">     </w:t>
      </w:r>
      <w:r>
        <w:rPr>
          <w:color w:val="auto"/>
        </w:rPr>
        <w:t>人，营业收入为</w:t>
      </w:r>
      <w:r>
        <w:rPr>
          <w:rFonts w:hint="eastAsia"/>
          <w:color w:val="auto"/>
          <w:u w:val="single"/>
        </w:rPr>
        <w:t xml:space="preserve">     </w:t>
      </w:r>
      <w:r>
        <w:rPr>
          <w:color w:val="auto"/>
        </w:rPr>
        <w:t>万元，资产总额为</w:t>
      </w:r>
      <w:r>
        <w:rPr>
          <w:rFonts w:hint="eastAsia"/>
          <w:color w:val="auto"/>
          <w:u w:val="single"/>
        </w:rPr>
        <w:t xml:space="preserve">     </w:t>
      </w:r>
      <w:r>
        <w:rPr>
          <w:color w:val="auto"/>
        </w:rPr>
        <w:t>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hint="eastAsia" w:ascii="宋体" w:hAnsi="宋体"/>
          <w:color w:val="auto"/>
          <w:szCs w:val="21"/>
        </w:rPr>
      </w:pPr>
      <w:r>
        <w:rPr>
          <w:rFonts w:hint="eastAsia" w:ascii="宋体" w:hAnsi="宋体"/>
          <w:color w:val="auto"/>
          <w:szCs w:val="21"/>
        </w:rPr>
        <w:t>1、“企业类型”请如实选择填写：中型、小型、微型。</w:t>
      </w:r>
    </w:p>
    <w:p>
      <w:pPr>
        <w:widowControl/>
        <w:spacing w:before="100" w:beforeAutospacing="1" w:after="100" w:afterAutospacing="1" w:line="360" w:lineRule="auto"/>
        <w:contextualSpacing/>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供应商认为符合此项条件应出具</w:t>
      </w:r>
      <w:r>
        <w:rPr>
          <w:rFonts w:hint="eastAsia" w:ascii="宋体" w:hAnsi="宋体"/>
          <w:color w:val="auto"/>
          <w:szCs w:val="21"/>
          <w:lang w:eastAsia="zh-CN"/>
        </w:rPr>
        <w:t>《</w:t>
      </w:r>
      <w:r>
        <w:rPr>
          <w:rFonts w:hint="eastAsia" w:ascii="宋体" w:hAnsi="宋体"/>
          <w:color w:val="auto"/>
          <w:szCs w:val="21"/>
          <w:lang w:val="en-US" w:eastAsia="zh-CN"/>
        </w:rPr>
        <w:t>中小企业声明函》</w:t>
      </w:r>
      <w:r>
        <w:rPr>
          <w:rFonts w:hint="eastAsia" w:ascii="宋体" w:hAnsi="宋体"/>
          <w:color w:val="auto"/>
          <w:szCs w:val="21"/>
        </w:rPr>
        <w:t>。</w:t>
      </w:r>
    </w:p>
    <w:p>
      <w:pPr>
        <w:widowControl/>
        <w:spacing w:before="100" w:beforeAutospacing="1" w:after="100" w:afterAutospacing="1" w:line="360" w:lineRule="auto"/>
        <w:contextualSpacing/>
        <w:jc w:val="left"/>
        <w:rPr>
          <w:rFonts w:hint="eastAsia" w:ascii="宋体" w:hAnsi="宋体"/>
          <w:color w:val="auto"/>
          <w:szCs w:val="21"/>
        </w:rPr>
      </w:pPr>
      <w:r>
        <w:rPr>
          <w:rFonts w:hint="eastAsia" w:ascii="宋体" w:hAnsi="宋体"/>
          <w:color w:val="auto"/>
          <w:szCs w:val="21"/>
        </w:rPr>
        <w:t xml:space="preserve"> 3、从业人员、营业收入、资产总额填报上一年度数据，无上一年度数据的新成立企业可不填报。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w:t>
      </w:r>
      <w:r>
        <w:rPr>
          <w:rFonts w:hint="eastAsia" w:ascii="宋体" w:hAnsi="宋体"/>
          <w:b/>
          <w:bCs/>
          <w:color w:val="auto"/>
          <w:sz w:val="24"/>
          <w:szCs w:val="24"/>
          <w:lang w:val="en-US" w:eastAsia="zh-CN"/>
        </w:rPr>
        <w:t>7</w:t>
      </w:r>
      <w:r>
        <w:rPr>
          <w:rFonts w:hint="eastAsia" w:ascii="宋体" w:hAnsi="宋体"/>
          <w:b/>
          <w:bCs/>
          <w:color w:val="auto"/>
          <w:sz w:val="24"/>
          <w:szCs w:val="24"/>
        </w:rPr>
        <w:t xml:space="preserve">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lang w:val="en-US" w:eastAsia="zh-CN"/>
        </w:rPr>
        <w:t>招标</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jc w:val="left"/>
        <w:rPr>
          <w:rFonts w:hint="eastAsia" w:ascii="宋体" w:hAnsi="宋体" w:cs="宋体" w:eastAsiaTheme="minorEastAsia"/>
          <w:b/>
          <w:sz w:val="36"/>
          <w:szCs w:val="36"/>
          <w:shd w:val="clear" w:color="auto" w:fill="FFFFFF"/>
          <w:lang w:val="en-US" w:eastAsia="zh-CN"/>
        </w:rPr>
      </w:pPr>
    </w:p>
    <w:sectPr>
      <w:headerReference r:id="rId3" w:type="default"/>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Times New Roman"/>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thinThickSmallGap" w:color="622423" w:themeColor="accent2" w:themeShade="7F" w:sz="24" w:space="1"/>
      </w:pBdr>
      <w:rPr>
        <w:rFonts w:asciiTheme="majorHAnsi" w:hAnsiTheme="majorHAnsi"/>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Theme="majorEastAsia" w:hAnsiTheme="majorEastAsia" w:eastAsiaTheme="majorEastAsia" w:cstheme="majorEastAsia"/>
        <w:bCs/>
        <w:color w:val="000000"/>
        <w:sz w:val="21"/>
        <w:szCs w:val="21"/>
      </w:rPr>
      <w:t>河南林昱工程管理有限公司</w: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1"/>
        <w:szCs w:val="21"/>
      </w:rPr>
      <w:alias w:val="标题"/>
      <w:id w:val="77738743"/>
      <w:placeholder>
        <w:docPart w:val="A3166110528E48F59158D7A2FC9284FB"/>
      </w:placeholder>
      <w:text/>
    </w:sdtPr>
    <w:sdtEndPr>
      <w:rPr>
        <w:rFonts w:asciiTheme="majorHAnsi" w:hAnsiTheme="majorHAnsi" w:eastAsiaTheme="majorEastAsia" w:cstheme="majorBidi"/>
        <w:sz w:val="21"/>
        <w:szCs w:val="21"/>
      </w:rPr>
    </w:sdtEndPr>
    <w:sdtContent>
      <w:p>
        <w:pPr>
          <w:pStyle w:val="26"/>
          <w:pBdr>
            <w:bottom w:val="thickThinSmallGap" w:color="622423" w:themeColor="accent2" w:themeShade="7F" w:sz="24" w:space="1"/>
          </w:pBdr>
          <w:jc w:val="right"/>
          <w:rPr>
            <w:rFonts w:asciiTheme="majorHAnsi" w:hAnsiTheme="majorHAnsi" w:eastAsiaTheme="majorEastAsia" w:cstheme="majorBidi"/>
            <w:sz w:val="32"/>
            <w:szCs w:val="32"/>
          </w:rPr>
        </w:pPr>
        <w:r>
          <w:rPr>
            <w:rFonts w:hint="eastAsia" w:asciiTheme="majorHAnsi" w:hAnsiTheme="majorHAnsi" w:eastAsiaTheme="majorEastAsia" w:cstheme="majorBidi"/>
            <w:sz w:val="21"/>
            <w:szCs w:val="21"/>
            <w:lang w:val="en-US" w:eastAsia="zh-CN"/>
          </w:rPr>
          <w:t>采购</w:t>
        </w:r>
        <w:r>
          <w:rPr>
            <w:rFonts w:hint="eastAsia" w:asciiTheme="majorHAnsi" w:hAnsiTheme="majorHAnsi" w:eastAsiaTheme="majorEastAsia" w:cstheme="majorBidi"/>
            <w:sz w:val="21"/>
            <w:szCs w:val="21"/>
          </w:rPr>
          <w:t>文件</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00000006"/>
    <w:multiLevelType w:val="multilevel"/>
    <w:tmpl w:val="00000006"/>
    <w:lvl w:ilvl="0" w:tentative="0">
      <w:start w:val="1"/>
      <w:numFmt w:val="chineseCountingThousand"/>
      <w:pStyle w:val="8"/>
      <w:suff w:val="nothing"/>
      <w:lvlText w:val="第%1部分"/>
      <w:lvlJc w:val="center"/>
      <w:pPr>
        <w:ind w:left="2784" w:firstLine="288"/>
      </w:pPr>
      <w:rPr>
        <w:rFonts w:hint="eastAsia"/>
        <w:sz w:val="28"/>
        <w:szCs w:val="28"/>
      </w:rPr>
    </w:lvl>
    <w:lvl w:ilvl="1" w:tentative="0">
      <w:start w:val="1"/>
      <w:numFmt w:val="chineseCountingThousand"/>
      <w:pStyle w:val="9"/>
      <w:suff w:val="nothing"/>
      <w:lvlText w:val="%2、"/>
      <w:lvlJc w:val="left"/>
      <w:pPr>
        <w:ind w:left="3326" w:firstLine="0"/>
      </w:pPr>
      <w:rPr>
        <w:rFonts w:hint="eastAsia" w:ascii="宋体" w:hAnsi="宋体" w:eastAsia="宋体"/>
        <w:sz w:val="21"/>
        <w:szCs w:val="24"/>
      </w:rPr>
    </w:lvl>
    <w:lvl w:ilvl="2" w:tentative="0">
      <w:start w:val="1"/>
      <w:numFmt w:val="chineseCountingThousand"/>
      <w:suff w:val="nothing"/>
      <w:lvlText w:val="(%3)"/>
      <w:lvlJc w:val="left"/>
      <w:pPr>
        <w:ind w:left="3072"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3072" w:firstLine="0"/>
      </w:pPr>
      <w:rPr>
        <w:rFonts w:hint="eastAsia"/>
      </w:rPr>
    </w:lvl>
    <w:lvl w:ilvl="4" w:tentative="0">
      <w:start w:val="1"/>
      <w:numFmt w:val="upperLetter"/>
      <w:suff w:val="nothing"/>
      <w:lvlText w:val="%5、"/>
      <w:lvlJc w:val="left"/>
      <w:pPr>
        <w:ind w:left="3072" w:firstLine="0"/>
      </w:pPr>
      <w:rPr>
        <w:rFonts w:hint="eastAsia"/>
      </w:rPr>
    </w:lvl>
    <w:lvl w:ilvl="5" w:tentative="0">
      <w:start w:val="1"/>
      <w:numFmt w:val="none"/>
      <w:suff w:val="nothing"/>
      <w:lvlText w:val=""/>
      <w:lvlJc w:val="left"/>
      <w:pPr>
        <w:ind w:left="3072" w:firstLine="0"/>
      </w:pPr>
      <w:rPr>
        <w:rFonts w:hint="eastAsia"/>
      </w:rPr>
    </w:lvl>
    <w:lvl w:ilvl="6" w:tentative="0">
      <w:start w:val="1"/>
      <w:numFmt w:val="none"/>
      <w:suff w:val="nothing"/>
      <w:lvlText w:val=""/>
      <w:lvlJc w:val="left"/>
      <w:pPr>
        <w:ind w:left="3072" w:firstLine="0"/>
      </w:pPr>
      <w:rPr>
        <w:rFonts w:hint="eastAsia"/>
      </w:rPr>
    </w:lvl>
    <w:lvl w:ilvl="7" w:tentative="0">
      <w:start w:val="1"/>
      <w:numFmt w:val="none"/>
      <w:suff w:val="nothing"/>
      <w:lvlText w:val=""/>
      <w:lvlJc w:val="left"/>
      <w:pPr>
        <w:ind w:left="3072" w:firstLine="0"/>
      </w:pPr>
      <w:rPr>
        <w:rFonts w:hint="eastAsia"/>
      </w:rPr>
    </w:lvl>
    <w:lvl w:ilvl="8" w:tentative="0">
      <w:start w:val="1"/>
      <w:numFmt w:val="none"/>
      <w:suff w:val="nothing"/>
      <w:lvlText w:val=""/>
      <w:lvlJc w:val="left"/>
      <w:pPr>
        <w:ind w:left="3072" w:firstLine="0"/>
      </w:pPr>
      <w:rPr>
        <w:rFonts w:hint="eastAsia"/>
      </w:rPr>
    </w:lvl>
  </w:abstractNum>
  <w:abstractNum w:abstractNumId="3">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674801F"/>
    <w:multiLevelType w:val="singleLevel"/>
    <w:tmpl w:val="2674801F"/>
    <w:lvl w:ilvl="0" w:tentative="0">
      <w:start w:val="8"/>
      <w:numFmt w:val="chineseCounting"/>
      <w:suff w:val="space"/>
      <w:lvlText w:val="第%1章"/>
      <w:lvlJc w:val="left"/>
      <w:rPr>
        <w:rFonts w:hint="eastAsia"/>
      </w:rPr>
    </w:lvl>
  </w:abstractNum>
  <w:abstractNum w:abstractNumId="7">
    <w:nsid w:val="59F817E8"/>
    <w:multiLevelType w:val="singleLevel"/>
    <w:tmpl w:val="59F817E8"/>
    <w:lvl w:ilvl="0" w:tentative="0">
      <w:start w:val="1"/>
      <w:numFmt w:val="chineseCounting"/>
      <w:pStyle w:val="61"/>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7"/>
  </w:num>
  <w:num w:numId="4">
    <w:abstractNumId w:val="5"/>
  </w:num>
  <w:num w:numId="5">
    <w:abstractNumId w:val="8"/>
  </w:num>
  <w:num w:numId="6">
    <w:abstractNumId w:val="1"/>
  </w:num>
  <w:num w:numId="7">
    <w:abstractNumId w:val="0"/>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29"/>
    <w:rsid w:val="000046E0"/>
    <w:rsid w:val="0000667F"/>
    <w:rsid w:val="00010441"/>
    <w:rsid w:val="00014753"/>
    <w:rsid w:val="00017B2A"/>
    <w:rsid w:val="00022719"/>
    <w:rsid w:val="000279AC"/>
    <w:rsid w:val="0003791E"/>
    <w:rsid w:val="00041FCD"/>
    <w:rsid w:val="00046163"/>
    <w:rsid w:val="00053214"/>
    <w:rsid w:val="00064329"/>
    <w:rsid w:val="00070D24"/>
    <w:rsid w:val="000864CD"/>
    <w:rsid w:val="000876B0"/>
    <w:rsid w:val="00090442"/>
    <w:rsid w:val="00090D39"/>
    <w:rsid w:val="00091265"/>
    <w:rsid w:val="00096F05"/>
    <w:rsid w:val="000A1DCA"/>
    <w:rsid w:val="000A3DC4"/>
    <w:rsid w:val="000A5AB0"/>
    <w:rsid w:val="000A7726"/>
    <w:rsid w:val="000B586D"/>
    <w:rsid w:val="000B70CF"/>
    <w:rsid w:val="000C2693"/>
    <w:rsid w:val="000C2E6B"/>
    <w:rsid w:val="000C317C"/>
    <w:rsid w:val="000C329D"/>
    <w:rsid w:val="000D225B"/>
    <w:rsid w:val="000D3842"/>
    <w:rsid w:val="000E7913"/>
    <w:rsid w:val="000F32C8"/>
    <w:rsid w:val="000F498E"/>
    <w:rsid w:val="000F6706"/>
    <w:rsid w:val="000F6EE6"/>
    <w:rsid w:val="001022CD"/>
    <w:rsid w:val="00105FF2"/>
    <w:rsid w:val="0011272B"/>
    <w:rsid w:val="001143EE"/>
    <w:rsid w:val="001240AE"/>
    <w:rsid w:val="001257C5"/>
    <w:rsid w:val="00125915"/>
    <w:rsid w:val="0012784E"/>
    <w:rsid w:val="00142BC9"/>
    <w:rsid w:val="0014326F"/>
    <w:rsid w:val="00144D56"/>
    <w:rsid w:val="00144FE4"/>
    <w:rsid w:val="00153ED4"/>
    <w:rsid w:val="00181B50"/>
    <w:rsid w:val="0018373A"/>
    <w:rsid w:val="00185115"/>
    <w:rsid w:val="00185998"/>
    <w:rsid w:val="001909F0"/>
    <w:rsid w:val="00193BB2"/>
    <w:rsid w:val="001940EF"/>
    <w:rsid w:val="001959E4"/>
    <w:rsid w:val="00195DFC"/>
    <w:rsid w:val="0019662C"/>
    <w:rsid w:val="001A46CB"/>
    <w:rsid w:val="001B3DBE"/>
    <w:rsid w:val="001B6662"/>
    <w:rsid w:val="001B66E3"/>
    <w:rsid w:val="001B7C04"/>
    <w:rsid w:val="001E1102"/>
    <w:rsid w:val="001E5A9F"/>
    <w:rsid w:val="001F428A"/>
    <w:rsid w:val="00212B60"/>
    <w:rsid w:val="0021478F"/>
    <w:rsid w:val="0022539D"/>
    <w:rsid w:val="00227882"/>
    <w:rsid w:val="00235C33"/>
    <w:rsid w:val="0023678E"/>
    <w:rsid w:val="00250393"/>
    <w:rsid w:val="0025339F"/>
    <w:rsid w:val="0025757D"/>
    <w:rsid w:val="0026106E"/>
    <w:rsid w:val="00264BBA"/>
    <w:rsid w:val="00270226"/>
    <w:rsid w:val="0027133B"/>
    <w:rsid w:val="00281D1A"/>
    <w:rsid w:val="00283F49"/>
    <w:rsid w:val="00294BC9"/>
    <w:rsid w:val="00297229"/>
    <w:rsid w:val="00297A90"/>
    <w:rsid w:val="002A772B"/>
    <w:rsid w:val="002B238A"/>
    <w:rsid w:val="002B30AF"/>
    <w:rsid w:val="002C2686"/>
    <w:rsid w:val="002C31C3"/>
    <w:rsid w:val="002C4A4B"/>
    <w:rsid w:val="002D2A1C"/>
    <w:rsid w:val="002D38EA"/>
    <w:rsid w:val="002D3B42"/>
    <w:rsid w:val="002D556B"/>
    <w:rsid w:val="002D6065"/>
    <w:rsid w:val="002E02D2"/>
    <w:rsid w:val="002E12DC"/>
    <w:rsid w:val="002E440F"/>
    <w:rsid w:val="002F2947"/>
    <w:rsid w:val="002F77AD"/>
    <w:rsid w:val="0030783C"/>
    <w:rsid w:val="00311229"/>
    <w:rsid w:val="00311F66"/>
    <w:rsid w:val="0031552A"/>
    <w:rsid w:val="0032049B"/>
    <w:rsid w:val="00323561"/>
    <w:rsid w:val="003248B9"/>
    <w:rsid w:val="003320D8"/>
    <w:rsid w:val="00336A90"/>
    <w:rsid w:val="00340CF7"/>
    <w:rsid w:val="00350BBF"/>
    <w:rsid w:val="00352A93"/>
    <w:rsid w:val="003572E4"/>
    <w:rsid w:val="00360B2C"/>
    <w:rsid w:val="00364029"/>
    <w:rsid w:val="003657FB"/>
    <w:rsid w:val="003664AB"/>
    <w:rsid w:val="00386863"/>
    <w:rsid w:val="00390BCC"/>
    <w:rsid w:val="00396801"/>
    <w:rsid w:val="00396958"/>
    <w:rsid w:val="003A1FD7"/>
    <w:rsid w:val="003A3368"/>
    <w:rsid w:val="003A3BAA"/>
    <w:rsid w:val="003B1A42"/>
    <w:rsid w:val="003B2BD2"/>
    <w:rsid w:val="003C5DB6"/>
    <w:rsid w:val="003D2D33"/>
    <w:rsid w:val="003D6315"/>
    <w:rsid w:val="003D66DE"/>
    <w:rsid w:val="003D7A94"/>
    <w:rsid w:val="003E615D"/>
    <w:rsid w:val="00404DC7"/>
    <w:rsid w:val="00417EAF"/>
    <w:rsid w:val="00420E00"/>
    <w:rsid w:val="004224BF"/>
    <w:rsid w:val="00423C79"/>
    <w:rsid w:val="00425A48"/>
    <w:rsid w:val="0042727E"/>
    <w:rsid w:val="00447552"/>
    <w:rsid w:val="004505AA"/>
    <w:rsid w:val="00467584"/>
    <w:rsid w:val="00470C88"/>
    <w:rsid w:val="004714C0"/>
    <w:rsid w:val="0047320C"/>
    <w:rsid w:val="004738AB"/>
    <w:rsid w:val="00480D48"/>
    <w:rsid w:val="004823FB"/>
    <w:rsid w:val="004930EA"/>
    <w:rsid w:val="00494C35"/>
    <w:rsid w:val="00496245"/>
    <w:rsid w:val="00497833"/>
    <w:rsid w:val="004A39C7"/>
    <w:rsid w:val="004B1AC8"/>
    <w:rsid w:val="004B1E7A"/>
    <w:rsid w:val="004B605A"/>
    <w:rsid w:val="004B7098"/>
    <w:rsid w:val="004D2997"/>
    <w:rsid w:val="004D36B5"/>
    <w:rsid w:val="004D3774"/>
    <w:rsid w:val="004E29B5"/>
    <w:rsid w:val="004E29BE"/>
    <w:rsid w:val="004F20EA"/>
    <w:rsid w:val="00500655"/>
    <w:rsid w:val="005041E5"/>
    <w:rsid w:val="00513CE9"/>
    <w:rsid w:val="00514342"/>
    <w:rsid w:val="00534759"/>
    <w:rsid w:val="00544ED1"/>
    <w:rsid w:val="00546F97"/>
    <w:rsid w:val="005479D2"/>
    <w:rsid w:val="00576F9B"/>
    <w:rsid w:val="00581C69"/>
    <w:rsid w:val="005823AC"/>
    <w:rsid w:val="00584D88"/>
    <w:rsid w:val="00585581"/>
    <w:rsid w:val="00585EF8"/>
    <w:rsid w:val="0058662F"/>
    <w:rsid w:val="005871DF"/>
    <w:rsid w:val="005912B1"/>
    <w:rsid w:val="0059171B"/>
    <w:rsid w:val="00591EE2"/>
    <w:rsid w:val="005A5072"/>
    <w:rsid w:val="005A5ED3"/>
    <w:rsid w:val="005C60EB"/>
    <w:rsid w:val="005C759E"/>
    <w:rsid w:val="005C762F"/>
    <w:rsid w:val="005E2CBE"/>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BDC"/>
    <w:rsid w:val="006A2F6E"/>
    <w:rsid w:val="006A46EE"/>
    <w:rsid w:val="006A665E"/>
    <w:rsid w:val="006A7C24"/>
    <w:rsid w:val="006B036A"/>
    <w:rsid w:val="006B503D"/>
    <w:rsid w:val="006C2AFA"/>
    <w:rsid w:val="006C48C4"/>
    <w:rsid w:val="006C6CEC"/>
    <w:rsid w:val="006E7792"/>
    <w:rsid w:val="006E7E36"/>
    <w:rsid w:val="00705A36"/>
    <w:rsid w:val="007105AB"/>
    <w:rsid w:val="00712D9A"/>
    <w:rsid w:val="00716E81"/>
    <w:rsid w:val="0072061D"/>
    <w:rsid w:val="00724F0E"/>
    <w:rsid w:val="007330C9"/>
    <w:rsid w:val="0073354B"/>
    <w:rsid w:val="00733635"/>
    <w:rsid w:val="00740058"/>
    <w:rsid w:val="00742FB7"/>
    <w:rsid w:val="0074338B"/>
    <w:rsid w:val="00743D59"/>
    <w:rsid w:val="00750236"/>
    <w:rsid w:val="007517B3"/>
    <w:rsid w:val="007541C8"/>
    <w:rsid w:val="007541DB"/>
    <w:rsid w:val="0075601B"/>
    <w:rsid w:val="007606D8"/>
    <w:rsid w:val="007641AA"/>
    <w:rsid w:val="00764620"/>
    <w:rsid w:val="00764A1E"/>
    <w:rsid w:val="007674C6"/>
    <w:rsid w:val="00775AD5"/>
    <w:rsid w:val="007833CB"/>
    <w:rsid w:val="00784A93"/>
    <w:rsid w:val="00784F29"/>
    <w:rsid w:val="00790E33"/>
    <w:rsid w:val="00791D21"/>
    <w:rsid w:val="00792177"/>
    <w:rsid w:val="0079223D"/>
    <w:rsid w:val="007A4B27"/>
    <w:rsid w:val="007A79B7"/>
    <w:rsid w:val="007B3250"/>
    <w:rsid w:val="007B7768"/>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37A21"/>
    <w:rsid w:val="0084288F"/>
    <w:rsid w:val="0084355E"/>
    <w:rsid w:val="00851713"/>
    <w:rsid w:val="008553C2"/>
    <w:rsid w:val="008559C6"/>
    <w:rsid w:val="00857469"/>
    <w:rsid w:val="00857C3C"/>
    <w:rsid w:val="00862058"/>
    <w:rsid w:val="00874F4D"/>
    <w:rsid w:val="008760AB"/>
    <w:rsid w:val="00876F5A"/>
    <w:rsid w:val="00876F80"/>
    <w:rsid w:val="008779C9"/>
    <w:rsid w:val="008801A3"/>
    <w:rsid w:val="0088501B"/>
    <w:rsid w:val="0089183B"/>
    <w:rsid w:val="008A040A"/>
    <w:rsid w:val="008A402D"/>
    <w:rsid w:val="008A6907"/>
    <w:rsid w:val="008A775F"/>
    <w:rsid w:val="008A7E0C"/>
    <w:rsid w:val="008B02AA"/>
    <w:rsid w:val="008B6752"/>
    <w:rsid w:val="008C01B8"/>
    <w:rsid w:val="008C3AB6"/>
    <w:rsid w:val="008C5BC1"/>
    <w:rsid w:val="008D0546"/>
    <w:rsid w:val="008E15AA"/>
    <w:rsid w:val="008E41E9"/>
    <w:rsid w:val="008E4865"/>
    <w:rsid w:val="008F23A9"/>
    <w:rsid w:val="00900996"/>
    <w:rsid w:val="00900FBE"/>
    <w:rsid w:val="00903B4B"/>
    <w:rsid w:val="00907206"/>
    <w:rsid w:val="00911ABC"/>
    <w:rsid w:val="00912831"/>
    <w:rsid w:val="00916606"/>
    <w:rsid w:val="00916CDE"/>
    <w:rsid w:val="00923178"/>
    <w:rsid w:val="00926A9B"/>
    <w:rsid w:val="00933152"/>
    <w:rsid w:val="009341B0"/>
    <w:rsid w:val="009352F4"/>
    <w:rsid w:val="0095011F"/>
    <w:rsid w:val="009524C8"/>
    <w:rsid w:val="00953888"/>
    <w:rsid w:val="00953F86"/>
    <w:rsid w:val="00960A89"/>
    <w:rsid w:val="00980788"/>
    <w:rsid w:val="0098237C"/>
    <w:rsid w:val="00991958"/>
    <w:rsid w:val="00995273"/>
    <w:rsid w:val="009A2A37"/>
    <w:rsid w:val="009A7F64"/>
    <w:rsid w:val="009C12AB"/>
    <w:rsid w:val="009C55A6"/>
    <w:rsid w:val="009C7D5C"/>
    <w:rsid w:val="009D0248"/>
    <w:rsid w:val="009D6453"/>
    <w:rsid w:val="009E0C90"/>
    <w:rsid w:val="009E319F"/>
    <w:rsid w:val="009E7965"/>
    <w:rsid w:val="009F1902"/>
    <w:rsid w:val="009F4C82"/>
    <w:rsid w:val="009F593E"/>
    <w:rsid w:val="00A00136"/>
    <w:rsid w:val="00A01AFF"/>
    <w:rsid w:val="00A04499"/>
    <w:rsid w:val="00A04CAB"/>
    <w:rsid w:val="00A0723B"/>
    <w:rsid w:val="00A10279"/>
    <w:rsid w:val="00A1102E"/>
    <w:rsid w:val="00A16285"/>
    <w:rsid w:val="00A17D79"/>
    <w:rsid w:val="00A21876"/>
    <w:rsid w:val="00A23B62"/>
    <w:rsid w:val="00A3166A"/>
    <w:rsid w:val="00A349BF"/>
    <w:rsid w:val="00A406CD"/>
    <w:rsid w:val="00A40BD2"/>
    <w:rsid w:val="00A41506"/>
    <w:rsid w:val="00A415A6"/>
    <w:rsid w:val="00A42105"/>
    <w:rsid w:val="00A429B8"/>
    <w:rsid w:val="00A460DB"/>
    <w:rsid w:val="00A50F25"/>
    <w:rsid w:val="00A60210"/>
    <w:rsid w:val="00A634BA"/>
    <w:rsid w:val="00A66188"/>
    <w:rsid w:val="00A6678E"/>
    <w:rsid w:val="00A74974"/>
    <w:rsid w:val="00A76CAC"/>
    <w:rsid w:val="00A81DDD"/>
    <w:rsid w:val="00A8521A"/>
    <w:rsid w:val="00A9632B"/>
    <w:rsid w:val="00AA1D8E"/>
    <w:rsid w:val="00AA454A"/>
    <w:rsid w:val="00AC1D06"/>
    <w:rsid w:val="00AC53D9"/>
    <w:rsid w:val="00AD0B93"/>
    <w:rsid w:val="00AD1B92"/>
    <w:rsid w:val="00AE37DC"/>
    <w:rsid w:val="00AE3CA9"/>
    <w:rsid w:val="00AE411E"/>
    <w:rsid w:val="00AF3F09"/>
    <w:rsid w:val="00AF6506"/>
    <w:rsid w:val="00B07C4E"/>
    <w:rsid w:val="00B15290"/>
    <w:rsid w:val="00B21D7F"/>
    <w:rsid w:val="00B25DA7"/>
    <w:rsid w:val="00B25EBD"/>
    <w:rsid w:val="00B3334F"/>
    <w:rsid w:val="00B36A8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2B64"/>
    <w:rsid w:val="00BC57E2"/>
    <w:rsid w:val="00BD248B"/>
    <w:rsid w:val="00BF092E"/>
    <w:rsid w:val="00BF1FB2"/>
    <w:rsid w:val="00BF20B9"/>
    <w:rsid w:val="00BF4BB4"/>
    <w:rsid w:val="00BF6081"/>
    <w:rsid w:val="00C12AD5"/>
    <w:rsid w:val="00C14BF2"/>
    <w:rsid w:val="00C25AC9"/>
    <w:rsid w:val="00C26D47"/>
    <w:rsid w:val="00C30550"/>
    <w:rsid w:val="00C35A18"/>
    <w:rsid w:val="00C42DFB"/>
    <w:rsid w:val="00C474E1"/>
    <w:rsid w:val="00C55939"/>
    <w:rsid w:val="00C6749D"/>
    <w:rsid w:val="00C71948"/>
    <w:rsid w:val="00C74056"/>
    <w:rsid w:val="00C74F6D"/>
    <w:rsid w:val="00C83169"/>
    <w:rsid w:val="00C83C3B"/>
    <w:rsid w:val="00C91B4E"/>
    <w:rsid w:val="00C965FD"/>
    <w:rsid w:val="00C96741"/>
    <w:rsid w:val="00CA59C0"/>
    <w:rsid w:val="00CA6FC0"/>
    <w:rsid w:val="00CB14C1"/>
    <w:rsid w:val="00CB4321"/>
    <w:rsid w:val="00CC38DC"/>
    <w:rsid w:val="00CC4862"/>
    <w:rsid w:val="00CC61BA"/>
    <w:rsid w:val="00CD0215"/>
    <w:rsid w:val="00CD1726"/>
    <w:rsid w:val="00CE39A5"/>
    <w:rsid w:val="00CE6CBB"/>
    <w:rsid w:val="00CF06C7"/>
    <w:rsid w:val="00CF40F8"/>
    <w:rsid w:val="00D01E89"/>
    <w:rsid w:val="00D040A7"/>
    <w:rsid w:val="00D05E7F"/>
    <w:rsid w:val="00D13116"/>
    <w:rsid w:val="00D201B1"/>
    <w:rsid w:val="00D21851"/>
    <w:rsid w:val="00D22CCF"/>
    <w:rsid w:val="00D3375C"/>
    <w:rsid w:val="00D465A0"/>
    <w:rsid w:val="00D46703"/>
    <w:rsid w:val="00D5484B"/>
    <w:rsid w:val="00D56BDD"/>
    <w:rsid w:val="00D623F5"/>
    <w:rsid w:val="00D6427F"/>
    <w:rsid w:val="00D70C2B"/>
    <w:rsid w:val="00D82539"/>
    <w:rsid w:val="00D82749"/>
    <w:rsid w:val="00D8300B"/>
    <w:rsid w:val="00D8781F"/>
    <w:rsid w:val="00D97238"/>
    <w:rsid w:val="00DA122B"/>
    <w:rsid w:val="00DA3B66"/>
    <w:rsid w:val="00DA60C8"/>
    <w:rsid w:val="00DB2316"/>
    <w:rsid w:val="00DB5CAC"/>
    <w:rsid w:val="00DC1FFD"/>
    <w:rsid w:val="00DC228C"/>
    <w:rsid w:val="00DD500F"/>
    <w:rsid w:val="00DE4A75"/>
    <w:rsid w:val="00DE5111"/>
    <w:rsid w:val="00DF16FA"/>
    <w:rsid w:val="00DF1D30"/>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6BF2"/>
    <w:rsid w:val="00E8744C"/>
    <w:rsid w:val="00E90FE0"/>
    <w:rsid w:val="00EA3A24"/>
    <w:rsid w:val="00EA5CFD"/>
    <w:rsid w:val="00EB026A"/>
    <w:rsid w:val="00EB1D68"/>
    <w:rsid w:val="00EB281A"/>
    <w:rsid w:val="00EB7044"/>
    <w:rsid w:val="00EC231C"/>
    <w:rsid w:val="00EC24E8"/>
    <w:rsid w:val="00ED6206"/>
    <w:rsid w:val="00EE7999"/>
    <w:rsid w:val="00EF5748"/>
    <w:rsid w:val="00F0220A"/>
    <w:rsid w:val="00F03DAE"/>
    <w:rsid w:val="00F14C2B"/>
    <w:rsid w:val="00F14EE8"/>
    <w:rsid w:val="00F2775D"/>
    <w:rsid w:val="00F3108F"/>
    <w:rsid w:val="00F31F49"/>
    <w:rsid w:val="00F3389A"/>
    <w:rsid w:val="00F368F1"/>
    <w:rsid w:val="00F40E52"/>
    <w:rsid w:val="00F43838"/>
    <w:rsid w:val="00F44F02"/>
    <w:rsid w:val="00F5003F"/>
    <w:rsid w:val="00F50739"/>
    <w:rsid w:val="00F62D6E"/>
    <w:rsid w:val="00F667F3"/>
    <w:rsid w:val="00F765DB"/>
    <w:rsid w:val="00F83D77"/>
    <w:rsid w:val="00F85D50"/>
    <w:rsid w:val="00F87302"/>
    <w:rsid w:val="00F873BA"/>
    <w:rsid w:val="00FA0E8E"/>
    <w:rsid w:val="00FA3488"/>
    <w:rsid w:val="00FB336F"/>
    <w:rsid w:val="00FB5461"/>
    <w:rsid w:val="00FB664B"/>
    <w:rsid w:val="00FB74DB"/>
    <w:rsid w:val="00FB7A77"/>
    <w:rsid w:val="00FC23D5"/>
    <w:rsid w:val="00FC308A"/>
    <w:rsid w:val="00FC3244"/>
    <w:rsid w:val="00FC7750"/>
    <w:rsid w:val="00FD0B9B"/>
    <w:rsid w:val="00FD4415"/>
    <w:rsid w:val="00FE70AC"/>
    <w:rsid w:val="00FF200E"/>
    <w:rsid w:val="00FF2B07"/>
    <w:rsid w:val="02546D34"/>
    <w:rsid w:val="02B851E9"/>
    <w:rsid w:val="031B5B29"/>
    <w:rsid w:val="032364AF"/>
    <w:rsid w:val="03490C2F"/>
    <w:rsid w:val="038251E6"/>
    <w:rsid w:val="03D16057"/>
    <w:rsid w:val="03F71E6F"/>
    <w:rsid w:val="03F72F6E"/>
    <w:rsid w:val="04A43399"/>
    <w:rsid w:val="052C442A"/>
    <w:rsid w:val="057971B5"/>
    <w:rsid w:val="064B3134"/>
    <w:rsid w:val="06504412"/>
    <w:rsid w:val="06635981"/>
    <w:rsid w:val="074117AA"/>
    <w:rsid w:val="0749372D"/>
    <w:rsid w:val="084044D5"/>
    <w:rsid w:val="08433B2B"/>
    <w:rsid w:val="08E14190"/>
    <w:rsid w:val="09343E81"/>
    <w:rsid w:val="09460F93"/>
    <w:rsid w:val="09622A23"/>
    <w:rsid w:val="096A22C1"/>
    <w:rsid w:val="09832B89"/>
    <w:rsid w:val="09A52397"/>
    <w:rsid w:val="09DE1428"/>
    <w:rsid w:val="0A47078B"/>
    <w:rsid w:val="0A9D1FAE"/>
    <w:rsid w:val="0AF30434"/>
    <w:rsid w:val="0B04061D"/>
    <w:rsid w:val="0B095138"/>
    <w:rsid w:val="0B6056EB"/>
    <w:rsid w:val="0B6F4CBC"/>
    <w:rsid w:val="0BBE4E16"/>
    <w:rsid w:val="0BF51B93"/>
    <w:rsid w:val="0CA61790"/>
    <w:rsid w:val="0D894C89"/>
    <w:rsid w:val="0DE85E53"/>
    <w:rsid w:val="0E1B534E"/>
    <w:rsid w:val="0E2465BB"/>
    <w:rsid w:val="0E7D3FB3"/>
    <w:rsid w:val="0E9566DC"/>
    <w:rsid w:val="0EEC552D"/>
    <w:rsid w:val="0F603E1F"/>
    <w:rsid w:val="0FE268D2"/>
    <w:rsid w:val="0FFA617B"/>
    <w:rsid w:val="106D2640"/>
    <w:rsid w:val="10D147AF"/>
    <w:rsid w:val="11237B49"/>
    <w:rsid w:val="11691059"/>
    <w:rsid w:val="12980752"/>
    <w:rsid w:val="12A8795F"/>
    <w:rsid w:val="12CF0AAA"/>
    <w:rsid w:val="12CF6D46"/>
    <w:rsid w:val="12DB5031"/>
    <w:rsid w:val="14213E6D"/>
    <w:rsid w:val="14321BD6"/>
    <w:rsid w:val="146878DF"/>
    <w:rsid w:val="1472249E"/>
    <w:rsid w:val="14A07213"/>
    <w:rsid w:val="14F24B67"/>
    <w:rsid w:val="158B5208"/>
    <w:rsid w:val="15951210"/>
    <w:rsid w:val="16393310"/>
    <w:rsid w:val="164F2C8F"/>
    <w:rsid w:val="16663386"/>
    <w:rsid w:val="16694C63"/>
    <w:rsid w:val="16BC6056"/>
    <w:rsid w:val="17484F39"/>
    <w:rsid w:val="184A02C1"/>
    <w:rsid w:val="188475AA"/>
    <w:rsid w:val="18EA78A5"/>
    <w:rsid w:val="190E39DA"/>
    <w:rsid w:val="194C02A6"/>
    <w:rsid w:val="197656DD"/>
    <w:rsid w:val="19A818BB"/>
    <w:rsid w:val="19A9671A"/>
    <w:rsid w:val="1A674E04"/>
    <w:rsid w:val="1A6C29E2"/>
    <w:rsid w:val="1ACE3D20"/>
    <w:rsid w:val="1B311FCB"/>
    <w:rsid w:val="1B4353D4"/>
    <w:rsid w:val="1B776BE5"/>
    <w:rsid w:val="1BC90066"/>
    <w:rsid w:val="1BEE5D73"/>
    <w:rsid w:val="1C7B60E4"/>
    <w:rsid w:val="1CF4266B"/>
    <w:rsid w:val="1E64415F"/>
    <w:rsid w:val="1ED27D46"/>
    <w:rsid w:val="1FE65705"/>
    <w:rsid w:val="1FF42932"/>
    <w:rsid w:val="20607ACB"/>
    <w:rsid w:val="20C17072"/>
    <w:rsid w:val="211206EF"/>
    <w:rsid w:val="213B4094"/>
    <w:rsid w:val="22012C71"/>
    <w:rsid w:val="22057951"/>
    <w:rsid w:val="2228286B"/>
    <w:rsid w:val="223034CD"/>
    <w:rsid w:val="22372DFB"/>
    <w:rsid w:val="22391B8D"/>
    <w:rsid w:val="22DF39C3"/>
    <w:rsid w:val="23045086"/>
    <w:rsid w:val="23264FFC"/>
    <w:rsid w:val="233A6B2C"/>
    <w:rsid w:val="23410EC7"/>
    <w:rsid w:val="23AA7A24"/>
    <w:rsid w:val="23D1114E"/>
    <w:rsid w:val="243E6CA2"/>
    <w:rsid w:val="24E843C1"/>
    <w:rsid w:val="251D1359"/>
    <w:rsid w:val="25873D4C"/>
    <w:rsid w:val="25CB766D"/>
    <w:rsid w:val="25DD78E6"/>
    <w:rsid w:val="25E32994"/>
    <w:rsid w:val="26115855"/>
    <w:rsid w:val="26147705"/>
    <w:rsid w:val="26812549"/>
    <w:rsid w:val="26844AB4"/>
    <w:rsid w:val="271F424E"/>
    <w:rsid w:val="27350786"/>
    <w:rsid w:val="273F41AE"/>
    <w:rsid w:val="279B0A24"/>
    <w:rsid w:val="27C85D9E"/>
    <w:rsid w:val="2800331A"/>
    <w:rsid w:val="28037D45"/>
    <w:rsid w:val="286B6B1B"/>
    <w:rsid w:val="287A1B99"/>
    <w:rsid w:val="28B433D3"/>
    <w:rsid w:val="293E4055"/>
    <w:rsid w:val="298A6CFC"/>
    <w:rsid w:val="29926C33"/>
    <w:rsid w:val="299F794E"/>
    <w:rsid w:val="2A0577AF"/>
    <w:rsid w:val="2A985619"/>
    <w:rsid w:val="2AAB0B59"/>
    <w:rsid w:val="2B271962"/>
    <w:rsid w:val="2BD20463"/>
    <w:rsid w:val="2C3C2EF2"/>
    <w:rsid w:val="2CCA0249"/>
    <w:rsid w:val="2D177764"/>
    <w:rsid w:val="2DE7271B"/>
    <w:rsid w:val="2DF00102"/>
    <w:rsid w:val="2E1B162F"/>
    <w:rsid w:val="2ED41DE7"/>
    <w:rsid w:val="2EE137EE"/>
    <w:rsid w:val="2F1911E5"/>
    <w:rsid w:val="2F2E007E"/>
    <w:rsid w:val="2F623EDE"/>
    <w:rsid w:val="2F6C4CF1"/>
    <w:rsid w:val="2FA201DD"/>
    <w:rsid w:val="303C755B"/>
    <w:rsid w:val="30772D90"/>
    <w:rsid w:val="30F5244A"/>
    <w:rsid w:val="31756436"/>
    <w:rsid w:val="31765CF3"/>
    <w:rsid w:val="321F57DD"/>
    <w:rsid w:val="324A7E0A"/>
    <w:rsid w:val="33AA5FEC"/>
    <w:rsid w:val="341F4D8E"/>
    <w:rsid w:val="344465CB"/>
    <w:rsid w:val="34BE6538"/>
    <w:rsid w:val="34BF1C1E"/>
    <w:rsid w:val="350031D3"/>
    <w:rsid w:val="35C61580"/>
    <w:rsid w:val="36312241"/>
    <w:rsid w:val="36710142"/>
    <w:rsid w:val="36A209E6"/>
    <w:rsid w:val="37581BE1"/>
    <w:rsid w:val="385B595B"/>
    <w:rsid w:val="38A16CF3"/>
    <w:rsid w:val="38B021C2"/>
    <w:rsid w:val="392165DB"/>
    <w:rsid w:val="39414B09"/>
    <w:rsid w:val="3998517F"/>
    <w:rsid w:val="3A0C0EC8"/>
    <w:rsid w:val="3C636F16"/>
    <w:rsid w:val="3C830D59"/>
    <w:rsid w:val="3CBE24C6"/>
    <w:rsid w:val="3CE56812"/>
    <w:rsid w:val="3DAE0C5C"/>
    <w:rsid w:val="3DC54FBA"/>
    <w:rsid w:val="3E157222"/>
    <w:rsid w:val="3E801004"/>
    <w:rsid w:val="3E93097C"/>
    <w:rsid w:val="3F210E71"/>
    <w:rsid w:val="40237E9A"/>
    <w:rsid w:val="42517CE6"/>
    <w:rsid w:val="43244D77"/>
    <w:rsid w:val="438C14B3"/>
    <w:rsid w:val="43EE663D"/>
    <w:rsid w:val="44041F95"/>
    <w:rsid w:val="44BE204A"/>
    <w:rsid w:val="452F7C73"/>
    <w:rsid w:val="45C95319"/>
    <w:rsid w:val="463351B6"/>
    <w:rsid w:val="4656282F"/>
    <w:rsid w:val="47643536"/>
    <w:rsid w:val="477A606D"/>
    <w:rsid w:val="47A44212"/>
    <w:rsid w:val="47BF52D4"/>
    <w:rsid w:val="47CA0F66"/>
    <w:rsid w:val="48235751"/>
    <w:rsid w:val="487E55BF"/>
    <w:rsid w:val="48F56A66"/>
    <w:rsid w:val="492C4E0B"/>
    <w:rsid w:val="49303C2F"/>
    <w:rsid w:val="495F433A"/>
    <w:rsid w:val="49671B16"/>
    <w:rsid w:val="49BC6CA3"/>
    <w:rsid w:val="49D141B3"/>
    <w:rsid w:val="4B4A712E"/>
    <w:rsid w:val="4B533C05"/>
    <w:rsid w:val="4B680ADF"/>
    <w:rsid w:val="4BD2550C"/>
    <w:rsid w:val="4BEE4B82"/>
    <w:rsid w:val="4C634E22"/>
    <w:rsid w:val="4D5B25A0"/>
    <w:rsid w:val="4DAA2AAD"/>
    <w:rsid w:val="4DBE31BA"/>
    <w:rsid w:val="4E365E5C"/>
    <w:rsid w:val="4E44709D"/>
    <w:rsid w:val="4ECE01D0"/>
    <w:rsid w:val="4EDB1BE0"/>
    <w:rsid w:val="4EF11B50"/>
    <w:rsid w:val="4F047C72"/>
    <w:rsid w:val="4F13012C"/>
    <w:rsid w:val="50833D3A"/>
    <w:rsid w:val="50DA4F5E"/>
    <w:rsid w:val="518A5D7A"/>
    <w:rsid w:val="518D5C4C"/>
    <w:rsid w:val="51901371"/>
    <w:rsid w:val="51947AC8"/>
    <w:rsid w:val="51DF1925"/>
    <w:rsid w:val="521609B2"/>
    <w:rsid w:val="526111F8"/>
    <w:rsid w:val="53300F97"/>
    <w:rsid w:val="53C62901"/>
    <w:rsid w:val="541205F3"/>
    <w:rsid w:val="543513F4"/>
    <w:rsid w:val="546C7B07"/>
    <w:rsid w:val="54883EA4"/>
    <w:rsid w:val="54CC02ED"/>
    <w:rsid w:val="55764C66"/>
    <w:rsid w:val="55F03348"/>
    <w:rsid w:val="56C81AA5"/>
    <w:rsid w:val="57267A18"/>
    <w:rsid w:val="572F7488"/>
    <w:rsid w:val="575B6EBD"/>
    <w:rsid w:val="587863A7"/>
    <w:rsid w:val="587E3BBC"/>
    <w:rsid w:val="588C323F"/>
    <w:rsid w:val="589F5FB7"/>
    <w:rsid w:val="58AF3D98"/>
    <w:rsid w:val="58B32382"/>
    <w:rsid w:val="58B41471"/>
    <w:rsid w:val="58C41566"/>
    <w:rsid w:val="59A8584B"/>
    <w:rsid w:val="59BA0764"/>
    <w:rsid w:val="59CD74F2"/>
    <w:rsid w:val="5A513A05"/>
    <w:rsid w:val="5A5A5C92"/>
    <w:rsid w:val="5A7B7D23"/>
    <w:rsid w:val="5AAB60CB"/>
    <w:rsid w:val="5AE46627"/>
    <w:rsid w:val="5B256239"/>
    <w:rsid w:val="5BA812C0"/>
    <w:rsid w:val="5BD364BF"/>
    <w:rsid w:val="5BE742F6"/>
    <w:rsid w:val="5BF3107C"/>
    <w:rsid w:val="5C6042AB"/>
    <w:rsid w:val="5D781F1A"/>
    <w:rsid w:val="5D902A97"/>
    <w:rsid w:val="5DAB4F9D"/>
    <w:rsid w:val="5DCB44D3"/>
    <w:rsid w:val="5E131A97"/>
    <w:rsid w:val="5E2765DA"/>
    <w:rsid w:val="5E4D076E"/>
    <w:rsid w:val="5E74655E"/>
    <w:rsid w:val="5E8B68CB"/>
    <w:rsid w:val="61633354"/>
    <w:rsid w:val="61D17630"/>
    <w:rsid w:val="61F961D5"/>
    <w:rsid w:val="623E1CDD"/>
    <w:rsid w:val="62E9620F"/>
    <w:rsid w:val="639826A5"/>
    <w:rsid w:val="63DC6A75"/>
    <w:rsid w:val="66376398"/>
    <w:rsid w:val="665B73EC"/>
    <w:rsid w:val="66660D6D"/>
    <w:rsid w:val="66895B11"/>
    <w:rsid w:val="668B77A6"/>
    <w:rsid w:val="66A21013"/>
    <w:rsid w:val="67472AD1"/>
    <w:rsid w:val="67B35D84"/>
    <w:rsid w:val="67F67DFF"/>
    <w:rsid w:val="67FA0745"/>
    <w:rsid w:val="682815E4"/>
    <w:rsid w:val="68896A60"/>
    <w:rsid w:val="69991D4B"/>
    <w:rsid w:val="699E24DE"/>
    <w:rsid w:val="69C25524"/>
    <w:rsid w:val="69C72534"/>
    <w:rsid w:val="6AAA3A25"/>
    <w:rsid w:val="6AE608D9"/>
    <w:rsid w:val="6B811345"/>
    <w:rsid w:val="6C09282F"/>
    <w:rsid w:val="6C1D45D7"/>
    <w:rsid w:val="6CFF5543"/>
    <w:rsid w:val="6D1A237D"/>
    <w:rsid w:val="6D1C5CE6"/>
    <w:rsid w:val="6D9E2040"/>
    <w:rsid w:val="6E525568"/>
    <w:rsid w:val="6EB52CF2"/>
    <w:rsid w:val="6EE92E95"/>
    <w:rsid w:val="6F085765"/>
    <w:rsid w:val="6F0B01CF"/>
    <w:rsid w:val="6F1E719C"/>
    <w:rsid w:val="6FB92B07"/>
    <w:rsid w:val="6FC50F4A"/>
    <w:rsid w:val="701421D7"/>
    <w:rsid w:val="70641554"/>
    <w:rsid w:val="707D6EAA"/>
    <w:rsid w:val="708A3B93"/>
    <w:rsid w:val="71131403"/>
    <w:rsid w:val="71BF7B98"/>
    <w:rsid w:val="71CF7604"/>
    <w:rsid w:val="71F4319C"/>
    <w:rsid w:val="721C1A4E"/>
    <w:rsid w:val="72591235"/>
    <w:rsid w:val="72B351EE"/>
    <w:rsid w:val="73B74BBB"/>
    <w:rsid w:val="73C3376E"/>
    <w:rsid w:val="73E13F55"/>
    <w:rsid w:val="74CE40C5"/>
    <w:rsid w:val="759454FE"/>
    <w:rsid w:val="762E5486"/>
    <w:rsid w:val="76CC46E8"/>
    <w:rsid w:val="77CE4490"/>
    <w:rsid w:val="781D64D0"/>
    <w:rsid w:val="797629E2"/>
    <w:rsid w:val="7A1E5EE5"/>
    <w:rsid w:val="7A241A6E"/>
    <w:rsid w:val="7A752F6C"/>
    <w:rsid w:val="7A933859"/>
    <w:rsid w:val="7B29214F"/>
    <w:rsid w:val="7B7A51C8"/>
    <w:rsid w:val="7B95154C"/>
    <w:rsid w:val="7B964493"/>
    <w:rsid w:val="7C8C6A52"/>
    <w:rsid w:val="7CB85F2B"/>
    <w:rsid w:val="7DDD71DA"/>
    <w:rsid w:val="7DE2004B"/>
    <w:rsid w:val="7E971546"/>
    <w:rsid w:val="7E9A7382"/>
    <w:rsid w:val="7F6C5C03"/>
    <w:rsid w:val="7FBD3870"/>
    <w:rsid w:val="7FF47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63"/>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62"/>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99"/>
    <w:pPr>
      <w:ind w:firstLine="420"/>
    </w:pPr>
  </w:style>
  <w:style w:type="paragraph" w:styleId="7">
    <w:name w:val="Body Text Indent"/>
    <w:basedOn w:val="1"/>
    <w:next w:val="6"/>
    <w:qFormat/>
    <w:uiPriority w:val="99"/>
    <w:pPr>
      <w:spacing w:line="360" w:lineRule="auto"/>
      <w:ind w:firstLine="480" w:firstLineChars="200"/>
    </w:pPr>
    <w:rPr>
      <w:rFonts w:ascii="宋体"/>
      <w:szCs w:val="20"/>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0"/>
    <w:semiHidden/>
    <w:unhideWhenUsed/>
    <w:qFormat/>
    <w:uiPriority w:val="99"/>
    <w:rPr>
      <w:rFonts w:ascii="宋体" w:eastAsia="宋体"/>
      <w:sz w:val="18"/>
      <w:szCs w:val="18"/>
    </w:rPr>
  </w:style>
  <w:style w:type="paragraph" w:styleId="15">
    <w:name w:val="annotation text"/>
    <w:basedOn w:val="1"/>
    <w:link w:val="71"/>
    <w:qFormat/>
    <w:uiPriority w:val="0"/>
    <w:pPr>
      <w:jc w:val="left"/>
    </w:pPr>
    <w:rPr>
      <w:rFonts w:ascii="Times New Roman" w:hAnsi="Times New Roman" w:eastAsia="宋体" w:cs="Times New Roman"/>
      <w:szCs w:val="24"/>
    </w:rPr>
  </w:style>
  <w:style w:type="paragraph" w:styleId="16">
    <w:name w:val="Body Text 3"/>
    <w:basedOn w:val="1"/>
    <w:link w:val="58"/>
    <w:qFormat/>
    <w:uiPriority w:val="0"/>
    <w:rPr>
      <w:rFonts w:ascii="Times New Roman" w:hAnsi="Times New Roman" w:eastAsia="宋体" w:cs="Times New Roman"/>
      <w:color w:val="FF0000"/>
      <w:sz w:val="24"/>
      <w:szCs w:val="24"/>
    </w:rPr>
  </w:style>
  <w:style w:type="paragraph" w:styleId="17">
    <w:name w:val="Block Text"/>
    <w:basedOn w:val="1"/>
    <w:unhideWhenUsed/>
    <w:qFormat/>
    <w:uiPriority w:val="99"/>
    <w:pPr>
      <w:spacing w:after="120"/>
      <w:ind w:left="1440" w:leftChars="700" w:right="1440" w:rightChars="700"/>
    </w:pPr>
    <w:rPr>
      <w:rFonts w:ascii="Calibri" w:hAnsi="Calibri" w:eastAsia="宋体" w:cs="Times New Roman"/>
    </w:r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43"/>
    <w:qFormat/>
    <w:uiPriority w:val="0"/>
    <w:rPr>
      <w:rFonts w:eastAsia="宋体"/>
      <w:sz w:val="24"/>
    </w:rPr>
  </w:style>
  <w:style w:type="paragraph" w:styleId="21">
    <w:name w:val="Date"/>
    <w:basedOn w:val="1"/>
    <w:next w:val="1"/>
    <w:link w:val="44"/>
    <w:unhideWhenUsed/>
    <w:qFormat/>
    <w:uiPriority w:val="99"/>
    <w:pPr>
      <w:ind w:left="100" w:leftChars="2500"/>
    </w:pPr>
  </w:style>
  <w:style w:type="paragraph" w:styleId="22">
    <w:name w:val="Body Text Indent 2"/>
    <w:basedOn w:val="1"/>
    <w:link w:val="65"/>
    <w:semiHidden/>
    <w:unhideWhenUsed/>
    <w:qFormat/>
    <w:uiPriority w:val="99"/>
    <w:pPr>
      <w:spacing w:after="120" w:line="480" w:lineRule="auto"/>
      <w:ind w:left="420" w:leftChars="200"/>
    </w:pPr>
  </w:style>
  <w:style w:type="paragraph" w:styleId="23">
    <w:name w:val="Balloon Text"/>
    <w:basedOn w:val="1"/>
    <w:link w:val="66"/>
    <w:semiHidden/>
    <w:unhideWhenUsed/>
    <w:qFormat/>
    <w:uiPriority w:val="99"/>
    <w:rPr>
      <w:sz w:val="18"/>
      <w:szCs w:val="18"/>
    </w:rPr>
  </w:style>
  <w:style w:type="paragraph" w:styleId="24">
    <w:name w:val="footer"/>
    <w:basedOn w:val="1"/>
    <w:link w:val="45"/>
    <w:unhideWhenUsed/>
    <w:qFormat/>
    <w:uiPriority w:val="99"/>
    <w:pPr>
      <w:tabs>
        <w:tab w:val="center" w:pos="4153"/>
        <w:tab w:val="right" w:pos="8306"/>
      </w:tabs>
      <w:snapToGrid w:val="0"/>
      <w:jc w:val="left"/>
    </w:pPr>
    <w:rPr>
      <w:sz w:val="18"/>
      <w:szCs w:val="18"/>
    </w:rPr>
  </w:style>
  <w:style w:type="paragraph" w:styleId="25">
    <w:name w:val="envelope return"/>
    <w:basedOn w:val="1"/>
    <w:qFormat/>
    <w:uiPriority w:val="99"/>
    <w:pPr>
      <w:snapToGrid w:val="0"/>
    </w:pPr>
    <w:rPr>
      <w:rFonts w:ascii="Arial" w:hAnsi="Arial"/>
    </w:rPr>
  </w:style>
  <w:style w:type="paragraph" w:styleId="26">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8">
    <w:name w:val="toc 2"/>
    <w:basedOn w:val="1"/>
    <w:next w:val="1"/>
    <w:unhideWhenUsed/>
    <w:qFormat/>
    <w:uiPriority w:val="39"/>
    <w:pPr>
      <w:widowControl/>
      <w:spacing w:after="100" w:line="276" w:lineRule="auto"/>
      <w:ind w:left="220"/>
      <w:jc w:val="left"/>
    </w:pPr>
    <w:rPr>
      <w:kern w:val="0"/>
      <w:sz w:val="22"/>
    </w:rPr>
  </w:style>
  <w:style w:type="paragraph" w:styleId="29">
    <w:name w:val="Body Text 2"/>
    <w:basedOn w:val="1"/>
    <w:qFormat/>
    <w:uiPriority w:val="0"/>
    <w:pPr>
      <w:widowControl/>
      <w:spacing w:before="100" w:beforeAutospacing="1" w:after="100" w:afterAutospacing="1"/>
      <w:jc w:val="left"/>
    </w:pPr>
    <w:rPr>
      <w:rFonts w:ascii="宋体" w:hAnsi="宋体"/>
      <w:kern w:val="0"/>
    </w:rPr>
  </w:style>
  <w:style w:type="paragraph" w:styleId="30">
    <w:name w:val="HTML Preformatted"/>
    <w:basedOn w:val="1"/>
    <w:link w:val="6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1">
    <w:name w:val="Normal (Web)"/>
    <w:basedOn w:val="1"/>
    <w:qFormat/>
    <w:uiPriority w:val="99"/>
    <w:rPr>
      <w:rFonts w:ascii="Calibri" w:hAnsi="Calibri" w:eastAsia="宋体" w:cs="Times New Roman"/>
      <w:sz w:val="24"/>
      <w:szCs w:val="24"/>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7">
    <w:name w:val="Emphasis"/>
    <w:basedOn w:val="34"/>
    <w:qFormat/>
    <w:uiPriority w:val="20"/>
    <w:rPr>
      <w:color w:val="0371C6"/>
    </w:rPr>
  </w:style>
  <w:style w:type="character" w:styleId="38">
    <w:name w:val="Hyperlink"/>
    <w:basedOn w:val="34"/>
    <w:unhideWhenUsed/>
    <w:qFormat/>
    <w:uiPriority w:val="99"/>
    <w:rPr>
      <w:color w:val="000000"/>
      <w:u w:val="none"/>
    </w:rPr>
  </w:style>
  <w:style w:type="character" w:customStyle="1" w:styleId="39">
    <w:name w:val="标题 1 字符"/>
    <w:basedOn w:val="34"/>
    <w:link w:val="8"/>
    <w:qFormat/>
    <w:uiPriority w:val="0"/>
    <w:rPr>
      <w:rFonts w:ascii="Calibri" w:hAnsi="Calibri" w:eastAsia="宋体" w:cs="Times New Roman"/>
      <w:b/>
      <w:bCs/>
      <w:kern w:val="44"/>
      <w:sz w:val="44"/>
      <w:szCs w:val="44"/>
    </w:rPr>
  </w:style>
  <w:style w:type="character" w:customStyle="1" w:styleId="40">
    <w:name w:val="标题 2 字符"/>
    <w:basedOn w:val="34"/>
    <w:link w:val="9"/>
    <w:qFormat/>
    <w:uiPriority w:val="0"/>
    <w:rPr>
      <w:rFonts w:ascii="Arial" w:hAnsi="Arial" w:eastAsia="黑体" w:cs="Times New Roman"/>
      <w:b/>
      <w:bCs/>
      <w:kern w:val="0"/>
      <w:sz w:val="32"/>
      <w:szCs w:val="32"/>
    </w:rPr>
  </w:style>
  <w:style w:type="character" w:customStyle="1" w:styleId="41">
    <w:name w:val="标题 3 字符"/>
    <w:basedOn w:val="34"/>
    <w:link w:val="10"/>
    <w:qFormat/>
    <w:uiPriority w:val="0"/>
    <w:rPr>
      <w:rFonts w:ascii="宋体" w:hAnsi="宋体" w:eastAsia="宋体" w:cs="Times New Roman"/>
      <w:b/>
      <w:color w:val="000000"/>
      <w:kern w:val="0"/>
      <w:sz w:val="24"/>
      <w:szCs w:val="20"/>
      <w:lang w:val="en-GB"/>
    </w:rPr>
  </w:style>
  <w:style w:type="character" w:customStyle="1" w:styleId="42">
    <w:name w:val="标题 4 字符"/>
    <w:basedOn w:val="34"/>
    <w:link w:val="11"/>
    <w:qFormat/>
    <w:uiPriority w:val="0"/>
    <w:rPr>
      <w:rFonts w:ascii="Arial" w:hAnsi="Arial" w:eastAsia="黑体" w:cs="Times New Roman"/>
      <w:b/>
      <w:bCs/>
      <w:kern w:val="0"/>
      <w:sz w:val="28"/>
      <w:szCs w:val="28"/>
    </w:rPr>
  </w:style>
  <w:style w:type="character" w:customStyle="1" w:styleId="43">
    <w:name w:val="纯文本 字符"/>
    <w:basedOn w:val="34"/>
    <w:link w:val="20"/>
    <w:qFormat/>
    <w:uiPriority w:val="0"/>
    <w:rPr>
      <w:rFonts w:eastAsia="宋体"/>
      <w:sz w:val="24"/>
    </w:rPr>
  </w:style>
  <w:style w:type="character" w:customStyle="1" w:styleId="44">
    <w:name w:val="日期 字符"/>
    <w:basedOn w:val="34"/>
    <w:link w:val="21"/>
    <w:qFormat/>
    <w:uiPriority w:val="99"/>
  </w:style>
  <w:style w:type="character" w:customStyle="1" w:styleId="45">
    <w:name w:val="页脚 字符"/>
    <w:basedOn w:val="34"/>
    <w:link w:val="24"/>
    <w:qFormat/>
    <w:uiPriority w:val="99"/>
    <w:rPr>
      <w:sz w:val="18"/>
      <w:szCs w:val="18"/>
    </w:rPr>
  </w:style>
  <w:style w:type="character" w:customStyle="1" w:styleId="46">
    <w:name w:val="页眉 字符"/>
    <w:basedOn w:val="34"/>
    <w:link w:val="26"/>
    <w:qFormat/>
    <w:uiPriority w:val="99"/>
    <w:rPr>
      <w:sz w:val="18"/>
      <w:szCs w:val="18"/>
    </w:rPr>
  </w:style>
  <w:style w:type="character" w:customStyle="1" w:styleId="47">
    <w:name w:val="纯文本 Char1"/>
    <w:qFormat/>
    <w:uiPriority w:val="0"/>
    <w:rPr>
      <w:rFonts w:eastAsia="宋体"/>
      <w:sz w:val="24"/>
    </w:rPr>
  </w:style>
  <w:style w:type="paragraph" w:customStyle="1" w:styleId="4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正文文本 3 字符"/>
    <w:basedOn w:val="34"/>
    <w:link w:val="16"/>
    <w:qFormat/>
    <w:uiPriority w:val="0"/>
    <w:rPr>
      <w:rFonts w:ascii="Times New Roman" w:hAnsi="Times New Roman" w:eastAsia="宋体" w:cs="Times New Roman"/>
      <w:color w:val="FF0000"/>
      <w:sz w:val="24"/>
      <w:szCs w:val="24"/>
    </w:rPr>
  </w:style>
  <w:style w:type="character" w:customStyle="1" w:styleId="59">
    <w:name w:val="edittexttarea"/>
    <w:basedOn w:val="34"/>
    <w:qFormat/>
    <w:uiPriority w:val="0"/>
  </w:style>
  <w:style w:type="paragraph" w:customStyle="1" w:styleId="60">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正文文本 字符"/>
    <w:basedOn w:val="34"/>
    <w:link w:val="3"/>
    <w:semiHidden/>
    <w:qFormat/>
    <w:uiPriority w:val="99"/>
  </w:style>
  <w:style w:type="character" w:customStyle="1" w:styleId="63">
    <w:name w:val="正文文本首行缩进 字符"/>
    <w:basedOn w:val="62"/>
    <w:link w:val="2"/>
    <w:qFormat/>
    <w:uiPriority w:val="0"/>
    <w:rPr>
      <w:rFonts w:ascii="宋体" w:hAnsi="Times New Roman" w:eastAsia="宋体" w:cs="Times New Roman"/>
      <w:kern w:val="0"/>
      <w:sz w:val="34"/>
      <w:szCs w:val="20"/>
    </w:rPr>
  </w:style>
  <w:style w:type="character" w:customStyle="1" w:styleId="64">
    <w:name w:val="HTML 预设格式 字符"/>
    <w:basedOn w:val="34"/>
    <w:link w:val="30"/>
    <w:semiHidden/>
    <w:qFormat/>
    <w:uiPriority w:val="99"/>
    <w:rPr>
      <w:rFonts w:ascii="宋体" w:hAnsi="宋体" w:eastAsia="宋体" w:cs="宋体"/>
      <w:kern w:val="0"/>
      <w:sz w:val="24"/>
      <w:szCs w:val="24"/>
    </w:rPr>
  </w:style>
  <w:style w:type="character" w:customStyle="1" w:styleId="65">
    <w:name w:val="正文文本缩进 2 字符"/>
    <w:basedOn w:val="34"/>
    <w:link w:val="22"/>
    <w:semiHidden/>
    <w:qFormat/>
    <w:uiPriority w:val="99"/>
    <w:rPr>
      <w:kern w:val="2"/>
      <w:sz w:val="21"/>
      <w:szCs w:val="22"/>
    </w:rPr>
  </w:style>
  <w:style w:type="character" w:customStyle="1" w:styleId="66">
    <w:name w:val="批注框文本 字符"/>
    <w:basedOn w:val="34"/>
    <w:link w:val="23"/>
    <w:semiHidden/>
    <w:qFormat/>
    <w:uiPriority w:val="99"/>
    <w:rPr>
      <w:kern w:val="2"/>
      <w:sz w:val="18"/>
      <w:szCs w:val="18"/>
    </w:rPr>
  </w:style>
  <w:style w:type="character" w:customStyle="1" w:styleId="67">
    <w:name w:val="red2"/>
    <w:basedOn w:val="34"/>
    <w:qFormat/>
    <w:uiPriority w:val="0"/>
    <w:rPr>
      <w:color w:val="FF0000"/>
    </w:rPr>
  </w:style>
  <w:style w:type="paragraph" w:customStyle="1" w:styleId="68">
    <w:name w:val="纯文本1"/>
    <w:basedOn w:val="1"/>
    <w:qFormat/>
    <w:uiPriority w:val="0"/>
    <w:rPr>
      <w:rFonts w:ascii="Calibri" w:hAnsi="Calibri" w:eastAsia="宋体" w:cs="Times New Roman"/>
      <w:sz w:val="24"/>
    </w:rPr>
  </w:style>
  <w:style w:type="paragraph" w:customStyle="1" w:styleId="69">
    <w:name w:val="TOC 标题1"/>
    <w:basedOn w:val="8"/>
    <w:next w:val="1"/>
    <w:semiHidden/>
    <w:unhideWhenUsed/>
    <w:qFormat/>
    <w:uiPriority w:val="39"/>
    <w:pPr>
      <w:widowControl/>
      <w:numPr>
        <w:numId w:val="0"/>
      </w:numPr>
      <w:adjustRightInd/>
      <w:spacing w:before="480" w:after="0" w:line="276" w:lineRule="auto"/>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0">
    <w:name w:val="文档结构图 字符"/>
    <w:basedOn w:val="34"/>
    <w:link w:val="14"/>
    <w:semiHidden/>
    <w:qFormat/>
    <w:uiPriority w:val="99"/>
    <w:rPr>
      <w:rFonts w:ascii="宋体" w:eastAsia="宋体"/>
      <w:kern w:val="2"/>
      <w:sz w:val="18"/>
      <w:szCs w:val="18"/>
    </w:rPr>
  </w:style>
  <w:style w:type="character" w:customStyle="1" w:styleId="71">
    <w:name w:val="批注文字 字符"/>
    <w:basedOn w:val="34"/>
    <w:link w:val="15"/>
    <w:qFormat/>
    <w:uiPriority w:val="0"/>
    <w:rPr>
      <w:rFonts w:ascii="Times New Roman" w:hAnsi="Times New Roman"/>
      <w:kern w:val="2"/>
      <w:sz w:val="21"/>
      <w:szCs w:val="24"/>
    </w:rPr>
  </w:style>
  <w:style w:type="paragraph" w:customStyle="1" w:styleId="72">
    <w:name w:val="_Style 36"/>
    <w:basedOn w:val="1"/>
    <w:qFormat/>
    <w:uiPriority w:val="0"/>
    <w:pPr>
      <w:adjustRightInd w:val="0"/>
      <w:snapToGrid w:val="0"/>
      <w:spacing w:line="360" w:lineRule="auto"/>
      <w:ind w:firstLine="420" w:firstLineChars="200"/>
    </w:pPr>
    <w:rPr>
      <w:rFonts w:ascii="Times New Roman" w:hAnsi="Times New Roman" w:eastAsia="宋体" w:cs="Times New Roman"/>
      <w:color w:val="000000"/>
      <w:szCs w:val="21"/>
    </w:rPr>
  </w:style>
  <w:style w:type="character" w:customStyle="1" w:styleId="73">
    <w:name w:val="green"/>
    <w:basedOn w:val="34"/>
    <w:qFormat/>
    <w:uiPriority w:val="0"/>
    <w:rPr>
      <w:color w:val="66AE00"/>
      <w:sz w:val="18"/>
      <w:szCs w:val="18"/>
    </w:rPr>
  </w:style>
  <w:style w:type="character" w:customStyle="1" w:styleId="74">
    <w:name w:val="green1"/>
    <w:basedOn w:val="34"/>
    <w:qFormat/>
    <w:uiPriority w:val="0"/>
    <w:rPr>
      <w:color w:val="66AE00"/>
      <w:sz w:val="18"/>
      <w:szCs w:val="18"/>
    </w:rPr>
  </w:style>
  <w:style w:type="character" w:customStyle="1" w:styleId="75">
    <w:name w:val="right"/>
    <w:basedOn w:val="34"/>
    <w:qFormat/>
    <w:uiPriority w:val="0"/>
    <w:rPr>
      <w:color w:val="999999"/>
      <w:sz w:val="18"/>
      <w:szCs w:val="18"/>
    </w:rPr>
  </w:style>
  <w:style w:type="character" w:customStyle="1" w:styleId="76">
    <w:name w:val="red"/>
    <w:basedOn w:val="34"/>
    <w:qFormat/>
    <w:uiPriority w:val="0"/>
    <w:rPr>
      <w:color w:val="FF0000"/>
      <w:sz w:val="18"/>
      <w:szCs w:val="18"/>
    </w:rPr>
  </w:style>
  <w:style w:type="character" w:customStyle="1" w:styleId="77">
    <w:name w:val="red1"/>
    <w:basedOn w:val="34"/>
    <w:qFormat/>
    <w:uiPriority w:val="0"/>
    <w:rPr>
      <w:color w:val="FF0000"/>
      <w:sz w:val="18"/>
      <w:szCs w:val="18"/>
    </w:rPr>
  </w:style>
  <w:style w:type="character" w:customStyle="1" w:styleId="78">
    <w:name w:val="red3"/>
    <w:basedOn w:val="34"/>
    <w:qFormat/>
    <w:uiPriority w:val="0"/>
    <w:rPr>
      <w:color w:val="FF0000"/>
    </w:rPr>
  </w:style>
  <w:style w:type="character" w:customStyle="1" w:styleId="79">
    <w:name w:val="hover25"/>
    <w:basedOn w:val="34"/>
    <w:qFormat/>
    <w:uiPriority w:val="0"/>
  </w:style>
  <w:style w:type="character" w:customStyle="1" w:styleId="80">
    <w:name w:val="gb-jt"/>
    <w:basedOn w:val="34"/>
    <w:qFormat/>
    <w:uiPriority w:val="0"/>
  </w:style>
  <w:style w:type="character" w:customStyle="1" w:styleId="81">
    <w:name w:val="blue"/>
    <w:basedOn w:val="34"/>
    <w:qFormat/>
    <w:uiPriority w:val="0"/>
    <w:rPr>
      <w:color w:val="0371C6"/>
      <w:sz w:val="21"/>
      <w:szCs w:val="21"/>
    </w:rPr>
  </w:style>
  <w:style w:type="paragraph" w:customStyle="1" w:styleId="82">
    <w:name w:val="List Paragraph1"/>
    <w:basedOn w:val="1"/>
    <w:qFormat/>
    <w:uiPriority w:val="99"/>
    <w:pPr>
      <w:ind w:firstLine="420" w:firstLineChars="200"/>
    </w:pPr>
    <w:rPr>
      <w:rFonts w:ascii="Times New Roman" w:hAnsi="Times New Roman" w:eastAsia="宋体" w:cs="Times New Roman"/>
      <w:szCs w:val="24"/>
    </w:rPr>
  </w:style>
  <w:style w:type="character" w:customStyle="1" w:styleId="83">
    <w:name w:val="NormalCharacter"/>
    <w:semiHidden/>
    <w:qFormat/>
    <w:uiPriority w:val="0"/>
  </w:style>
  <w:style w:type="paragraph" w:customStyle="1" w:styleId="84">
    <w:name w:val="WPSOffice手动目录 1"/>
    <w:unhideWhenUsed/>
    <w:qFormat/>
    <w:uiPriority w:val="0"/>
    <w:rPr>
      <w:rFonts w:ascii="Times New Roman" w:hAnsi="Times New Roman" w:eastAsia="宋体" w:cs="Times New Roman"/>
      <w:sz w:val="24"/>
      <w:lang w:val="en-US" w:eastAsia="zh-CN" w:bidi="ar-SA"/>
    </w:rPr>
  </w:style>
  <w:style w:type="character" w:customStyle="1" w:styleId="85">
    <w:name w:val="red4"/>
    <w:basedOn w:val="34"/>
    <w:qFormat/>
    <w:uiPriority w:val="0"/>
    <w:rPr>
      <w:color w:val="CC0000"/>
    </w:rPr>
  </w:style>
  <w:style w:type="character" w:customStyle="1" w:styleId="86">
    <w:name w:val="red5"/>
    <w:basedOn w:val="34"/>
    <w:qFormat/>
    <w:uiPriority w:val="0"/>
    <w:rPr>
      <w:color w:val="FF0000"/>
      <w:sz w:val="18"/>
      <w:szCs w:val="18"/>
    </w:rPr>
  </w:style>
  <w:style w:type="character" w:customStyle="1" w:styleId="87">
    <w:name w:val="red6"/>
    <w:basedOn w:val="34"/>
    <w:qFormat/>
    <w:uiPriority w:val="0"/>
    <w:rPr>
      <w:color w:val="66AE00"/>
      <w:sz w:val="18"/>
      <w:szCs w:val="18"/>
    </w:rPr>
  </w:style>
  <w:style w:type="character" w:customStyle="1" w:styleId="88">
    <w:name w:val="red7"/>
    <w:basedOn w:val="34"/>
    <w:qFormat/>
    <w:uiPriority w:val="0"/>
    <w:rPr>
      <w:color w:val="FF0000"/>
    </w:rPr>
  </w:style>
  <w:style w:type="character" w:customStyle="1" w:styleId="89">
    <w:name w:val="active"/>
    <w:basedOn w:val="34"/>
    <w:qFormat/>
    <w:uiPriority w:val="0"/>
    <w:rPr>
      <w:color w:val="FFFFFF"/>
      <w:shd w:val="clear" w:fill="2B7AFC"/>
    </w:rPr>
  </w:style>
  <w:style w:type="character" w:customStyle="1" w:styleId="90">
    <w:name w:val="hover"/>
    <w:basedOn w:val="34"/>
    <w:qFormat/>
    <w:uiPriority w:val="0"/>
  </w:style>
  <w:style w:type="character" w:customStyle="1" w:styleId="91">
    <w:name w:val="active4"/>
    <w:basedOn w:val="34"/>
    <w:qFormat/>
    <w:uiPriority w:val="0"/>
    <w:rPr>
      <w:color w:val="FFFFFF"/>
      <w:shd w:val="clear" w:fill="2B7AFC"/>
    </w:rPr>
  </w:style>
  <w:style w:type="character" w:customStyle="1" w:styleId="92">
    <w:name w:val="hover24"/>
    <w:basedOn w:val="34"/>
    <w:qFormat/>
    <w:uiPriority w:val="0"/>
  </w:style>
  <w:style w:type="paragraph" w:customStyle="1" w:styleId="93">
    <w:name w:val="*正文"/>
    <w:basedOn w:val="1"/>
    <w:qFormat/>
    <w:uiPriority w:val="0"/>
    <w:pPr>
      <w:keepNext/>
      <w:keepLines/>
      <w:spacing w:line="360" w:lineRule="auto"/>
      <w:ind w:firstLine="200" w:firstLineChars="200"/>
    </w:pPr>
    <w:rPr>
      <w:rFonts w:ascii="宋体" w:hAnsi="宋体"/>
    </w:rPr>
  </w:style>
  <w:style w:type="paragraph" w:customStyle="1" w:styleId="94">
    <w:name w:val="Table Paragraph"/>
    <w:basedOn w:val="1"/>
    <w:qFormat/>
    <w:uiPriority w:val="1"/>
    <w:rPr>
      <w:rFonts w:ascii="宋体" w:hAnsi="宋体" w:eastAsia="宋体" w:cs="宋体"/>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166110528E48F59158D7A2FC9284FB"/>
        <w:style w:val=""/>
        <w:category>
          <w:name w:val="常规"/>
          <w:gallery w:val="placeholder"/>
        </w:category>
        <w:types>
          <w:type w:val="bbPlcHdr"/>
        </w:types>
        <w:behaviors>
          <w:behavior w:val="content"/>
        </w:behaviors>
        <w:description w:val=""/>
        <w:guid w:val="{1EA5DB89-CE11-46C8-9EE7-8B6B07DED632}"/>
      </w:docPartPr>
      <w:docPartBody>
        <w:p>
          <w:pPr>
            <w:pStyle w:val="4"/>
          </w:pPr>
          <w:r>
            <w:rPr>
              <w:rFonts w:asciiTheme="majorHAnsi" w:hAnsiTheme="majorHAnsi" w:eastAsiaTheme="majorEastAsia" w:cstheme="majorBidi"/>
              <w:sz w:val="32"/>
              <w:szCs w:val="32"/>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09334F"/>
    <w:rsid w:val="000718ED"/>
    <w:rsid w:val="0009334F"/>
    <w:rsid w:val="00183B9B"/>
    <w:rsid w:val="001B1EA8"/>
    <w:rsid w:val="00241B8A"/>
    <w:rsid w:val="00246115"/>
    <w:rsid w:val="002C7AE7"/>
    <w:rsid w:val="0030470A"/>
    <w:rsid w:val="00384AE4"/>
    <w:rsid w:val="003B2657"/>
    <w:rsid w:val="00423550"/>
    <w:rsid w:val="00425859"/>
    <w:rsid w:val="00472648"/>
    <w:rsid w:val="004D7D1F"/>
    <w:rsid w:val="00522779"/>
    <w:rsid w:val="005C3E8F"/>
    <w:rsid w:val="00625CF9"/>
    <w:rsid w:val="00671CAD"/>
    <w:rsid w:val="006D15EF"/>
    <w:rsid w:val="007048D8"/>
    <w:rsid w:val="0071285F"/>
    <w:rsid w:val="00763C62"/>
    <w:rsid w:val="00784615"/>
    <w:rsid w:val="00820C6D"/>
    <w:rsid w:val="009100F3"/>
    <w:rsid w:val="009836AC"/>
    <w:rsid w:val="009D6985"/>
    <w:rsid w:val="00AF216A"/>
    <w:rsid w:val="00BA7256"/>
    <w:rsid w:val="00C3793C"/>
    <w:rsid w:val="00CF32B2"/>
    <w:rsid w:val="00D4427C"/>
    <w:rsid w:val="00DA1094"/>
    <w:rsid w:val="00DE3495"/>
    <w:rsid w:val="00DE6F1A"/>
    <w:rsid w:val="00E82B49"/>
    <w:rsid w:val="00E93627"/>
    <w:rsid w:val="00EB63B6"/>
    <w:rsid w:val="00EE54EB"/>
    <w:rsid w:val="00F14CBA"/>
    <w:rsid w:val="00F977F5"/>
    <w:rsid w:val="00FC4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A3166110528E48F59158D7A2FC9284F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87DEA-5282-4184-BD06-FBE3353BF61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4890</Words>
  <Characters>27875</Characters>
  <Lines>232</Lines>
  <Paragraphs>65</Paragraphs>
  <TotalTime>55</TotalTime>
  <ScaleCrop>false</ScaleCrop>
  <LinksUpToDate>false</LinksUpToDate>
  <CharactersWithSpaces>32700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2021-06-11T02:26:00Z</dcterms:created>
  <dc:creator>许昌市公共资源交易中心:孟莉</dc:creator>
  <cp:lastModifiedBy>A 帅气小仙女</cp:lastModifiedBy>
  <cp:lastPrinted>2018-07-23T13:52:00Z</cp:lastPrinted>
  <dcterms:modified xsi:type="dcterms:W3CDTF">2021-11-19T02:50:16Z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5DC26D38B7384FC6AF3AB71D20A5C070</vt:lpwstr>
  </property>
</Properties>
</file>