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BF3210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长葛市人民医院采购双能X线骨密度测量仪项目（不见面开标）</w:t>
      </w:r>
      <w:r w:rsidRPr="00074469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评标</w:t>
      </w:r>
      <w:r w:rsidRPr="00BF3210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结果公告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BF3210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一、项目概况：</w:t>
      </w:r>
    </w:p>
    <w:p w:rsidR="001A28F0" w:rsidRPr="005E2A84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（一）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项目名称：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长葛市人民医院采购双能X线骨密度测量仪项目（不见面开标）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（二）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项目编号：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长招采竞字【2021】061号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（三）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采购公告发布日期：2021年1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月0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（四）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变更公告发布日期：无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39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（五）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开标日期：2021年11月0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日09时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0分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（六）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采购方式：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竞争性谈判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（七）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最高限价：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1300000元。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（八）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评标办法：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最低评标价法</w:t>
      </w:r>
    </w:p>
    <w:p w:rsidR="001A28F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（九）</w:t>
      </w:r>
      <w:r w:rsidRPr="005E2A8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履约时间：自合同签订后15日历天内完成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（十）资格审查方式：资格后审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3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（十一）</w:t>
      </w:r>
      <w:r w:rsidRPr="00BF321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招标公告刊登的媒体：《河南省政府采购网》、《全国公共资源交易平台（河南省·许昌市）》、《长葛市人民政府门户网站》发布。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BF3210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lastRenderedPageBreak/>
        <w:t>二、开标记录及投标报价</w:t>
      </w:r>
    </w:p>
    <w:tbl>
      <w:tblPr>
        <w:tblW w:w="530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2873"/>
        <w:gridCol w:w="3312"/>
        <w:gridCol w:w="2010"/>
      </w:tblGrid>
      <w:tr w:rsidR="001A28F0" w:rsidRPr="00BF3210" w:rsidTr="00675D70">
        <w:trPr>
          <w:trHeight w:val="1253"/>
          <w:jc w:val="center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3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投标报价（元）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7702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履约时间</w:t>
            </w:r>
          </w:p>
        </w:tc>
      </w:tr>
      <w:tr w:rsidR="001A28F0" w:rsidRPr="00BF3210" w:rsidTr="00675D70">
        <w:trPr>
          <w:trHeight w:val="1887"/>
          <w:jc w:val="center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郑州市荣腾康电子科技有限公司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6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691500.00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6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自合同签订后15日历天内完成</w:t>
            </w:r>
          </w:p>
        </w:tc>
      </w:tr>
      <w:tr w:rsidR="001A28F0" w:rsidRPr="00BF3210" w:rsidTr="00675D70">
        <w:trPr>
          <w:trHeight w:val="1887"/>
          <w:jc w:val="center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河南琛澈医疗器械有限公司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6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693000.00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6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自合同签订后15日历天内完成</w:t>
            </w:r>
          </w:p>
        </w:tc>
      </w:tr>
      <w:tr w:rsidR="001A28F0" w:rsidRPr="00BF3210" w:rsidTr="00675D70">
        <w:trPr>
          <w:trHeight w:val="1887"/>
          <w:jc w:val="center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河南百川恒生医疗科技有限公司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6D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699000.00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6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自合同签订后15日历天内完成</w:t>
            </w:r>
          </w:p>
        </w:tc>
      </w:tr>
    </w:tbl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BF3210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三、资格审查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2"/>
        <w:gridCol w:w="2202"/>
        <w:gridCol w:w="2391"/>
        <w:gridCol w:w="2967"/>
      </w:tblGrid>
      <w:tr w:rsidR="001A28F0" w:rsidRPr="00BF3210" w:rsidTr="00675D70">
        <w:trPr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通过资格性评审的供应商名称</w:t>
            </w:r>
          </w:p>
        </w:tc>
      </w:tr>
      <w:tr w:rsidR="001A28F0" w:rsidRPr="00BF3210" w:rsidTr="00675D70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河南琛澈医疗器械有限公司</w:t>
            </w:r>
          </w:p>
        </w:tc>
      </w:tr>
      <w:tr w:rsidR="001A28F0" w:rsidRPr="00BF3210" w:rsidTr="00675D70">
        <w:trPr>
          <w:trHeight w:val="470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未通过资格审查的供应商</w:t>
            </w:r>
          </w:p>
        </w:tc>
      </w:tr>
      <w:tr w:rsidR="001A28F0" w:rsidRPr="00BF3210" w:rsidTr="00675D70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未通过原因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采购文件相应条款</w:t>
            </w:r>
          </w:p>
        </w:tc>
      </w:tr>
      <w:tr w:rsidR="001A28F0" w:rsidRPr="00BF3210" w:rsidTr="00675D70">
        <w:trPr>
          <w:jc w:val="center"/>
        </w:trPr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F321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郑州市荣腾康电子科技有限公司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5754"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硬件特征码与</w:t>
            </w: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河南百川恒生医疗科技有限公司雷同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8F0" w:rsidRPr="00181875" w:rsidRDefault="001A28F0" w:rsidP="00675D70">
            <w:pPr>
              <w:widowControl/>
              <w:spacing w:line="330" w:lineRule="atLeast"/>
              <w:jc w:val="center"/>
              <w:rPr>
                <w:rFonts w:ascii="微软雅黑" w:eastAsia="微软雅黑" w:hAnsi="微软雅黑"/>
                <w:b/>
                <w:bCs/>
                <w:color w:val="333333"/>
                <w:sz w:val="18"/>
                <w:szCs w:val="18"/>
              </w:rPr>
            </w:pPr>
            <w:r w:rsidRPr="00181875"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第三章供应商须知前附表2</w:t>
            </w:r>
            <w:r w:rsidRPr="00181875">
              <w:rPr>
                <w:rFonts w:ascii="微软雅黑" w:eastAsia="微软雅黑" w:hAnsi="微软雅黑"/>
                <w:b/>
                <w:bCs/>
                <w:color w:val="333333"/>
                <w:sz w:val="18"/>
                <w:szCs w:val="18"/>
              </w:rPr>
              <w:t>7</w:t>
            </w:r>
            <w:r w:rsidRPr="00181875"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特别提示</w:t>
            </w:r>
          </w:p>
        </w:tc>
      </w:tr>
      <w:tr w:rsidR="001A28F0" w:rsidRPr="00BF3210" w:rsidTr="00675D70">
        <w:trPr>
          <w:trHeight w:val="652"/>
          <w:jc w:val="center"/>
        </w:trPr>
        <w:tc>
          <w:tcPr>
            <w:tcW w:w="96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F0" w:rsidRPr="00BF3210" w:rsidRDefault="001A28F0" w:rsidP="00675D70">
            <w:pPr>
              <w:widowControl/>
              <w:spacing w:line="330" w:lineRule="atLeast"/>
              <w:ind w:firstLineChars="100" w:firstLine="32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河南百川恒生医疗科技有限公司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F0" w:rsidRPr="00BF3210" w:rsidRDefault="001A28F0" w:rsidP="00675D7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E5754"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硬件特征码与</w:t>
            </w: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郑州市荣腾康电子科技有限公司雷同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F0" w:rsidRPr="00181875" w:rsidRDefault="001A28F0" w:rsidP="00675D70">
            <w:pPr>
              <w:widowControl/>
              <w:spacing w:line="330" w:lineRule="atLeast"/>
              <w:jc w:val="center"/>
              <w:rPr>
                <w:rFonts w:ascii="微软雅黑" w:eastAsia="微软雅黑" w:hAnsi="微软雅黑"/>
                <w:b/>
                <w:bCs/>
                <w:color w:val="333333"/>
                <w:sz w:val="18"/>
                <w:szCs w:val="18"/>
              </w:rPr>
            </w:pPr>
            <w:r w:rsidRPr="00181875"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第三章供应商须知前附表2</w:t>
            </w:r>
            <w:r w:rsidRPr="00181875">
              <w:rPr>
                <w:rFonts w:ascii="微软雅黑" w:eastAsia="微软雅黑" w:hAnsi="微软雅黑"/>
                <w:b/>
                <w:bCs/>
                <w:color w:val="333333"/>
                <w:sz w:val="18"/>
                <w:szCs w:val="18"/>
              </w:rPr>
              <w:t>7</w:t>
            </w:r>
            <w:r w:rsidRPr="00181875"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特别提示</w:t>
            </w:r>
          </w:p>
        </w:tc>
      </w:tr>
    </w:tbl>
    <w:p w:rsidR="001A28F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BF3210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四、评审情况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1A28F0" w:rsidRPr="007F63AB" w:rsidRDefault="001A28F0" w:rsidP="001A28F0">
      <w:pPr>
        <w:widowControl/>
        <w:shd w:val="clear" w:color="auto" w:fill="FFFFFF"/>
        <w:spacing w:before="226" w:line="33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BF321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（一）</w:t>
      </w:r>
      <w:r w:rsidRPr="007F63A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硬件特征码</w:t>
      </w:r>
    </w:p>
    <w:tbl>
      <w:tblPr>
        <w:tblW w:w="5000" w:type="pct"/>
        <w:tblInd w:w="-83" w:type="dxa"/>
        <w:tblCellMar>
          <w:left w:w="0" w:type="dxa"/>
          <w:right w:w="0" w:type="dxa"/>
        </w:tblCellMar>
        <w:tblLook w:val="04A0"/>
      </w:tblPr>
      <w:tblGrid>
        <w:gridCol w:w="1017"/>
        <w:gridCol w:w="7439"/>
      </w:tblGrid>
      <w:tr w:rsidR="001A28F0" w:rsidRPr="007F63AB" w:rsidTr="00675D70">
        <w:trPr>
          <w:trHeight w:val="496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8F0" w:rsidRPr="007F63AB" w:rsidRDefault="001A28F0" w:rsidP="00675D70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63A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核查</w:t>
            </w:r>
          </w:p>
        </w:tc>
        <w:tc>
          <w:tcPr>
            <w:tcW w:w="8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8F0" w:rsidRPr="007F63AB" w:rsidRDefault="001A28F0" w:rsidP="00675D70">
            <w:pPr>
              <w:widowControl/>
              <w:shd w:val="clear" w:color="auto" w:fill="FFFFFF"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63A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是否发现硬件特征码（网卡MAC地址、CPU序号、硬盘序列号等）雷同</w:t>
            </w:r>
          </w:p>
        </w:tc>
      </w:tr>
      <w:tr w:rsidR="001A28F0" w:rsidRPr="007F63AB" w:rsidTr="00675D70">
        <w:trPr>
          <w:trHeight w:val="9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8F0" w:rsidRPr="007F63AB" w:rsidRDefault="001A28F0" w:rsidP="00675D70">
            <w:pPr>
              <w:widowControl/>
              <w:shd w:val="clear" w:color="auto" w:fill="FFFFFF"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F63A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结果</w:t>
            </w:r>
          </w:p>
        </w:tc>
        <w:tc>
          <w:tcPr>
            <w:tcW w:w="8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8F0" w:rsidRPr="007F63AB" w:rsidRDefault="001A28F0" w:rsidP="00675D70">
            <w:pPr>
              <w:widowControl/>
              <w:shd w:val="clear" w:color="auto" w:fill="FFFFFF"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郑州市荣腾康电子科技有限公司与河南百川恒生医疗科技有限公司</w:t>
            </w:r>
            <w:r w:rsidRPr="003246D2">
              <w:rPr>
                <w:rFonts w:ascii="微软雅黑" w:eastAsia="微软雅黑" w:hAnsi="微软雅黑" w:hint="eastAsia"/>
                <w:b/>
                <w:bCs/>
                <w:color w:val="333333"/>
                <w:sz w:val="18"/>
                <w:szCs w:val="18"/>
              </w:rPr>
              <w:t>硬件特征码雷同</w:t>
            </w:r>
          </w:p>
        </w:tc>
      </w:tr>
    </w:tbl>
    <w:p w:rsidR="001A28F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合格投标人不足3家，废标。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BF3210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五、评标委员会推荐中标候选人情况：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无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F3210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六、投标人根据评标委员会要求进行的澄清、说明或者补正：无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F3210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七、是否存在评标委员会成员更换：无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F3210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八、</w:t>
      </w:r>
      <w:r w:rsidRPr="00DC491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谈判小组</w:t>
      </w:r>
      <w:r w:rsidRPr="00BF3210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成员名单：</w:t>
      </w:r>
    </w:p>
    <w:p w:rsidR="001A28F0" w:rsidRPr="00DC491B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郑会芳</w:t>
      </w:r>
      <w:r w:rsidRPr="00DC491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（组长）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、白榜彦、薛金国 </w:t>
      </w:r>
      <w:r w:rsidRPr="00DC491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（业主代表） </w:t>
      </w:r>
    </w:p>
    <w:p w:rsidR="001A28F0" w:rsidRPr="00DC491B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DC491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评标小组组长签字： </w:t>
      </w:r>
    </w:p>
    <w:p w:rsidR="001A28F0" w:rsidRPr="00DC491B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DC491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评标小组成员签字：</w:t>
      </w:r>
    </w:p>
    <w:p w:rsidR="001A28F0" w:rsidRPr="00DC491B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DC491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2021年11月09日</w:t>
      </w:r>
    </w:p>
    <w:p w:rsidR="001A28F0" w:rsidRPr="00BF3210" w:rsidRDefault="001A28F0" w:rsidP="001A28F0">
      <w:pPr>
        <w:widowControl/>
        <w:shd w:val="clear" w:color="auto" w:fill="FFFFFF"/>
        <w:spacing w:before="226" w:line="33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1A28F0" w:rsidRPr="00D763AA" w:rsidRDefault="001A28F0" w:rsidP="001A28F0">
      <w:pPr>
        <w:rPr>
          <w:rFonts w:hint="eastAsia"/>
        </w:rPr>
      </w:pPr>
    </w:p>
    <w:p w:rsidR="00692813" w:rsidRDefault="00692813"/>
    <w:sectPr w:rsidR="00692813" w:rsidSect="0039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70" w:rsidRDefault="00882170" w:rsidP="001A28F0">
      <w:r>
        <w:separator/>
      </w:r>
    </w:p>
  </w:endnote>
  <w:endnote w:type="continuationSeparator" w:id="0">
    <w:p w:rsidR="00882170" w:rsidRDefault="00882170" w:rsidP="001A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70" w:rsidRDefault="00882170" w:rsidP="001A28F0">
      <w:r>
        <w:separator/>
      </w:r>
    </w:p>
  </w:footnote>
  <w:footnote w:type="continuationSeparator" w:id="0">
    <w:p w:rsidR="00882170" w:rsidRDefault="00882170" w:rsidP="001A2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8F0"/>
    <w:rsid w:val="001A28F0"/>
    <w:rsid w:val="00692813"/>
    <w:rsid w:val="0088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河南英华咨询有限公司:郭周亚</dc:creator>
  <cp:keywords/>
  <dc:description/>
  <cp:lastModifiedBy>河南英华咨询有限公司:郭周亚</cp:lastModifiedBy>
  <cp:revision>2</cp:revision>
  <dcterms:created xsi:type="dcterms:W3CDTF">2021-11-10T03:31:00Z</dcterms:created>
  <dcterms:modified xsi:type="dcterms:W3CDTF">2021-11-10T03:31:00Z</dcterms:modified>
</cp:coreProperties>
</file>