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zh-CN"/>
        </w:rPr>
      </w:pPr>
      <w:r>
        <w:rPr>
          <w:rFonts w:hint="eastAsia" w:ascii="宋体" w:hAnsi="宋体" w:eastAsia="宋体" w:cs="宋体"/>
          <w:b/>
          <w:bCs/>
          <w:sz w:val="36"/>
          <w:szCs w:val="44"/>
        </w:rPr>
        <w:t>鄢陵县自然资源局鄢陵县四大片区“双违”整治及地形图测绘工作费用项目（不见面开标）成交公告</w:t>
      </w:r>
    </w:p>
    <w:tbl>
      <w:tblPr>
        <w:tblStyle w:val="8"/>
        <w:tblW w:w="4960" w:type="pct"/>
        <w:tblCellSpacing w:w="15"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963" w:type="pct"/>
            <w:shd w:val="clear" w:color="auto" w:fill="auto"/>
            <w:vAlign w:val="center"/>
          </w:tcPr>
          <w:p>
            <w:pPr>
              <w:rPr>
                <w:rFonts w:hint="eastAsia"/>
                <w:lang w:val="en-US" w:eastAsia="zh-CN"/>
              </w:rPr>
            </w:pPr>
          </w:p>
          <w:p>
            <w:pPr>
              <w:rPr>
                <w:rFonts w:hint="eastAsia"/>
                <w:lang w:val="en-US" w:eastAsia="zh-CN"/>
              </w:rPr>
            </w:pPr>
          </w:p>
          <w:p>
            <w:r>
              <w:rPr>
                <w:rFonts w:hint="eastAsia"/>
                <w:lang w:val="en-US" w:eastAsia="zh-CN"/>
              </w:rPr>
              <w:t>一、项目基本情况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963" w:type="pct"/>
            <w:shd w:val="clear" w:color="auto" w:fill="auto"/>
            <w:vAlign w:val="center"/>
          </w:tcPr>
          <w:p>
            <w:pPr>
              <w:rPr>
                <w:rFonts w:hint="default"/>
                <w:lang w:val="en-US"/>
              </w:rPr>
            </w:pPr>
            <w:r>
              <w:rPr>
                <w:rFonts w:hint="eastAsia"/>
                <w:lang w:val="en-US" w:eastAsia="zh-CN"/>
              </w:rPr>
              <w:t>1、采购项目编号：2021-08-5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963" w:type="pct"/>
            <w:shd w:val="clear" w:color="auto" w:fill="auto"/>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00" w:lineRule="exact"/>
              <w:ind w:left="2400" w:right="0" w:hanging="2400" w:hangingChars="1000"/>
              <w:jc w:val="both"/>
              <w:textAlignment w:val="auto"/>
              <w:rPr>
                <w:rFonts w:hint="eastAsia"/>
              </w:rPr>
            </w:pPr>
            <w:r>
              <w:rPr>
                <w:rFonts w:hint="eastAsia"/>
                <w:lang w:val="en-US" w:eastAsia="zh-CN"/>
              </w:rPr>
              <w:t>2、采购项目名称：鄢陵县自然资源局鄢陵县四大片区“双违”整治及地形图测绘工作费用项目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963" w:type="pct"/>
            <w:shd w:val="clear" w:color="auto" w:fill="auto"/>
            <w:vAlign w:val="center"/>
          </w:tcPr>
          <w:p>
            <w:pPr>
              <w:rPr>
                <w:rFonts w:hint="eastAsia"/>
              </w:rPr>
            </w:pPr>
            <w:r>
              <w:rPr>
                <w:rFonts w:hint="eastAsia"/>
                <w:lang w:val="en-US" w:eastAsia="zh-CN"/>
              </w:rPr>
              <w:t>3、采购方式：公开招标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blCellSpacing w:w="15" w:type="dxa"/>
        </w:trPr>
        <w:tc>
          <w:tcPr>
            <w:tcW w:w="4963" w:type="pct"/>
            <w:shd w:val="clear" w:color="auto" w:fill="auto"/>
            <w:vAlign w:val="center"/>
          </w:tcPr>
          <w:p>
            <w:pPr>
              <w:rPr>
                <w:rFonts w:hint="eastAsia"/>
              </w:rPr>
            </w:pPr>
            <w:r>
              <w:rPr>
                <w:rFonts w:hint="eastAsia"/>
                <w:lang w:val="en-US" w:eastAsia="zh-CN"/>
              </w:rPr>
              <w:t>4、采购公告发布日期：2021年10月12日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963" w:type="pct"/>
            <w:shd w:val="clear" w:color="auto" w:fill="auto"/>
            <w:vAlign w:val="center"/>
          </w:tcPr>
          <w:p>
            <w:pPr>
              <w:rPr>
                <w:rFonts w:hint="eastAsia"/>
              </w:rPr>
            </w:pPr>
            <w:r>
              <w:rPr>
                <w:rFonts w:hint="eastAsia"/>
                <w:lang w:val="en-US" w:eastAsia="zh-CN"/>
              </w:rPr>
              <w:t>5、评审日期：2021年11月5日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963" w:type="pct"/>
            <w:shd w:val="clear" w:color="auto" w:fill="auto"/>
            <w:vAlign w:val="center"/>
          </w:tcPr>
          <w:p>
            <w:pPr>
              <w:rPr>
                <w:rFonts w:hint="eastAsia"/>
              </w:rPr>
            </w:pPr>
            <w:r>
              <w:rPr>
                <w:rFonts w:hint="eastAsia"/>
                <w:lang w:val="en-US" w:eastAsia="zh-CN"/>
              </w:rPr>
              <w:t>二、成交情况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963" w:type="pct"/>
            <w:shd w:val="clear" w:color="auto" w:fill="auto"/>
            <w:vAlign w:val="center"/>
          </w:tcPr>
          <w:tbl>
            <w:tblPr>
              <w:tblStyle w:val="8"/>
              <w:tblW w:w="5151" w:type="pct"/>
              <w:tblCellSpacing w:w="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15"/>
              <w:gridCol w:w="1618"/>
              <w:gridCol w:w="1618"/>
              <w:gridCol w:w="1526"/>
              <w:gridCol w:w="1375"/>
              <w:gridCol w:w="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392" w:hRule="atLeast"/>
                <w:tblCellSpacing w:w="0" w:type="dxa"/>
              </w:trPr>
              <w:tc>
                <w:tcPr>
                  <w:tcW w:w="953" w:type="pct"/>
                  <w:tcBorders>
                    <w:bottom w:val="single" w:color="auto" w:sz="4" w:space="0"/>
                  </w:tcBorders>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包号</w:t>
                  </w:r>
                </w:p>
              </w:tc>
              <w:tc>
                <w:tcPr>
                  <w:tcW w:w="955" w:type="pct"/>
                  <w:tcBorders>
                    <w:bottom w:val="single" w:color="auto" w:sz="4" w:space="0"/>
                  </w:tcBorders>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采购内容</w:t>
                  </w:r>
                </w:p>
              </w:tc>
              <w:tc>
                <w:tcPr>
                  <w:tcW w:w="955" w:type="pct"/>
                  <w:tcBorders>
                    <w:bottom w:val="single" w:color="auto" w:sz="4" w:space="0"/>
                  </w:tcBorders>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供应商名称</w:t>
                  </w:r>
                </w:p>
              </w:tc>
              <w:tc>
                <w:tcPr>
                  <w:tcW w:w="901" w:type="pct"/>
                  <w:tcBorders>
                    <w:bottom w:val="single" w:color="auto" w:sz="4" w:space="0"/>
                  </w:tcBorders>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地 址</w:t>
                  </w:r>
                </w:p>
              </w:tc>
              <w:tc>
                <w:tcPr>
                  <w:tcW w:w="812" w:type="pct"/>
                  <w:tcBorders>
                    <w:bottom w:val="single" w:color="auto" w:sz="4" w:space="0"/>
                  </w:tcBorders>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中标金额</w:t>
                  </w:r>
                </w:p>
              </w:tc>
              <w:tc>
                <w:tcPr>
                  <w:tcW w:w="422" w:type="pct"/>
                  <w:tcBorders>
                    <w:bottom w:val="single" w:color="auto" w:sz="4" w:space="0"/>
                  </w:tcBorders>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195" w:hRule="atLeast"/>
                <w:tblCellSpacing w:w="0" w:type="dxa"/>
              </w:trPr>
              <w:tc>
                <w:tcPr>
                  <w:tcW w:w="953" w:type="pct"/>
                  <w:vMerge w:val="restart"/>
                  <w:shd w:val="clear" w:color="auto" w:fill="auto"/>
                  <w:vAlign w:val="center"/>
                </w:tcPr>
                <w:p>
                  <w:pPr>
                    <w:rPr>
                      <w:rFonts w:hint="eastAsia"/>
                      <w:b w:val="0"/>
                      <w:bCs w:val="0"/>
                      <w:color w:val="000000" w:themeColor="text1"/>
                      <w:shd w:val="clear" w:color="auto" w:fill="auto"/>
                      <w14:textFill>
                        <w14:solidFill>
                          <w14:schemeClr w14:val="tx1"/>
                        </w14:solidFill>
                      </w14:textFill>
                    </w:rPr>
                  </w:pPr>
                  <w:r>
                    <w:rPr>
                      <w:rFonts w:hint="eastAsia"/>
                      <w:b w:val="0"/>
                      <w:bCs w:val="0"/>
                      <w:color w:val="000000" w:themeColor="text1"/>
                      <w:shd w:val="clear" w:color="auto" w:fill="auto"/>
                      <w:lang w:val="en-US" w:eastAsia="zh-CN"/>
                      <w14:textFill>
                        <w14:solidFill>
                          <w14:schemeClr w14:val="tx1"/>
                        </w14:solidFill>
                      </w14:textFill>
                    </w:rPr>
                    <w:t>一标段</w:t>
                  </w:r>
                </w:p>
              </w:tc>
              <w:tc>
                <w:tcPr>
                  <w:tcW w:w="955" w:type="pct"/>
                  <w:shd w:val="clear" w:color="auto" w:fill="auto"/>
                  <w:vAlign w:val="center"/>
                </w:tcPr>
                <w:p>
                  <w:pPr>
                    <w:rPr>
                      <w:rFonts w:hint="eastAsia"/>
                      <w:b w:val="0"/>
                      <w:bCs w:val="0"/>
                      <w:color w:val="000000" w:themeColor="text1"/>
                      <w:shd w:val="clear" w:color="auto" w:fill="auto"/>
                      <w14:textFill>
                        <w14:solidFill>
                          <w14:schemeClr w14:val="tx1"/>
                        </w14:solidFill>
                      </w14:textFill>
                    </w:rPr>
                  </w:pPr>
                  <w:r>
                    <w:rPr>
                      <w:rFonts w:hint="eastAsia"/>
                      <w:b w:val="0"/>
                      <w:bCs w:val="0"/>
                      <w:color w:val="000000" w:themeColor="text1"/>
                      <w:shd w:val="clear" w:color="auto" w:fill="auto"/>
                      <w:lang w:val="en-US" w:eastAsia="zh-CN"/>
                      <w14:textFill>
                        <w14:solidFill>
                          <w14:schemeClr w14:val="tx1"/>
                        </w14:solidFill>
                      </w14:textFill>
                    </w:rPr>
                    <w:pict>
                      <v:shape id="_x0000_i1025" o:spt="201" type="#_x0000_t201" style="height:0pt;width:0.05pt;" filled="f" coordsize="21600,21600">
                        <v:path/>
                        <v:fill on="f" focussize="0,0"/>
                        <v:stroke/>
                        <v:imagedata o:title=""/>
                        <o:lock v:ext="edit" aspectratio="t"/>
                        <w10:wrap type="none"/>
                        <w10:anchorlock/>
                      </v:shape>
                    </w:pict>
                  </w:r>
                  <w:r>
                    <w:rPr>
                      <w:rFonts w:hint="eastAsia"/>
                      <w:b w:val="0"/>
                      <w:bCs w:val="0"/>
                      <w:color w:val="000000" w:themeColor="text1"/>
                      <w:shd w:val="clear" w:color="auto" w:fill="auto"/>
                      <w:lang w:val="en-US" w:eastAsia="zh-CN"/>
                      <w14:textFill>
                        <w14:solidFill>
                          <w14:schemeClr w14:val="tx1"/>
                        </w14:solidFill>
                      </w14:textFill>
                    </w:rPr>
                    <w:t>本项目规划范围对鄢陵县城乡总体规划四大片区（老城区、产业集聚区、高铁片区、鹤鸣湖片区）范围内约68平方公里进行航空摄影，制作倾斜摄影三维模型、正射影像、“双违”宗地信息数据上图、鹤鸣湖区域和花博园区地形图测绘以及三维规划辅助决策系统平台升级维护。</w:t>
                  </w:r>
                </w:p>
              </w:tc>
              <w:tc>
                <w:tcPr>
                  <w:tcW w:w="955" w:type="pct"/>
                  <w:shd w:val="clear" w:color="auto" w:fill="auto"/>
                  <w:vAlign w:val="center"/>
                </w:tcPr>
                <w:p>
                  <w:pPr>
                    <w:rPr>
                      <w:rFonts w:hint="eastAsia"/>
                      <w:b w:val="0"/>
                      <w:bCs w:val="0"/>
                      <w:color w:val="000000" w:themeColor="text1"/>
                      <w:shd w:val="clear" w:color="auto" w:fill="auto"/>
                      <w14:textFill>
                        <w14:solidFill>
                          <w14:schemeClr w14:val="tx1"/>
                        </w14:solidFill>
                      </w14:textFill>
                    </w:rPr>
                  </w:pPr>
                  <w:r>
                    <w:rPr>
                      <w:rFonts w:hint="eastAsia"/>
                      <w:b w:val="0"/>
                      <w:bCs w:val="0"/>
                      <w:color w:val="000000" w:themeColor="text1"/>
                      <w:shd w:val="clear" w:color="auto" w:fill="auto"/>
                      <w14:textFill>
                        <w14:solidFill>
                          <w14:schemeClr w14:val="tx1"/>
                        </w14:solidFill>
                      </w14:textFill>
                    </w:rPr>
                    <w:t>河南省天澜信息科技有限公司</w:t>
                  </w:r>
                </w:p>
              </w:tc>
              <w:tc>
                <w:tcPr>
                  <w:tcW w:w="901" w:type="pct"/>
                  <w:shd w:val="clear" w:color="auto" w:fill="auto"/>
                  <w:vAlign w:val="center"/>
                </w:tcPr>
                <w:p>
                  <w:pPr>
                    <w:rPr>
                      <w:rFonts w:hint="eastAsia"/>
                      <w:b w:val="0"/>
                      <w:bCs w:val="0"/>
                      <w:color w:val="000000" w:themeColor="text1"/>
                      <w:shd w:val="clear" w:color="auto" w:fill="auto"/>
                      <w14:textFill>
                        <w14:solidFill>
                          <w14:schemeClr w14:val="tx1"/>
                        </w14:solidFill>
                      </w14:textFill>
                    </w:rPr>
                  </w:pPr>
                  <w:r>
                    <w:rPr>
                      <w:rFonts w:hint="eastAsia"/>
                      <w:b w:val="0"/>
                      <w:bCs w:val="0"/>
                      <w:color w:val="000000" w:themeColor="text1"/>
                      <w:shd w:val="clear" w:color="auto" w:fill="auto"/>
                      <w14:textFill>
                        <w14:solidFill>
                          <w14:schemeClr w14:val="tx1"/>
                        </w14:solidFill>
                      </w14:textFill>
                    </w:rPr>
                    <w:t>禹州市钧台街道连洛大道中原云都数字港7楼</w:t>
                  </w:r>
                </w:p>
              </w:tc>
              <w:tc>
                <w:tcPr>
                  <w:tcW w:w="812" w:type="pct"/>
                  <w:shd w:val="clear" w:color="auto" w:fill="auto"/>
                  <w:vAlign w:val="center"/>
                </w:tcPr>
                <w:p>
                  <w:pPr>
                    <w:rPr>
                      <w:rFonts w:hint="eastAsia"/>
                      <w:b w:val="0"/>
                      <w:bCs w:val="0"/>
                      <w:color w:val="000000" w:themeColor="text1"/>
                      <w:shd w:val="clear" w:color="auto" w:fill="auto"/>
                      <w14:textFill>
                        <w14:solidFill>
                          <w14:schemeClr w14:val="tx1"/>
                        </w14:solidFill>
                      </w14:textFill>
                    </w:rPr>
                  </w:pPr>
                  <w:r>
                    <w:rPr>
                      <w:rFonts w:hint="eastAsia"/>
                      <w:b w:val="0"/>
                      <w:bCs w:val="0"/>
                      <w:color w:val="000000" w:themeColor="text1"/>
                      <w:shd w:val="clear" w:color="auto" w:fill="auto"/>
                      <w14:textFill>
                        <w14:solidFill>
                          <w14:schemeClr w14:val="tx1"/>
                        </w14:solidFill>
                      </w14:textFill>
                    </w:rPr>
                    <w:t>2685000</w:t>
                  </w:r>
                </w:p>
              </w:tc>
              <w:tc>
                <w:tcPr>
                  <w:tcW w:w="422" w:type="pct"/>
                  <w:shd w:val="clear" w:color="auto" w:fill="auto"/>
                  <w:vAlign w:val="center"/>
                </w:tcPr>
                <w:p>
                  <w:pPr>
                    <w:rPr>
                      <w:rFonts w:hint="eastAsia"/>
                      <w:b w:val="0"/>
                      <w:bCs w:val="0"/>
                      <w:color w:val="000000" w:themeColor="text1"/>
                      <w:shd w:val="clear" w:color="auto" w:fill="auto"/>
                      <w14:textFill>
                        <w14:solidFill>
                          <w14:schemeClr w14:val="tx1"/>
                        </w14:solidFill>
                      </w14:textFill>
                    </w:rPr>
                  </w:pPr>
                  <w:r>
                    <w:rPr>
                      <w:rFonts w:hint="eastAsia"/>
                      <w:b w:val="0"/>
                      <w:bCs w:val="0"/>
                      <w:color w:val="000000" w:themeColor="text1"/>
                      <w:shd w:val="clear" w:color="auto" w:fill="auto"/>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blCellSpacing w:w="0" w:type="dxa"/>
              </w:trPr>
              <w:tc>
                <w:tcPr>
                  <w:tcW w:w="953" w:type="pct"/>
                  <w:vMerge w:val="continue"/>
                  <w:shd w:val="clear" w:color="auto" w:fill="auto"/>
                  <w:vAlign w:val="center"/>
                </w:tcPr>
                <w:p>
                  <w:pPr>
                    <w:rPr>
                      <w:rFonts w:hint="eastAsia"/>
                      <w:b w:val="0"/>
                      <w:bCs w:val="0"/>
                      <w:shd w:val="clear" w:color="auto" w:fill="auto"/>
                    </w:rPr>
                  </w:pPr>
                </w:p>
              </w:tc>
              <w:tc>
                <w:tcPr>
                  <w:tcW w:w="4046" w:type="pct"/>
                  <w:gridSpan w:val="5"/>
                  <w:shd w:val="clear" w:color="auto" w:fill="auto"/>
                  <w:vAlign w:val="center"/>
                </w:tcPr>
                <w:tbl>
                  <w:tblPr>
                    <w:tblStyle w:val="8"/>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41"/>
                    <w:gridCol w:w="1362"/>
                    <w:gridCol w:w="1362"/>
                    <w:gridCol w:w="1362"/>
                    <w:gridCol w:w="1022"/>
                    <w:gridCol w:w="13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blCellSpacing w:w="0" w:type="dxa"/>
                    </w:trPr>
                    <w:tc>
                      <w:tcPr>
                        <w:tcW w:w="250" w:type="pct"/>
                        <w:shd w:val="clear" w:color="auto" w:fill="auto"/>
                        <w:noWrap/>
                        <w:vAlign w:val="center"/>
                      </w:tcPr>
                      <w:p>
                        <w:pPr>
                          <w:rPr>
                            <w:rFonts w:hint="eastAsia"/>
                            <w:b w:val="0"/>
                            <w:bCs w:val="0"/>
                            <w:shd w:val="clear" w:color="auto" w:fill="auto"/>
                          </w:rPr>
                        </w:pPr>
                        <w:r>
                          <w:rPr>
                            <w:rFonts w:hint="eastAsia"/>
                            <w:b w:val="0"/>
                            <w:bCs w:val="0"/>
                            <w:shd w:val="clear" w:color="auto" w:fill="auto"/>
                            <w:lang w:val="en-US" w:eastAsia="zh-CN"/>
                          </w:rPr>
                          <w:t>序号</w:t>
                        </w:r>
                      </w:p>
                    </w:tc>
                    <w:tc>
                      <w:tcPr>
                        <w:tcW w:w="1000" w:type="pct"/>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名称</w:t>
                        </w:r>
                      </w:p>
                    </w:tc>
                    <w:tc>
                      <w:tcPr>
                        <w:tcW w:w="1000" w:type="pct"/>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服务范围</w:t>
                        </w:r>
                      </w:p>
                    </w:tc>
                    <w:tc>
                      <w:tcPr>
                        <w:tcW w:w="1000" w:type="pct"/>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服务要求</w:t>
                        </w:r>
                      </w:p>
                    </w:tc>
                    <w:tc>
                      <w:tcPr>
                        <w:tcW w:w="750" w:type="pct"/>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服务时间</w:t>
                        </w:r>
                      </w:p>
                    </w:tc>
                    <w:tc>
                      <w:tcPr>
                        <w:tcW w:w="1000" w:type="pct"/>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服务标准</w:t>
                        </w:r>
                      </w:p>
                    </w:tc>
                  </w:tr>
                  <w:tr>
                    <w:tblPrEx>
                      <w:tblBorders>
                        <w:top w:val="non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50" w:type="dxa"/>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1</w:t>
                        </w:r>
                      </w:p>
                    </w:tc>
                    <w:tc>
                      <w:tcPr>
                        <w:tcW w:w="1345" w:type="dxa"/>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详见附件</w:t>
                        </w:r>
                      </w:p>
                    </w:tc>
                    <w:tc>
                      <w:tcPr>
                        <w:tcW w:w="1345" w:type="dxa"/>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详见附件</w:t>
                        </w:r>
                      </w:p>
                    </w:tc>
                    <w:tc>
                      <w:tcPr>
                        <w:tcW w:w="1346" w:type="dxa"/>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详见附件</w:t>
                        </w:r>
                      </w:p>
                    </w:tc>
                    <w:tc>
                      <w:tcPr>
                        <w:tcW w:w="1004" w:type="dxa"/>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详见附件</w:t>
                        </w:r>
                      </w:p>
                    </w:tc>
                    <w:tc>
                      <w:tcPr>
                        <w:tcW w:w="1346" w:type="dxa"/>
                        <w:shd w:val="clear" w:color="auto" w:fill="auto"/>
                        <w:vAlign w:val="center"/>
                      </w:tcPr>
                      <w:p>
                        <w:pPr>
                          <w:rPr>
                            <w:rFonts w:hint="eastAsia"/>
                            <w:b w:val="0"/>
                            <w:bCs w:val="0"/>
                            <w:shd w:val="clear" w:color="auto" w:fill="auto"/>
                          </w:rPr>
                        </w:pPr>
                        <w:r>
                          <w:rPr>
                            <w:rFonts w:hint="eastAsia"/>
                            <w:b w:val="0"/>
                            <w:bCs w:val="0"/>
                            <w:shd w:val="clear" w:color="auto" w:fill="auto"/>
                            <w:lang w:val="en-US" w:eastAsia="zh-CN"/>
                          </w:rPr>
                          <w:t>详见附件</w:t>
                        </w:r>
                      </w:p>
                    </w:tc>
                  </w:tr>
                </w:tbl>
                <w:p>
                  <w:pPr>
                    <w:rPr>
                      <w:rFonts w:hint="eastAsia"/>
                      <w:b w:val="0"/>
                      <w:bCs w:val="0"/>
                      <w:shd w:val="clear" w:color="auto" w:fill="auto"/>
                    </w:rPr>
                  </w:pPr>
                </w:p>
              </w:tc>
            </w:tr>
          </w:tbl>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963" w:type="pct"/>
            <w:shd w:val="clear" w:color="auto" w:fill="auto"/>
            <w:vAlign w:val="center"/>
          </w:tcPr>
          <w:p>
            <w:pPr>
              <w:rPr>
                <w:rFonts w:hint="eastAsia"/>
                <w:lang w:val="en-US" w:eastAsia="zh-CN"/>
              </w:rPr>
            </w:pPr>
          </w:p>
          <w:p>
            <w:pPr>
              <w:rPr>
                <w:rFonts w:hint="eastAsia"/>
              </w:rPr>
            </w:pPr>
            <w:r>
              <w:rPr>
                <w:rFonts w:hint="eastAsia"/>
                <w:lang w:val="en-US" w:eastAsia="zh-CN"/>
              </w:rPr>
              <w:t>三、评审专家名单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963" w:type="pct"/>
            <w:shd w:val="clear" w:color="auto" w:fill="auto"/>
            <w:vAlign w:val="center"/>
          </w:tcPr>
          <w:p>
            <w:pPr>
              <w:rPr>
                <w:rFonts w:hint="eastAsia"/>
              </w:rPr>
            </w:pPr>
            <w:r>
              <w:rPr>
                <w:rFonts w:hint="eastAsia"/>
              </w:rPr>
              <w:t>轩放林</w:t>
            </w:r>
            <w:r>
              <w:rPr>
                <w:rFonts w:hint="eastAsia"/>
                <w:color w:val="000000" w:themeColor="text1"/>
                <w14:textFill>
                  <w14:solidFill>
                    <w14:schemeClr w14:val="tx1"/>
                  </w14:solidFill>
                </w14:textFill>
              </w:rPr>
              <w:t xml:space="preserve"> （组长）</w:t>
            </w:r>
            <w:r>
              <w:rPr>
                <w:rFonts w:hint="eastAsia"/>
              </w:rPr>
              <w:t>、</w:t>
            </w:r>
            <w:r>
              <w:rPr>
                <w:rFonts w:hint="eastAsia"/>
                <w:color w:val="000000" w:themeColor="text1"/>
                <w14:textFill>
                  <w14:solidFill>
                    <w14:schemeClr w14:val="tx1"/>
                  </w14:solidFill>
                </w14:textFill>
              </w:rPr>
              <w:t>朱红云</w:t>
            </w:r>
            <w:r>
              <w:rPr>
                <w:rFonts w:hint="eastAsia"/>
              </w:rPr>
              <w:t>、李银亮 、马晓艳、</w:t>
            </w:r>
            <w:r>
              <w:rPr>
                <w:rFonts w:hint="eastAsia"/>
                <w:lang w:val="en-US" w:eastAsia="zh-CN"/>
              </w:rPr>
              <w:t>李廷亮</w:t>
            </w:r>
            <w:r>
              <w:rPr>
                <w:rFonts w:hint="eastAsia"/>
              </w:rPr>
              <w:t>（采购人代表）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963" w:type="pct"/>
            <w:shd w:val="clear" w:color="auto" w:fill="auto"/>
            <w:vAlign w:val="center"/>
          </w:tcPr>
          <w:p>
            <w:pPr>
              <w:rPr>
                <w:rFonts w:hint="eastAsia"/>
              </w:rPr>
            </w:pPr>
            <w:r>
              <w:rPr>
                <w:rFonts w:hint="eastAsia"/>
                <w:lang w:val="en-US" w:eastAsia="zh-CN"/>
              </w:rPr>
              <w:t>四、代理服务收费标准及金额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963" w:type="pct"/>
            <w:shd w:val="clear" w:color="auto" w:fill="auto"/>
            <w:vAlign w:val="center"/>
          </w:tcPr>
          <w:p>
            <w:pPr>
              <w:rPr>
                <w:rFonts w:hint="eastAsia"/>
              </w:rPr>
            </w:pPr>
            <w:r>
              <w:rPr>
                <w:rFonts w:hint="eastAsia"/>
                <w:lang w:val="en-US" w:eastAsia="zh-CN"/>
              </w:rPr>
              <w:t>收费标准：参照发改办价格[2003]（857）号文件规定收取。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963" w:type="pct"/>
            <w:shd w:val="clear" w:color="auto" w:fill="auto"/>
            <w:vAlign w:val="center"/>
          </w:tcPr>
          <w:p>
            <w:pPr>
              <w:rPr>
                <w:rFonts w:hint="default"/>
                <w:lang w:val="en-US"/>
              </w:rPr>
            </w:pPr>
            <w:r>
              <w:rPr>
                <w:rFonts w:hint="eastAsia"/>
                <w:lang w:val="en-US" w:eastAsia="zh-CN"/>
              </w:rPr>
              <w:t xml:space="preserve">收费金额：28480元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963" w:type="pct"/>
            <w:shd w:val="clear" w:color="auto" w:fill="auto"/>
            <w:vAlign w:val="center"/>
          </w:tcPr>
          <w:p>
            <w:pPr>
              <w:rPr>
                <w:rFonts w:hint="eastAsia"/>
              </w:rPr>
            </w:pPr>
            <w:r>
              <w:rPr>
                <w:rFonts w:hint="eastAsia"/>
                <w:lang w:val="en-US" w:eastAsia="zh-CN"/>
              </w:rPr>
              <w:t>五、成交公告发布的媒介及成交公告期限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963" w:type="pct"/>
            <w:shd w:val="clear" w:color="auto" w:fill="auto"/>
            <w:vAlign w:val="center"/>
          </w:tcPr>
          <w:p>
            <w:pPr>
              <w:rPr>
                <w:rFonts w:hint="eastAsia"/>
              </w:rPr>
            </w:pPr>
            <w:r>
              <w:rPr>
                <w:rFonts w:hint="eastAsia"/>
                <w:lang w:val="en-US" w:eastAsia="zh-CN"/>
              </w:rPr>
              <w:t>本次中标公告在</w:t>
            </w:r>
            <w:r>
              <w:t>《中国政府采购网》、《河南省政府采购网》、《许昌市政府采购网》、《全国公共资源交易平台（河南省·许昌市）》</w:t>
            </w:r>
            <w:r>
              <w:rPr>
                <w:rFonts w:hint="eastAsia"/>
                <w:lang w:val="en-US" w:eastAsia="zh-CN"/>
              </w:rPr>
              <w:t xml:space="preserve">上发布，成交公告期限为1个工作日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4963" w:type="pct"/>
            <w:shd w:val="clear" w:color="auto" w:fill="auto"/>
            <w:vAlign w:val="center"/>
          </w:tcPr>
          <w:p>
            <w:pPr>
              <w:rPr>
                <w:rFonts w:hint="eastAsia"/>
              </w:rPr>
            </w:pPr>
            <w:r>
              <w:rPr>
                <w:rFonts w:hint="eastAsia"/>
                <w:lang w:val="en-US" w:eastAsia="zh-CN"/>
              </w:rPr>
              <w:t>六、其他补充事宜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963" w:type="pct"/>
            <w:shd w:val="clear" w:color="auto" w:fill="auto"/>
            <w:vAlign w:val="center"/>
          </w:tcPr>
          <w:p>
            <w:pPr>
              <w:rPr>
                <w:rFonts w:hint="eastAsia"/>
              </w:rPr>
            </w:pPr>
            <w:r>
              <w:rPr>
                <w:rFonts w:hint="eastAsia"/>
                <w:lang w:val="en-US" w:eastAsia="zh-CN"/>
              </w:rPr>
              <w:t>无</w:t>
            </w:r>
          </w:p>
        </w:tc>
      </w:tr>
    </w:tbl>
    <w:p>
      <w:pPr>
        <w:rPr>
          <w:rFonts w:hint="eastAsia"/>
          <w:lang w:val="en-US" w:eastAsia="zh-CN"/>
        </w:rPr>
      </w:pPr>
    </w:p>
    <w:p>
      <w:pPr>
        <w:numPr>
          <w:ilvl w:val="0"/>
          <w:numId w:val="1"/>
        </w:numPr>
        <w:rPr>
          <w:rFonts w:hint="eastAsia"/>
          <w:lang w:val="en-US" w:eastAsia="zh-CN"/>
        </w:rPr>
      </w:pPr>
      <w:r>
        <w:rPr>
          <w:rFonts w:hint="eastAsia"/>
          <w:lang w:val="en-US" w:eastAsia="zh-CN"/>
        </w:rPr>
        <w:t>凡对本次公告内容提出询问，请按以下方式联系</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20" w:firstLineChars="200"/>
        <w:textAlignment w:val="auto"/>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w:t>
      </w:r>
      <w:r>
        <w:rPr>
          <w:rFonts w:hint="default" w:asciiTheme="minorHAnsi" w:hAnsiTheme="minorHAnsi" w:eastAsiaTheme="minorEastAsia" w:cstheme="minorBidi"/>
          <w:kern w:val="2"/>
          <w:sz w:val="21"/>
          <w:szCs w:val="24"/>
          <w:lang w:val="en-US" w:eastAsia="zh-CN" w:bidi="ar-SA"/>
        </w:rPr>
        <w:t>采购人名称：鄢陵县自然资源局</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20" w:firstLineChars="200"/>
        <w:textAlignment w:val="auto"/>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地址：鄢陵县花都大道869号</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20" w:firstLineChars="200"/>
        <w:textAlignment w:val="auto"/>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联系人：康先生</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20" w:firstLineChars="200"/>
        <w:textAlignment w:val="auto"/>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联系电话：0374-7162605</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2.代理购机构：河南旭航工程咨询有限公司</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地址：鄢陵县人民路中段</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联系人：许先生</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联系电话：18569922625 </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3.项目联系方式 </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联系人：许先生</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联系电话：18569922625 </w:t>
      </w:r>
    </w:p>
    <w:p>
      <w:pPr>
        <w:numPr>
          <w:ilvl w:val="0"/>
          <w:numId w:val="0"/>
        </w:num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F8D58"/>
    <w:multiLevelType w:val="singleLevel"/>
    <w:tmpl w:val="94AF8D5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C196F"/>
    <w:rsid w:val="059F21BD"/>
    <w:rsid w:val="0755310B"/>
    <w:rsid w:val="0FBD0B99"/>
    <w:rsid w:val="10C20BDE"/>
    <w:rsid w:val="124675EC"/>
    <w:rsid w:val="144F24BE"/>
    <w:rsid w:val="210668C5"/>
    <w:rsid w:val="219C3374"/>
    <w:rsid w:val="29F82FD1"/>
    <w:rsid w:val="30AA3946"/>
    <w:rsid w:val="35E64E9C"/>
    <w:rsid w:val="39740194"/>
    <w:rsid w:val="42DD27BE"/>
    <w:rsid w:val="4541586E"/>
    <w:rsid w:val="47587900"/>
    <w:rsid w:val="476C196F"/>
    <w:rsid w:val="48EE7ABB"/>
    <w:rsid w:val="4F786330"/>
    <w:rsid w:val="51B318A1"/>
    <w:rsid w:val="52C43FDC"/>
    <w:rsid w:val="5DEB2841"/>
    <w:rsid w:val="690A4A09"/>
    <w:rsid w:val="6CF527E2"/>
    <w:rsid w:val="6E487325"/>
    <w:rsid w:val="754B49C2"/>
    <w:rsid w:val="757B0462"/>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ind w:firstLine="420" w:firstLineChars="100"/>
    </w:pPr>
  </w:style>
  <w:style w:type="paragraph" w:styleId="3">
    <w:name w:val="Body Text"/>
    <w:basedOn w:val="1"/>
    <w:next w:val="4"/>
    <w:qFormat/>
    <w:uiPriority w:val="1"/>
    <w:rPr>
      <w:rFonts w:ascii="宋体" w:hAnsi="宋体" w:eastAsia="宋体" w:cs="宋体"/>
      <w:sz w:val="24"/>
      <w:szCs w:val="24"/>
      <w:lang w:val="zh-CN" w:eastAsia="zh-CN" w:bidi="zh-CN"/>
    </w:rPr>
  </w:style>
  <w:style w:type="paragraph" w:styleId="4">
    <w:name w:val="Body Text 2"/>
    <w:basedOn w:val="1"/>
    <w:qFormat/>
    <w:uiPriority w:val="99"/>
    <w:pPr>
      <w:spacing w:line="900" w:lineRule="exact"/>
      <w:jc w:val="center"/>
    </w:pPr>
    <w:rPr>
      <w:rFonts w:eastAsia="楷体_GB2312"/>
      <w:b/>
      <w:bCs/>
      <w:sz w:val="36"/>
      <w:szCs w:val="36"/>
    </w:rPr>
  </w:style>
  <w:style w:type="paragraph" w:styleId="5">
    <w:name w:val="Body Text First Indent 2"/>
    <w:basedOn w:val="6"/>
    <w:next w:val="1"/>
    <w:qFormat/>
    <w:uiPriority w:val="99"/>
    <w:pPr>
      <w:ind w:firstLine="420" w:firstLineChars="200"/>
    </w:pPr>
  </w:style>
  <w:style w:type="paragraph" w:styleId="6">
    <w:name w:val="Body Text Indent"/>
    <w:basedOn w:val="1"/>
    <w:qFormat/>
    <w:uiPriority w:val="99"/>
    <w:pPr>
      <w:spacing w:after="120"/>
      <w:ind w:left="420" w:leftChars="200"/>
    </w:p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character" w:customStyle="1" w:styleId="13">
    <w:name w:val="hover25"/>
    <w:basedOn w:val="9"/>
    <w:qFormat/>
    <w:uiPriority w:val="0"/>
  </w:style>
  <w:style w:type="character" w:customStyle="1" w:styleId="14">
    <w:name w:val="green"/>
    <w:basedOn w:val="9"/>
    <w:qFormat/>
    <w:uiPriority w:val="0"/>
    <w:rPr>
      <w:color w:val="66AE00"/>
      <w:sz w:val="14"/>
      <w:szCs w:val="14"/>
    </w:rPr>
  </w:style>
  <w:style w:type="character" w:customStyle="1" w:styleId="15">
    <w:name w:val="green1"/>
    <w:basedOn w:val="9"/>
    <w:qFormat/>
    <w:uiPriority w:val="0"/>
    <w:rPr>
      <w:color w:val="66AE00"/>
      <w:sz w:val="14"/>
      <w:szCs w:val="14"/>
    </w:rPr>
  </w:style>
  <w:style w:type="character" w:customStyle="1" w:styleId="16">
    <w:name w:val="right"/>
    <w:basedOn w:val="9"/>
    <w:qFormat/>
    <w:uiPriority w:val="0"/>
    <w:rPr>
      <w:color w:val="999999"/>
      <w:sz w:val="14"/>
      <w:szCs w:val="14"/>
    </w:rPr>
  </w:style>
  <w:style w:type="character" w:customStyle="1" w:styleId="17">
    <w:name w:val="red"/>
    <w:basedOn w:val="9"/>
    <w:qFormat/>
    <w:uiPriority w:val="0"/>
    <w:rPr>
      <w:color w:val="FF0000"/>
    </w:rPr>
  </w:style>
  <w:style w:type="character" w:customStyle="1" w:styleId="18">
    <w:name w:val="red1"/>
    <w:basedOn w:val="9"/>
    <w:qFormat/>
    <w:uiPriority w:val="0"/>
    <w:rPr>
      <w:color w:val="FF0000"/>
      <w:sz w:val="14"/>
      <w:szCs w:val="14"/>
    </w:rPr>
  </w:style>
  <w:style w:type="character" w:customStyle="1" w:styleId="19">
    <w:name w:val="red2"/>
    <w:basedOn w:val="9"/>
    <w:qFormat/>
    <w:uiPriority w:val="0"/>
    <w:rPr>
      <w:color w:val="FF0000"/>
      <w:sz w:val="14"/>
      <w:szCs w:val="14"/>
    </w:rPr>
  </w:style>
  <w:style w:type="character" w:customStyle="1" w:styleId="20">
    <w:name w:val="red3"/>
    <w:basedOn w:val="9"/>
    <w:qFormat/>
    <w:uiPriority w:val="0"/>
    <w:rPr>
      <w:color w:val="CC0000"/>
    </w:rPr>
  </w:style>
  <w:style w:type="character" w:customStyle="1" w:styleId="21">
    <w:name w:val="gb-jt"/>
    <w:basedOn w:val="9"/>
    <w:qFormat/>
    <w:uiPriority w:val="0"/>
  </w:style>
  <w:style w:type="character" w:customStyle="1" w:styleId="22">
    <w:name w:val="blue"/>
    <w:basedOn w:val="9"/>
    <w:qFormat/>
    <w:uiPriority w:val="0"/>
    <w:rPr>
      <w:color w:val="0371C6"/>
      <w:sz w:val="16"/>
      <w:szCs w:val="16"/>
    </w:rPr>
  </w:style>
  <w:style w:type="character" w:customStyle="1" w:styleId="23">
    <w:name w:val="active4"/>
    <w:basedOn w:val="9"/>
    <w:qFormat/>
    <w:uiPriority w:val="0"/>
    <w:rPr>
      <w:color w:val="FFFFFF"/>
      <w:shd w:val="clear" w:fill="2B7AFC"/>
    </w:rPr>
  </w:style>
  <w:style w:type="character" w:customStyle="1" w:styleId="24">
    <w:name w:val="hover24"/>
    <w:basedOn w:val="9"/>
    <w:qFormat/>
    <w:uiPriority w:val="0"/>
  </w:style>
  <w:style w:type="character" w:customStyle="1" w:styleId="25">
    <w:name w:val="active"/>
    <w:basedOn w:val="9"/>
    <w:qFormat/>
    <w:uiPriority w:val="0"/>
    <w:rPr>
      <w:color w:val="FFFFFF"/>
      <w:shd w:val="clear" w:fill="2B7AF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2021-09-28T09:06:00Z</dcterms:created>
  <dc:creator> 时间</dc:creator>
  <cp:lastModifiedBy> 时间</cp:lastModifiedBy>
  <dcterms:modified xsi:type="dcterms:W3CDTF">2021-11-06T07:19:25Z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6291378B54A947899F97C11E0F2536F0</vt:lpwstr>
  </property>
</Properties>
</file>