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rPr>
          <w:rFonts w:ascii="黑体" w:hAnsi="黑体" w:eastAsia="黑体" w:cs="宋体"/>
          <w:b/>
          <w:color w:val="000000"/>
          <w:sz w:val="36"/>
          <w:szCs w:val="36"/>
        </w:rPr>
      </w:pPr>
      <w:r>
        <w:rPr>
          <w:rFonts w:hint="eastAsia" w:ascii="黑体" w:hAnsi="黑体" w:eastAsia="黑体" w:cs="宋体"/>
          <w:b/>
          <w:color w:val="000000"/>
          <w:sz w:val="36"/>
          <w:szCs w:val="36"/>
        </w:rPr>
        <w:t>禹州市中心医院计算机机房升级改造项目（不见面开标）</w:t>
      </w:r>
    </w:p>
    <w:p>
      <w:pPr>
        <w:rPr>
          <w:rFonts w:cs="仿宋_GB2312" w:asciiTheme="minorEastAsia" w:hAnsiTheme="minorEastAsia"/>
          <w:color w:val="000000"/>
          <w:szCs w:val="21"/>
          <w:shd w:val="clear" w:color="auto" w:fill="FFFFFF"/>
        </w:rPr>
      </w:pPr>
    </w:p>
    <w:p>
      <w:pPr>
        <w:rPr>
          <w:rFonts w:ascii="华文隶书" w:eastAsia="华文隶书"/>
          <w:bCs/>
          <w:w w:val="90"/>
          <w:sz w:val="96"/>
        </w:rPr>
      </w:pPr>
    </w:p>
    <w:p>
      <w:pPr>
        <w:pStyle w:val="31"/>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采购编号：YZCG-T2021054</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采购单位：禹州市中心医院</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二〇二一年十一月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pStyle w:val="2"/>
      </w:pPr>
    </w:p>
    <w:p>
      <w:pPr>
        <w:pStyle w:val="2"/>
      </w:pPr>
    </w:p>
    <w:p>
      <w:pPr>
        <w:pStyle w:val="2"/>
        <w:ind w:firstLine="0" w:firstLineChars="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pP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禹州市政府采购中心受禹州市中心医院的委托，就“禹州市中心医院计算机机房升级改造项目（不见面开标）”进行竞争性谈判，欢迎合格的投标人前来投标。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1、采购人：禹州市中心医院</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2、项目名称：禹州市中心医院计算机机房升级改造项目（不见面开标）</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3、采购编号：YZCG-T2021054</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4、项目需求：处理器、交换机、存储阵列等一批（详见谈判文件）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5、合同履约期限：合同签订后10日内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6、采购预算：190万元</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 xml:space="preserve">三、供应商资格要求 </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1、符合《政府采购法》第二十二条之规定；</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1、响应文件提交截止时间及谈判响应截止时间、谈判时间：2021年11月17  日 10：30 （北京时间），逾期送达或不符合规定的响应文件恕不接受。</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六、谈判响应文件开启</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（一）谈判响应文件开启地点：禹州市公共资源交易中心九楼第二开标室。（本项目采用远程不见面谈判，供应商无须到达现场）。</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520" w:lineRule="exact"/>
        <w:ind w:firstLine="420" w:firstLineChars="200"/>
        <w:jc w:val="left"/>
        <w:rPr>
          <w:rFonts w:ascii="宋体" w:hAnsi="宋体" w:eastAsia="宋体" w:cs="宋体"/>
          <w:color w:val="000000"/>
          <w:kern w:val="0"/>
          <w:sz w:val="28"/>
          <w:szCs w:val="28"/>
        </w:rPr>
      </w:pPr>
      <w:r>
        <w:rPr>
          <w:rFonts w:hint="eastAsia" w:cs="仿宋_GB2312" w:asciiTheme="minorEastAsia" w:hAnsiTheme="minorEastAsia"/>
          <w:color w:val="000000"/>
          <w:szCs w:val="21"/>
          <w:shd w:val="clear" w:color="auto" w:fill="FFFFFF"/>
        </w:rPr>
        <w:t>(二)采购单位：禹州市中心医院</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联系人：巴先生                     联系电话：0374-8256708</w:t>
      </w:r>
    </w:p>
    <w:p>
      <w:pPr>
        <w:pStyle w:val="2"/>
      </w:pPr>
    </w:p>
    <w:p>
      <w:pPr>
        <w:spacing w:line="360" w:lineRule="auto"/>
        <w:rPr>
          <w:rFonts w:hAnsi="宋体"/>
          <w:b/>
          <w:color w:val="000000"/>
          <w:szCs w:val="21"/>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pStyle w:val="51"/>
        <w:widowControl/>
        <w:numPr>
          <w:ilvl w:val="0"/>
          <w:numId w:val="5"/>
        </w:numPr>
        <w:shd w:val="clear" w:color="auto" w:fill="FFFFFF"/>
        <w:spacing w:line="360" w:lineRule="auto"/>
        <w:ind w:firstLineChars="0"/>
        <w:jc w:val="left"/>
        <w:rPr>
          <w:rFonts w:hint="eastAsia" w:cs="仿宋_GB2312" w:asciiTheme="minorEastAsia" w:hAnsiTheme="minorEastAsia"/>
          <w:szCs w:val="21"/>
          <w:lang w:val="zh-CN"/>
        </w:rPr>
      </w:pPr>
      <w:r>
        <w:rPr>
          <w:rFonts w:hint="eastAsia" w:cs="黑体" w:asciiTheme="minorEastAsia" w:hAnsiTheme="minorEastAsia"/>
          <w:b/>
          <w:bCs/>
          <w:color w:val="000000"/>
          <w:sz w:val="24"/>
          <w:szCs w:val="24"/>
          <w:shd w:val="clear" w:color="auto" w:fill="FFFFFF"/>
        </w:rPr>
        <w:t>本项目需实现的功能或者目标</w:t>
      </w:r>
      <w:r>
        <w:rPr>
          <w:rFonts w:hint="eastAsia" w:cs="仿宋_GB2312" w:asciiTheme="minorEastAsia" w:hAnsiTheme="minorEastAsia"/>
          <w:szCs w:val="21"/>
          <w:lang w:val="zh-CN"/>
        </w:rPr>
        <w:t>：</w:t>
      </w:r>
      <w:r>
        <w:rPr>
          <w:rFonts w:cs="黑体" w:asciiTheme="minorEastAsia" w:hAnsiTheme="minorEastAsia"/>
          <w:b/>
          <w:bCs/>
          <w:color w:val="000000"/>
          <w:sz w:val="24"/>
          <w:szCs w:val="24"/>
          <w:shd w:val="clear" w:color="auto" w:fill="FFFFFF"/>
          <w:lang w:val="zh-CN"/>
        </w:rPr>
        <w:t xml:space="preserve"> </w:t>
      </w:r>
      <w:r>
        <w:rPr>
          <w:rFonts w:hint="eastAsia" w:cs="仿宋_GB2312" w:asciiTheme="minorEastAsia" w:hAnsiTheme="minorEastAsia"/>
          <w:szCs w:val="21"/>
          <w:lang w:val="zh-CN"/>
        </w:rPr>
        <w:t>为顺利推进现代中心医院医疗系统建设，确保医疗系统创建效果。</w:t>
      </w:r>
    </w:p>
    <w:p>
      <w:pPr>
        <w:pStyle w:val="51"/>
        <w:widowControl/>
        <w:numPr>
          <w:ilvl w:val="0"/>
          <w:numId w:val="5"/>
        </w:numPr>
        <w:shd w:val="clear" w:color="auto" w:fill="FFFFFF"/>
        <w:spacing w:line="360" w:lineRule="auto"/>
        <w:ind w:firstLineChars="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420" w:lineRule="exact"/>
        <w:ind w:firstLine="3570" w:firstLineChars="1700"/>
        <w:rPr>
          <w:rFonts w:cs="仿宋_GB2312" w:asciiTheme="minorEastAsia" w:hAnsiTheme="minorEastAsia"/>
          <w:szCs w:val="21"/>
          <w:lang w:val="zh-CN"/>
        </w:rPr>
      </w:pPr>
      <w:r>
        <w:rPr>
          <w:rFonts w:hint="eastAsia" w:cs="仿宋_GB2312" w:asciiTheme="minorEastAsia" w:hAnsiTheme="minorEastAsia"/>
          <w:szCs w:val="21"/>
          <w:lang w:val="zh-CN"/>
        </w:rPr>
        <w:t>服务器 （数量：1</w:t>
      </w:r>
      <w:r>
        <w:rPr>
          <w:rFonts w:cs="仿宋_GB2312" w:asciiTheme="minorEastAsia" w:hAnsiTheme="minorEastAsia"/>
          <w:szCs w:val="21"/>
          <w:lang w:val="zh-CN"/>
        </w:rPr>
        <w:t>2</w:t>
      </w:r>
      <w:r>
        <w:rPr>
          <w:rFonts w:hint="eastAsia" w:cs="仿宋_GB2312" w:asciiTheme="minorEastAsia" w:hAnsiTheme="minorEastAsia"/>
          <w:szCs w:val="21"/>
          <w:lang w:val="zh-CN"/>
        </w:rPr>
        <w:t>台）</w:t>
      </w:r>
    </w:p>
    <w:tbl>
      <w:tblPr>
        <w:tblStyle w:val="26"/>
        <w:tblW w:w="9452" w:type="dxa"/>
        <w:tblInd w:w="0" w:type="dxa"/>
        <w:tblLayout w:type="autofit"/>
        <w:tblCellMar>
          <w:top w:w="0" w:type="dxa"/>
          <w:left w:w="108" w:type="dxa"/>
          <w:bottom w:w="0" w:type="dxa"/>
          <w:right w:w="108" w:type="dxa"/>
        </w:tblCellMar>
      </w:tblPr>
      <w:tblGrid>
        <w:gridCol w:w="1600"/>
        <w:gridCol w:w="1600"/>
        <w:gridCol w:w="6252"/>
      </w:tblGrid>
      <w:tr>
        <w:tblPrEx>
          <w:tblCellMar>
            <w:top w:w="0" w:type="dxa"/>
            <w:left w:w="108" w:type="dxa"/>
            <w:bottom w:w="0" w:type="dxa"/>
            <w:right w:w="108" w:type="dxa"/>
          </w:tblCellMar>
        </w:tblPrEx>
        <w:trPr>
          <w:trHeight w:val="330" w:hRule="atLeast"/>
        </w:trPr>
        <w:tc>
          <w:tcPr>
            <w:tcW w:w="3200" w:type="dxa"/>
            <w:gridSpan w:val="2"/>
            <w:tcBorders>
              <w:top w:val="single" w:color="auto" w:sz="4" w:space="0"/>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指标项</w:t>
            </w:r>
          </w:p>
        </w:tc>
        <w:tc>
          <w:tcPr>
            <w:tcW w:w="6252" w:type="dxa"/>
            <w:tcBorders>
              <w:top w:val="single" w:color="auto" w:sz="4" w:space="0"/>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技术规格要求</w:t>
            </w:r>
          </w:p>
        </w:tc>
      </w:tr>
      <w:tr>
        <w:tblPrEx>
          <w:tblCellMar>
            <w:top w:w="0" w:type="dxa"/>
            <w:left w:w="108" w:type="dxa"/>
            <w:bottom w:w="0" w:type="dxa"/>
            <w:right w:w="108" w:type="dxa"/>
          </w:tblCellMar>
        </w:tblPrEx>
        <w:trPr>
          <w:trHeight w:val="470" w:hRule="atLeast"/>
        </w:trPr>
        <w:tc>
          <w:tcPr>
            <w:tcW w:w="1600" w:type="dxa"/>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总体要求</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制造商★</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国内外知名厂商</w:t>
            </w:r>
          </w:p>
        </w:tc>
      </w:tr>
      <w:tr>
        <w:tblPrEx>
          <w:tblCellMar>
            <w:top w:w="0" w:type="dxa"/>
            <w:left w:w="108" w:type="dxa"/>
            <w:bottom w:w="0" w:type="dxa"/>
            <w:right w:w="108" w:type="dxa"/>
          </w:tblCellMar>
        </w:tblPrEx>
        <w:trPr>
          <w:trHeight w:val="330" w:hRule="atLeast"/>
        </w:trPr>
        <w:tc>
          <w:tcPr>
            <w:tcW w:w="1600" w:type="dxa"/>
            <w:vMerge w:val="restart"/>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外型</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服务器外型</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机架式</w:t>
            </w:r>
          </w:p>
        </w:tc>
      </w:tr>
      <w:tr>
        <w:tblPrEx>
          <w:tblCellMar>
            <w:top w:w="0" w:type="dxa"/>
            <w:left w:w="108" w:type="dxa"/>
            <w:bottom w:w="0" w:type="dxa"/>
            <w:right w:w="108" w:type="dxa"/>
          </w:tblCellMar>
        </w:tblPrEx>
        <w:trPr>
          <w:trHeight w:val="497"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服务器高度★</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≥2U，标配原厂导轨</w:t>
            </w:r>
          </w:p>
        </w:tc>
      </w:tr>
      <w:tr>
        <w:tblPrEx>
          <w:tblCellMar>
            <w:top w:w="0" w:type="dxa"/>
            <w:left w:w="108" w:type="dxa"/>
            <w:bottom w:w="0" w:type="dxa"/>
            <w:right w:w="108" w:type="dxa"/>
          </w:tblCellMar>
        </w:tblPrEx>
        <w:trPr>
          <w:trHeight w:val="767" w:hRule="atLeast"/>
        </w:trPr>
        <w:tc>
          <w:tcPr>
            <w:tcW w:w="1600" w:type="dxa"/>
            <w:vMerge w:val="restart"/>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处理器</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CPU型号★</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第二代Intel 至强可扩展系列处理器 ，配置Xeon-Gold 5218（2.3GHz/16cores)或更高型号</w:t>
            </w:r>
          </w:p>
        </w:tc>
      </w:tr>
      <w:tr>
        <w:tblPrEx>
          <w:tblCellMar>
            <w:top w:w="0" w:type="dxa"/>
            <w:left w:w="108" w:type="dxa"/>
            <w:bottom w:w="0" w:type="dxa"/>
            <w:right w:w="108" w:type="dxa"/>
          </w:tblCellMar>
        </w:tblPrEx>
        <w:trPr>
          <w:trHeight w:val="510"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CPU实配数量</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≥2颗</w:t>
            </w:r>
          </w:p>
        </w:tc>
      </w:tr>
      <w:tr>
        <w:tblPrEx>
          <w:tblCellMar>
            <w:top w:w="0" w:type="dxa"/>
            <w:left w:w="108" w:type="dxa"/>
            <w:bottom w:w="0" w:type="dxa"/>
            <w:right w:w="108" w:type="dxa"/>
          </w:tblCellMar>
        </w:tblPrEx>
        <w:trPr>
          <w:trHeight w:val="636" w:hRule="atLeast"/>
        </w:trPr>
        <w:tc>
          <w:tcPr>
            <w:tcW w:w="1600" w:type="dxa"/>
            <w:vMerge w:val="restart"/>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内存</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内存功能</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支持内存镜像、内存热备功能</w:t>
            </w:r>
          </w:p>
        </w:tc>
      </w:tr>
      <w:tr>
        <w:tblPrEx>
          <w:tblCellMar>
            <w:top w:w="0" w:type="dxa"/>
            <w:left w:w="108" w:type="dxa"/>
            <w:bottom w:w="0" w:type="dxa"/>
            <w:right w:w="108" w:type="dxa"/>
          </w:tblCellMar>
        </w:tblPrEx>
        <w:trPr>
          <w:trHeight w:val="566"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内存实配规格★</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≥256GB 2933MHz DDR4，</w:t>
            </w:r>
            <w:r>
              <w:rPr>
                <w:rFonts w:cs="仿宋_GB2312" w:asciiTheme="minorEastAsia" w:hAnsiTheme="minorEastAsia" w:eastAsiaTheme="minorEastAsia"/>
                <w:kern w:val="2"/>
                <w:szCs w:val="21"/>
                <w:lang w:val="zh-CN"/>
              </w:rPr>
              <w:t>每根内存条规格≥32GB</w:t>
            </w:r>
          </w:p>
        </w:tc>
      </w:tr>
      <w:tr>
        <w:tblPrEx>
          <w:tblCellMar>
            <w:top w:w="0" w:type="dxa"/>
            <w:left w:w="108" w:type="dxa"/>
            <w:bottom w:w="0" w:type="dxa"/>
            <w:right w:w="108" w:type="dxa"/>
          </w:tblCellMar>
        </w:tblPrEx>
        <w:trPr>
          <w:trHeight w:val="1235"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内存可扩展数量</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最大支持24根DDR4内存，最高速率2933MT/s，支持RDIMM或LRDIMM，最大容量3.0TB</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支持12根DCPMM数据中心级持久内存</w:t>
            </w:r>
          </w:p>
        </w:tc>
      </w:tr>
      <w:tr>
        <w:tblPrEx>
          <w:tblCellMar>
            <w:top w:w="0" w:type="dxa"/>
            <w:left w:w="108" w:type="dxa"/>
            <w:bottom w:w="0" w:type="dxa"/>
            <w:right w:w="108" w:type="dxa"/>
          </w:tblCellMar>
        </w:tblPrEx>
        <w:trPr>
          <w:trHeight w:val="645" w:hRule="atLeast"/>
        </w:trPr>
        <w:tc>
          <w:tcPr>
            <w:tcW w:w="1600" w:type="dxa"/>
            <w:vMerge w:val="restart"/>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存储</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实配硬盘及托架</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≥3*240GB SSD 2.5寸硬盘。</w:t>
            </w:r>
          </w:p>
        </w:tc>
      </w:tr>
      <w:tr>
        <w:tblPrEx>
          <w:tblCellMar>
            <w:top w:w="0" w:type="dxa"/>
            <w:left w:w="108" w:type="dxa"/>
            <w:bottom w:w="0" w:type="dxa"/>
            <w:right w:w="108" w:type="dxa"/>
          </w:tblCellMar>
        </w:tblPrEx>
        <w:trPr>
          <w:trHeight w:val="1179"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硬盘槽位★</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配置≥8个2.5寸热插拔硬盘槽位，可扩展至≥29个2.5寸热插拔硬盘槽位，同时可扩展2个3.5寸硬盘，且全部硬盘可在不打开主机箱盖的情况下热插拔维护。</w:t>
            </w:r>
          </w:p>
        </w:tc>
      </w:tr>
      <w:tr>
        <w:tblPrEx>
          <w:tblCellMar>
            <w:top w:w="0" w:type="dxa"/>
            <w:left w:w="108" w:type="dxa"/>
            <w:bottom w:w="0" w:type="dxa"/>
            <w:right w:w="108" w:type="dxa"/>
          </w:tblCellMar>
        </w:tblPrEx>
        <w:trPr>
          <w:trHeight w:val="858"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nil"/>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阵列控制器★</w:t>
            </w:r>
          </w:p>
        </w:tc>
        <w:tc>
          <w:tcPr>
            <w:tcW w:w="6252" w:type="dxa"/>
            <w:tcBorders>
              <w:top w:val="nil"/>
              <w:left w:val="nil"/>
              <w:bottom w:val="nil"/>
              <w:right w:val="single" w:color="auto" w:sz="4" w:space="0"/>
            </w:tcBorders>
            <w:vAlign w:val="center"/>
          </w:tcPr>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≥1个标准PCIE插槽SAS RAID阵列卡，支持RAID0/1/10/5/6/50/60；</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≥2GB缓存，支持缓存数据保护，且后备保护时间不受限制；</w:t>
            </w:r>
          </w:p>
        </w:tc>
      </w:tr>
      <w:tr>
        <w:tblPrEx>
          <w:tblCellMar>
            <w:top w:w="0" w:type="dxa"/>
            <w:left w:w="108" w:type="dxa"/>
            <w:bottom w:w="0" w:type="dxa"/>
            <w:right w:w="108" w:type="dxa"/>
          </w:tblCellMar>
        </w:tblPrEx>
        <w:trPr>
          <w:trHeight w:val="810" w:hRule="atLeast"/>
        </w:trPr>
        <w:tc>
          <w:tcPr>
            <w:tcW w:w="1600"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single" w:color="auto" w:sz="4" w:space="0"/>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启动盘可选项</w:t>
            </w:r>
          </w:p>
        </w:tc>
        <w:tc>
          <w:tcPr>
            <w:tcW w:w="6252" w:type="dxa"/>
            <w:tcBorders>
              <w:top w:val="single" w:color="auto" w:sz="4" w:space="0"/>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支持双MicroSD和双M.2 SSD配置RAID1，作为虚拟化或操作系统部署盘位。</w:t>
            </w:r>
          </w:p>
        </w:tc>
      </w:tr>
      <w:tr>
        <w:tblPrEx>
          <w:tblCellMar>
            <w:top w:w="0" w:type="dxa"/>
            <w:left w:w="108" w:type="dxa"/>
            <w:bottom w:w="0" w:type="dxa"/>
            <w:right w:w="108" w:type="dxa"/>
          </w:tblCellMar>
        </w:tblPrEx>
        <w:trPr>
          <w:trHeight w:val="540" w:hRule="atLeast"/>
        </w:trPr>
        <w:tc>
          <w:tcPr>
            <w:tcW w:w="1600" w:type="dxa"/>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I/O</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PCI I/O插槽★</w:t>
            </w:r>
          </w:p>
        </w:tc>
        <w:tc>
          <w:tcPr>
            <w:tcW w:w="6252" w:type="dxa"/>
            <w:tcBorders>
              <w:top w:val="nil"/>
              <w:left w:val="nil"/>
              <w:bottom w:val="single" w:color="auto" w:sz="4" w:space="0"/>
              <w:right w:val="single" w:color="auto" w:sz="4" w:space="0"/>
            </w:tcBorders>
            <w:vAlign w:val="center"/>
          </w:tcPr>
          <w:p>
            <w:pPr>
              <w:widowControl/>
              <w:spacing w:line="420" w:lineRule="exact"/>
              <w:jc w:val="left"/>
              <w:rPr>
                <w:rFonts w:cs="仿宋_GB2312" w:asciiTheme="minorEastAsia" w:hAnsiTheme="minorEastAsia"/>
                <w:szCs w:val="21"/>
                <w:lang w:val="zh-CN"/>
              </w:rPr>
            </w:pPr>
            <w:r>
              <w:rPr>
                <w:rFonts w:hint="eastAsia" w:cs="仿宋_GB2312" w:asciiTheme="minorEastAsia" w:hAnsiTheme="minorEastAsia"/>
                <w:szCs w:val="21"/>
                <w:lang w:val="zh-CN"/>
              </w:rPr>
              <w:t>最多提供≥10个PCIE3.0插槽。</w:t>
            </w:r>
          </w:p>
        </w:tc>
      </w:tr>
      <w:tr>
        <w:tblPrEx>
          <w:tblCellMar>
            <w:top w:w="0" w:type="dxa"/>
            <w:left w:w="108" w:type="dxa"/>
            <w:bottom w:w="0" w:type="dxa"/>
            <w:right w:w="108" w:type="dxa"/>
          </w:tblCellMar>
        </w:tblPrEx>
        <w:trPr>
          <w:trHeight w:val="1153" w:hRule="atLeast"/>
        </w:trPr>
        <w:tc>
          <w:tcPr>
            <w:tcW w:w="1600" w:type="dxa"/>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网络</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网卡★</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提供≥1个网卡专用插槽（不占用PCIE扩展槽），可选配千兆或万兆网卡。配置≥6个万兆光网口（满配模块），≥2块单口16Gb光纤通道HBA卡（带模块）</w:t>
            </w:r>
          </w:p>
        </w:tc>
      </w:tr>
      <w:tr>
        <w:tblPrEx>
          <w:tblCellMar>
            <w:top w:w="0" w:type="dxa"/>
            <w:left w:w="108" w:type="dxa"/>
            <w:bottom w:w="0" w:type="dxa"/>
            <w:right w:w="108" w:type="dxa"/>
          </w:tblCellMar>
        </w:tblPrEx>
        <w:trPr>
          <w:trHeight w:val="750" w:hRule="atLeast"/>
        </w:trPr>
        <w:tc>
          <w:tcPr>
            <w:tcW w:w="1600" w:type="dxa"/>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GPU</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GPU★</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可配置≥3块双宽或8块单宽GPU卡</w:t>
            </w:r>
          </w:p>
        </w:tc>
      </w:tr>
      <w:tr>
        <w:tblPrEx>
          <w:tblCellMar>
            <w:top w:w="0" w:type="dxa"/>
            <w:left w:w="108" w:type="dxa"/>
            <w:bottom w:w="0" w:type="dxa"/>
            <w:right w:w="108" w:type="dxa"/>
          </w:tblCellMar>
        </w:tblPrEx>
        <w:trPr>
          <w:trHeight w:val="1755" w:hRule="atLeast"/>
        </w:trPr>
        <w:tc>
          <w:tcPr>
            <w:tcW w:w="1600" w:type="dxa"/>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接口</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接口</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≥5个USB3.0接口，含内部USB接口，最高可扩展至6个USB接口；</w:t>
            </w:r>
          </w:p>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标配1个VGA，可选配支持最高2个VGA接口；</w:t>
            </w:r>
          </w:p>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支持后部独立的管理端口；</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标配1个串口。</w:t>
            </w:r>
          </w:p>
        </w:tc>
      </w:tr>
      <w:tr>
        <w:tblPrEx>
          <w:tblCellMar>
            <w:top w:w="0" w:type="dxa"/>
            <w:left w:w="108" w:type="dxa"/>
            <w:bottom w:w="0" w:type="dxa"/>
            <w:right w:w="108" w:type="dxa"/>
          </w:tblCellMar>
        </w:tblPrEx>
        <w:trPr>
          <w:trHeight w:val="784" w:hRule="atLeast"/>
        </w:trPr>
        <w:tc>
          <w:tcPr>
            <w:tcW w:w="1600" w:type="dxa"/>
            <w:vMerge w:val="restart"/>
            <w:tcBorders>
              <w:top w:val="nil"/>
              <w:left w:val="single" w:color="auto" w:sz="4" w:space="0"/>
              <w:bottom w:val="single" w:color="000000"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可用性</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冗余电源★</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2个≥800w白金版热插拔冗余电源，支持96%能效比的钛金级电源选件</w:t>
            </w:r>
          </w:p>
        </w:tc>
      </w:tr>
      <w:tr>
        <w:tblPrEx>
          <w:tblCellMar>
            <w:top w:w="0" w:type="dxa"/>
            <w:left w:w="108" w:type="dxa"/>
            <w:bottom w:w="0" w:type="dxa"/>
            <w:right w:w="108" w:type="dxa"/>
          </w:tblCellMar>
        </w:tblPrEx>
        <w:trPr>
          <w:trHeight w:val="330" w:hRule="atLeast"/>
        </w:trPr>
        <w:tc>
          <w:tcPr>
            <w:tcW w:w="1600"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冗余风扇★</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热插拔冗余风扇</w:t>
            </w:r>
          </w:p>
        </w:tc>
      </w:tr>
      <w:tr>
        <w:tblPrEx>
          <w:tblCellMar>
            <w:top w:w="0" w:type="dxa"/>
            <w:left w:w="108" w:type="dxa"/>
            <w:bottom w:w="0" w:type="dxa"/>
            <w:right w:w="108" w:type="dxa"/>
          </w:tblCellMar>
        </w:tblPrEx>
        <w:trPr>
          <w:trHeight w:val="604" w:hRule="atLeast"/>
        </w:trPr>
        <w:tc>
          <w:tcPr>
            <w:tcW w:w="1600" w:type="dxa"/>
            <w:vMerge w:val="continue"/>
            <w:tcBorders>
              <w:top w:val="nil"/>
              <w:left w:val="single" w:color="auto" w:sz="4" w:space="0"/>
              <w:bottom w:val="single" w:color="000000" w:sz="4" w:space="0"/>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工作温度</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支持最高5-50°C标准工作温度</w:t>
            </w:r>
          </w:p>
        </w:tc>
      </w:tr>
      <w:tr>
        <w:tblPrEx>
          <w:tblCellMar>
            <w:top w:w="0" w:type="dxa"/>
            <w:left w:w="108" w:type="dxa"/>
            <w:bottom w:w="0" w:type="dxa"/>
            <w:right w:w="108" w:type="dxa"/>
          </w:tblCellMar>
        </w:tblPrEx>
        <w:trPr>
          <w:trHeight w:val="2257" w:hRule="atLeast"/>
        </w:trPr>
        <w:tc>
          <w:tcPr>
            <w:tcW w:w="1600" w:type="dxa"/>
            <w:tcBorders>
              <w:top w:val="nil"/>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可管理性</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嵌入式管理</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配置≥1Gb独立的远程管理控制端口；</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r>
      <w:tr>
        <w:tblPrEx>
          <w:tblCellMar>
            <w:top w:w="0" w:type="dxa"/>
            <w:left w:w="108" w:type="dxa"/>
            <w:bottom w:w="0" w:type="dxa"/>
            <w:right w:w="108" w:type="dxa"/>
          </w:tblCellMar>
        </w:tblPrEx>
        <w:trPr>
          <w:trHeight w:val="844" w:hRule="atLeast"/>
        </w:trPr>
        <w:tc>
          <w:tcPr>
            <w:tcW w:w="1600" w:type="dxa"/>
            <w:vMerge w:val="restart"/>
            <w:tcBorders>
              <w:top w:val="nil"/>
              <w:left w:val="single" w:color="auto" w:sz="4" w:space="0"/>
              <w:bottom w:val="nil"/>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安全性</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嵌入式管理安全选项</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嵌入式管理模块支持防火墙功能，可基于MAC地址，IP定义访问规则。</w:t>
            </w:r>
          </w:p>
        </w:tc>
      </w:tr>
      <w:tr>
        <w:tblPrEx>
          <w:tblCellMar>
            <w:top w:w="0" w:type="dxa"/>
            <w:left w:w="108" w:type="dxa"/>
            <w:bottom w:w="0" w:type="dxa"/>
            <w:right w:w="108" w:type="dxa"/>
          </w:tblCellMar>
        </w:tblPrEx>
        <w:trPr>
          <w:trHeight w:val="1171" w:hRule="atLeast"/>
        </w:trPr>
        <w:tc>
          <w:tcPr>
            <w:tcW w:w="1600" w:type="dxa"/>
            <w:vMerge w:val="continue"/>
            <w:tcBorders>
              <w:top w:val="nil"/>
              <w:left w:val="single" w:color="auto" w:sz="4" w:space="0"/>
              <w:bottom w:val="nil"/>
              <w:right w:val="single" w:color="auto" w:sz="4" w:space="0"/>
            </w:tcBorders>
            <w:vAlign w:val="center"/>
          </w:tcPr>
          <w:p>
            <w:pPr>
              <w:widowControl/>
              <w:spacing w:line="420" w:lineRule="exact"/>
              <w:jc w:val="left"/>
              <w:rPr>
                <w:rFonts w:cs="仿宋_GB2312" w:asciiTheme="minorEastAsia" w:hAnsiTheme="minorEastAsia"/>
                <w:szCs w:val="21"/>
                <w:lang w:val="zh-CN"/>
              </w:rPr>
            </w:pP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其它安全选项★</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提供UEFI安全启动；</w:t>
            </w:r>
          </w:p>
          <w:p>
            <w:pPr>
              <w:pStyle w:val="77"/>
              <w:spacing w:line="420" w:lineRule="exact"/>
              <w:ind w:firstLine="0"/>
              <w:rPr>
                <w:rFonts w:hint="eastAsia"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支持中国标准TCM 1.0可信计算。（支持国际标准TPM模块）</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支持机箱入侵侦测，在外部打开机箱时提供报警功能。</w:t>
            </w:r>
          </w:p>
        </w:tc>
      </w:tr>
      <w:tr>
        <w:tblPrEx>
          <w:tblCellMar>
            <w:top w:w="0" w:type="dxa"/>
            <w:left w:w="108" w:type="dxa"/>
            <w:bottom w:w="0" w:type="dxa"/>
            <w:right w:w="108" w:type="dxa"/>
          </w:tblCellMar>
        </w:tblPrEx>
        <w:trPr>
          <w:trHeight w:val="330" w:hRule="atLeast"/>
        </w:trPr>
        <w:tc>
          <w:tcPr>
            <w:tcW w:w="1600" w:type="dxa"/>
            <w:tcBorders>
              <w:top w:val="single" w:color="auto" w:sz="4" w:space="0"/>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服务</w:t>
            </w:r>
          </w:p>
        </w:tc>
        <w:tc>
          <w:tcPr>
            <w:tcW w:w="1600"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售后服务</w:t>
            </w:r>
          </w:p>
        </w:tc>
        <w:tc>
          <w:tcPr>
            <w:tcW w:w="6252" w:type="dxa"/>
            <w:tcBorders>
              <w:top w:val="nil"/>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3年7×24四小时原厂人员现场支持</w:t>
            </w:r>
          </w:p>
        </w:tc>
      </w:tr>
    </w:tbl>
    <w:p>
      <w:pPr>
        <w:pStyle w:val="51"/>
        <w:adjustRightInd w:val="0"/>
        <w:snapToGrid w:val="0"/>
        <w:spacing w:line="420" w:lineRule="exact"/>
        <w:ind w:left="510" w:firstLine="0" w:firstLineChars="0"/>
        <w:jc w:val="left"/>
        <w:rPr>
          <w:rFonts w:cs="仿宋_GB2312" w:asciiTheme="minorEastAsia" w:hAnsiTheme="minorEastAsia"/>
          <w:szCs w:val="21"/>
          <w:lang w:val="zh-CN"/>
        </w:rPr>
      </w:pPr>
      <w:r>
        <w:rPr>
          <w:rFonts w:cs="仿宋_GB2312" w:asciiTheme="minorEastAsia" w:hAnsiTheme="minorEastAsia"/>
          <w:szCs w:val="21"/>
          <w:lang w:val="zh-CN"/>
        </w:rPr>
        <w:t>存储</w:t>
      </w:r>
      <w:r>
        <w:rPr>
          <w:rFonts w:hint="eastAsia" w:cs="仿宋_GB2312" w:asciiTheme="minorEastAsia" w:hAnsiTheme="minorEastAsia"/>
          <w:szCs w:val="21"/>
          <w:lang w:val="zh-CN"/>
        </w:rPr>
        <w:t>光纤</w:t>
      </w:r>
      <w:r>
        <w:rPr>
          <w:rFonts w:cs="仿宋_GB2312" w:asciiTheme="minorEastAsia" w:hAnsiTheme="minorEastAsia"/>
          <w:szCs w:val="21"/>
          <w:lang w:val="zh-CN"/>
        </w:rPr>
        <w:t>交换机</w:t>
      </w:r>
      <w:r>
        <w:rPr>
          <w:rFonts w:hint="eastAsia" w:cs="仿宋_GB2312" w:asciiTheme="minorEastAsia" w:hAnsiTheme="minorEastAsia"/>
          <w:szCs w:val="21"/>
          <w:lang w:val="zh-CN"/>
        </w:rPr>
        <w:t xml:space="preserve"> （数量：</w:t>
      </w:r>
      <w:r>
        <w:rPr>
          <w:rFonts w:cs="仿宋_GB2312" w:asciiTheme="minorEastAsia" w:hAnsiTheme="minorEastAsia"/>
          <w:szCs w:val="21"/>
          <w:lang w:val="zh-CN"/>
        </w:rPr>
        <w:t>2</w:t>
      </w:r>
      <w:r>
        <w:rPr>
          <w:rFonts w:hint="eastAsia" w:cs="仿宋_GB2312" w:asciiTheme="minorEastAsia" w:hAnsiTheme="minorEastAsia"/>
          <w:szCs w:val="21"/>
          <w:lang w:val="zh-CN"/>
        </w:rPr>
        <w:t>台）</w:t>
      </w:r>
    </w:p>
    <w:tbl>
      <w:tblPr>
        <w:tblStyle w:val="26"/>
        <w:tblW w:w="9452" w:type="dxa"/>
        <w:tblInd w:w="0" w:type="dxa"/>
        <w:tblLayout w:type="fixed"/>
        <w:tblCellMar>
          <w:top w:w="0" w:type="dxa"/>
          <w:left w:w="108" w:type="dxa"/>
          <w:bottom w:w="0" w:type="dxa"/>
          <w:right w:w="108" w:type="dxa"/>
        </w:tblCellMar>
      </w:tblPr>
      <w:tblGrid>
        <w:gridCol w:w="1802"/>
        <w:gridCol w:w="7650"/>
      </w:tblGrid>
      <w:tr>
        <w:tblPrEx>
          <w:tblCellMar>
            <w:top w:w="0" w:type="dxa"/>
            <w:left w:w="108" w:type="dxa"/>
            <w:bottom w:w="0" w:type="dxa"/>
            <w:right w:w="108" w:type="dxa"/>
          </w:tblCellMar>
        </w:tblPrEx>
        <w:trPr>
          <w:trHeight w:val="132" w:hRule="atLeast"/>
        </w:trPr>
        <w:tc>
          <w:tcPr>
            <w:tcW w:w="1802" w:type="dxa"/>
            <w:tcBorders>
              <w:top w:val="single" w:color="auto" w:sz="4" w:space="0"/>
              <w:left w:val="single" w:color="auto" w:sz="4" w:space="0"/>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功能</w:t>
            </w:r>
          </w:p>
        </w:tc>
        <w:tc>
          <w:tcPr>
            <w:tcW w:w="7650" w:type="dxa"/>
            <w:tcBorders>
              <w:top w:val="single" w:color="auto" w:sz="4" w:space="0"/>
              <w:left w:val="nil"/>
              <w:bottom w:val="single" w:color="auto" w:sz="4" w:space="0"/>
              <w:right w:val="single" w:color="auto" w:sz="4" w:space="0"/>
            </w:tcBorders>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技术指标具体参数要求</w:t>
            </w:r>
          </w:p>
        </w:tc>
      </w:tr>
      <w:tr>
        <w:tblPrEx>
          <w:tblCellMar>
            <w:top w:w="0" w:type="dxa"/>
            <w:left w:w="108" w:type="dxa"/>
            <w:bottom w:w="0" w:type="dxa"/>
            <w:right w:w="108" w:type="dxa"/>
          </w:tblCellMar>
        </w:tblPrEx>
        <w:trPr>
          <w:trHeight w:val="360" w:hRule="atLeast"/>
        </w:trPr>
        <w:tc>
          <w:tcPr>
            <w:tcW w:w="1802" w:type="dxa"/>
            <w:tcBorders>
              <w:top w:val="single" w:color="auto" w:sz="4" w:space="0"/>
              <w:left w:val="single" w:color="auto" w:sz="4" w:space="0"/>
              <w:bottom w:val="single" w:color="auto" w:sz="4" w:space="0"/>
              <w:right w:val="single" w:color="auto" w:sz="4" w:space="0"/>
            </w:tcBorders>
            <w:noWrap/>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规格</w:t>
            </w:r>
          </w:p>
        </w:tc>
        <w:tc>
          <w:tcPr>
            <w:tcW w:w="7650" w:type="dxa"/>
            <w:tcBorders>
              <w:top w:val="single" w:color="auto" w:sz="4" w:space="0"/>
              <w:left w:val="nil"/>
              <w:bottom w:val="single" w:color="auto" w:sz="4" w:space="0"/>
              <w:right w:val="single" w:color="auto" w:sz="4" w:space="0"/>
            </w:tcBorders>
            <w:noWrap/>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≥1U机架式，配置原厂上架导轨</w:t>
            </w:r>
          </w:p>
        </w:tc>
      </w:tr>
      <w:tr>
        <w:tblPrEx>
          <w:tblCellMar>
            <w:top w:w="0" w:type="dxa"/>
            <w:left w:w="108" w:type="dxa"/>
            <w:bottom w:w="0" w:type="dxa"/>
            <w:right w:w="108" w:type="dxa"/>
          </w:tblCellMar>
        </w:tblPrEx>
        <w:trPr>
          <w:trHeight w:val="360" w:hRule="atLeast"/>
        </w:trPr>
        <w:tc>
          <w:tcPr>
            <w:tcW w:w="1802" w:type="dxa"/>
            <w:tcBorders>
              <w:top w:val="single" w:color="auto" w:sz="4" w:space="0"/>
              <w:left w:val="single" w:color="auto" w:sz="4" w:space="0"/>
              <w:bottom w:val="single" w:color="auto" w:sz="4" w:space="0"/>
              <w:right w:val="single" w:color="auto" w:sz="4" w:space="0"/>
            </w:tcBorders>
            <w:noWrap/>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端口</w:t>
            </w:r>
          </w:p>
        </w:tc>
        <w:tc>
          <w:tcPr>
            <w:tcW w:w="7650" w:type="dxa"/>
            <w:tcBorders>
              <w:top w:val="single" w:color="auto" w:sz="4" w:space="0"/>
              <w:left w:val="nil"/>
              <w:bottom w:val="single" w:color="auto" w:sz="4" w:space="0"/>
              <w:right w:val="single" w:color="auto" w:sz="4" w:space="0"/>
            </w:tcBorders>
            <w:noWrap/>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≥24个32Gb FC接口，端口速率全双工状态下支持8/10/16/32Gbps；</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配置16个</w:t>
            </w:r>
            <w:r>
              <w:rPr>
                <w:rFonts w:cs="仿宋_GB2312" w:asciiTheme="minorEastAsia" w:hAnsiTheme="minorEastAsia" w:eastAsiaTheme="minorEastAsia"/>
                <w:kern w:val="2"/>
                <w:szCs w:val="21"/>
                <w:lang w:val="zh-CN"/>
              </w:rPr>
              <w:t>16</w:t>
            </w:r>
            <w:r>
              <w:rPr>
                <w:rFonts w:hint="eastAsia" w:cs="仿宋_GB2312" w:asciiTheme="minorEastAsia" w:hAnsiTheme="minorEastAsia" w:eastAsiaTheme="minorEastAsia"/>
                <w:kern w:val="2"/>
                <w:szCs w:val="21"/>
                <w:lang w:val="zh-CN"/>
              </w:rPr>
              <w:t>GB 多模SFP模块和16个端口激活许可；</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配置16条15米LC-LC OM4 多模光纤连接线。配置级联使用许可</w:t>
            </w:r>
          </w:p>
        </w:tc>
      </w:tr>
      <w:tr>
        <w:tblPrEx>
          <w:tblCellMar>
            <w:top w:w="0" w:type="dxa"/>
            <w:left w:w="108" w:type="dxa"/>
            <w:bottom w:w="0" w:type="dxa"/>
            <w:right w:w="108" w:type="dxa"/>
          </w:tblCellMar>
        </w:tblPrEx>
        <w:trPr>
          <w:trHeight w:val="360" w:hRule="atLeast"/>
        </w:trPr>
        <w:tc>
          <w:tcPr>
            <w:tcW w:w="1802" w:type="dxa"/>
            <w:tcBorders>
              <w:top w:val="single" w:color="auto" w:sz="4" w:space="0"/>
              <w:left w:val="single" w:color="auto" w:sz="4" w:space="0"/>
              <w:bottom w:val="single" w:color="auto" w:sz="4" w:space="0"/>
              <w:right w:val="single" w:color="auto" w:sz="4" w:space="0"/>
            </w:tcBorders>
            <w:noWrap/>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电源</w:t>
            </w:r>
          </w:p>
        </w:tc>
        <w:tc>
          <w:tcPr>
            <w:tcW w:w="7650" w:type="dxa"/>
            <w:tcBorders>
              <w:top w:val="single" w:color="auto" w:sz="4" w:space="0"/>
              <w:left w:val="nil"/>
              <w:bottom w:val="single" w:color="auto" w:sz="4" w:space="0"/>
              <w:right w:val="single" w:color="auto" w:sz="4" w:space="0"/>
            </w:tcBorders>
            <w:noWrap/>
            <w:vAlign w:val="center"/>
          </w:tcPr>
          <w:p>
            <w:pPr>
              <w:pStyle w:val="77"/>
              <w:spacing w:line="420" w:lineRule="exact"/>
              <w:ind w:firstLine="0"/>
              <w:rPr>
                <w:rFonts w:cs="仿宋_GB2312" w:asciiTheme="minorEastAsia" w:hAnsiTheme="minorEastAsia" w:eastAsiaTheme="minorEastAsia"/>
                <w:kern w:val="2"/>
                <w:szCs w:val="21"/>
                <w:lang w:val="zh-CN"/>
              </w:rPr>
            </w:pPr>
            <w:r>
              <w:rPr>
                <w:rFonts w:cs="仿宋_GB2312" w:asciiTheme="minorEastAsia" w:hAnsiTheme="minorEastAsia" w:eastAsiaTheme="minorEastAsia"/>
                <w:kern w:val="2"/>
                <w:szCs w:val="21"/>
                <w:lang w:val="zh-CN"/>
              </w:rPr>
              <w:t>220V交流</w:t>
            </w:r>
            <w:r>
              <w:rPr>
                <w:rFonts w:hint="eastAsia" w:cs="仿宋_GB2312" w:asciiTheme="minorEastAsia" w:hAnsiTheme="minorEastAsia" w:eastAsiaTheme="minorEastAsia"/>
                <w:kern w:val="2"/>
                <w:szCs w:val="21"/>
                <w:lang w:val="zh-CN"/>
              </w:rPr>
              <w:t>电源；</w:t>
            </w:r>
          </w:p>
        </w:tc>
      </w:tr>
    </w:tbl>
    <w:p>
      <w:pPr>
        <w:adjustRightInd w:val="0"/>
        <w:snapToGrid w:val="0"/>
        <w:spacing w:line="420" w:lineRule="exact"/>
        <w:ind w:firstLine="2520" w:firstLineChars="1200"/>
        <w:jc w:val="left"/>
        <w:rPr>
          <w:rFonts w:cs="仿宋_GB2312" w:asciiTheme="minorEastAsia" w:hAnsiTheme="minorEastAsia"/>
          <w:szCs w:val="21"/>
          <w:lang w:val="zh-CN"/>
        </w:rPr>
      </w:pPr>
      <w:r>
        <w:rPr>
          <w:rFonts w:hint="eastAsia" w:cs="仿宋_GB2312" w:asciiTheme="minorEastAsia" w:hAnsiTheme="minorEastAsia"/>
          <w:szCs w:val="21"/>
          <w:lang w:val="zh-CN"/>
        </w:rPr>
        <w:t>数据存储阵列 （数量：</w:t>
      </w:r>
      <w:r>
        <w:rPr>
          <w:rFonts w:cs="仿宋_GB2312" w:asciiTheme="minorEastAsia" w:hAnsiTheme="minorEastAsia"/>
          <w:szCs w:val="21"/>
          <w:lang w:val="zh-CN"/>
        </w:rPr>
        <w:t>2</w:t>
      </w:r>
      <w:r>
        <w:rPr>
          <w:rFonts w:hint="eastAsia" w:cs="仿宋_GB2312" w:asciiTheme="minorEastAsia" w:hAnsiTheme="minorEastAsia"/>
          <w:szCs w:val="21"/>
          <w:lang w:val="zh-CN"/>
        </w:rPr>
        <w:t>台）</w:t>
      </w:r>
    </w:p>
    <w:tbl>
      <w:tblPr>
        <w:tblStyle w:val="26"/>
        <w:tblW w:w="9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功能及技术指标</w:t>
            </w:r>
          </w:p>
        </w:tc>
        <w:tc>
          <w:tcPr>
            <w:tcW w:w="6753"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体系结构</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配置冗余双控制器，</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要求支持F</w:t>
            </w:r>
            <w:r>
              <w:rPr>
                <w:rFonts w:cs="仿宋_GB2312" w:asciiTheme="minorEastAsia" w:hAnsiTheme="minorEastAsia" w:eastAsiaTheme="minorEastAsia"/>
                <w:kern w:val="2"/>
                <w:szCs w:val="21"/>
                <w:lang w:val="zh-CN"/>
              </w:rPr>
              <w:t>C-SAN</w:t>
            </w:r>
            <w:r>
              <w:rPr>
                <w:rFonts w:hint="eastAsia" w:cs="仿宋_GB2312" w:asciiTheme="minorEastAsia" w:hAnsiTheme="minorEastAsia" w:eastAsiaTheme="minorEastAsia"/>
                <w:kern w:val="2"/>
                <w:szCs w:val="21"/>
                <w:lang w:val="zh-CN"/>
              </w:rPr>
              <w:t>和IP-SAN;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容量要求</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cs="仿宋_GB2312" w:asciiTheme="minorEastAsia" w:hAnsiTheme="minorEastAsia" w:eastAsiaTheme="minorEastAsia"/>
                <w:kern w:val="2"/>
                <w:szCs w:val="21"/>
                <w:lang w:val="zh-CN"/>
              </w:rPr>
              <w:t>SSD</w:t>
            </w:r>
            <w:r>
              <w:rPr>
                <w:rFonts w:hint="eastAsia" w:cs="仿宋_GB2312" w:asciiTheme="minorEastAsia" w:hAnsiTheme="minorEastAsia" w:eastAsiaTheme="minorEastAsia"/>
                <w:kern w:val="2"/>
                <w:szCs w:val="21"/>
                <w:lang w:val="zh-CN"/>
              </w:rPr>
              <w:t>闪存裸容量不低于</w:t>
            </w:r>
            <w:r>
              <w:rPr>
                <w:rFonts w:cs="仿宋_GB2312" w:asciiTheme="minorEastAsia" w:hAnsiTheme="minorEastAsia" w:eastAsiaTheme="minorEastAsia"/>
                <w:kern w:val="2"/>
                <w:szCs w:val="21"/>
                <w:lang w:val="zh-CN"/>
              </w:rPr>
              <w:t>5.76TB</w:t>
            </w:r>
            <w:r>
              <w:rPr>
                <w:rFonts w:hint="eastAsia" w:cs="仿宋_GB2312" w:asciiTheme="minorEastAsia" w:hAnsiTheme="minorEastAsia" w:eastAsiaTheme="minorEastAsia"/>
                <w:kern w:val="2"/>
                <w:szCs w:val="21"/>
                <w:lang w:val="zh-CN"/>
              </w:rPr>
              <w:t>，H</w:t>
            </w:r>
            <w:r>
              <w:rPr>
                <w:rFonts w:cs="仿宋_GB2312" w:asciiTheme="minorEastAsia" w:hAnsiTheme="minorEastAsia" w:eastAsiaTheme="minorEastAsia"/>
                <w:kern w:val="2"/>
                <w:szCs w:val="21"/>
                <w:lang w:val="zh-CN"/>
              </w:rPr>
              <w:t>DD</w:t>
            </w:r>
            <w:r>
              <w:rPr>
                <w:rFonts w:hint="eastAsia" w:cs="仿宋_GB2312" w:asciiTheme="minorEastAsia" w:hAnsiTheme="minorEastAsia" w:eastAsiaTheme="minorEastAsia"/>
                <w:kern w:val="2"/>
                <w:szCs w:val="21"/>
                <w:lang w:val="zh-CN"/>
              </w:rPr>
              <w:t>硬盘裸容量配置不低于</w:t>
            </w:r>
            <w:r>
              <w:rPr>
                <w:rFonts w:cs="仿宋_GB2312" w:asciiTheme="minorEastAsia" w:hAnsiTheme="minorEastAsia" w:eastAsiaTheme="minorEastAsia"/>
                <w:kern w:val="2"/>
                <w:szCs w:val="21"/>
                <w:lang w:val="zh-CN"/>
              </w:rPr>
              <w:t>84</w:t>
            </w:r>
            <w:r>
              <w:rPr>
                <w:rFonts w:hint="eastAsia" w:cs="仿宋_GB2312" w:asciiTheme="minorEastAsia" w:hAnsiTheme="minorEastAsia" w:eastAsiaTheme="minorEastAsia"/>
                <w:kern w:val="2"/>
                <w:szCs w:val="21"/>
                <w:lang w:val="zh-CN"/>
              </w:rPr>
              <w:t>TB</w:t>
            </w:r>
            <w:r>
              <w:rPr>
                <w:rFonts w:cs="仿宋_GB2312" w:asciiTheme="minorEastAsia" w:hAnsiTheme="minorEastAsia" w:eastAsiaTheme="minorEastAsia"/>
                <w:kern w:val="2"/>
                <w:szCs w:val="21"/>
                <w:lang w:val="zh-CN"/>
              </w:rPr>
              <w:t>,</w:t>
            </w:r>
            <w:r>
              <w:rPr>
                <w:rFonts w:hint="eastAsia" w:cs="仿宋_GB2312" w:asciiTheme="minorEastAsia" w:hAnsiTheme="minorEastAsia" w:eastAsiaTheme="minorEastAsia"/>
                <w:kern w:val="2"/>
                <w:szCs w:val="21"/>
                <w:lang w:val="zh-CN"/>
              </w:rPr>
              <w:t>整体可用容量不低于6</w:t>
            </w:r>
            <w:r>
              <w:rPr>
                <w:rFonts w:cs="仿宋_GB2312" w:asciiTheme="minorEastAsia" w:hAnsiTheme="minorEastAsia" w:eastAsiaTheme="minorEastAsia"/>
                <w:kern w:val="2"/>
                <w:szCs w:val="21"/>
                <w:lang w:val="zh-CN"/>
              </w:rPr>
              <w:t>5TB</w:t>
            </w:r>
            <w:r>
              <w:rPr>
                <w:rFonts w:hint="eastAsia" w:cs="仿宋_GB2312" w:asciiTheme="minorEastAsia" w:hAnsiTheme="minorEastAsia" w:eastAsiaTheme="minorEastAsia"/>
                <w:kern w:val="2"/>
                <w:szCs w:val="21"/>
                <w:lang w:val="zh-CN"/>
              </w:rPr>
              <w:t>（数据保护级别不低于R</w:t>
            </w:r>
            <w:r>
              <w:rPr>
                <w:rFonts w:cs="仿宋_GB2312" w:asciiTheme="minorEastAsia" w:hAnsiTheme="minorEastAsia" w:eastAsiaTheme="minorEastAsia"/>
                <w:kern w:val="2"/>
                <w:szCs w:val="21"/>
                <w:lang w:val="zh-CN"/>
              </w:rPr>
              <w:t>AID6</w:t>
            </w:r>
            <w:r>
              <w:rPr>
                <w:rFonts w:hint="eastAsia" w:cs="仿宋_GB2312" w:asciiTheme="minorEastAsia" w:hAnsiTheme="minorEastAsia" w:eastAsiaTheme="minorEastAsia"/>
                <w:kern w:val="2"/>
                <w:szCs w:val="21"/>
                <w:lang w:val="zh-CN"/>
              </w:rPr>
              <w:t>，硬盘满配）；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性能要求</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满足服务稳定性要求，单一存储控制器故障时，系统IOPS性能数值≥</w:t>
            </w:r>
            <w:r>
              <w:rPr>
                <w:rFonts w:cs="仿宋_GB2312" w:asciiTheme="minorEastAsia" w:hAnsiTheme="minorEastAsia" w:eastAsiaTheme="minorEastAsia"/>
                <w:kern w:val="2"/>
                <w:szCs w:val="21"/>
                <w:lang w:val="zh-CN"/>
              </w:rPr>
              <w:t>16</w:t>
            </w:r>
            <w:r>
              <w:rPr>
                <w:rFonts w:hint="eastAsia" w:cs="仿宋_GB2312" w:asciiTheme="minorEastAsia" w:hAnsiTheme="minorEastAsia" w:eastAsiaTheme="minorEastAsia"/>
                <w:kern w:val="2"/>
                <w:szCs w:val="21"/>
                <w:lang w:val="zh-CN"/>
              </w:rPr>
              <w:t>万IOPS，访问延迟≤0.</w:t>
            </w:r>
            <w:r>
              <w:rPr>
                <w:rFonts w:cs="仿宋_GB2312" w:asciiTheme="minorEastAsia" w:hAnsiTheme="minorEastAsia" w:eastAsiaTheme="minorEastAsia"/>
                <w:kern w:val="2"/>
                <w:szCs w:val="21"/>
                <w:lang w:val="zh-CN"/>
              </w:rPr>
              <w:t>5</w:t>
            </w:r>
            <w:r>
              <w:rPr>
                <w:rFonts w:hint="eastAsia" w:cs="仿宋_GB2312" w:asciiTheme="minorEastAsia" w:hAnsiTheme="minorEastAsia" w:eastAsiaTheme="minorEastAsia"/>
                <w:kern w:val="2"/>
                <w:szCs w:val="21"/>
                <w:lang w:val="zh-CN"/>
              </w:rPr>
              <w:t>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数据安全要求</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配置足够的热备盘和冗余盘，保证在三块数据硬盘同时故障的情况下，数据不丢失；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控制器功能</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系统配置C</w:t>
            </w:r>
            <w:r>
              <w:rPr>
                <w:rFonts w:cs="仿宋_GB2312" w:asciiTheme="minorEastAsia" w:hAnsiTheme="minorEastAsia" w:eastAsiaTheme="minorEastAsia"/>
                <w:kern w:val="2"/>
                <w:szCs w:val="21"/>
                <w:lang w:val="zh-CN"/>
              </w:rPr>
              <w:t>PU</w:t>
            </w:r>
            <w:r>
              <w:rPr>
                <w:rFonts w:hint="eastAsia" w:cs="仿宋_GB2312" w:asciiTheme="minorEastAsia" w:hAnsiTheme="minorEastAsia" w:eastAsiaTheme="minorEastAsia"/>
                <w:kern w:val="2"/>
                <w:szCs w:val="21"/>
                <w:lang w:val="zh-CN"/>
              </w:rPr>
              <w:t>总数≥</w:t>
            </w:r>
            <w:r>
              <w:rPr>
                <w:rFonts w:cs="仿宋_GB2312" w:asciiTheme="minorEastAsia" w:hAnsiTheme="minorEastAsia" w:eastAsiaTheme="minorEastAsia"/>
                <w:kern w:val="2"/>
                <w:szCs w:val="21"/>
                <w:lang w:val="zh-CN"/>
              </w:rPr>
              <w:t>4</w:t>
            </w:r>
            <w:r>
              <w:rPr>
                <w:rFonts w:hint="eastAsia" w:cs="仿宋_GB2312" w:asciiTheme="minorEastAsia" w:hAnsiTheme="minorEastAsia" w:eastAsiaTheme="minorEastAsia"/>
                <w:kern w:val="2"/>
                <w:szCs w:val="21"/>
                <w:lang w:val="zh-CN"/>
              </w:rPr>
              <w:t>个且CPU核心总数≥</w:t>
            </w:r>
            <w:r>
              <w:rPr>
                <w:rFonts w:cs="仿宋_GB2312" w:asciiTheme="minorEastAsia" w:hAnsiTheme="minorEastAsia" w:eastAsiaTheme="minorEastAsia"/>
                <w:kern w:val="2"/>
                <w:szCs w:val="21"/>
                <w:lang w:val="zh-CN"/>
              </w:rPr>
              <w:t>32</w:t>
            </w:r>
            <w:r>
              <w:rPr>
                <w:rFonts w:hint="eastAsia" w:cs="仿宋_GB2312" w:asciiTheme="minorEastAsia" w:hAnsiTheme="minorEastAsia" w:eastAsiaTheme="minorEastAsia"/>
                <w:kern w:val="2"/>
                <w:szCs w:val="21"/>
                <w:lang w:val="zh-CN"/>
              </w:rPr>
              <w:t>；双控制器配置≥</w:t>
            </w:r>
            <w:r>
              <w:rPr>
                <w:rFonts w:cs="仿宋_GB2312" w:asciiTheme="minorEastAsia" w:hAnsiTheme="minorEastAsia" w:eastAsiaTheme="minorEastAsia"/>
                <w:kern w:val="2"/>
                <w:szCs w:val="21"/>
                <w:lang w:val="zh-CN"/>
              </w:rPr>
              <w:t xml:space="preserve">140GB </w:t>
            </w:r>
            <w:r>
              <w:rPr>
                <w:rFonts w:hint="eastAsia" w:cs="仿宋_GB2312" w:asciiTheme="minorEastAsia" w:hAnsiTheme="minorEastAsia" w:eastAsiaTheme="minorEastAsia"/>
                <w:kern w:val="2"/>
                <w:szCs w:val="21"/>
                <w:lang w:val="zh-CN"/>
              </w:rPr>
              <w:t>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接口</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w:t>
            </w:r>
            <w:r>
              <w:rPr>
                <w:rFonts w:cs="仿宋_GB2312" w:asciiTheme="minorEastAsia" w:hAnsiTheme="minorEastAsia" w:eastAsiaTheme="minorEastAsia"/>
                <w:kern w:val="2"/>
                <w:szCs w:val="21"/>
                <w:lang w:val="zh-CN"/>
              </w:rPr>
              <w:t>4</w:t>
            </w:r>
            <w:r>
              <w:rPr>
                <w:rFonts w:hint="eastAsia" w:cs="仿宋_GB2312" w:asciiTheme="minorEastAsia" w:hAnsiTheme="minorEastAsia" w:eastAsiaTheme="minorEastAsia"/>
                <w:kern w:val="2"/>
                <w:szCs w:val="21"/>
                <w:lang w:val="zh-CN"/>
              </w:rPr>
              <w:t>个1</w:t>
            </w:r>
            <w:r>
              <w:rPr>
                <w:rFonts w:cs="仿宋_GB2312" w:asciiTheme="minorEastAsia" w:hAnsiTheme="minorEastAsia" w:eastAsiaTheme="minorEastAsia"/>
                <w:kern w:val="2"/>
                <w:szCs w:val="21"/>
                <w:lang w:val="zh-CN"/>
              </w:rPr>
              <w:t>6GB FC</w:t>
            </w:r>
            <w:r>
              <w:rPr>
                <w:rFonts w:hint="eastAsia" w:cs="仿宋_GB2312" w:asciiTheme="minorEastAsia" w:hAnsiTheme="minorEastAsia" w:eastAsiaTheme="minorEastAsia"/>
                <w:kern w:val="2"/>
                <w:szCs w:val="21"/>
                <w:lang w:val="zh-CN"/>
              </w:rPr>
              <w:t>接口和≥</w:t>
            </w:r>
            <w:r>
              <w:rPr>
                <w:rFonts w:cs="仿宋_GB2312" w:asciiTheme="minorEastAsia" w:hAnsiTheme="minorEastAsia" w:eastAsiaTheme="minorEastAsia"/>
                <w:kern w:val="2"/>
                <w:szCs w:val="21"/>
                <w:lang w:val="zh-CN"/>
              </w:rPr>
              <w:t>4</w:t>
            </w:r>
            <w:r>
              <w:rPr>
                <w:rFonts w:hint="eastAsia" w:cs="仿宋_GB2312" w:asciiTheme="minorEastAsia" w:hAnsiTheme="minorEastAsia" w:eastAsiaTheme="minorEastAsia"/>
                <w:kern w:val="2"/>
                <w:szCs w:val="21"/>
                <w:lang w:val="zh-CN"/>
              </w:rPr>
              <w:t>个万兆接口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高级软件</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配置存储双活功能，接受存储双活软件方式和硬件网关方式（二选一）；</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配置无限容量的以下软件功能许可：数据快照、数据克隆，重复数据删除和数据压缩，精简配置，数据同步异步；</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 xml:space="preserve">配置当前容量的备份软件，可以把数据快速备份到磁盘存储设备。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操作系统支持</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 xml:space="preserve">支持Windows、VMware </w:t>
            </w:r>
            <w:r>
              <w:rPr>
                <w:rFonts w:cs="仿宋_GB2312" w:asciiTheme="minorEastAsia" w:hAnsiTheme="minorEastAsia" w:eastAsiaTheme="minorEastAsia"/>
                <w:kern w:val="2"/>
                <w:szCs w:val="21"/>
                <w:lang w:val="zh-CN"/>
              </w:rPr>
              <w:t>vSphere</w:t>
            </w:r>
            <w:r>
              <w:rPr>
                <w:rFonts w:hint="eastAsia" w:cs="仿宋_GB2312" w:asciiTheme="minorEastAsia" w:hAnsiTheme="minorEastAsia" w:eastAsiaTheme="minorEastAsia"/>
                <w:kern w:val="2"/>
                <w:szCs w:val="21"/>
                <w:lang w:val="zh-CN"/>
              </w:rPr>
              <w:t>、Linux、AIX、HP-</w:t>
            </w:r>
            <w:r>
              <w:rPr>
                <w:rFonts w:cs="仿宋_GB2312" w:asciiTheme="minorEastAsia" w:hAnsiTheme="minorEastAsia" w:eastAsiaTheme="minorEastAsia"/>
                <w:kern w:val="2"/>
                <w:szCs w:val="21"/>
                <w:lang w:val="zh-CN"/>
              </w:rPr>
              <w:t>UX</w:t>
            </w:r>
            <w:r>
              <w:rPr>
                <w:rFonts w:hint="eastAsia" w:cs="仿宋_GB2312" w:asciiTheme="minorEastAsia" w:hAnsiTheme="minorEastAsia" w:eastAsiaTheme="minorEastAsia"/>
                <w:kern w:val="2"/>
                <w:szCs w:val="21"/>
                <w:lang w:val="zh-CN"/>
              </w:rPr>
              <w:t>、Solaris、</w:t>
            </w:r>
            <w:r>
              <w:rPr>
                <w:rFonts w:cs="仿宋_GB2312" w:asciiTheme="minorEastAsia" w:hAnsiTheme="minorEastAsia" w:eastAsiaTheme="minorEastAsia"/>
                <w:kern w:val="2"/>
                <w:szCs w:val="21"/>
                <w:lang w:val="zh-CN"/>
              </w:rPr>
              <w:t>Citrix</w:t>
            </w:r>
            <w:r>
              <w:rPr>
                <w:rFonts w:hint="eastAsia" w:cs="仿宋_GB2312" w:asciiTheme="minorEastAsia" w:hAnsiTheme="minorEastAsia" w:eastAsiaTheme="minorEastAsia"/>
                <w:kern w:val="2"/>
                <w:szCs w:val="21"/>
                <w:lang w:val="zh-CN"/>
              </w:rPr>
              <w:t>等多种操作系统。</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支持VMware VAAI、VVols、Oracle等兼容特性；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管理软件</w:t>
            </w:r>
          </w:p>
        </w:tc>
        <w:tc>
          <w:tcPr>
            <w:tcW w:w="6753" w:type="dxa"/>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存储统一监控软件，支持对EMC、HDS、HPE、NetApp、IBM、华为、新华三、浪潮等厂家的磁盘阵列的配置信息、性能信息、告警信息的收集和展现，支持配置导出；支持对博科、思科等厂家光纤交换机的配置信息、性能信息的收集和展现；支持配置邮件、短信、微信等进行各种告警。提供GUI管理界面多存储厂商支持的兼容性截图。配置≥</w:t>
            </w:r>
            <w:r>
              <w:rPr>
                <w:rFonts w:cs="仿宋_GB2312" w:asciiTheme="minorEastAsia" w:hAnsiTheme="minorEastAsia" w:eastAsiaTheme="minorEastAsia"/>
                <w:kern w:val="2"/>
                <w:szCs w:val="21"/>
                <w:lang w:val="zh-CN"/>
              </w:rPr>
              <w:t>60</w:t>
            </w:r>
            <w:r>
              <w:rPr>
                <w:rFonts w:hint="eastAsia" w:cs="仿宋_GB2312" w:asciiTheme="minorEastAsia" w:hAnsiTheme="minorEastAsia" w:eastAsiaTheme="minorEastAsia"/>
                <w:kern w:val="2"/>
                <w:szCs w:val="21"/>
                <w:lang w:val="zh-CN"/>
              </w:rPr>
              <w:t>套存储、交换机和操作系统的统一监控软件许可。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689"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服务要求</w:t>
            </w:r>
          </w:p>
        </w:tc>
        <w:tc>
          <w:tcPr>
            <w:tcW w:w="6753" w:type="dxa"/>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所投产品厂商需设有售后（备件） 服务机构（提供详细地址、电话/传真、邮箱以及联系人备查），投标人需提供设备原厂商针对此项目的三年7*24小时售后服务承诺函。设备发生故障后，2小时响应 ，8小时到达现场，承诺一般故障 48小时内排除。</w:t>
            </w:r>
          </w:p>
        </w:tc>
      </w:tr>
    </w:tbl>
    <w:p>
      <w:pPr>
        <w:spacing w:line="420" w:lineRule="exact"/>
        <w:ind w:firstLine="2940" w:firstLineChars="1400"/>
        <w:rPr>
          <w:rFonts w:cs="仿宋_GB2312" w:asciiTheme="minorEastAsia" w:hAnsiTheme="minorEastAsia"/>
          <w:szCs w:val="21"/>
          <w:lang w:val="zh-CN"/>
        </w:rPr>
      </w:pPr>
      <w:r>
        <w:rPr>
          <w:rFonts w:hint="eastAsia" w:cs="仿宋_GB2312" w:asciiTheme="minorEastAsia" w:hAnsiTheme="minorEastAsia"/>
          <w:szCs w:val="21"/>
          <w:lang w:val="zh-CN"/>
        </w:rPr>
        <w:t>汇聚交换机 （数量：</w:t>
      </w:r>
      <w:r>
        <w:rPr>
          <w:rFonts w:cs="仿宋_GB2312" w:asciiTheme="minorEastAsia" w:hAnsiTheme="minorEastAsia"/>
          <w:szCs w:val="21"/>
          <w:lang w:val="zh-CN"/>
        </w:rPr>
        <w:t>2</w:t>
      </w:r>
      <w:r>
        <w:rPr>
          <w:rFonts w:hint="eastAsia" w:cs="仿宋_GB2312" w:asciiTheme="minorEastAsia" w:hAnsiTheme="minorEastAsia"/>
          <w:szCs w:val="21"/>
          <w:lang w:val="zh-CN"/>
        </w:rPr>
        <w:t>台）</w:t>
      </w:r>
    </w:p>
    <w:tbl>
      <w:tblPr>
        <w:tblStyle w:val="26"/>
        <w:tblW w:w="52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功能</w:t>
            </w:r>
          </w:p>
        </w:tc>
        <w:tc>
          <w:tcPr>
            <w:tcW w:w="412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技术指标具体参数要求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整机性能</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交换容量≥2.56Tbps，包转发率≥1000Mpps。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端口</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万兆光口≥48个，40G光口≥2个；管理口≥1个；扩展槽≥2个，为了满足不同的上行互联要求，建议所投设备为双插槽设计，可扩展支持万兆光、万兆多速率电、25G、40G等多种类型板卡。提供官网功能截图。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▲安全融合</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考虑到园区网络的安全性，要求园区汇聚层设备均支持安全插卡，保障园区的业务安全可靠的运行。支持扩展下一代防火墙插卡，按需扩展IPS、防病毒、LB、应用识别、SSL VPN功能；要求提供投标设备厂商官网选配信息。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▲设备表项</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MAC地址表容量≥128K；ARP表容量≥64K；IPv4路由表容量≥64K；ACL表容量≥2K；以上内容要求提供通过中国合格评定国家认可委员会（CNAS）能力认可的第三方权威机构出具的检验报告复印件。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虚拟化</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支持9台物理设备虚拟成一台逻辑设备；支持纵向虚拟化功能，可将设备通过虚拟化技术形成一台纵向逻辑虚拟设备。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路由协议</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支持IPv4、IPv6静态路由，RIP等三层动态路由协议，支持等价路由、VRRP、OSPFv1/v2、OSPF v3、BGP、ISIS等增强三层路由协议。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防雷能力</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端口防雷能力≥10KV，降低雷击对设备的损坏率。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硬件加密</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支持MACsec安全加密功能，支持报文加密、防重放攻击、防篡改等。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SDN能力</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支持OpenFlow 1.3标准，支持多控制器，支持多表流水线，支持Group table，支持Meter。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VXLAN</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支持二层、三层VXLAN；支持EVPN VXLAN，满足医院业务隔离需求。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▲可管理性</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内置免费的网管软件、从传统的网元的设备管理升级为对整个网络的WEB管理、一键启动；要求设备能够被公有云平台管理；以上功能要求提供通过中国合格评定国家认可委员会（CNAS）能力认可的第三方权威机构出具的检验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配置要求</w:t>
            </w:r>
          </w:p>
        </w:tc>
        <w:tc>
          <w:tcPr>
            <w:tcW w:w="4125" w:type="pct"/>
          </w:tcPr>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配置模块化可插拔冗余电源、风扇；</w:t>
            </w:r>
          </w:p>
          <w:p>
            <w:pPr>
              <w:pStyle w:val="77"/>
              <w:spacing w:line="420" w:lineRule="exact"/>
              <w:ind w:firstLine="0"/>
              <w:rPr>
                <w:rFonts w:cs="仿宋_GB2312" w:asciiTheme="minorEastAsia" w:hAnsiTheme="minorEastAsia" w:eastAsiaTheme="minorEastAsia"/>
                <w:kern w:val="2"/>
                <w:szCs w:val="21"/>
                <w:lang w:val="zh-CN"/>
              </w:rPr>
            </w:pPr>
            <w:r>
              <w:rPr>
                <w:rFonts w:hint="eastAsia" w:cs="仿宋_GB2312" w:asciiTheme="minorEastAsia" w:hAnsiTheme="minorEastAsia" w:eastAsiaTheme="minorEastAsia"/>
                <w:kern w:val="2"/>
                <w:szCs w:val="21"/>
                <w:lang w:val="zh-CN"/>
              </w:rPr>
              <w:t>光模块满配，其中万兆多模300M光模块≥4</w:t>
            </w:r>
            <w:r>
              <w:rPr>
                <w:rFonts w:cs="仿宋_GB2312" w:asciiTheme="minorEastAsia" w:hAnsiTheme="minorEastAsia" w:eastAsiaTheme="minorEastAsia"/>
                <w:kern w:val="2"/>
                <w:szCs w:val="21"/>
                <w:lang w:val="zh-CN"/>
              </w:rPr>
              <w:t>6</w:t>
            </w:r>
            <w:r>
              <w:rPr>
                <w:rFonts w:hint="eastAsia" w:cs="仿宋_GB2312" w:asciiTheme="minorEastAsia" w:hAnsiTheme="minorEastAsia" w:eastAsiaTheme="minorEastAsia"/>
                <w:kern w:val="2"/>
                <w:szCs w:val="21"/>
                <w:lang w:val="zh-CN"/>
              </w:rPr>
              <w:t>个。</w:t>
            </w:r>
          </w:p>
        </w:tc>
      </w:tr>
    </w:tbl>
    <w:p>
      <w:pPr>
        <w:pStyle w:val="2"/>
        <w:ind w:left="510" w:firstLine="0" w:firstLineChars="0"/>
        <w:rPr>
          <w:rFonts w:cs="仿宋_GB2312" w:asciiTheme="minorEastAsia" w:hAnsiTheme="minorEastAsia"/>
          <w:szCs w:val="21"/>
          <w:lang w:val="zh-CN"/>
        </w:rPr>
      </w:pPr>
    </w:p>
    <w:p>
      <w:pPr>
        <w:pStyle w:val="72"/>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spacing w:line="360" w:lineRule="auto"/>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pStyle w:val="51"/>
        <w:wordWrap w:val="0"/>
        <w:spacing w:line="360" w:lineRule="auto"/>
        <w:ind w:left="510" w:firstLine="0" w:firstLineChars="0"/>
        <w:contextualSpacing/>
        <w:rPr>
          <w:rFonts w:cs="仿宋_GB2312" w:asciiTheme="minorEastAsia" w:hAnsiTheme="minorEastAsia"/>
          <w:szCs w:val="21"/>
          <w:lang w:val="zh-CN"/>
        </w:rPr>
      </w:pPr>
      <w:r>
        <w:rPr>
          <w:rFonts w:hint="eastAsia" w:cs="仿宋_GB2312" w:asciiTheme="minorEastAsia" w:hAnsiTheme="minorEastAsia"/>
          <w:b/>
          <w:szCs w:val="21"/>
          <w:lang w:val="zh-CN"/>
        </w:rPr>
        <w:t>四、服务标准、期限、效率等要求</w:t>
      </w:r>
      <w:r>
        <w:rPr>
          <w:rFonts w:hint="eastAsia" w:cs="仿宋_GB2312" w:asciiTheme="minorEastAsia" w:hAnsiTheme="minorEastAsia"/>
          <w:szCs w:val="21"/>
          <w:lang w:val="zh-CN"/>
        </w:rPr>
        <w:t>：</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1、交货时间：合同签订后</w:t>
      </w:r>
      <w:r>
        <w:rPr>
          <w:rFonts w:hint="eastAsia" w:ascii="新宋体" w:hAnsi="新宋体" w:eastAsia="新宋体" w:cs="新宋体"/>
          <w:szCs w:val="21"/>
        </w:rPr>
        <w:t>10</w:t>
      </w:r>
      <w:r>
        <w:rPr>
          <w:rFonts w:hint="eastAsia" w:ascii="新宋体" w:hAnsi="新宋体" w:eastAsia="新宋体" w:cs="新宋体"/>
          <w:szCs w:val="21"/>
          <w:lang w:val="zh-CN"/>
        </w:rPr>
        <w:t>日历天内。</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2、质保期：一年</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3、质量要求：合格，达到国家现行相关质量验收规范标准。</w:t>
      </w:r>
    </w:p>
    <w:p>
      <w:pPr>
        <w:topLinePunct/>
        <w:spacing w:line="420" w:lineRule="exact"/>
        <w:ind w:firstLine="420" w:firstLineChars="200"/>
        <w:contextualSpacing/>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、中标供应商应在规定时间内完成安装，投标人须明确安装工负责人、联系人和联系电话，</w:t>
      </w:r>
      <w:r>
        <w:rPr>
          <w:rFonts w:hint="eastAsia" w:ascii="宋体" w:hAnsi="宋体" w:cs="宋体"/>
          <w:b/>
          <w:bCs/>
          <w:szCs w:val="21"/>
          <w:lang w:val="zh-CN"/>
        </w:rPr>
        <w:t>否则为无效响应文件</w:t>
      </w:r>
      <w:r>
        <w:rPr>
          <w:rFonts w:hint="eastAsia" w:ascii="宋体" w:hAnsi="宋体" w:cs="宋体"/>
          <w:szCs w:val="21"/>
          <w:lang w:val="zh-CN"/>
        </w:rPr>
        <w:t>。</w:t>
      </w:r>
    </w:p>
    <w:p>
      <w:pPr>
        <w:topLinePunct/>
        <w:spacing w:line="420" w:lineRule="exact"/>
        <w:ind w:firstLine="420" w:firstLineChars="200"/>
        <w:contextualSpacing/>
        <w:rPr>
          <w:rFonts w:hint="eastAsia" w:ascii="宋体" w:hAnsi="宋体" w:cs="宋体"/>
          <w:szCs w:val="21"/>
          <w:lang w:val="zh-CN"/>
        </w:rPr>
      </w:pPr>
      <w:r>
        <w:rPr>
          <w:rFonts w:hint="eastAsia" w:ascii="宋体" w:hAnsi="宋体" w:cs="宋体"/>
          <w:szCs w:val="21"/>
        </w:rPr>
        <w:t>5</w:t>
      </w:r>
      <w:r>
        <w:rPr>
          <w:rFonts w:hint="eastAsia" w:ascii="宋体" w:hAnsi="宋体" w:cs="宋体"/>
          <w:szCs w:val="21"/>
          <w:lang w:val="zh-CN"/>
        </w:rPr>
        <w:t>、投标人应提供详细的售后服务方案，质保期内发生故障或质量问题，卖方在接到通知后1小时进行响应，2小时到达，24小时内处理问题，否则需提供备用设备直至原设备修好为止。明确售后服务的地址和负责人、联系人及联系电话，对用户使用、操作、维修和保养人员进行免费培训（提供安装、使用、维护说明书），</w:t>
      </w:r>
      <w:r>
        <w:rPr>
          <w:rFonts w:hint="eastAsia" w:ascii="宋体" w:hAnsi="宋体" w:cs="宋体"/>
          <w:b/>
          <w:bCs/>
          <w:szCs w:val="21"/>
          <w:lang w:val="zh-CN"/>
        </w:rPr>
        <w:t>否则为无效响应文件</w:t>
      </w:r>
      <w:r>
        <w:rPr>
          <w:rFonts w:hint="eastAsia" w:ascii="宋体" w:hAnsi="宋体" w:cs="宋体"/>
          <w:szCs w:val="21"/>
          <w:lang w:val="zh-CN"/>
        </w:rPr>
        <w:t>。</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pStyle w:val="51"/>
        <w:spacing w:line="360" w:lineRule="auto"/>
        <w:ind w:left="420" w:firstLine="0" w:firstLineChars="0"/>
        <w:rPr>
          <w:rFonts w:hint="eastAsia" w:ascii="新宋体" w:hAnsi="新宋体" w:eastAsia="新宋体" w:cs="新宋体"/>
          <w:szCs w:val="21"/>
          <w:lang w:val="zh-CN"/>
        </w:rPr>
      </w:pPr>
      <w:r>
        <w:rPr>
          <w:rFonts w:hint="eastAsia" w:ascii="新宋体" w:hAnsi="新宋体" w:eastAsia="新宋体" w:cs="新宋体"/>
          <w:szCs w:val="21"/>
          <w:lang w:val="zh-CN"/>
        </w:rPr>
        <w:t>1、投标人须明确投标产品的厂家、产地、品牌、型号、等参数，否则为无效投标。</w:t>
      </w:r>
    </w:p>
    <w:p>
      <w:pPr>
        <w:spacing w:line="500" w:lineRule="exact"/>
        <w:ind w:firstLine="420" w:firstLineChars="200"/>
        <w:jc w:val="left"/>
        <w:rPr>
          <w:rFonts w:hint="eastAsia" w:cs="仿宋_GB2312" w:asciiTheme="minorEastAsia" w:hAnsiTheme="minorEastAsia"/>
          <w:b/>
          <w:bCs/>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w:t>
      </w:r>
      <w:r>
        <w:rPr>
          <w:rFonts w:hint="eastAsia" w:cs="仿宋_GB2312" w:asciiTheme="minorEastAsia" w:hAnsiTheme="minorEastAsia"/>
          <w:b/>
          <w:bCs/>
          <w:szCs w:val="21"/>
          <w:lang w:val="zh-CN"/>
        </w:rPr>
        <w:t>否则为无效响应文件 。</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3、所投产品必须符合谈判文件规定标准的全新正品现货，</w:t>
      </w:r>
      <w:r>
        <w:rPr>
          <w:rFonts w:hint="eastAsia" w:cs="仿宋_GB2312" w:asciiTheme="minorEastAsia" w:hAnsiTheme="minorEastAsia"/>
          <w:b/>
          <w:bCs/>
          <w:szCs w:val="21"/>
          <w:lang w:val="zh-CN"/>
        </w:rPr>
        <w:t>否则为无效响应文件 。</w:t>
      </w:r>
    </w:p>
    <w:p>
      <w:pPr>
        <w:spacing w:line="360" w:lineRule="auto"/>
        <w:ind w:firstLine="420" w:firstLineChars="200"/>
        <w:contextualSpacing/>
        <w:rPr>
          <w:rFonts w:cs="仿宋_GB2312" w:asciiTheme="minorEastAsia" w:hAnsiTheme="minorEastAsia"/>
          <w:b/>
          <w:bCs/>
          <w:szCs w:val="21"/>
          <w:lang w:val="zh-CN"/>
        </w:rPr>
      </w:pPr>
      <w:r>
        <w:rPr>
          <w:rFonts w:hint="eastAsia" w:cs="仿宋_GB2312" w:asciiTheme="minorEastAsia" w:hAnsiTheme="minorEastAsia"/>
          <w:szCs w:val="21"/>
        </w:rPr>
        <w:t>4</w:t>
      </w:r>
      <w:r>
        <w:rPr>
          <w:rFonts w:hint="eastAsia" w:cs="仿宋_GB2312" w:asciiTheme="minorEastAsia" w:hAnsiTheme="minorEastAsia"/>
          <w:szCs w:val="21"/>
          <w:lang w:val="zh-CN"/>
        </w:rPr>
        <w:t>、投标文件中须有详细的实施（技术）方案，</w:t>
      </w:r>
      <w:r>
        <w:rPr>
          <w:rFonts w:hint="eastAsia" w:cs="仿宋_GB2312" w:asciiTheme="minorEastAsia" w:hAnsiTheme="minorEastAsia"/>
          <w:b/>
          <w:bCs/>
          <w:szCs w:val="21"/>
          <w:lang w:val="zh-CN"/>
        </w:rPr>
        <w:t>否则为无效响应文件 。</w:t>
      </w:r>
    </w:p>
    <w:p>
      <w:pPr>
        <w:topLinePunct/>
        <w:spacing w:line="360" w:lineRule="auto"/>
        <w:ind w:firstLine="42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1、按照国家相关标准、行业标准、地方标准或其他标准、规范验收。</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1、支付方式：按照合同约定，经验收合格后申请支付。</w:t>
      </w:r>
    </w:p>
    <w:p>
      <w:pPr>
        <w:widowControl/>
        <w:shd w:val="clear" w:color="auto" w:fill="FFFFFF"/>
        <w:spacing w:line="600" w:lineRule="exact"/>
        <w:ind w:firstLine="420" w:firstLineChars="200"/>
        <w:jc w:val="left"/>
        <w:rPr>
          <w:szCs w:val="21"/>
        </w:rPr>
      </w:pPr>
      <w:r>
        <w:rPr>
          <w:rFonts w:hint="eastAsia" w:cs="宋体" w:asciiTheme="minorEastAsia" w:hAnsiTheme="minorEastAsia"/>
          <w:color w:val="000000"/>
          <w:kern w:val="0"/>
          <w:szCs w:val="21"/>
          <w:lang w:val="zh-CN"/>
        </w:rPr>
        <w:t>2、支付时间及条件：以签订合同为准。</w:t>
      </w: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pStyle w:val="2"/>
        <w:ind w:firstLine="0" w:firstLineChars="0"/>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项目名称：禹州市中心医院计算机机房升级改造项目（不见面开标）</w:t>
            </w:r>
          </w:p>
          <w:p>
            <w:pPr>
              <w:autoSpaceDE w:val="0"/>
              <w:autoSpaceDN w:val="0"/>
              <w:adjustRightInd w:val="0"/>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采购编号：YZCG-T2021054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交付（服务、完工）时间：签订合同后10</w:t>
            </w:r>
            <w:r>
              <w:rPr>
                <w:rFonts w:hint="eastAsia" w:cs="仿宋_GB2312" w:asciiTheme="minorEastAsia" w:hAnsiTheme="minorEastAsia"/>
                <w:szCs w:val="21"/>
                <w:lang w:eastAsia="zh-CN"/>
              </w:rPr>
              <w:t>日历天</w:t>
            </w:r>
            <w:r>
              <w:rPr>
                <w:rFonts w:hint="eastAsia" w:cs="仿宋_GB2312" w:asciiTheme="minorEastAsia" w:hAnsiTheme="minorEastAsia"/>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采购单位：禹州市中心医院</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联系人：巴先生  联系电话：0374-8256708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宋体" w:asciiTheme="minorEastAsia" w:hAnsiTheme="minorEastAsia"/>
                <w:b/>
                <w:bCs/>
                <w:szCs w:val="21"/>
              </w:rPr>
              <w:t>1900000.00</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rPr>
              <w:t>11</w:t>
            </w:r>
            <w:r>
              <w:rPr>
                <w:rFonts w:hint="eastAsia" w:cs="宋体" w:asciiTheme="minorEastAsia" w:hAnsiTheme="minorEastAsia"/>
                <w:bCs/>
                <w:szCs w:val="21"/>
                <w:lang w:val="zh-CN"/>
              </w:rPr>
              <w:t>月</w:t>
            </w:r>
            <w:r>
              <w:rPr>
                <w:rFonts w:hint="eastAsia" w:cs="宋体" w:asciiTheme="minorEastAsia" w:hAnsiTheme="minorEastAsia"/>
                <w:bCs/>
                <w:szCs w:val="21"/>
              </w:rPr>
              <w:t>17</w:t>
            </w:r>
            <w:r>
              <w:rPr>
                <w:rFonts w:hint="eastAsia" w:cs="宋体" w:asciiTheme="minorEastAsia" w:hAnsiTheme="minorEastAsia"/>
                <w:bCs/>
                <w:szCs w:val="21"/>
                <w:lang w:val="zh-CN"/>
              </w:rPr>
              <w:t>日</w:t>
            </w:r>
            <w:r>
              <w:rPr>
                <w:rFonts w:hint="eastAsia" w:cs="宋体" w:asciiTheme="minorEastAsia" w:hAnsiTheme="minorEastAsia"/>
                <w:bCs/>
                <w:szCs w:val="21"/>
              </w:rPr>
              <w:t>10</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1"/>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1"/>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1"/>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1"/>
        <w:autoSpaceDE w:val="0"/>
        <w:autoSpaceDN w:val="0"/>
        <w:spacing w:line="360" w:lineRule="auto"/>
        <w:ind w:left="780" w:firstLine="0" w:firstLineChars="0"/>
        <w:contextualSpacing/>
        <w:rPr>
          <w:rFonts w:cs="宋体" w:asciiTheme="minorEastAsia" w:hAnsiTheme="minorEastAsia"/>
          <w:kern w:val="0"/>
          <w:szCs w:val="21"/>
        </w:rPr>
      </w:pPr>
    </w:p>
    <w:p>
      <w:pPr>
        <w:pStyle w:val="51"/>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1"/>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1"/>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1"/>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1"/>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1"/>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51"/>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1"/>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1"/>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1"/>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1"/>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1"/>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1"/>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1"/>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1"/>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1"/>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1"/>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1"/>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1"/>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1"/>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1"/>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1"/>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1"/>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autoSpaceDE w:val="0"/>
        <w:autoSpaceDN w:val="0"/>
        <w:spacing w:line="360" w:lineRule="auto"/>
        <w:ind w:firstLine="315" w:firstLineChars="15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1"/>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1"/>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1"/>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1"/>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1"/>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1"/>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1"/>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1"/>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1"/>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1"/>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1"/>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1"/>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1"/>
        <w:autoSpaceDE w:val="0"/>
        <w:autoSpaceDN w:val="0"/>
        <w:spacing w:line="360" w:lineRule="auto"/>
        <w:ind w:left="420" w:firstLine="0" w:firstLineChars="0"/>
        <w:contextualSpacing/>
        <w:rPr>
          <w:rFonts w:cs="宋体" w:asciiTheme="minorEastAsia" w:hAnsiTheme="minorEastAsia"/>
          <w:kern w:val="0"/>
          <w:szCs w:val="21"/>
        </w:rPr>
      </w:pP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1"/>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1"/>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1"/>
        <w:numPr>
          <w:ilvl w:val="1"/>
          <w:numId w:val="31"/>
        </w:numPr>
        <w:autoSpaceDE w:val="0"/>
        <w:autoSpaceDN w:val="0"/>
        <w:spacing w:line="360" w:lineRule="auto"/>
        <w:ind w:firstLineChars="0"/>
        <w:contextualSpacing/>
        <w:rPr>
          <w:rFonts w:ascii="ˎ̥" w:hAnsi="ˎ̥"/>
          <w:vanish/>
        </w:rPr>
      </w:pPr>
    </w:p>
    <w:p>
      <w:pPr>
        <w:pStyle w:val="5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1"/>
        <w:numPr>
          <w:ilvl w:val="0"/>
          <w:numId w:val="34"/>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1"/>
        <w:numPr>
          <w:ilvl w:val="0"/>
          <w:numId w:val="34"/>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1"/>
        <w:numPr>
          <w:ilvl w:val="0"/>
          <w:numId w:val="34"/>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1"/>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1"/>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1"/>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51"/>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1"/>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1"/>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1"/>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1"/>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1"/>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1"/>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1"/>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1"/>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1"/>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1"/>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1"/>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1"/>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1"/>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1"/>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1"/>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1"/>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1"/>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1"/>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1"/>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1"/>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1"/>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1"/>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1"/>
        <w:numPr>
          <w:ilvl w:val="0"/>
          <w:numId w:val="43"/>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1"/>
        <w:numPr>
          <w:ilvl w:val="0"/>
          <w:numId w:val="4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1"/>
        <w:numPr>
          <w:ilvl w:val="0"/>
          <w:numId w:val="4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1"/>
        <w:numPr>
          <w:ilvl w:val="0"/>
          <w:numId w:val="4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1"/>
        <w:numPr>
          <w:ilvl w:val="0"/>
          <w:numId w:val="4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1"/>
        <w:numPr>
          <w:ilvl w:val="0"/>
          <w:numId w:val="4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1"/>
        <w:autoSpaceDE w:val="0"/>
        <w:autoSpaceDN w:val="0"/>
        <w:spacing w:line="360" w:lineRule="auto"/>
        <w:ind w:left="964" w:firstLine="0" w:firstLineChars="0"/>
        <w:contextualSpacing/>
        <w:rPr>
          <w:rFonts w:ascii="ˎ̥" w:hAnsi="ˎ̥"/>
        </w:rPr>
      </w:pP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1"/>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1"/>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1"/>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1"/>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1"/>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1"/>
        <w:autoSpaceDE w:val="0"/>
        <w:autoSpaceDN w:val="0"/>
        <w:spacing w:line="360" w:lineRule="auto"/>
        <w:ind w:left="964" w:firstLine="0" w:firstLineChars="0"/>
        <w:contextualSpacing/>
        <w:rPr>
          <w:rFonts w:ascii="ˎ̥" w:hAnsi="ˎ̥"/>
        </w:rPr>
      </w:pPr>
    </w:p>
    <w:p>
      <w:pPr>
        <w:pStyle w:val="51"/>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1"/>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1"/>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1"/>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1"/>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1"/>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通过《全国公共资源交易平台（河南省·许昌市）》一次性提出，提出后电话联系本项目谈判公告中集采机构联系人查看，如未提出视为全面接受。</w:t>
      </w:r>
    </w:p>
    <w:p>
      <w:pPr>
        <w:pStyle w:val="51"/>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1"/>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1"/>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1"/>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1"/>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1"/>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1"/>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1"/>
        <w:numPr>
          <w:ilvl w:val="0"/>
          <w:numId w:val="48"/>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1"/>
        <w:numPr>
          <w:ilvl w:val="1"/>
          <w:numId w:val="54"/>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szCs w:val="21"/>
              </w:rPr>
              <w:t>www.creditchina.gov.cn</w:t>
            </w:r>
            <w:r>
              <w:rPr>
                <w:rStyle w:val="30"/>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7"/>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ind w:firstLine="723"/>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bookmarkStart w:id="7" w:name="_GoBack"/>
      <w:bookmarkEnd w:id="7"/>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我方确认收到贵方提供的（项目名称、采购编号）谈判文件的全部内容。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谈判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已完全理解并接受招标文件的各项规定和要求及资金支付规定，对谈判文件的合理性、合法性不再有异议，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我方同意在本项目谈判文件中规定的开标日起90天内遵守本投标文件中的承诺且在此期限期满之前均具有约束力。我方同意并遵守本谈判文件“投标人须知”中第十四条第三款关于延长投标有效期的规定。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3"/>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53"/>
        <w:spacing w:line="480" w:lineRule="auto"/>
        <w:ind w:firstLine="472" w:firstLineChars="225"/>
        <w:jc w:val="left"/>
        <w:rPr>
          <w:rFonts w:asciiTheme="minorEastAsia" w:hAnsiTheme="minorEastAsia"/>
          <w:color w:val="000000"/>
          <w:sz w:val="21"/>
          <w:szCs w:val="21"/>
        </w:rPr>
      </w:pPr>
    </w:p>
    <w:p>
      <w:pPr>
        <w:pStyle w:val="5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5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2" w:name="_资格证明文件"/>
            <w:bookmarkEnd w:id="2"/>
            <w:bookmarkStart w:id="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3"/>
          </w:p>
        </w:tc>
        <w:tc>
          <w:tcPr>
            <w:tcW w:w="4492" w:type="dxa"/>
            <w:gridSpan w:val="2"/>
            <w:vAlign w:val="center"/>
          </w:tcPr>
          <w:p>
            <w:pPr>
              <w:jc w:val="center"/>
              <w:rPr>
                <w:rFonts w:asciiTheme="minorEastAsia" w:hAnsiTheme="minorEastAsia"/>
                <w:szCs w:val="21"/>
              </w:rPr>
            </w:pPr>
            <w:bookmarkStart w:id="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5" w:name="OLE_LINK14"/>
      <w:bookmarkStart w:id="6" w:name="OLE_LINK13"/>
      <w:r>
        <w:rPr>
          <w:rFonts w:hint="eastAsia" w:ascii="宋体" w:hAnsi="宋体"/>
          <w:b/>
          <w:bCs/>
          <w:color w:val="000000"/>
          <w:sz w:val="24"/>
          <w:szCs w:val="24"/>
        </w:rPr>
        <w:t>4.10 残疾人福利性单位声明函</w:t>
      </w:r>
    </w:p>
    <w:bookmarkEnd w:id="5"/>
    <w:bookmarkEnd w:id="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7"/>
        <w:spacing w:line="360" w:lineRule="auto"/>
        <w:ind w:firstLine="723"/>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B7720D"/>
    <w:multiLevelType w:val="multilevel"/>
    <w:tmpl w:val="09B7720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7A7622"/>
    <w:multiLevelType w:val="singleLevel"/>
    <w:tmpl w:val="2C7A7622"/>
    <w:lvl w:ilvl="0" w:tentative="0">
      <w:start w:val="1"/>
      <w:numFmt w:val="chineseCounting"/>
      <w:suff w:val="space"/>
      <w:lvlText w:val="第%1章"/>
      <w:lvlJc w:val="left"/>
      <w:rPr>
        <w:rFonts w:hint="eastAsia"/>
      </w:rPr>
    </w:lvl>
  </w:abstractNum>
  <w:abstractNum w:abstractNumId="2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9F817E8"/>
    <w:multiLevelType w:val="singleLevel"/>
    <w:tmpl w:val="59F817E8"/>
    <w:lvl w:ilvl="0" w:tentative="0">
      <w:start w:val="1"/>
      <w:numFmt w:val="chineseCounting"/>
      <w:pStyle w:val="61"/>
      <w:suff w:val="nothing"/>
      <w:lvlText w:val="%1、"/>
      <w:lvlJc w:val="left"/>
    </w:lvl>
  </w:abstractNum>
  <w:abstractNum w:abstractNumId="3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3"/>
  </w:num>
  <w:num w:numId="5">
    <w:abstractNumId w:val="5"/>
  </w:num>
  <w:num w:numId="6">
    <w:abstractNumId w:val="15"/>
  </w:num>
  <w:num w:numId="7">
    <w:abstractNumId w:val="16"/>
  </w:num>
  <w:num w:numId="8">
    <w:abstractNumId w:val="43"/>
  </w:num>
  <w:num w:numId="9">
    <w:abstractNumId w:val="52"/>
  </w:num>
  <w:num w:numId="10">
    <w:abstractNumId w:val="51"/>
  </w:num>
  <w:num w:numId="11">
    <w:abstractNumId w:val="42"/>
  </w:num>
  <w:num w:numId="12">
    <w:abstractNumId w:val="22"/>
  </w:num>
  <w:num w:numId="13">
    <w:abstractNumId w:val="17"/>
  </w:num>
  <w:num w:numId="14">
    <w:abstractNumId w:val="45"/>
  </w:num>
  <w:num w:numId="15">
    <w:abstractNumId w:val="40"/>
  </w:num>
  <w:num w:numId="16">
    <w:abstractNumId w:val="50"/>
  </w:num>
  <w:num w:numId="17">
    <w:abstractNumId w:val="34"/>
  </w:num>
  <w:num w:numId="18">
    <w:abstractNumId w:val="12"/>
  </w:num>
  <w:num w:numId="19">
    <w:abstractNumId w:val="37"/>
  </w:num>
  <w:num w:numId="20">
    <w:abstractNumId w:val="4"/>
  </w:num>
  <w:num w:numId="21">
    <w:abstractNumId w:val="21"/>
  </w:num>
  <w:num w:numId="22">
    <w:abstractNumId w:val="35"/>
  </w:num>
  <w:num w:numId="23">
    <w:abstractNumId w:val="3"/>
  </w:num>
  <w:num w:numId="24">
    <w:abstractNumId w:val="47"/>
  </w:num>
  <w:num w:numId="25">
    <w:abstractNumId w:val="11"/>
  </w:num>
  <w:num w:numId="26">
    <w:abstractNumId w:val="26"/>
  </w:num>
  <w:num w:numId="27">
    <w:abstractNumId w:val="30"/>
  </w:num>
  <w:num w:numId="28">
    <w:abstractNumId w:val="18"/>
  </w:num>
  <w:num w:numId="29">
    <w:abstractNumId w:val="39"/>
  </w:num>
  <w:num w:numId="30">
    <w:abstractNumId w:val="24"/>
  </w:num>
  <w:num w:numId="31">
    <w:abstractNumId w:val="46"/>
  </w:num>
  <w:num w:numId="32">
    <w:abstractNumId w:val="31"/>
  </w:num>
  <w:num w:numId="33">
    <w:abstractNumId w:val="49"/>
  </w:num>
  <w:num w:numId="34">
    <w:abstractNumId w:val="13"/>
  </w:num>
  <w:num w:numId="35">
    <w:abstractNumId w:val="2"/>
  </w:num>
  <w:num w:numId="36">
    <w:abstractNumId w:val="9"/>
  </w:num>
  <w:num w:numId="37">
    <w:abstractNumId w:val="6"/>
  </w:num>
  <w:num w:numId="38">
    <w:abstractNumId w:val="28"/>
  </w:num>
  <w:num w:numId="39">
    <w:abstractNumId w:val="14"/>
  </w:num>
  <w:num w:numId="40">
    <w:abstractNumId w:val="44"/>
  </w:num>
  <w:num w:numId="41">
    <w:abstractNumId w:val="29"/>
  </w:num>
  <w:num w:numId="42">
    <w:abstractNumId w:val="53"/>
  </w:num>
  <w:num w:numId="43">
    <w:abstractNumId w:val="27"/>
  </w:num>
  <w:num w:numId="44">
    <w:abstractNumId w:val="48"/>
  </w:num>
  <w:num w:numId="45">
    <w:abstractNumId w:val="36"/>
  </w:num>
  <w:num w:numId="46">
    <w:abstractNumId w:val="19"/>
  </w:num>
  <w:num w:numId="47">
    <w:abstractNumId w:val="25"/>
  </w:num>
  <w:num w:numId="48">
    <w:abstractNumId w:val="32"/>
  </w:num>
  <w:num w:numId="49">
    <w:abstractNumId w:val="41"/>
  </w:num>
  <w:num w:numId="50">
    <w:abstractNumId w:val="54"/>
  </w:num>
  <w:num w:numId="51">
    <w:abstractNumId w:val="10"/>
  </w:num>
  <w:num w:numId="52">
    <w:abstractNumId w:val="33"/>
  </w:num>
  <w:num w:numId="53">
    <w:abstractNumId w:val="7"/>
  </w:num>
  <w:num w:numId="54">
    <w:abstractNumId w:val="20"/>
  </w:num>
  <w:num w:numId="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56C6"/>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A76A7"/>
    <w:rsid w:val="001B0DF5"/>
    <w:rsid w:val="001B0E59"/>
    <w:rsid w:val="001C04D2"/>
    <w:rsid w:val="001C0A13"/>
    <w:rsid w:val="001C26CD"/>
    <w:rsid w:val="001C2B6A"/>
    <w:rsid w:val="001C761E"/>
    <w:rsid w:val="001D06FF"/>
    <w:rsid w:val="001D1CBB"/>
    <w:rsid w:val="001D33AD"/>
    <w:rsid w:val="001D33DA"/>
    <w:rsid w:val="001D4C00"/>
    <w:rsid w:val="001E25D9"/>
    <w:rsid w:val="001E52A3"/>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4EC4"/>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3C9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7EB"/>
    <w:rsid w:val="002F3BDA"/>
    <w:rsid w:val="002F3FEE"/>
    <w:rsid w:val="002F4580"/>
    <w:rsid w:val="003011BE"/>
    <w:rsid w:val="00303972"/>
    <w:rsid w:val="00303F10"/>
    <w:rsid w:val="0030443F"/>
    <w:rsid w:val="003074C9"/>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274D7"/>
    <w:rsid w:val="00435E0B"/>
    <w:rsid w:val="00440D16"/>
    <w:rsid w:val="0044232F"/>
    <w:rsid w:val="00444482"/>
    <w:rsid w:val="004464C2"/>
    <w:rsid w:val="0044739E"/>
    <w:rsid w:val="00460A24"/>
    <w:rsid w:val="00463754"/>
    <w:rsid w:val="00464D64"/>
    <w:rsid w:val="0047231A"/>
    <w:rsid w:val="0047378F"/>
    <w:rsid w:val="00480C9E"/>
    <w:rsid w:val="00482B1A"/>
    <w:rsid w:val="00485804"/>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0187"/>
    <w:rsid w:val="00500E5C"/>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0515"/>
    <w:rsid w:val="005711DE"/>
    <w:rsid w:val="005730CA"/>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E5AED"/>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A7F05"/>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29FC"/>
    <w:rsid w:val="00724498"/>
    <w:rsid w:val="007303E5"/>
    <w:rsid w:val="00733E11"/>
    <w:rsid w:val="00736C7C"/>
    <w:rsid w:val="0075258E"/>
    <w:rsid w:val="00752DA3"/>
    <w:rsid w:val="007579F7"/>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040E"/>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9F5E75"/>
    <w:rsid w:val="00A02881"/>
    <w:rsid w:val="00A04DD5"/>
    <w:rsid w:val="00A10F0B"/>
    <w:rsid w:val="00A1438F"/>
    <w:rsid w:val="00A153DA"/>
    <w:rsid w:val="00A205AF"/>
    <w:rsid w:val="00A2333F"/>
    <w:rsid w:val="00A256F1"/>
    <w:rsid w:val="00A27CE4"/>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4A92"/>
    <w:rsid w:val="00AA6F4A"/>
    <w:rsid w:val="00AB37ED"/>
    <w:rsid w:val="00AC081D"/>
    <w:rsid w:val="00AC5A33"/>
    <w:rsid w:val="00AC766D"/>
    <w:rsid w:val="00AC7F46"/>
    <w:rsid w:val="00AD067C"/>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662F7"/>
    <w:rsid w:val="00B72ABF"/>
    <w:rsid w:val="00B734DD"/>
    <w:rsid w:val="00B7472A"/>
    <w:rsid w:val="00B80BDE"/>
    <w:rsid w:val="00B81DDB"/>
    <w:rsid w:val="00B87403"/>
    <w:rsid w:val="00B923F6"/>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53A8"/>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26F0F"/>
    <w:rsid w:val="00D30AC2"/>
    <w:rsid w:val="00D30CA6"/>
    <w:rsid w:val="00D31AF4"/>
    <w:rsid w:val="00D47B48"/>
    <w:rsid w:val="00D51569"/>
    <w:rsid w:val="00D51C46"/>
    <w:rsid w:val="00D62770"/>
    <w:rsid w:val="00D70A72"/>
    <w:rsid w:val="00D725A0"/>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63DAA"/>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A70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83210B7"/>
    <w:rsid w:val="1A464258"/>
    <w:rsid w:val="1BFD3750"/>
    <w:rsid w:val="1C0D0E22"/>
    <w:rsid w:val="1CA75985"/>
    <w:rsid w:val="1CB23AAB"/>
    <w:rsid w:val="1D3D2567"/>
    <w:rsid w:val="1DD64980"/>
    <w:rsid w:val="1DE978C4"/>
    <w:rsid w:val="1ED878F4"/>
    <w:rsid w:val="24B72FF5"/>
    <w:rsid w:val="24E915BF"/>
    <w:rsid w:val="27821D05"/>
    <w:rsid w:val="27FE437C"/>
    <w:rsid w:val="284941DC"/>
    <w:rsid w:val="2A9B65A1"/>
    <w:rsid w:val="2AA71F8F"/>
    <w:rsid w:val="2E5C09FD"/>
    <w:rsid w:val="2EC8588E"/>
    <w:rsid w:val="2F0F4330"/>
    <w:rsid w:val="2F9D4845"/>
    <w:rsid w:val="30033BF1"/>
    <w:rsid w:val="301A7EDF"/>
    <w:rsid w:val="32493792"/>
    <w:rsid w:val="34AE374B"/>
    <w:rsid w:val="35AD3EF5"/>
    <w:rsid w:val="35B07A97"/>
    <w:rsid w:val="35B53B02"/>
    <w:rsid w:val="36DC44A4"/>
    <w:rsid w:val="371619FA"/>
    <w:rsid w:val="398F18A7"/>
    <w:rsid w:val="3AB0548E"/>
    <w:rsid w:val="3C99413F"/>
    <w:rsid w:val="3E0D4F54"/>
    <w:rsid w:val="3FB66E29"/>
    <w:rsid w:val="40E9662B"/>
    <w:rsid w:val="417325FA"/>
    <w:rsid w:val="41E424CB"/>
    <w:rsid w:val="42745016"/>
    <w:rsid w:val="42747AC2"/>
    <w:rsid w:val="454D157F"/>
    <w:rsid w:val="483327C3"/>
    <w:rsid w:val="484A2A04"/>
    <w:rsid w:val="4918629F"/>
    <w:rsid w:val="4B4635F5"/>
    <w:rsid w:val="4D6F2CBC"/>
    <w:rsid w:val="4E6F2656"/>
    <w:rsid w:val="4EC04089"/>
    <w:rsid w:val="50C40376"/>
    <w:rsid w:val="552C60AE"/>
    <w:rsid w:val="55765394"/>
    <w:rsid w:val="559346D9"/>
    <w:rsid w:val="55CD5ACF"/>
    <w:rsid w:val="5927426C"/>
    <w:rsid w:val="59B06C06"/>
    <w:rsid w:val="5BAB69DB"/>
    <w:rsid w:val="5C727A2A"/>
    <w:rsid w:val="5CD379FF"/>
    <w:rsid w:val="5D520EA4"/>
    <w:rsid w:val="5DB53F06"/>
    <w:rsid w:val="5DFB2CE6"/>
    <w:rsid w:val="5FCA2E7D"/>
    <w:rsid w:val="60755A9B"/>
    <w:rsid w:val="614A4B79"/>
    <w:rsid w:val="62256567"/>
    <w:rsid w:val="6292525E"/>
    <w:rsid w:val="62CD7249"/>
    <w:rsid w:val="640038EE"/>
    <w:rsid w:val="656D5A41"/>
    <w:rsid w:val="66A36C22"/>
    <w:rsid w:val="69DB7ED9"/>
    <w:rsid w:val="6B1322D3"/>
    <w:rsid w:val="6BC54C0A"/>
    <w:rsid w:val="6DA76189"/>
    <w:rsid w:val="708E3211"/>
    <w:rsid w:val="70A46938"/>
    <w:rsid w:val="71570483"/>
    <w:rsid w:val="725310CC"/>
    <w:rsid w:val="72827E86"/>
    <w:rsid w:val="755440B2"/>
    <w:rsid w:val="75BC2C57"/>
    <w:rsid w:val="776E4D1A"/>
    <w:rsid w:val="7A3A3C5D"/>
    <w:rsid w:val="7A5423D9"/>
    <w:rsid w:val="7B40242B"/>
    <w:rsid w:val="7C433F8A"/>
    <w:rsid w:val="7C9A726F"/>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6"/>
    <w:qFormat/>
    <w:uiPriority w:val="0"/>
    <w:rPr>
      <w:rFonts w:ascii="Times New Roman" w:hAnsi="Times New Roman" w:eastAsia="宋体" w:cs="Times New Roman"/>
      <w:color w:val="FF0000"/>
      <w:sz w:val="24"/>
      <w:szCs w:val="24"/>
    </w:rPr>
  </w:style>
  <w:style w:type="paragraph" w:styleId="10">
    <w:name w:val="Body Text"/>
    <w:basedOn w:val="1"/>
    <w:next w:val="11"/>
    <w:link w:val="37"/>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39"/>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2"/>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0"/>
    <w:qFormat/>
    <w:uiPriority w:val="0"/>
    <w:rPr>
      <w:rFonts w:eastAsia="宋体"/>
      <w:sz w:val="24"/>
    </w:rPr>
  </w:style>
  <w:style w:type="paragraph" w:styleId="18">
    <w:name w:val="Date"/>
    <w:basedOn w:val="1"/>
    <w:next w:val="1"/>
    <w:link w:val="41"/>
    <w:unhideWhenUsed/>
    <w:qFormat/>
    <w:uiPriority w:val="99"/>
    <w:pPr>
      <w:ind w:left="100" w:leftChars="2500"/>
    </w:pPr>
  </w:style>
  <w:style w:type="paragraph" w:styleId="19">
    <w:name w:val="Balloon Text"/>
    <w:basedOn w:val="1"/>
    <w:link w:val="43"/>
    <w:semiHidden/>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0"/>
    <w:next w:val="1"/>
    <w:link w:val="48"/>
    <w:qFormat/>
    <w:uiPriority w:val="0"/>
    <w:pPr>
      <w:ind w:firstLine="420" w:firstLineChars="100"/>
    </w:pPr>
    <w:rPr>
      <w:rFonts w:ascii="宋体" w:hAnsi="Times New Roman" w:eastAsia="宋体" w:cs="Times New Roman"/>
      <w:kern w:val="0"/>
      <w:sz w:val="34"/>
      <w:szCs w:val="20"/>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0"/>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Char"/>
    <w:basedOn w:val="27"/>
    <w:link w:val="3"/>
    <w:qFormat/>
    <w:uiPriority w:val="0"/>
    <w:rPr>
      <w:rFonts w:ascii="Calibri" w:hAnsi="Calibri"/>
      <w:b/>
      <w:bCs/>
      <w:kern w:val="44"/>
      <w:sz w:val="44"/>
      <w:szCs w:val="44"/>
    </w:rPr>
  </w:style>
  <w:style w:type="character" w:customStyle="1" w:styleId="33">
    <w:name w:val="标题 2 Char"/>
    <w:basedOn w:val="27"/>
    <w:link w:val="4"/>
    <w:qFormat/>
    <w:uiPriority w:val="0"/>
    <w:rPr>
      <w:rFonts w:ascii="Arial" w:hAnsi="Arial" w:eastAsia="黑体"/>
      <w:b/>
      <w:bCs/>
      <w:sz w:val="32"/>
      <w:szCs w:val="32"/>
    </w:rPr>
  </w:style>
  <w:style w:type="character" w:customStyle="1" w:styleId="34">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7"/>
    <w:link w:val="6"/>
    <w:qFormat/>
    <w:uiPriority w:val="0"/>
    <w:rPr>
      <w:rFonts w:ascii="Arial" w:hAnsi="Arial" w:eastAsia="黑体"/>
      <w:b/>
      <w:bCs/>
      <w:sz w:val="28"/>
      <w:szCs w:val="28"/>
    </w:rPr>
  </w:style>
  <w:style w:type="character" w:customStyle="1" w:styleId="36">
    <w:name w:val="正文文本 3 Char"/>
    <w:basedOn w:val="27"/>
    <w:link w:val="9"/>
    <w:qFormat/>
    <w:uiPriority w:val="0"/>
    <w:rPr>
      <w:rFonts w:ascii="Times New Roman" w:hAnsi="Times New Roman" w:eastAsia="宋体" w:cs="Times New Roman"/>
      <w:color w:val="FF0000"/>
      <w:sz w:val="24"/>
      <w:szCs w:val="24"/>
    </w:rPr>
  </w:style>
  <w:style w:type="character" w:customStyle="1" w:styleId="37">
    <w:name w:val="正文文本 Char"/>
    <w:basedOn w:val="27"/>
    <w:link w:val="10"/>
    <w:semiHidden/>
    <w:qFormat/>
    <w:uiPriority w:val="99"/>
  </w:style>
  <w:style w:type="character" w:customStyle="1" w:styleId="38">
    <w:name w:val="正文文本缩进 Char"/>
    <w:basedOn w:val="27"/>
    <w:link w:val="13"/>
    <w:qFormat/>
    <w:uiPriority w:val="0"/>
  </w:style>
  <w:style w:type="character" w:customStyle="1" w:styleId="39">
    <w:name w:val="正文文本缩进 Char1"/>
    <w:basedOn w:val="27"/>
    <w:link w:val="13"/>
    <w:qFormat/>
    <w:uiPriority w:val="0"/>
    <w:rPr>
      <w:kern w:val="0"/>
      <w:sz w:val="24"/>
      <w:szCs w:val="20"/>
    </w:rPr>
  </w:style>
  <w:style w:type="character" w:customStyle="1" w:styleId="40">
    <w:name w:val="纯文本 Char"/>
    <w:basedOn w:val="27"/>
    <w:link w:val="17"/>
    <w:qFormat/>
    <w:uiPriority w:val="0"/>
    <w:rPr>
      <w:rFonts w:eastAsia="宋体"/>
      <w:sz w:val="24"/>
    </w:rPr>
  </w:style>
  <w:style w:type="character" w:customStyle="1" w:styleId="41">
    <w:name w:val="日期 Char"/>
    <w:basedOn w:val="27"/>
    <w:link w:val="18"/>
    <w:qFormat/>
    <w:uiPriority w:val="99"/>
  </w:style>
  <w:style w:type="character" w:customStyle="1" w:styleId="42">
    <w:name w:val="批注框文本 Char"/>
    <w:basedOn w:val="27"/>
    <w:link w:val="19"/>
    <w:semiHidden/>
    <w:qFormat/>
    <w:uiPriority w:val="99"/>
    <w:rPr>
      <w:sz w:val="18"/>
      <w:szCs w:val="18"/>
    </w:rPr>
  </w:style>
  <w:style w:type="character" w:customStyle="1" w:styleId="43">
    <w:name w:val="批注框文本 Char1"/>
    <w:basedOn w:val="27"/>
    <w:link w:val="19"/>
    <w:semiHidden/>
    <w:qFormat/>
    <w:uiPriority w:val="99"/>
    <w:rPr>
      <w:sz w:val="18"/>
      <w:szCs w:val="18"/>
    </w:rPr>
  </w:style>
  <w:style w:type="character" w:customStyle="1" w:styleId="44">
    <w:name w:val="页脚 Char"/>
    <w:basedOn w:val="27"/>
    <w:link w:val="20"/>
    <w:qFormat/>
    <w:uiPriority w:val="99"/>
    <w:rPr>
      <w:sz w:val="18"/>
      <w:szCs w:val="18"/>
    </w:rPr>
  </w:style>
  <w:style w:type="character" w:customStyle="1" w:styleId="45">
    <w:name w:val="页眉 Char"/>
    <w:basedOn w:val="27"/>
    <w:link w:val="21"/>
    <w:qFormat/>
    <w:uiPriority w:val="99"/>
    <w:rPr>
      <w:sz w:val="18"/>
      <w:szCs w:val="18"/>
    </w:rPr>
  </w:style>
  <w:style w:type="character" w:customStyle="1" w:styleId="46">
    <w:name w:val="HTML 预设格式 Char"/>
    <w:basedOn w:val="27"/>
    <w:link w:val="23"/>
    <w:semiHidden/>
    <w:qFormat/>
    <w:uiPriority w:val="99"/>
    <w:rPr>
      <w:rFonts w:ascii="宋体" w:hAnsi="宋体" w:eastAsia="宋体" w:cs="宋体"/>
      <w:kern w:val="0"/>
      <w:sz w:val="24"/>
      <w:szCs w:val="24"/>
    </w:rPr>
  </w:style>
  <w:style w:type="character" w:customStyle="1" w:styleId="47">
    <w:name w:val="HTML 预设格式 Char1"/>
    <w:basedOn w:val="27"/>
    <w:link w:val="23"/>
    <w:semiHidden/>
    <w:qFormat/>
    <w:uiPriority w:val="99"/>
    <w:rPr>
      <w:rFonts w:ascii="Courier New" w:hAnsi="Courier New" w:cs="Courier New"/>
      <w:sz w:val="20"/>
      <w:szCs w:val="20"/>
    </w:rPr>
  </w:style>
  <w:style w:type="character" w:customStyle="1" w:styleId="48">
    <w:name w:val="正文首行缩进 Char"/>
    <w:basedOn w:val="37"/>
    <w:link w:val="25"/>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7"/>
    <w:qFormat/>
    <w:uiPriority w:val="0"/>
  </w:style>
  <w:style w:type="paragraph" w:customStyle="1" w:styleId="6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首行缩进 2 Char"/>
    <w:basedOn w:val="39"/>
    <w:link w:val="14"/>
    <w:semiHidden/>
    <w:qFormat/>
    <w:uiPriority w:val="99"/>
    <w:rPr>
      <w:kern w:val="2"/>
      <w:sz w:val="21"/>
      <w:szCs w:val="22"/>
    </w:rPr>
  </w:style>
  <w:style w:type="paragraph" w:customStyle="1" w:styleId="63">
    <w:name w:val="List Paragraph1"/>
    <w:basedOn w:val="1"/>
    <w:qFormat/>
    <w:uiPriority w:val="0"/>
    <w:pPr>
      <w:ind w:firstLine="420" w:firstLineChars="200"/>
    </w:pPr>
    <w:rPr>
      <w:rFonts w:ascii="Calibri" w:hAnsi="Calibri" w:cs="宋体"/>
    </w:rPr>
  </w:style>
  <w:style w:type="character" w:customStyle="1" w:styleId="64">
    <w:name w:val="font01"/>
    <w:basedOn w:val="27"/>
    <w:qFormat/>
    <w:uiPriority w:val="0"/>
    <w:rPr>
      <w:rFonts w:hint="eastAsia" w:ascii="宋体" w:hAnsi="宋体" w:eastAsia="宋体" w:cs="宋体"/>
      <w:color w:val="000000"/>
      <w:sz w:val="22"/>
      <w:szCs w:val="22"/>
      <w:u w:val="none"/>
    </w:rPr>
  </w:style>
  <w:style w:type="character" w:customStyle="1" w:styleId="65">
    <w:name w:val="font31"/>
    <w:basedOn w:val="27"/>
    <w:qFormat/>
    <w:uiPriority w:val="0"/>
    <w:rPr>
      <w:rFonts w:ascii="Calibri" w:hAnsi="Calibri" w:cs="Calibri"/>
      <w:b/>
      <w:color w:val="000000"/>
      <w:sz w:val="18"/>
      <w:szCs w:val="18"/>
      <w:u w:val="none"/>
    </w:rPr>
  </w:style>
  <w:style w:type="character" w:customStyle="1" w:styleId="66">
    <w:name w:val="font121"/>
    <w:basedOn w:val="27"/>
    <w:qFormat/>
    <w:uiPriority w:val="0"/>
    <w:rPr>
      <w:rFonts w:hint="eastAsia" w:ascii="宋体" w:hAnsi="宋体" w:eastAsia="宋体" w:cs="宋体"/>
      <w:color w:val="000000"/>
      <w:sz w:val="18"/>
      <w:szCs w:val="18"/>
      <w:u w:val="none"/>
    </w:rPr>
  </w:style>
  <w:style w:type="character" w:customStyle="1" w:styleId="67">
    <w:name w:val="font91"/>
    <w:basedOn w:val="27"/>
    <w:qFormat/>
    <w:uiPriority w:val="0"/>
    <w:rPr>
      <w:rFonts w:hint="eastAsia" w:ascii="宋体" w:hAnsi="宋体" w:eastAsia="宋体" w:cs="宋体"/>
      <w:color w:val="000000"/>
      <w:sz w:val="18"/>
      <w:szCs w:val="18"/>
      <w:u w:val="none"/>
    </w:rPr>
  </w:style>
  <w:style w:type="character" w:customStyle="1" w:styleId="68">
    <w:name w:val="font112"/>
    <w:basedOn w:val="27"/>
    <w:qFormat/>
    <w:uiPriority w:val="0"/>
    <w:rPr>
      <w:rFonts w:hint="eastAsia" w:ascii="宋体" w:hAnsi="宋体" w:eastAsia="宋体" w:cs="宋体"/>
      <w:color w:val="FF0000"/>
      <w:sz w:val="18"/>
      <w:szCs w:val="18"/>
      <w:u w:val="none"/>
    </w:rPr>
  </w:style>
  <w:style w:type="character" w:customStyle="1" w:styleId="69">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0">
    <w:name w:val="UserStyle_1"/>
    <w:basedOn w:val="69"/>
    <w:qFormat/>
    <w:uiPriority w:val="0"/>
    <w:rPr>
      <w:rFonts w:ascii="宋体" w:hAnsi="宋体" w:eastAsia="宋体"/>
      <w:color w:val="000000"/>
      <w:sz w:val="24"/>
      <w:szCs w:val="24"/>
    </w:rPr>
  </w:style>
  <w:style w:type="character" w:customStyle="1" w:styleId="71">
    <w:name w:val="UserStyle_0"/>
    <w:basedOn w:val="69"/>
    <w:qFormat/>
    <w:uiPriority w:val="0"/>
    <w:rPr>
      <w:rFonts w:ascii="MS Gothic" w:hAnsi="MS Gothic" w:eastAsia="MS Gothic"/>
      <w:color w:val="000000"/>
      <w:sz w:val="24"/>
      <w:szCs w:val="24"/>
    </w:rPr>
  </w:style>
  <w:style w:type="paragraph" w:customStyle="1" w:styleId="72">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3">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4">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5">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6">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77">
    <w:name w:val="*正文_1"/>
    <w:basedOn w:val="1"/>
    <w:next w:val="1"/>
    <w:qFormat/>
    <w:uiPriority w:val="0"/>
    <w:pPr>
      <w:widowControl/>
      <w:ind w:firstLine="482"/>
    </w:pPr>
    <w:rPr>
      <w:rFonts w:ascii="微软雅黑" w:hAnsi="微软雅黑" w:eastAsia="微软雅黑" w:cs="Times New Roman"/>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75</Pages>
  <Words>5880</Words>
  <Characters>33520</Characters>
  <Lines>279</Lines>
  <Paragraphs>78</Paragraphs>
  <TotalTime>0</TotalTime>
  <ScaleCrop>false</ScaleCrop>
  <LinksUpToDate>false</LinksUpToDate>
  <CharactersWithSpaces>39322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2021-11-05T03:22:21Z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051091EB99A4474ABD99145219203627</vt:lpwstr>
  </property>
</Properties>
</file>