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color w:val="auto"/>
          <w:sz w:val="36"/>
          <w:szCs w:val="36"/>
          <w:lang w:eastAsia="zh-CN"/>
        </w:rPr>
      </w:pPr>
      <w:r>
        <w:rPr>
          <w:rFonts w:eastAsia="黑体"/>
          <w:b/>
          <w:w w:val="92"/>
          <w:sz w:val="52"/>
        </w:rPr>
        <w:drawing>
          <wp:anchor distT="0" distB="0" distL="114300" distR="114300" simplePos="0" relativeHeight="251659264" behindDoc="1" locked="0" layoutInCell="1" allowOverlap="1">
            <wp:simplePos x="0" y="0"/>
            <wp:positionH relativeFrom="page">
              <wp:posOffset>306070</wp:posOffset>
            </wp:positionH>
            <wp:positionV relativeFrom="page">
              <wp:posOffset>260350</wp:posOffset>
            </wp:positionV>
            <wp:extent cx="1508760" cy="1508125"/>
            <wp:effectExtent l="0" t="0" r="15240" b="15875"/>
            <wp:wrapNone/>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5"/>
                    <a:srcRect b="10714"/>
                    <a:stretch>
                      <a:fillRect/>
                    </a:stretch>
                  </pic:blipFill>
                  <pic:spPr>
                    <a:xfrm>
                      <a:off x="0" y="0"/>
                      <a:ext cx="1508760" cy="1508125"/>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color w:val="auto"/>
          <w:sz w:val="36"/>
          <w:szCs w:val="36"/>
          <w:lang w:eastAsia="zh-CN"/>
        </w:rPr>
      </w:pPr>
    </w:p>
    <w:p>
      <w:pPr>
        <w:pStyle w:val="26"/>
        <w:ind w:left="0" w:leftChars="0" w:firstLine="0" w:firstLineChars="0"/>
        <w:jc w:val="center"/>
        <w:rPr>
          <w:rFonts w:hint="eastAsia" w:ascii="Times New Roman" w:cs="宋体"/>
          <w:b/>
          <w:sz w:val="48"/>
          <w:szCs w:val="48"/>
          <w:lang w:val="en-US" w:eastAsia="zh-CN"/>
        </w:rPr>
      </w:pPr>
      <w:r>
        <w:rPr>
          <w:rFonts w:hint="eastAsia" w:ascii="Times New Roman" w:cs="宋体"/>
          <w:b/>
          <w:sz w:val="48"/>
          <w:szCs w:val="48"/>
          <w:lang w:val="en-US" w:eastAsia="zh-CN"/>
        </w:rPr>
        <w:t>2021年禹州市困难户重度残疾人家庭无障碍</w:t>
      </w:r>
    </w:p>
    <w:p>
      <w:pPr>
        <w:pStyle w:val="26"/>
        <w:ind w:left="0" w:leftChars="0" w:firstLine="0" w:firstLineChars="0"/>
        <w:jc w:val="center"/>
        <w:rPr>
          <w:rFonts w:ascii="宋体" w:hAnsi="Times New Roman" w:cs="宋体"/>
          <w:b/>
          <w:bCs/>
          <w:sz w:val="40"/>
          <w:szCs w:val="40"/>
          <w:lang w:eastAsia="zh-CN"/>
        </w:rPr>
      </w:pPr>
      <w:r>
        <w:rPr>
          <w:rFonts w:hint="eastAsia" w:ascii="Times New Roman" w:cs="宋体"/>
          <w:b/>
          <w:sz w:val="48"/>
          <w:szCs w:val="48"/>
          <w:lang w:val="en-US" w:eastAsia="zh-CN"/>
        </w:rPr>
        <w:t>改造项目</w:t>
      </w:r>
      <w:r>
        <w:rPr>
          <w:rFonts w:ascii="宋体" w:hAnsi="Times New Roman" w:cs="宋体"/>
          <w:b/>
          <w:bCs/>
          <w:sz w:val="40"/>
          <w:szCs w:val="40"/>
          <w:lang w:eastAsia="zh-CN"/>
        </w:rPr>
        <w:t>（不见面开标）</w:t>
      </w:r>
    </w:p>
    <w:p>
      <w:pPr>
        <w:pStyle w:val="26"/>
        <w:rPr>
          <w:rFonts w:hint="eastAsia" w:ascii="宋体" w:hAnsi="宋体" w:eastAsia="宋体" w:cs="宋体"/>
          <w:bCs/>
          <w:color w:val="auto"/>
          <w:sz w:val="36"/>
          <w:szCs w:val="36"/>
        </w:rPr>
      </w:pPr>
    </w:p>
    <w:p>
      <w:pPr>
        <w:rPr>
          <w:rFonts w:hint="eastAsia" w:ascii="宋体" w:hAnsi="宋体" w:eastAsia="宋体" w:cs="宋体"/>
          <w:bCs/>
          <w:color w:val="auto"/>
          <w:sz w:val="36"/>
          <w:szCs w:val="36"/>
        </w:rPr>
      </w:pPr>
    </w:p>
    <w:p>
      <w:pPr>
        <w:pStyle w:val="25"/>
      </w:pPr>
    </w:p>
    <w:p>
      <w:pPr>
        <w:pStyle w:val="26"/>
      </w:pPr>
    </w:p>
    <w:p>
      <w:pPr>
        <w:pStyle w:val="67"/>
        <w:pageBreakBefore w:val="0"/>
        <w:widowControl w:val="0"/>
        <w:kinsoku/>
        <w:wordWrap/>
        <w:overflowPunct/>
        <w:topLinePunct w:val="0"/>
        <w:autoSpaceDE/>
        <w:autoSpaceDN/>
        <w:bidi w:val="0"/>
        <w:adjustRightInd/>
        <w:snapToGrid/>
        <w:spacing w:line="0" w:lineRule="atLeast"/>
        <w:ind w:firstLine="420"/>
        <w:textAlignment w:val="auto"/>
        <w:rPr>
          <w:color w:val="auto"/>
        </w:rPr>
      </w:pPr>
    </w:p>
    <w:p>
      <w:pPr>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color w:val="auto"/>
          <w:w w:val="90"/>
          <w:sz w:val="72"/>
          <w:szCs w:val="72"/>
        </w:rPr>
      </w:pPr>
      <w:r>
        <w:rPr>
          <w:rFonts w:hint="eastAsia" w:ascii="宋体" w:hAnsi="宋体" w:eastAsia="宋体" w:cs="宋体"/>
          <w:b/>
          <w:bCs w:val="0"/>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
        <w:rPr>
          <w:color w:val="auto"/>
        </w:rPr>
      </w:pPr>
    </w:p>
    <w:p>
      <w:pPr>
        <w:pStyle w:val="35"/>
        <w:rPr>
          <w:color w:val="auto"/>
        </w:rPr>
      </w:pPr>
    </w:p>
    <w:p>
      <w:pPr>
        <w:pStyle w:val="7"/>
        <w:numPr>
          <w:ilvl w:val="3"/>
          <w:numId w:val="0"/>
        </w:numPr>
        <w:ind w:leftChars="0"/>
        <w:rPr>
          <w:color w:val="auto"/>
        </w:rPr>
      </w:pPr>
    </w:p>
    <w:p>
      <w:pPr>
        <w:rPr>
          <w:color w:val="auto"/>
        </w:rPr>
      </w:pPr>
    </w:p>
    <w:p>
      <w:pPr>
        <w:rPr>
          <w:rFonts w:ascii="微软简隶书" w:eastAsia="微软简隶书"/>
          <w:color w:val="auto"/>
        </w:rPr>
      </w:pPr>
    </w:p>
    <w:p>
      <w:pPr>
        <w:rPr>
          <w:rFonts w:ascii="微软简隶书" w:eastAsia="微软简隶书"/>
          <w:color w:val="auto"/>
        </w:rPr>
      </w:pPr>
    </w:p>
    <w:p>
      <w:pPr>
        <w:spacing w:line="360" w:lineRule="auto"/>
        <w:ind w:firstLine="2229" w:firstLineChars="694"/>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采购编号： YZCG-DLT2021</w:t>
      </w:r>
      <w:r>
        <w:rPr>
          <w:rFonts w:hint="eastAsia" w:ascii="宋体" w:hAnsi="宋体" w:eastAsia="宋体" w:cs="宋体"/>
          <w:b/>
          <w:bCs/>
          <w:color w:val="auto"/>
          <w:sz w:val="32"/>
          <w:szCs w:val="32"/>
          <w:lang w:val="en-US" w:eastAsia="zh-CN"/>
        </w:rPr>
        <w:t xml:space="preserve">114 </w:t>
      </w:r>
    </w:p>
    <w:p>
      <w:pPr>
        <w:spacing w:line="360" w:lineRule="auto"/>
        <w:ind w:firstLine="2249" w:firstLineChars="7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采购单位：禹州市残疾人联合</w:t>
      </w:r>
      <w:r>
        <w:rPr>
          <w:rFonts w:hint="eastAsia" w:ascii="宋体" w:hAnsi="宋体" w:eastAsia="宋体" w:cs="宋体"/>
          <w:b/>
          <w:bCs/>
          <w:color w:val="auto"/>
          <w:sz w:val="32"/>
          <w:szCs w:val="32"/>
          <w:lang w:eastAsia="zh-CN"/>
        </w:rPr>
        <w:t>会</w:t>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eastAsia="zh-CN"/>
        </w:rPr>
        <w:t>河南建标工程管理有限公司</w:t>
      </w:r>
    </w:p>
    <w:p>
      <w:pPr>
        <w:spacing w:line="360" w:lineRule="auto"/>
        <w:ind w:firstLine="3511" w:firstLineChars="1093"/>
        <w:jc w:val="both"/>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eastAsia="zh-CN"/>
        </w:rPr>
        <w:t>二〇二一年十月</w:t>
      </w:r>
    </w:p>
    <w:p>
      <w:pPr>
        <w:autoSpaceDE w:val="0"/>
        <w:autoSpaceDN w:val="0"/>
        <w:adjustRightInd w:val="0"/>
        <w:spacing w:line="700" w:lineRule="exact"/>
        <w:jc w:val="center"/>
        <w:rPr>
          <w:rFonts w:hint="eastAsia" w:cs="黑体" w:asciiTheme="minorEastAsia" w:hAnsiTheme="minorEastAsia"/>
          <w:b/>
          <w:bCs/>
          <w:color w:val="auto"/>
          <w:sz w:val="44"/>
          <w:szCs w:val="44"/>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pStyle w:val="25"/>
        <w:rPr>
          <w:rFonts w:hint="eastAsia" w:cs="宋体" w:asciiTheme="majorEastAsia" w:hAnsiTheme="majorEastAsia" w:eastAsiaTheme="majorEastAsia"/>
          <w:b/>
          <w:color w:val="auto"/>
          <w:kern w:val="0"/>
          <w:sz w:val="32"/>
          <w:szCs w:val="32"/>
        </w:rPr>
      </w:pPr>
    </w:p>
    <w:p>
      <w:pPr>
        <w:pStyle w:val="26"/>
        <w:rPr>
          <w:rFonts w:hint="eastAsia" w:cs="宋体" w:asciiTheme="majorEastAsia" w:hAnsiTheme="majorEastAsia" w:eastAsiaTheme="majorEastAsia"/>
          <w:b/>
          <w:color w:val="auto"/>
          <w:kern w:val="0"/>
          <w:sz w:val="32"/>
          <w:szCs w:val="32"/>
        </w:rPr>
      </w:pPr>
    </w:p>
    <w:p>
      <w:pPr>
        <w:rPr>
          <w:rFonts w:hint="eastAsia"/>
        </w:rPr>
      </w:pPr>
    </w:p>
    <w:p>
      <w:pPr>
        <w:numPr>
          <w:ilvl w:val="0"/>
          <w:numId w:val="4"/>
        </w:num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numPr>
          <w:ilvl w:val="0"/>
          <w:numId w:val="0"/>
        </w:numPr>
        <w:jc w:val="center"/>
        <w:rPr>
          <w:rFonts w:hint="eastAsia" w:ascii="宋体" w:hAnsi="宋体" w:eastAsia="宋体" w:cs="宋体"/>
          <w:b/>
          <w:bCs/>
          <w:color w:val="auto"/>
          <w:sz w:val="30"/>
          <w:szCs w:val="30"/>
          <w:shd w:val="clear" w:color="auto" w:fill="FFFFFF"/>
          <w:lang w:eastAsia="zh-CN"/>
        </w:rPr>
      </w:pPr>
      <w:r>
        <w:rPr>
          <w:rFonts w:hint="eastAsia" w:ascii="宋体" w:hAnsi="宋体" w:eastAsia="宋体" w:cs="宋体"/>
          <w:b/>
          <w:bCs/>
          <w:color w:val="auto"/>
          <w:sz w:val="30"/>
          <w:szCs w:val="30"/>
          <w:shd w:val="clear" w:color="auto" w:fill="FFFFFF"/>
          <w:lang w:val="en-US" w:eastAsia="zh-CN"/>
        </w:rPr>
        <w:t>2021年禹州市困难户重度残疾人家庭无障碍改造项目</w:t>
      </w:r>
      <w:r>
        <w:rPr>
          <w:rFonts w:hint="eastAsia" w:ascii="宋体" w:hAnsi="宋体" w:eastAsia="宋体" w:cs="宋体"/>
          <w:b/>
          <w:bCs/>
          <w:color w:val="auto"/>
          <w:sz w:val="30"/>
          <w:szCs w:val="30"/>
          <w:shd w:val="clear" w:color="auto" w:fill="FFFFFF"/>
          <w:lang w:eastAsia="zh-CN"/>
        </w:rPr>
        <w:t>（不见面开标）</w:t>
      </w:r>
    </w:p>
    <w:p>
      <w:pPr>
        <w:numPr>
          <w:ilvl w:val="0"/>
          <w:numId w:val="0"/>
        </w:numPr>
        <w:jc w:val="center"/>
        <w:rPr>
          <w:rFonts w:hint="eastAsia" w:cs="宋体" w:asciiTheme="majorEastAsia" w:hAnsiTheme="majorEastAsia" w:eastAsiaTheme="majorEastAsia"/>
          <w:b/>
          <w:bCs/>
          <w:color w:val="auto"/>
          <w:kern w:val="0"/>
          <w:sz w:val="32"/>
          <w:szCs w:val="32"/>
        </w:rPr>
      </w:pPr>
      <w:r>
        <w:rPr>
          <w:rFonts w:hint="eastAsia" w:ascii="宋体" w:hAnsi="宋体" w:eastAsia="宋体" w:cs="宋体"/>
          <w:b/>
          <w:bCs/>
          <w:color w:val="auto"/>
          <w:sz w:val="30"/>
          <w:szCs w:val="30"/>
          <w:shd w:val="clear" w:color="auto" w:fill="FFFFFF"/>
        </w:rPr>
        <w:t>竞争性谈判</w:t>
      </w:r>
      <w:r>
        <w:rPr>
          <w:rFonts w:hint="eastAsia" w:ascii="宋体" w:hAnsi="宋体" w:eastAsia="宋体" w:cs="宋体"/>
          <w:b/>
          <w:bCs/>
          <w:color w:val="auto"/>
          <w:sz w:val="30"/>
          <w:szCs w:val="30"/>
          <w:shd w:val="clear" w:color="auto" w:fill="FFFFFF"/>
          <w:lang w:eastAsia="zh-CN"/>
        </w:rPr>
        <w:t>公告</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河南建标工程管理有限公司</w:t>
      </w:r>
      <w:r>
        <w:rPr>
          <w:rFonts w:hint="eastAsia" w:ascii="宋体" w:hAnsi="宋体" w:eastAsia="宋体" w:cs="宋体"/>
          <w:color w:val="auto"/>
          <w:szCs w:val="21"/>
          <w:shd w:val="clear" w:color="auto" w:fill="FFFFFF"/>
        </w:rPr>
        <w:t>受禹州市残疾人联合</w:t>
      </w:r>
      <w:r>
        <w:rPr>
          <w:rFonts w:hint="eastAsia" w:ascii="宋体" w:hAnsi="宋体" w:eastAsia="宋体" w:cs="宋体"/>
          <w:color w:val="auto"/>
          <w:szCs w:val="21"/>
          <w:shd w:val="clear" w:color="auto" w:fill="FFFFFF"/>
          <w:lang w:eastAsia="zh-CN"/>
        </w:rPr>
        <w:t>会</w:t>
      </w:r>
      <w:r>
        <w:rPr>
          <w:rFonts w:hint="eastAsia" w:ascii="宋体" w:hAnsi="宋体" w:eastAsia="宋体" w:cs="宋体"/>
          <w:color w:val="auto"/>
          <w:szCs w:val="21"/>
          <w:shd w:val="clear" w:color="auto" w:fill="FFFFFF"/>
        </w:rPr>
        <w:t>的委托，就“2021年禹州市困难户重度残疾人家庭无障碍改造项目</w:t>
      </w:r>
      <w:r>
        <w:rPr>
          <w:rFonts w:hint="eastAsia" w:ascii="宋体" w:hAnsi="宋体" w:eastAsia="宋体" w:cs="宋体"/>
          <w:color w:val="auto"/>
          <w:szCs w:val="21"/>
          <w:shd w:val="clear" w:color="auto" w:fill="FFFFFF"/>
          <w:lang w:eastAsia="zh-CN"/>
        </w:rPr>
        <w:t>（不见面开标）</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采购人：禹州市残疾人联合</w:t>
      </w:r>
      <w:r>
        <w:rPr>
          <w:rFonts w:hint="eastAsia" w:ascii="宋体" w:hAnsi="宋体" w:eastAsia="宋体" w:cs="宋体"/>
          <w:color w:val="auto"/>
          <w:szCs w:val="21"/>
          <w:shd w:val="clear" w:color="auto" w:fill="FFFFFF"/>
          <w:lang w:eastAsia="zh-CN"/>
        </w:rPr>
        <w:t>会</w:t>
      </w:r>
    </w:p>
    <w:p>
      <w:pPr>
        <w:spacing w:line="440" w:lineRule="exact"/>
        <w:ind w:left="1680" w:leftChars="200" w:hanging="1260" w:hangingChars="6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项目名称：2021年禹州市困难户重度残疾人家庭无障碍改造项目</w:t>
      </w:r>
      <w:r>
        <w:rPr>
          <w:rFonts w:hint="eastAsia" w:ascii="宋体" w:hAnsi="宋体" w:eastAsia="宋体" w:cs="宋体"/>
          <w:color w:val="auto"/>
          <w:szCs w:val="21"/>
          <w:shd w:val="clear" w:color="auto" w:fill="FFFFFF"/>
          <w:lang w:eastAsia="zh-CN"/>
        </w:rPr>
        <w:t>（不见面开标）</w:t>
      </w:r>
      <w:r>
        <w:rPr>
          <w:rFonts w:hint="eastAsia" w:ascii="宋体" w:hAnsi="宋体" w:eastAsia="宋体" w:cs="宋体"/>
          <w:color w:val="auto"/>
          <w:szCs w:val="21"/>
          <w:shd w:val="clear" w:color="auto" w:fill="FFFFFF"/>
          <w:lang w:val="en-US" w:eastAsia="zh-CN"/>
        </w:rPr>
        <w:t xml:space="preserve"> </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1.3</w:t>
      </w:r>
      <w:r>
        <w:rPr>
          <w:rFonts w:hint="eastAsia" w:ascii="宋体" w:hAnsi="宋体" w:eastAsia="宋体" w:cs="宋体"/>
          <w:color w:val="auto"/>
          <w:szCs w:val="21"/>
          <w:shd w:val="clear" w:color="auto" w:fill="FFFFFF"/>
        </w:rPr>
        <w:t>采购编号：YZCG-DLT2021</w:t>
      </w:r>
      <w:r>
        <w:rPr>
          <w:rFonts w:hint="eastAsia" w:ascii="宋体" w:hAnsi="宋体" w:eastAsia="宋体" w:cs="宋体"/>
          <w:color w:val="auto"/>
          <w:szCs w:val="21"/>
          <w:shd w:val="clear" w:color="auto" w:fill="FFFFFF"/>
          <w:lang w:val="en-US" w:eastAsia="zh-CN"/>
        </w:rPr>
        <w:t>114</w:t>
      </w:r>
    </w:p>
    <w:p>
      <w:pPr>
        <w:spacing w:line="440" w:lineRule="exact"/>
        <w:ind w:left="1680" w:leftChars="200" w:hanging="1260" w:hangingChars="6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1.4</w:t>
      </w:r>
      <w:r>
        <w:rPr>
          <w:rFonts w:hint="eastAsia" w:ascii="宋体" w:hAnsi="宋体" w:eastAsia="宋体" w:cs="宋体"/>
          <w:color w:val="auto"/>
          <w:szCs w:val="21"/>
          <w:shd w:val="clear" w:color="auto" w:fill="FFFFFF"/>
        </w:rPr>
        <w:t>项目需求：禹州市困难户重度残疾人家庭无障碍改造项目（详见谈判文件第二章项目需求））</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1.5</w:t>
      </w:r>
      <w:r>
        <w:rPr>
          <w:rFonts w:hint="eastAsia" w:ascii="宋体" w:hAnsi="宋体" w:eastAsia="宋体" w:cs="宋体"/>
          <w:color w:val="auto"/>
          <w:szCs w:val="21"/>
          <w:shd w:val="clear" w:color="auto" w:fill="FFFFFF"/>
        </w:rPr>
        <w:t>采购预算：</w:t>
      </w:r>
      <w:r>
        <w:rPr>
          <w:rFonts w:hint="eastAsia" w:ascii="宋体" w:hAnsi="宋体" w:eastAsia="宋体" w:cs="宋体"/>
          <w:color w:val="auto"/>
          <w:szCs w:val="21"/>
          <w:shd w:val="clear" w:color="auto" w:fill="FFFFFF"/>
          <w:lang w:val="en-US" w:eastAsia="zh-CN"/>
        </w:rPr>
        <w:t xml:space="preserve"> 582971.66</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cs="宋体" w:asciiTheme="minorEastAsia" w:hAnsiTheme="minorEastAsia"/>
          <w:b w:val="0"/>
          <w:bCs/>
          <w:color w:val="auto"/>
          <w:kern w:val="0"/>
          <w:szCs w:val="21"/>
          <w:lang w:val="en-US" w:eastAsia="zh-CN"/>
        </w:rPr>
        <w:t>1.6交付时间：合同签订后10日历天内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3.</w:t>
      </w:r>
      <w:bookmarkStart w:id="0" w:name="_Hlk22733676"/>
      <w:r>
        <w:rPr>
          <w:rFonts w:hint="eastAsia" w:ascii="宋体" w:hAnsi="宋体" w:eastAsia="宋体" w:cs="宋体"/>
          <w:color w:val="auto"/>
          <w:szCs w:val="21"/>
          <w:shd w:val="clear" w:color="auto" w:fill="FFFFFF"/>
          <w:lang w:val="en-US" w:eastAsia="zh-CN"/>
        </w:rPr>
        <w:t>1供应商</w:t>
      </w:r>
      <w:bookmarkEnd w:id="0"/>
      <w:r>
        <w:rPr>
          <w:rFonts w:hint="eastAsia" w:ascii="宋体" w:hAnsi="宋体" w:eastAsia="宋体" w:cs="宋体"/>
          <w:color w:val="auto"/>
          <w:szCs w:val="21"/>
          <w:shd w:val="clear" w:color="auto" w:fill="FFFFFF"/>
          <w:lang w:val="en-US" w:eastAsia="zh-CN"/>
        </w:rPr>
        <w:t>须符合《政府采购法》第二十二条之规定，具有独立法人资格及相应的经营范围（以营业执照为准）；</w:t>
      </w:r>
    </w:p>
    <w:p>
      <w:pPr>
        <w:spacing w:line="440" w:lineRule="exact"/>
        <w:ind w:firstLine="420" w:firstLineChars="200"/>
        <w:rPr>
          <w:rFonts w:hint="eastAsia" w:ascii="宋体" w:hAnsi="宋体" w:eastAsia="宋体" w:cs="宋体"/>
          <w:color w:val="0000FF"/>
          <w:szCs w:val="21"/>
          <w:shd w:val="clear" w:color="auto" w:fill="FFFFFF"/>
          <w:lang w:eastAsia="zh-CN"/>
        </w:rPr>
      </w:pPr>
      <w:r>
        <w:rPr>
          <w:rFonts w:hint="eastAsia" w:ascii="宋体" w:hAnsi="宋体" w:eastAsia="宋体" w:cs="宋体"/>
          <w:color w:val="auto"/>
          <w:szCs w:val="21"/>
          <w:shd w:val="clear" w:color="auto" w:fill="FFFFFF"/>
          <w:lang w:val="en-US" w:eastAsia="zh-CN"/>
        </w:rPr>
        <w:t>3.2</w:t>
      </w:r>
      <w:r>
        <w:rPr>
          <w:rFonts w:hint="eastAsia" w:ascii="宋体" w:hAnsi="宋体" w:eastAsia="宋体" w:cs="宋体"/>
          <w:color w:val="0000FF"/>
          <w:szCs w:val="21"/>
          <w:shd w:val="clear" w:color="auto" w:fill="FFFFFF"/>
          <w:lang w:val="en-US" w:eastAsia="zh-CN"/>
        </w:rPr>
        <w:t xml:space="preserve">供应商须具有相应范围的《医疗器械生产许可证》或《第二类医疗器械经营备案凭证》；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3.3</w:t>
      </w:r>
      <w:r>
        <w:rPr>
          <w:rFonts w:hint="eastAsia" w:ascii="宋体" w:hAnsi="宋体" w:eastAsia="宋体" w:cs="宋体"/>
          <w:color w:val="auto"/>
          <w:szCs w:val="21"/>
          <w:shd w:val="clear" w:color="auto" w:fill="FFFFFF"/>
          <w:lang w:eastAsia="zh-CN"/>
        </w:rPr>
        <w:t xml:space="preserve">供应商须具有履行合同所必需的设备和专业技术能力；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3.4</w:t>
      </w:r>
      <w:r>
        <w:rPr>
          <w:rFonts w:hint="eastAsia" w:ascii="宋体" w:hAnsi="宋体" w:eastAsia="宋体" w:cs="宋体"/>
          <w:color w:val="auto"/>
          <w:szCs w:val="21"/>
          <w:shd w:val="clear" w:color="auto" w:fill="FFFFFF"/>
          <w:lang w:eastAsia="zh-CN"/>
        </w:rPr>
        <w:t>被委托人须是本单位职工，须提供公司为本人缴纳社会保险证明；</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3.5</w:t>
      </w:r>
      <w:r>
        <w:rPr>
          <w:rFonts w:hint="eastAsia" w:ascii="宋体" w:hAnsi="宋体" w:eastAsia="宋体" w:cs="宋体"/>
          <w:color w:val="auto"/>
          <w:szCs w:val="21"/>
          <w:shd w:val="clear" w:color="auto" w:fill="FFFFFF"/>
          <w:lang w:eastAsia="zh-CN"/>
        </w:rPr>
        <w:t>投标人所提供投标产品必须符合国家相关行业合格标准，同时供货渠道必须正规、合法；</w:t>
      </w:r>
    </w:p>
    <w:p>
      <w:pPr>
        <w:spacing w:line="440" w:lineRule="exact"/>
        <w:ind w:left="1680" w:leftChars="200" w:hanging="1260" w:hangingChars="6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3.6</w:t>
      </w:r>
      <w:r>
        <w:rPr>
          <w:rFonts w:hint="eastAsia" w:ascii="宋体" w:hAnsi="宋体" w:eastAsia="宋体" w:cs="宋体"/>
          <w:color w:val="auto"/>
          <w:szCs w:val="21"/>
          <w:shd w:val="clear" w:color="auto" w:fill="FFFFFF"/>
          <w:lang w:eastAsia="zh-CN"/>
        </w:rPr>
        <w:t>本项目不接受联合体投标。</w:t>
      </w:r>
    </w:p>
    <w:p>
      <w:pPr>
        <w:spacing w:line="440" w:lineRule="exact"/>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四、谈判文件</w:t>
      </w:r>
      <w:r>
        <w:rPr>
          <w:rFonts w:hint="eastAsia" w:ascii="宋体" w:hAnsi="宋体" w:eastAsia="宋体" w:cs="宋体"/>
          <w:b/>
          <w:bCs/>
          <w:color w:val="auto"/>
          <w:szCs w:val="21"/>
          <w:shd w:val="clear" w:color="auto" w:fill="FFFFFF"/>
          <w:lang w:eastAsia="zh-CN"/>
        </w:rPr>
        <w:t>的</w:t>
      </w:r>
      <w:r>
        <w:rPr>
          <w:rFonts w:hint="eastAsia" w:ascii="宋体" w:hAnsi="宋体" w:eastAsia="宋体" w:cs="宋体"/>
          <w:b/>
          <w:bCs/>
          <w:color w:val="auto"/>
          <w:szCs w:val="21"/>
          <w:shd w:val="clear" w:color="auto" w:fill="FFFFFF"/>
        </w:rPr>
        <w:t>获取</w:t>
      </w:r>
    </w:p>
    <w:p>
      <w:pPr>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pPr>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4.3未通过全国公共资源交易平台（河南省·许昌市）下载竞争性谈判文件的供应商，拒收其递交的响应文件。</w:t>
      </w:r>
    </w:p>
    <w:p>
      <w:pPr>
        <w:spacing w:line="440" w:lineRule="exact"/>
        <w:ind w:firstLine="420" w:firstLineChars="200"/>
        <w:rPr>
          <w:rFonts w:hint="eastAsia" w:ascii="宋体" w:hAnsi="宋体" w:eastAsia="宋体" w:cs="宋体"/>
          <w:b/>
          <w:bCs/>
          <w:color w:val="auto"/>
          <w:szCs w:val="21"/>
          <w:shd w:val="clear" w:color="auto" w:fill="FFFFFF"/>
        </w:rPr>
      </w:pP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 xml:space="preserve"> 11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 1 </w:t>
      </w:r>
      <w:r>
        <w:rPr>
          <w:rFonts w:hint="eastAsia" w:ascii="宋体" w:hAnsi="宋体" w:eastAsia="宋体" w:cs="宋体"/>
          <w:color w:val="auto"/>
          <w:szCs w:val="21"/>
          <w:shd w:val="clear" w:color="auto" w:fill="FFFFFF"/>
        </w:rPr>
        <w:t xml:space="preserve">日 </w:t>
      </w:r>
      <w:r>
        <w:rPr>
          <w:rFonts w:hint="eastAsia" w:ascii="宋体" w:hAnsi="宋体" w:eastAsia="宋体" w:cs="宋体"/>
          <w:color w:val="auto"/>
          <w:szCs w:val="21"/>
          <w:shd w:val="clear" w:color="auto" w:fill="FFFFFF"/>
          <w:lang w:val="en-US" w:eastAsia="zh-CN"/>
        </w:rPr>
        <w:t xml:space="preserve">8 时 30 分  </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6.1谈判响应文件开启地点：禹州市公共资源交易中心</w:t>
      </w:r>
      <w:r>
        <w:rPr>
          <w:rFonts w:hint="eastAsia" w:ascii="宋体" w:hAnsi="宋体" w:eastAsia="宋体" w:cs="宋体"/>
          <w:color w:val="FF0000"/>
          <w:kern w:val="0"/>
          <w:szCs w:val="21"/>
        </w:rPr>
        <w:t>第</w:t>
      </w:r>
      <w:r>
        <w:rPr>
          <w:rFonts w:hint="eastAsia" w:ascii="宋体" w:hAnsi="宋体" w:eastAsia="宋体" w:cs="宋体"/>
          <w:color w:val="FF0000"/>
          <w:kern w:val="0"/>
          <w:szCs w:val="21"/>
          <w:u w:val="single"/>
          <w:lang w:val="en-US" w:eastAsia="zh-CN"/>
        </w:rPr>
        <w:t xml:space="preserve"> 二 </w:t>
      </w:r>
      <w:r>
        <w:rPr>
          <w:rFonts w:hint="eastAsia" w:ascii="宋体" w:hAnsi="宋体" w:eastAsia="宋体" w:cs="宋体"/>
          <w:color w:val="FF0000"/>
          <w:kern w:val="0"/>
          <w:szCs w:val="21"/>
        </w:rPr>
        <w:t>开标室</w:t>
      </w:r>
      <w:r>
        <w:rPr>
          <w:rFonts w:hint="eastAsia" w:ascii="宋体" w:hAnsi="宋体" w:eastAsia="宋体" w:cs="宋体"/>
          <w:color w:val="000000"/>
          <w:kern w:val="0"/>
          <w:szCs w:val="21"/>
        </w:rPr>
        <w:t>（禹州市行政服务中心楼9楼）。（本项目采用远程不见面谈判，供应商无须到达现场）。</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6.2本项目为全流程电子化交易项目，供应商须提交电子响应文件。</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6.2.1加密电子响应文件（.file格式）须在响应文件提交截止时间（谈判响应截止时间）前通过《全国公共资源交易平台(河南省</w:t>
      </w:r>
      <w:r>
        <w:rPr>
          <w:rFonts w:ascii="Segoe UI Emoji" w:hAnsi="Segoe UI Emoji" w:eastAsia="宋体" w:cs="Segoe UI Emoji"/>
          <w:color w:val="000000"/>
          <w:kern w:val="0"/>
          <w:szCs w:val="21"/>
        </w:rPr>
        <w:t>▪</w:t>
      </w:r>
      <w:r>
        <w:rPr>
          <w:rFonts w:hint="eastAsia" w:ascii="宋体" w:hAnsi="宋体" w:eastAsia="宋体" w:cs="宋体"/>
          <w:color w:val="000000"/>
          <w:kern w:val="0"/>
          <w:szCs w:val="21"/>
        </w:rPr>
        <w:t>许昌市)》公共资源交易系统成功上传。</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6.2.3不见面开标大厅登录：供应商使用CA数字证书登录全国公共资源交易平台（河南省·许昌市）——进入公共资源交易系统（</w:t>
      </w:r>
      <w:r>
        <w:fldChar w:fldCharType="begin"/>
      </w:r>
      <w:r>
        <w:instrText xml:space="preserve"> HYPERLINK "http://ggzy.xuchang.gov.cn:8088/ggzy/" </w:instrText>
      </w:r>
      <w:r>
        <w:fldChar w:fldCharType="separate"/>
      </w:r>
      <w:r>
        <w:rPr>
          <w:rFonts w:hint="eastAsia" w:ascii="宋体" w:hAnsi="宋体" w:eastAsia="宋体" w:cs="宋体"/>
          <w:color w:val="000000"/>
          <w:kern w:val="0"/>
          <w:szCs w:val="21"/>
        </w:rPr>
        <w:t>http://ggzy.xuchang.gov.cn:8088/ggzy/</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w:t>
      </w:r>
      <w:r>
        <w:rPr>
          <w:rFonts w:hint="eastAsia" w:ascii="宋体" w:hAnsi="宋体" w:eastAsia="宋体" w:cs="宋体"/>
          <w:b/>
          <w:bCs/>
          <w:color w:val="auto"/>
          <w:szCs w:val="21"/>
          <w:shd w:val="clear" w:color="auto" w:fill="FFFFFF"/>
          <w:lang w:val="en-US" w:eastAsia="zh-CN"/>
        </w:rPr>
        <w:t xml:space="preserve"> </w:t>
      </w:r>
      <w:r>
        <w:rPr>
          <w:rFonts w:hint="eastAsia" w:ascii="宋体" w:hAnsi="宋体" w:eastAsia="宋体" w:cs="宋体"/>
          <w:b/>
          <w:bCs/>
          <w:color w:val="auto"/>
          <w:szCs w:val="21"/>
          <w:shd w:val="clear" w:color="auto" w:fill="FFFFFF"/>
        </w:rPr>
        <w:t>《全国公共资源交易平台（河南省·许昌市）》发布等。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采购单位：禹州市残疾人联合</w:t>
      </w:r>
      <w:r>
        <w:rPr>
          <w:rFonts w:hint="eastAsia" w:ascii="宋体" w:hAnsi="宋体" w:eastAsia="宋体" w:cs="宋体"/>
          <w:color w:val="auto"/>
          <w:szCs w:val="21"/>
          <w:shd w:val="clear" w:color="auto" w:fill="FFFFFF"/>
          <w:lang w:eastAsia="zh-CN"/>
        </w:rPr>
        <w:t>会</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val="en-US" w:eastAsia="zh-CN"/>
        </w:rPr>
        <w:t xml:space="preserve"> 梁先生    </w:t>
      </w: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13733706668</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eastAsia="zh-CN"/>
        </w:rPr>
        <w:t>河南建标工程管理有限公司</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 xml:space="preserve">联系人： </w:t>
      </w:r>
      <w:r>
        <w:rPr>
          <w:rFonts w:hint="eastAsia" w:ascii="宋体" w:hAnsi="宋体" w:eastAsia="宋体" w:cs="宋体"/>
          <w:color w:val="auto"/>
          <w:szCs w:val="21"/>
          <w:shd w:val="clear" w:color="auto" w:fill="FFFFFF"/>
          <w:lang w:eastAsia="zh-CN"/>
        </w:rPr>
        <w:t>张女士</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联系电话：</w:t>
      </w:r>
      <w:r>
        <w:rPr>
          <w:rFonts w:hint="eastAsia" w:ascii="宋体" w:hAnsi="宋体" w:eastAsia="宋体" w:cs="宋体"/>
          <w:color w:val="000000" w:themeColor="text1"/>
          <w:szCs w:val="21"/>
          <w:shd w:val="clear" w:color="auto" w:fill="FFFFFF"/>
          <w:lang w:val="en-US" w:eastAsia="zh-CN"/>
        </w:rPr>
        <w:t>0374-</w:t>
      </w:r>
      <w:r>
        <w:rPr>
          <w:rFonts w:hint="eastAsia" w:ascii="宋体" w:hAnsi="宋体" w:cs="宋体"/>
          <w:color w:val="000000" w:themeColor="text1"/>
          <w:sz w:val="21"/>
          <w:szCs w:val="21"/>
          <w:lang w:val="en-US" w:eastAsia="zh-CN"/>
        </w:rPr>
        <w:t>739766</w:t>
      </w:r>
      <w:r>
        <w:rPr>
          <w:rFonts w:hint="eastAsia" w:ascii="宋体" w:hAnsi="宋体" w:cs="宋体"/>
          <w:color w:val="000000"/>
          <w:sz w:val="21"/>
          <w:szCs w:val="21"/>
          <w:lang w:val="en-US" w:eastAsia="zh-CN"/>
        </w:rPr>
        <w:t>7</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监督单位：禹州市政府采购监督管理办公室 </w:t>
      </w:r>
    </w:p>
    <w:p>
      <w:pPr>
        <w:spacing w:line="360" w:lineRule="auto"/>
        <w:rPr>
          <w:rFonts w:hint="eastAsia" w:hAnsi="宋体"/>
          <w:b/>
          <w:color w:val="auto"/>
          <w:sz w:val="21"/>
          <w:szCs w:val="21"/>
        </w:rPr>
      </w:pPr>
    </w:p>
    <w:p>
      <w:pPr>
        <w:spacing w:line="360" w:lineRule="auto"/>
        <w:rPr>
          <w:rFonts w:hint="eastAsia" w:hAnsi="宋体"/>
          <w:b/>
          <w:color w:val="auto"/>
          <w:sz w:val="21"/>
          <w:szCs w:val="21"/>
        </w:rPr>
      </w:pPr>
    </w:p>
    <w:p>
      <w:pPr>
        <w:spacing w:line="360" w:lineRule="auto"/>
        <w:rPr>
          <w:rFonts w:hint="eastAsia" w:hAnsi="宋体"/>
          <w:b/>
          <w:color w:val="auto"/>
          <w:sz w:val="21"/>
          <w:szCs w:val="21"/>
        </w:rPr>
      </w:pPr>
    </w:p>
    <w:p>
      <w:pPr>
        <w:spacing w:line="360" w:lineRule="auto"/>
        <w:rPr>
          <w:rFonts w:hAnsi="宋体"/>
          <w:b/>
          <w:color w:val="auto"/>
          <w:sz w:val="21"/>
          <w:szCs w:val="21"/>
        </w:rPr>
      </w:pPr>
      <w:r>
        <w:rPr>
          <w:rFonts w:hint="eastAsia" w:hAnsi="宋体"/>
          <w:b/>
          <w:color w:val="auto"/>
          <w:sz w:val="21"/>
          <w:szCs w:val="21"/>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"http://221.14.6.70:8088/ggzy/" </w:instrText>
      </w:r>
      <w:r>
        <w:fldChar w:fldCharType="separate"/>
      </w:r>
      <w:r>
        <w:rPr>
          <w:rStyle w:val="33"/>
          <w:rFonts w:hint="eastAsia" w:ascii="宋体" w:hAnsi="宋体" w:eastAsia="宋体" w:cs="宋体"/>
          <w:szCs w:val="21"/>
        </w:rPr>
        <w:t>http://221.14.6.70:8088/ggzy/</w:t>
      </w:r>
      <w:r>
        <w:rPr>
          <w:rStyle w:val="33"/>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"http://221.14.6.70:8088/ggzy/" </w:instrText>
      </w:r>
      <w:r>
        <w:fldChar w:fldCharType="separate"/>
      </w:r>
      <w:r>
        <w:rPr>
          <w:rStyle w:val="33"/>
          <w:rFonts w:hint="eastAsia" w:ascii="宋体" w:hAnsi="宋体" w:eastAsia="宋体" w:cs="宋体"/>
          <w:szCs w:val="21"/>
        </w:rPr>
        <w:t>http://221.14.6.70:8088/ggzy/</w:t>
      </w:r>
      <w:r>
        <w:rPr>
          <w:rStyle w:val="33"/>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"http://221.14.6.70:8088/ggzy/" </w:instrText>
      </w:r>
      <w:r>
        <w:fldChar w:fldCharType="separate"/>
      </w:r>
      <w:r>
        <w:rPr>
          <w:rStyle w:val="33"/>
          <w:rFonts w:hint="eastAsia" w:ascii="宋体" w:hAnsi="宋体" w:eastAsia="宋体" w:cs="宋体"/>
          <w:szCs w:val="21"/>
        </w:rPr>
        <w:t>http://221.14.6.70:8088/ggzy/</w:t>
      </w:r>
      <w:r>
        <w:rPr>
          <w:rStyle w:val="33"/>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w:t>
      </w:r>
      <w:r>
        <w:rPr>
          <w:rFonts w:ascii="宋体" w:hAnsi="宋体" w:eastAsia="宋体" w:cs="宋体"/>
          <w:color w:val="000000"/>
          <w:szCs w:val="21"/>
        </w:rPr>
        <w:t>120</w:t>
      </w:r>
      <w:r>
        <w:rPr>
          <w:rFonts w:hint="eastAsia" w:ascii="宋体" w:hAnsi="宋体" w:eastAsia="宋体" w:cs="宋体"/>
          <w:color w:val="000000"/>
          <w:szCs w:val="21"/>
        </w:rPr>
        <w:t>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w:t>
      </w:r>
      <w:r>
        <w:rPr>
          <w:rFonts w:hint="eastAsia" w:ascii="宋体" w:hAnsi="宋体" w:eastAsia="宋体" w:cs="宋体"/>
          <w:color w:val="000000"/>
          <w:szCs w:val="21"/>
          <w:lang w:eastAsia="zh-CN"/>
        </w:rPr>
        <w:t>报价</w:t>
      </w:r>
      <w:r>
        <w:rPr>
          <w:rFonts w:hint="eastAsia" w:ascii="宋体" w:hAnsi="宋体" w:eastAsia="宋体" w:cs="宋体"/>
          <w:color w:val="000000"/>
          <w:szCs w:val="21"/>
        </w:rPr>
        <w:t>（加盖公章，或者由法定代表人</w:t>
      </w:r>
      <w:r>
        <w:rPr>
          <w:rFonts w:hint="eastAsia" w:ascii="宋体" w:hAnsi="宋体" w:eastAsia="宋体" w:cs="宋体"/>
          <w:color w:val="000000"/>
          <w:szCs w:val="21"/>
          <w:lang w:eastAsia="zh-CN"/>
        </w:rPr>
        <w:t>和</w:t>
      </w:r>
      <w:r>
        <w:rPr>
          <w:rFonts w:hint="eastAsia" w:ascii="宋体" w:hAnsi="宋体" w:eastAsia="宋体" w:cs="宋体"/>
          <w:color w:val="000000"/>
          <w:szCs w:val="21"/>
        </w:rPr>
        <w:t>其授权的代表签字）；</w:t>
      </w:r>
    </w:p>
    <w:p>
      <w:pPr>
        <w:autoSpaceDE w:val="0"/>
        <w:autoSpaceDN w:val="0"/>
        <w:spacing w:line="360" w:lineRule="auto"/>
        <w:ind w:firstLine="420" w:firstLineChars="200"/>
        <w:contextualSpacing/>
        <w:rPr>
          <w:rFonts w:hint="eastAsia" w:ascii="宋体" w:hAnsi="宋体" w:eastAsia="宋体" w:cs="宋体"/>
          <w:szCs w:val="21"/>
          <w:lang w:eastAsia="zh-CN"/>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"http://ggzy.xuchang.gov.cn:8088/ggzy/" </w:instrText>
      </w:r>
      <w:r>
        <w:fldChar w:fldCharType="separate"/>
      </w:r>
      <w:r>
        <w:rPr>
          <w:rStyle w:val="33"/>
          <w:rFonts w:hint="eastAsia" w:ascii="宋体" w:hAnsi="宋体" w:eastAsia="宋体" w:cs="宋体"/>
          <w:szCs w:val="21"/>
        </w:rPr>
        <w:t>http://ggzy.xuchang.gov.cn:8088/ggzy/</w:t>
      </w:r>
      <w:r>
        <w:rPr>
          <w:rStyle w:val="33"/>
          <w:rFonts w:hint="eastAsia" w:ascii="宋体" w:hAnsi="宋体" w:eastAsia="宋体" w:cs="宋体"/>
          <w:szCs w:val="21"/>
        </w:rPr>
        <w:fldChar w:fldCharType="end"/>
      </w:r>
      <w:r>
        <w:rPr>
          <w:rFonts w:hint="eastAsia" w:ascii="宋体" w:hAnsi="宋体" w:eastAsia="宋体" w:cs="宋体"/>
          <w:color w:val="000000"/>
          <w:szCs w:val="21"/>
        </w:rPr>
        <w:t>）进行最后</w:t>
      </w:r>
      <w:r>
        <w:rPr>
          <w:rFonts w:hint="eastAsia" w:ascii="宋体" w:hAnsi="宋体" w:eastAsia="宋体" w:cs="宋体"/>
          <w:color w:val="000000"/>
          <w:szCs w:val="21"/>
          <w:lang w:eastAsia="zh-CN"/>
        </w:rPr>
        <w:t>报价</w:t>
      </w:r>
      <w:r>
        <w:rPr>
          <w:rFonts w:hint="eastAsia" w:ascii="宋体" w:hAnsi="宋体" w:eastAsia="宋体" w:cs="宋体"/>
          <w:color w:val="000000"/>
          <w:szCs w:val="21"/>
        </w:rPr>
        <w:t>，</w:t>
      </w:r>
      <w:r>
        <w:rPr>
          <w:rFonts w:hint="eastAsia" w:ascii="宋体" w:hAnsi="宋体" w:eastAsia="宋体" w:cs="宋体"/>
          <w:szCs w:val="21"/>
        </w:rPr>
        <w:t>最后</w:t>
      </w:r>
      <w:r>
        <w:rPr>
          <w:rFonts w:hint="eastAsia" w:ascii="宋体" w:hAnsi="宋体" w:eastAsia="宋体" w:cs="宋体"/>
          <w:szCs w:val="21"/>
          <w:lang w:eastAsia="zh-CN"/>
        </w:rPr>
        <w:t>报价</w:t>
      </w:r>
      <w:r>
        <w:rPr>
          <w:rFonts w:hint="eastAsia" w:ascii="宋体" w:hAnsi="宋体" w:eastAsia="宋体" w:cs="宋体"/>
          <w:szCs w:val="21"/>
        </w:rPr>
        <w:t>应包括：</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①总报价②分项报价。</w:t>
      </w:r>
    </w:p>
    <w:p>
      <w:pPr>
        <w:wordWrap w:val="0"/>
        <w:autoSpaceDE w:val="0"/>
        <w:autoSpaceDN w:val="0"/>
        <w:adjustRightInd w:val="0"/>
        <w:spacing w:line="360" w:lineRule="auto"/>
        <w:contextualSpacing/>
        <w:rPr>
          <w:rFonts w:ascii="楷体" w:hAnsi="楷体" w:eastAsia="楷体" w:cs="仿宋_GB2312"/>
          <w:color w:val="FF0000"/>
          <w:sz w:val="24"/>
          <w:szCs w:val="24"/>
          <w:lang w:val="zh-CN"/>
        </w:rPr>
      </w:pPr>
      <w:r>
        <w:rPr>
          <w:rFonts w:hint="eastAsia" w:ascii="宋体" w:hAnsi="宋体" w:eastAsia="宋体" w:cs="宋体"/>
          <w:szCs w:val="21"/>
          <w:lang w:val="zh-CN"/>
        </w:rPr>
        <w:t>注：</w:t>
      </w:r>
      <w:r>
        <w:rPr>
          <w:rFonts w:hint="eastAsia" w:ascii="ˎ̥" w:hAnsi="ˎ̥" w:eastAsia="宋体"/>
          <w:color w:val="FF0000"/>
          <w:lang w:val="en-US" w:eastAsia="zh-CN"/>
        </w:rPr>
        <w:t xml:space="preserve"> </w:t>
      </w:r>
    </w:p>
    <w:p>
      <w:pPr>
        <w:autoSpaceDE w:val="0"/>
        <w:autoSpaceDN w:val="0"/>
        <w:spacing w:line="360" w:lineRule="auto"/>
        <w:ind w:firstLine="420" w:firstLineChars="200"/>
        <w:contextualSpacing/>
        <w:rPr>
          <w:rFonts w:hint="eastAsia" w:ascii="宋体" w:hAnsi="宋体" w:eastAsia="宋体" w:cs="宋体"/>
          <w:szCs w:val="21"/>
          <w:lang w:eastAsia="zh-CN"/>
        </w:rPr>
      </w:pPr>
      <w:r>
        <w:rPr>
          <w:rFonts w:hint="eastAsia" w:ascii="宋体" w:hAnsi="宋体" w:eastAsia="宋体" w:cs="宋体"/>
          <w:szCs w:val="21"/>
        </w:rPr>
        <w:t>①最后</w:t>
      </w:r>
      <w:r>
        <w:rPr>
          <w:rFonts w:hint="eastAsia" w:ascii="宋体" w:hAnsi="宋体" w:eastAsia="宋体" w:cs="宋体"/>
          <w:szCs w:val="21"/>
          <w:lang w:eastAsia="zh-CN"/>
        </w:rPr>
        <w:t>报价</w:t>
      </w:r>
      <w:r>
        <w:rPr>
          <w:rFonts w:hint="eastAsia" w:ascii="宋体" w:hAnsi="宋体" w:eastAsia="宋体" w:cs="宋体"/>
          <w:szCs w:val="21"/>
        </w:rPr>
        <w:t>（加盖公章，由法定代表人</w:t>
      </w:r>
      <w:r>
        <w:rPr>
          <w:rFonts w:hint="eastAsia" w:ascii="宋体" w:hAnsi="宋体" w:eastAsia="宋体" w:cs="宋体"/>
          <w:szCs w:val="21"/>
          <w:lang w:eastAsia="zh-CN"/>
        </w:rPr>
        <w:t>和</w:t>
      </w:r>
      <w:r>
        <w:rPr>
          <w:rFonts w:hint="eastAsia" w:ascii="宋体" w:hAnsi="宋体" w:eastAsia="宋体" w:cs="宋体"/>
          <w:szCs w:val="21"/>
        </w:rPr>
        <w:t>其授权的代表签字）</w:t>
      </w:r>
      <w:r>
        <w:rPr>
          <w:rFonts w:hint="eastAsia" w:ascii="宋体" w:hAnsi="宋体" w:eastAsia="宋体" w:cs="宋体"/>
          <w:szCs w:val="21"/>
          <w:lang w:eastAsia="zh-CN"/>
        </w:rPr>
        <w:t>。</w:t>
      </w:r>
    </w:p>
    <w:p>
      <w:pPr>
        <w:autoSpaceDE w:val="0"/>
        <w:autoSpaceDN w:val="0"/>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②谈判小组要求供应商提交最后</w:t>
      </w:r>
      <w:r>
        <w:rPr>
          <w:rFonts w:hint="eastAsia" w:ascii="宋体" w:hAnsi="宋体" w:eastAsia="宋体" w:cs="宋体"/>
          <w:szCs w:val="21"/>
          <w:lang w:eastAsia="zh-CN"/>
        </w:rPr>
        <w:t>报价</w:t>
      </w:r>
      <w:r>
        <w:rPr>
          <w:rFonts w:hint="eastAsia" w:ascii="宋体" w:hAnsi="宋体" w:eastAsia="宋体" w:cs="宋体"/>
          <w:szCs w:val="21"/>
        </w:rPr>
        <w:t>时，</w:t>
      </w:r>
      <w:r>
        <w:rPr>
          <w:rFonts w:hint="eastAsia" w:ascii="宋体" w:hAnsi="宋体" w:eastAsia="宋体" w:cs="宋体"/>
          <w:szCs w:val="21"/>
          <w:lang w:val="zh-CN"/>
        </w:rPr>
        <w:t>在谈判小组规定时间内，供应商未提交最后报价则以其初次提交响应文件为最后报价。</w:t>
      </w:r>
    </w:p>
    <w:p>
      <w:pPr>
        <w:autoSpaceDE w:val="0"/>
        <w:autoSpaceDN w:val="0"/>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③采购文件第二章“采购需求”中“采购清单”以工程量清单提供的，供应商应以</w:t>
      </w:r>
      <w:r>
        <w:rPr>
          <w:rFonts w:hint="eastAsia" w:ascii="宋体" w:hAnsi="宋体" w:eastAsia="宋体" w:cs="宋体"/>
          <w:szCs w:val="21"/>
          <w:lang w:eastAsia="zh-CN"/>
        </w:rPr>
        <w:t>已标价</w:t>
      </w:r>
      <w:r>
        <w:rPr>
          <w:rFonts w:hint="eastAsia" w:ascii="宋体" w:hAnsi="宋体" w:eastAsia="宋体" w:cs="宋体"/>
          <w:szCs w:val="21"/>
        </w:rPr>
        <w:t>工程量清单方式提交最后</w:t>
      </w:r>
      <w:r>
        <w:rPr>
          <w:rFonts w:hint="eastAsia" w:ascii="宋体" w:hAnsi="宋体" w:eastAsia="宋体" w:cs="宋体"/>
          <w:szCs w:val="21"/>
          <w:lang w:eastAsia="zh-CN"/>
        </w:rPr>
        <w:t>报价</w:t>
      </w:r>
      <w:r>
        <w:rPr>
          <w:rFonts w:hint="eastAsia" w:ascii="宋体" w:hAnsi="宋体" w:eastAsia="宋体" w:cs="宋体"/>
          <w:szCs w:val="21"/>
        </w:rPr>
        <w:t>。</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w:t>
      </w:r>
      <w:r>
        <w:rPr>
          <w:rFonts w:hint="eastAsia" w:ascii="宋体" w:hAnsi="宋体" w:eastAsia="宋体" w:cs="宋体"/>
          <w:color w:val="000000"/>
          <w:szCs w:val="21"/>
          <w:lang w:eastAsia="zh-CN"/>
        </w:rPr>
        <w:t>和</w:t>
      </w:r>
      <w:r>
        <w:rPr>
          <w:rFonts w:hint="eastAsia" w:ascii="宋体" w:hAnsi="宋体" w:eastAsia="宋体" w:cs="宋体"/>
          <w:color w:val="000000"/>
          <w:szCs w:val="21"/>
        </w:rPr>
        <w:t>其授权的代表签字后通过电子邮件形式提供。</w:t>
      </w: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both"/>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第二章 采购需求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lang w:val="zh-CN"/>
        </w:rPr>
      </w:pPr>
      <w:r>
        <w:rPr>
          <w:rFonts w:hint="eastAsia" w:ascii="宋体" w:hAnsi="宋体" w:eastAsia="宋体" w:cs="宋体"/>
          <w:b/>
          <w:bCs/>
          <w:lang w:val="zh-CN"/>
        </w:rPr>
        <w:t>一、本项目需实现的功能或者目标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color w:val="0000FF"/>
          <w:lang w:val="en-US" w:eastAsia="zh-CN"/>
        </w:rPr>
        <w:t>对</w:t>
      </w:r>
      <w:r>
        <w:rPr>
          <w:rFonts w:hint="eastAsia" w:ascii="宋体" w:hAnsi="宋体" w:eastAsia="宋体" w:cs="宋体"/>
          <w:color w:val="0000FF"/>
          <w:szCs w:val="21"/>
          <w:shd w:val="clear" w:color="auto" w:fill="FFFFFF"/>
        </w:rPr>
        <w:t>2021年禹州市困难户重度残疾人家庭无障碍改造项目</w:t>
      </w:r>
      <w:r>
        <w:rPr>
          <w:rFonts w:hint="eastAsia" w:ascii="宋体" w:hAnsi="宋体" w:eastAsia="宋体" w:cs="宋体"/>
          <w:color w:val="0000FF"/>
          <w:lang w:eastAsia="zh-CN"/>
        </w:rPr>
        <w:t>（不见面开标）</w:t>
      </w:r>
      <w:r>
        <w:rPr>
          <w:rFonts w:hint="eastAsia" w:ascii="宋体" w:hAnsi="宋体" w:eastAsia="宋体" w:cs="宋体"/>
          <w:color w:val="0000FF"/>
          <w:lang w:val="en-US" w:eastAsia="zh-CN"/>
        </w:rPr>
        <w:t>（详见采购清单）</w:t>
      </w:r>
      <w:r>
        <w:rPr>
          <w:rFonts w:hint="eastAsia" w:ascii="宋体" w:hAnsi="宋体" w:eastAsia="宋体" w:cs="宋体"/>
          <w:lang w:val="en-US" w:eastAsia="zh-CN"/>
        </w:rPr>
        <w:t>进行采购。</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宋体" w:hAnsi="宋体" w:eastAsia="宋体" w:cs="宋体"/>
          <w:b/>
          <w:bCs/>
          <w:lang w:val="en-US" w:eastAsia="zh-CN"/>
        </w:rPr>
      </w:pPr>
      <w:r>
        <w:rPr>
          <w:rFonts w:hint="eastAsia" w:ascii="宋体" w:hAnsi="宋体" w:eastAsia="宋体" w:cs="宋体"/>
          <w:b/>
          <w:bCs/>
          <w:lang w:val="en-US" w:eastAsia="zh-CN"/>
        </w:rPr>
        <w:t>采购清单</w:t>
      </w:r>
    </w:p>
    <w:p>
      <w:pPr>
        <w:pStyle w:val="2"/>
        <w:numPr>
          <w:ilvl w:val="0"/>
          <w:numId w:val="0"/>
        </w:numPr>
        <w:rPr>
          <w:rFonts w:hint="eastAsia"/>
          <w:color w:val="FF0000"/>
          <w:lang w:val="en-US" w:eastAsia="zh-CN"/>
        </w:rPr>
      </w:pPr>
      <w:r>
        <w:rPr>
          <w:rFonts w:hint="eastAsia"/>
          <w:color w:val="FF0000"/>
          <w:lang w:val="en-US" w:eastAsia="zh-CN"/>
        </w:rPr>
        <w:t>详见附件</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lang w:val="zh-CN"/>
        </w:rPr>
      </w:pPr>
      <w:r>
        <w:rPr>
          <w:rFonts w:hint="eastAsia" w:ascii="宋体" w:hAnsi="宋体" w:eastAsia="宋体" w:cs="宋体"/>
          <w:b/>
          <w:bCs/>
          <w:lang w:val="en-US" w:eastAsia="zh-CN"/>
        </w:rPr>
        <w:t>2、</w:t>
      </w:r>
      <w:r>
        <w:rPr>
          <w:rFonts w:hint="eastAsia" w:ascii="宋体" w:hAnsi="宋体" w:eastAsia="宋体" w:cs="宋体"/>
          <w:b/>
          <w:bCs/>
          <w:lang w:val="zh-CN"/>
        </w:rPr>
        <w:t>服务标准、期限、效率等要求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lang w:val="zh-CN"/>
        </w:rPr>
      </w:pPr>
      <w:r>
        <w:rPr>
          <w:rFonts w:hint="eastAsia" w:ascii="宋体" w:hAnsi="宋体" w:eastAsia="宋体" w:cs="宋体"/>
          <w:lang w:val="zh-CN"/>
        </w:rPr>
        <w:t>★服务标准：合格（符合国家行业现行质量规范、标准要求）。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zh-CN"/>
        </w:rPr>
        <w:t>★</w:t>
      </w:r>
      <w:r>
        <w:rPr>
          <w:rFonts w:hint="eastAsia" w:ascii="宋体" w:hAnsi="宋体" w:eastAsia="宋体" w:cs="宋体"/>
          <w:lang w:val="en-US" w:eastAsia="zh-CN"/>
        </w:rPr>
        <w:t>交付时间：合同签订</w:t>
      </w:r>
      <w:r>
        <w:rPr>
          <w:rFonts w:hint="eastAsia" w:ascii="宋体" w:hAnsi="宋体" w:eastAsia="宋体" w:cs="宋体"/>
          <w:color w:val="auto"/>
          <w:lang w:val="en-US" w:eastAsia="zh-CN"/>
        </w:rPr>
        <w:t>后10日历天内</w:t>
      </w:r>
      <w:r>
        <w:rPr>
          <w:rFonts w:hint="eastAsia" w:ascii="宋体" w:hAnsi="宋体" w:eastAsia="宋体" w:cs="宋体"/>
          <w:color w:val="auto"/>
          <w:lang w:val="zh-CN"/>
        </w:rPr>
        <w:t>。</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rPr>
      </w:pPr>
      <w:r>
        <w:rPr>
          <w:rFonts w:hint="eastAsia" w:ascii="宋体" w:hAnsi="宋体" w:eastAsia="宋体" w:cs="宋体"/>
          <w:b/>
          <w:bCs/>
        </w:rPr>
        <w:t>二、报价要求及其他相关要求：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1、供应商应就该项目完整报价（报价含安装，运输、培训、税费等综合费用），否则为无效报价。</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2、响应文件中须有详细的实施（技术）方案。</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3、本项目的投标报价为总报价，投标报价应是</w:t>
      </w:r>
      <w:bookmarkStart w:id="1" w:name="_Hlk70410161"/>
      <w:r>
        <w:rPr>
          <w:rFonts w:hint="eastAsia" w:ascii="宋体" w:hAnsi="宋体" w:eastAsia="宋体" w:cs="宋体"/>
        </w:rPr>
        <w:t>招标文件</w:t>
      </w:r>
      <w:bookmarkEnd w:id="1"/>
      <w:r>
        <w:rPr>
          <w:rFonts w:hint="eastAsia" w:ascii="宋体" w:hAnsi="宋体" w:eastAsia="宋体" w:cs="宋体"/>
        </w:rPr>
        <w:t>、采购清单、补充文件（如有）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4、供应商须明确投标产品的厂家、产地、品牌、型号、详细参数。</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5、产品必须符合国家质量检测标准和本招标文件规定标准的全新正品现货，供货时提供随货物《产品合格证》。</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6、专利权：投标人应保证用户在使用该设计成果时或其任何一部分时不受第三方提出侵犯其专利权、商标权和工业设计权等的起诉。</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7、本项目为交钥匙工程（包括设备、材料、元件等购置、安装调试、验收、与其它施工单位协作所产生的费用等）</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rPr>
      </w:pPr>
      <w:r>
        <w:rPr>
          <w:rFonts w:hint="eastAsia" w:ascii="宋体" w:hAnsi="宋体" w:eastAsia="宋体" w:cs="宋体"/>
          <w:b/>
          <w:bCs/>
        </w:rPr>
        <w:t>三、采购标的的其他技术、服务等要求</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1、本次招标某些技术标准与国家所要求的标准不统一或有不兼容的地方，均以国家强制性标准或最新出台的标准为准。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2、如果未在招标文件中要求提供其相关行业标准或国家强制性标准的，则投标人有责任给予补充说明。</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3、中标方未达到作业计划标准及工作违规或引起纠纷、被上级部门处罚等不良后果，造成重大经济损失或服务严重失误，采购方有权终止本合同，并追究中标方的经济责任；</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4、严格遵守国家相关法律、法规和规章制度，坚持公开、公平、公正、诚实守信的原则，独立开展评估服务工作。</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 xml:space="preserve">5、中标单位在供货运输和安装过程中出现的安全问题负责，供应商应对此做出承诺，否则按无效标处理。  </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rPr>
      </w:pPr>
      <w:r>
        <w:rPr>
          <w:rFonts w:hint="eastAsia" w:ascii="宋体" w:hAnsi="宋体" w:eastAsia="宋体" w:cs="宋体"/>
          <w:b/>
          <w:bCs/>
          <w:lang w:eastAsia="zh-CN"/>
        </w:rPr>
        <w:t>四</w:t>
      </w:r>
      <w:r>
        <w:rPr>
          <w:rFonts w:hint="eastAsia" w:ascii="宋体" w:hAnsi="宋体" w:eastAsia="宋体" w:cs="宋体"/>
          <w:b/>
          <w:bCs/>
        </w:rPr>
        <w:t>、验收标准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1、招标人有权要求中标候选人提供所有与本次投标相关资料原件进行查验，无法提供或有造假等违法违规行为根据相关规定执行处理。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3、本项目采用现场运行、测试验收方式验收。投标人完成的项目应达到的质量标准应符合国家和履约地相关安全质量标准；行业技术规范标准；环保节能标准；强制认证相关标准。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4、投标人完成的项目应达到的质量标准应符合国家和履约地相关安全质量标准；行业技术规范标准；环保节能标准；强制认证相关标准。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5、符合招标文件要求和投标文件承诺。</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6、本项目验收如需要第三方验收，中标方将承担所有产生的费用。</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bCs/>
        </w:rPr>
      </w:pPr>
      <w:r>
        <w:rPr>
          <w:rFonts w:hint="eastAsia" w:ascii="宋体" w:hAnsi="宋体" w:eastAsia="宋体" w:cs="宋体"/>
          <w:b/>
          <w:bCs/>
          <w:lang w:eastAsia="zh-CN"/>
        </w:rPr>
        <w:t>五</w:t>
      </w:r>
      <w:r>
        <w:rPr>
          <w:rFonts w:hint="eastAsia" w:ascii="宋体" w:hAnsi="宋体" w:eastAsia="宋体" w:cs="宋体"/>
          <w:b/>
          <w:bCs/>
        </w:rPr>
        <w:t>、其他说明</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rPr>
      </w:pPr>
      <w:r>
        <w:rPr>
          <w:rFonts w:hint="eastAsia" w:ascii="宋体" w:hAnsi="宋体" w:eastAsia="宋体" w:cs="宋体"/>
        </w:rPr>
        <w:t>1、支付方式：财政支付</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、支付时间及条件：以签订合同为准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70" w:lineRule="exact"/>
        <w:ind w:firstLine="643" w:firstLineChars="200"/>
        <w:jc w:val="center"/>
        <w:textAlignment w:val="auto"/>
        <w:rPr>
          <w:rFonts w:hint="eastAsia" w:cs="宋体" w:asciiTheme="majorEastAsia" w:hAnsiTheme="majorEastAsia" w:eastAsiaTheme="majorEastAsia"/>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cs="宋体" w:asciiTheme="majorEastAsia" w:hAnsiTheme="majorEastAsia" w:eastAsiaTheme="majorEastAsia"/>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370" w:lineRule="exact"/>
        <w:ind w:firstLine="643" w:firstLineChars="200"/>
        <w:jc w:val="center"/>
        <w:textAlignment w:val="auto"/>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518"/>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51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56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51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563" w:type="dxa"/>
          </w:tcPr>
          <w:p>
            <w:pPr>
              <w:keepNext w:val="0"/>
              <w:keepLines w:val="0"/>
              <w:pageBreakBefore w:val="0"/>
              <w:widowControl w:val="0"/>
              <w:kinsoku/>
              <w:wordWrap/>
              <w:overflowPunct/>
              <w:topLinePunct w:val="0"/>
              <w:bidi w:val="0"/>
              <w:snapToGrid/>
              <w:spacing w:line="380" w:lineRule="exact"/>
              <w:jc w:val="both"/>
              <w:textAlignment w:val="auto"/>
              <w:rPr>
                <w:rFonts w:asciiTheme="majorEastAsia" w:hAnsiTheme="majorEastAsia" w:eastAsiaTheme="majorEastAsia" w:cstheme="majorEastAsia"/>
                <w:b/>
                <w:bCs/>
                <w:color w:val="auto"/>
                <w:szCs w:val="21"/>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rPr>
              <w:t>2021年禹州市困难户重度残疾人家庭无障碍改造项目</w:t>
            </w:r>
            <w:r>
              <w:rPr>
                <w:rFonts w:hint="eastAsia" w:ascii="宋体" w:hAnsi="宋体" w:eastAsia="宋体" w:cs="宋体"/>
                <w:color w:val="auto"/>
                <w:szCs w:val="21"/>
                <w:shd w:val="clear" w:color="auto" w:fill="FFFFFF"/>
                <w:lang w:eastAsia="zh-CN"/>
              </w:rPr>
              <w:t>（不见面开标）</w:t>
            </w:r>
            <w:r>
              <w:rPr>
                <w:rFonts w:hint="eastAsia" w:ascii="宋体" w:hAnsi="宋体" w:eastAsia="宋体" w:cs="宋体"/>
                <w:color w:val="auto"/>
                <w:szCs w:val="21"/>
                <w:shd w:val="clear" w:color="auto" w:fill="FFFFFF"/>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rPr>
                <w:rFonts w:hint="default"/>
                <w:lang w:val="en-US" w:eastAsia="zh-CN"/>
              </w:rPr>
            </w:pPr>
            <w:r>
              <w:rPr>
                <w:rFonts w:hint="eastAsia" w:cs="仿宋_GB2312" w:asciiTheme="minorEastAsia" w:hAnsiTheme="minorEastAsia" w:eastAsiaTheme="minorEastAsia"/>
                <w:color w:val="auto"/>
                <w:szCs w:val="21"/>
                <w:lang w:eastAsia="zh-CN"/>
              </w:rPr>
              <w:t>项目编号：YZCG-DLT2021</w:t>
            </w:r>
            <w:r>
              <w:rPr>
                <w:rFonts w:hint="eastAsia" w:cs="仿宋_GB2312" w:asciiTheme="minorEastAsia" w:hAnsiTheme="minorEastAsia"/>
                <w:color w:val="auto"/>
                <w:szCs w:val="21"/>
                <w:lang w:val="en-US" w:eastAsia="zh-CN"/>
              </w:rPr>
              <w:t>114</w:t>
            </w:r>
          </w:p>
          <w:p>
            <w:pPr>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交付时间</w:t>
            </w:r>
            <w:r>
              <w:rPr>
                <w:rFonts w:hint="eastAsia" w:cs="仿宋_GB2312" w:asciiTheme="minorEastAsia" w:hAnsiTheme="minorEastAsia" w:eastAsiaTheme="minorEastAsia"/>
                <w:color w:val="auto"/>
                <w:szCs w:val="21"/>
                <w:lang w:eastAsia="zh-CN"/>
              </w:rPr>
              <w:t>：合同签订后</w:t>
            </w:r>
            <w:r>
              <w:rPr>
                <w:rFonts w:hint="eastAsia" w:cs="仿宋_GB2312" w:asciiTheme="minorEastAsia" w:hAnsiTheme="minorEastAsia"/>
                <w:color w:val="auto"/>
                <w:szCs w:val="21"/>
                <w:lang w:val="en-US" w:eastAsia="zh-CN"/>
              </w:rPr>
              <w:t>10</w:t>
            </w:r>
            <w:r>
              <w:rPr>
                <w:rFonts w:hint="eastAsia" w:cs="仿宋_GB2312" w:asciiTheme="minorEastAsia" w:hAnsiTheme="minorEastAsia" w:eastAsiaTheme="minorEastAsia"/>
                <w:color w:val="auto"/>
                <w:szCs w:val="21"/>
                <w:lang w:eastAsia="zh-CN"/>
              </w:rPr>
              <w:t>日历天内</w:t>
            </w:r>
            <w:r>
              <w:rPr>
                <w:rFonts w:hint="eastAsia" w:cs="仿宋_GB2312" w:asciiTheme="minorEastAsia" w:hAnsiTheme="minorEastAsia"/>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51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563" w:type="dxa"/>
            <w:vAlign w:val="center"/>
          </w:tcPr>
          <w:p>
            <w:pPr>
              <w:pStyle w:val="8"/>
              <w:keepNext w:val="0"/>
              <w:keepLines w:val="0"/>
              <w:pageBreakBefore w:val="0"/>
              <w:widowControl w:val="0"/>
              <w:kinsoku/>
              <w:wordWrap/>
              <w:overflowPunct/>
              <w:topLinePunct w:val="0"/>
              <w:bidi w:val="0"/>
              <w:snapToGrid/>
              <w:spacing w:line="380" w:lineRule="exact"/>
              <w:ind w:firstLine="0"/>
              <w:textAlignment w:val="auto"/>
              <w:rPr>
                <w:rFonts w:hint="eastAsia" w:cs="宋体" w:asciiTheme="minorEastAsia" w:hAnsiTheme="minorEastAsia"/>
                <w:b w:val="0"/>
                <w:bCs/>
                <w:color w:val="auto"/>
                <w:kern w:val="0"/>
                <w:szCs w:val="21"/>
                <w:lang w:val="en-US" w:eastAsia="zh-CN"/>
              </w:rPr>
            </w:pPr>
            <w:r>
              <w:rPr>
                <w:rFonts w:hint="eastAsia" w:cs="仿宋_GB2312" w:asciiTheme="minorEastAsia" w:hAnsiTheme="minorEastAsia" w:eastAsiaTheme="minorEastAsia"/>
                <w:color w:val="auto"/>
                <w:szCs w:val="21"/>
              </w:rPr>
              <w:t>采购单位：</w:t>
            </w:r>
            <w:r>
              <w:rPr>
                <w:rFonts w:hint="eastAsia" w:ascii="宋体" w:hAnsi="宋体" w:eastAsia="宋体" w:cs="宋体"/>
                <w:color w:val="auto"/>
                <w:szCs w:val="21"/>
                <w:shd w:val="clear" w:color="auto" w:fill="FFFFFF"/>
              </w:rPr>
              <w:t>禹州市残疾人联合</w:t>
            </w:r>
            <w:r>
              <w:rPr>
                <w:rFonts w:hint="eastAsia" w:ascii="宋体" w:hAnsi="宋体" w:eastAsia="宋体" w:cs="宋体"/>
                <w:color w:val="auto"/>
                <w:szCs w:val="21"/>
                <w:shd w:val="clear" w:color="auto" w:fill="FFFFFF"/>
                <w:lang w:eastAsia="zh-CN"/>
              </w:rPr>
              <w:t>会</w:t>
            </w:r>
          </w:p>
          <w:p>
            <w:pPr>
              <w:pStyle w:val="8"/>
              <w:keepNext w:val="0"/>
              <w:keepLines w:val="0"/>
              <w:pageBreakBefore w:val="0"/>
              <w:widowControl w:val="0"/>
              <w:kinsoku/>
              <w:wordWrap/>
              <w:overflowPunct/>
              <w:topLinePunct w:val="0"/>
              <w:bidi w:val="0"/>
              <w:snapToGrid/>
              <w:spacing w:line="380" w:lineRule="exact"/>
              <w:ind w:firstLine="0"/>
              <w:textAlignment w:val="auto"/>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eastAsiaTheme="minorEastAsia"/>
                <w:color w:val="auto"/>
                <w:szCs w:val="21"/>
              </w:rPr>
              <w:t>地</w:t>
            </w:r>
            <w:r>
              <w:rPr>
                <w:rFonts w:hint="eastAsia" w:cs="仿宋_GB2312" w:asciiTheme="minorEastAsia" w:hAnsiTheme="minorEastAsia" w:eastAsiaTheme="minorEastAsia"/>
                <w:color w:val="auto"/>
                <w:szCs w:val="21"/>
                <w:lang w:val="en-US" w:eastAsia="zh-CN"/>
              </w:rPr>
              <w:t xml:space="preserve">    </w:t>
            </w:r>
            <w:r>
              <w:rPr>
                <w:rFonts w:hint="eastAsia" w:cs="仿宋_GB2312" w:asciiTheme="minorEastAsia" w:hAnsiTheme="minorEastAsia" w:eastAsiaTheme="minorEastAsia"/>
                <w:color w:val="auto"/>
                <w:szCs w:val="21"/>
              </w:rPr>
              <w:t>址：</w:t>
            </w:r>
            <w:r>
              <w:rPr>
                <w:rFonts w:hint="eastAsia" w:ascii="宋体" w:hAnsi="宋体" w:eastAsia="宋体" w:cs="宋体"/>
                <w:color w:val="auto"/>
                <w:szCs w:val="21"/>
                <w:shd w:val="clear" w:color="auto" w:fill="FFFFFF"/>
              </w:rPr>
              <w:t>禹州市</w:t>
            </w:r>
          </w:p>
          <w:p>
            <w:pPr>
              <w:pStyle w:val="8"/>
              <w:keepNext w:val="0"/>
              <w:keepLines w:val="0"/>
              <w:pageBreakBefore w:val="0"/>
              <w:widowControl w:val="0"/>
              <w:kinsoku/>
              <w:wordWrap/>
              <w:overflowPunct/>
              <w:topLinePunct w:val="0"/>
              <w:bidi w:val="0"/>
              <w:snapToGrid/>
              <w:spacing w:line="380" w:lineRule="exact"/>
              <w:ind w:firstLine="0"/>
              <w:textAlignment w:val="auto"/>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联系人：</w:t>
            </w:r>
            <w:r>
              <w:rPr>
                <w:rFonts w:hint="eastAsia" w:cs="仿宋_GB2312" w:asciiTheme="minorEastAsia" w:hAnsiTheme="minorEastAsia" w:eastAsiaTheme="minorEastAsia"/>
                <w:color w:val="auto"/>
                <w:szCs w:val="21"/>
                <w:lang w:eastAsia="zh-CN"/>
              </w:rPr>
              <w:t>梁先生</w:t>
            </w:r>
            <w:r>
              <w:rPr>
                <w:rFonts w:hint="eastAsia" w:cs="仿宋_GB2312" w:asciiTheme="minorEastAsia" w:hAnsiTheme="minorEastAsia" w:eastAsiaTheme="minorEastAsia"/>
                <w:color w:val="auto"/>
                <w:szCs w:val="21"/>
                <w:lang w:val="en-US" w:eastAsia="zh-CN"/>
              </w:rPr>
              <w:t xml:space="preserve">    </w:t>
            </w:r>
            <w:r>
              <w:rPr>
                <w:rFonts w:hint="eastAsia" w:cs="仿宋_GB2312" w:asciiTheme="minorEastAsia" w:hAnsiTheme="minorEastAsia" w:eastAsiaTheme="minorEastAsia"/>
                <w:color w:val="auto"/>
                <w:szCs w:val="21"/>
              </w:rPr>
              <w:t>联系电话：</w:t>
            </w:r>
            <w:r>
              <w:rPr>
                <w:rFonts w:hint="eastAsia" w:ascii="宋体" w:hAnsi="宋体" w:eastAsia="宋体" w:cs="宋体"/>
                <w:color w:val="auto"/>
                <w:szCs w:val="21"/>
                <w:shd w:val="clear" w:color="auto" w:fill="FFFFFF"/>
                <w:lang w:val="en-US" w:eastAsia="zh-CN"/>
              </w:rPr>
              <w:t>13733706668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51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cs="仿宋_GB2312" w:asciiTheme="minorEastAsia" w:hAnsi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河南建标工程管理有限公司</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rPr>
              <w:t xml:space="preserve">联系人： </w:t>
            </w:r>
            <w:r>
              <w:rPr>
                <w:rFonts w:hint="eastAsia" w:cs="仿宋_GB2312" w:asciiTheme="minorEastAsia" w:hAnsiTheme="minorEastAsia"/>
                <w:color w:val="auto"/>
                <w:szCs w:val="21"/>
                <w:lang w:eastAsia="zh-CN"/>
              </w:rPr>
              <w:t>张女士</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0374-7397667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51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一、</w:t>
            </w:r>
            <w:r>
              <w:rPr>
                <w:color w:val="auto"/>
                <w:lang w:val="zh-CN"/>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1、企业法人营业执照或营业执照。（企业提供）</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2、事业单位法人证书。（事业单位提供）</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3、执业许可证。（非企业专业服务机构提供）</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4、个体工商户营业执照。（个体工商户提供）</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color w:val="auto"/>
                <w:lang w:val="zh-CN"/>
              </w:rPr>
            </w:pPr>
            <w:r>
              <w:rPr>
                <w:rFonts w:hint="eastAsia"/>
                <w:color w:val="auto"/>
                <w:lang w:val="zh-CN"/>
              </w:rPr>
              <w:t>5、自然人身份证明。（自然人提供）</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color w:val="auto"/>
                <w:lang w:val="zh-CN"/>
              </w:rPr>
            </w:pPr>
            <w:r>
              <w:rPr>
                <w:rFonts w:hint="eastAsia"/>
                <w:color w:val="auto"/>
                <w:lang w:val="zh-CN"/>
              </w:rPr>
              <w:t>6、民办非企业单位登记证书。（民办非企业单位提供）</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color w:val="auto"/>
              </w:rPr>
            </w:pPr>
            <w:r>
              <w:rPr>
                <w:rFonts w:hint="eastAsia"/>
                <w:color w:val="auto"/>
              </w:rPr>
              <w:t>二、财务状况报告相关材料</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（1）供应商是法人（法人包括企业法人、机关法人、事业单位法人和社会团体法人），提供本单位：</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①</w:t>
            </w:r>
            <w:r>
              <w:rPr>
                <w:rFonts w:hint="eastAsia"/>
                <w:color w:val="auto"/>
                <w:lang w:val="en-US" w:eastAsia="zh-CN"/>
              </w:rPr>
              <w:t>2019年度或2020年度</w:t>
            </w:r>
            <w:r>
              <w:rPr>
                <w:rFonts w:hint="eastAsia"/>
                <w:color w:val="auto"/>
              </w:rPr>
              <w:t>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②基本开户银行出具的资信证明；</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③财政部门认可的政府采购专业担保机构的证明文件和担保机构出具的投标担保函。</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lang w:val="zh-CN"/>
              </w:rPr>
              <w:t>注：仅需提供序号</w:t>
            </w:r>
            <w:r>
              <w:rPr>
                <w:rFonts w:hint="eastAsia"/>
                <w:color w:val="auto"/>
              </w:rPr>
              <w:t>①～③其中之一即可。</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（2）供应商（其他组织和自然人）提供本单位：</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lang w:val="en-US" w:eastAsia="zh-CN"/>
              </w:rPr>
              <w:t>①2019年度或2020年度</w:t>
            </w:r>
            <w:r>
              <w:rPr>
                <w:rFonts w:hint="eastAsia"/>
                <w:color w:val="auto"/>
              </w:rPr>
              <w:t>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②银行出具的资信证明；</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注：仅需提供序号</w:t>
            </w:r>
            <w:r>
              <w:rPr>
                <w:rFonts w:hint="eastAsia"/>
                <w:color w:val="auto"/>
              </w:rPr>
              <w:t>①～③其中之一即可。</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lang w:val="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color w:val="auto"/>
                <w:lang w:val="zh-CN"/>
              </w:rPr>
            </w:pPr>
            <w:r>
              <w:rPr>
                <w:rFonts w:hint="eastAsia"/>
                <w:color w:val="auto"/>
                <w:lang w:val="zh-CN"/>
              </w:rPr>
              <w:t>①相关设备的购置发票、专业技术人员职称证书、用工合同等；</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②供应商具备履行合同所必须的设备和专业技术能力承诺函或声明（承诺函或声明格式自拟）。</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rPr>
            </w:pPr>
            <w:r>
              <w:rPr>
                <w:rFonts w:hint="eastAsia"/>
                <w:color w:val="auto"/>
                <w:lang w:val="zh-CN"/>
              </w:rPr>
              <w:t>注：仅需提供序号</w:t>
            </w:r>
            <w:r>
              <w:rPr>
                <w:rFonts w:hint="eastAsia"/>
                <w:color w:val="auto"/>
              </w:rPr>
              <w:t>①～②其中之一即可。</w:t>
            </w:r>
          </w:p>
          <w:p>
            <w:pPr>
              <w:keepNext w:val="0"/>
              <w:keepLines w:val="0"/>
              <w:pageBreakBefore w:val="0"/>
              <w:widowControl w:val="0"/>
              <w:kinsoku/>
              <w:wordWrap/>
              <w:overflowPunct/>
              <w:topLinePunct w:val="0"/>
              <w:autoSpaceDE w:val="0"/>
              <w:autoSpaceDN w:val="0"/>
              <w:bidi w:val="0"/>
              <w:adjustRightInd w:val="0"/>
              <w:snapToGrid/>
              <w:spacing w:line="380" w:lineRule="exact"/>
              <w:ind w:right="-11"/>
              <w:textAlignment w:val="auto"/>
              <w:rPr>
                <w:color w:val="auto"/>
                <w:lang w:val="zh-CN"/>
              </w:rPr>
            </w:pPr>
            <w:r>
              <w:rPr>
                <w:rFonts w:hint="eastAsia"/>
                <w:color w:val="auto"/>
              </w:rPr>
              <w:t>六、</w:t>
            </w:r>
            <w:r>
              <w:rPr>
                <w:color w:val="auto"/>
                <w:lang w:val="zh-CN"/>
              </w:rPr>
              <w:t>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snapToGrid/>
              <w:spacing w:line="380" w:lineRule="exact"/>
              <w:contextualSpacing/>
              <w:jc w:val="left"/>
              <w:textAlignment w:val="auto"/>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snapToGrid/>
              <w:spacing w:line="380" w:lineRule="exact"/>
              <w:contextualSpacing/>
              <w:jc w:val="left"/>
              <w:textAlignment w:val="auto"/>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1、查询渠道：</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②“中国政府采购网”（www.ccgp.gov.cn）</w:t>
            </w:r>
          </w:p>
          <w:p>
            <w:pPr>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keepNext w:val="0"/>
              <w:keepLines w:val="0"/>
              <w:pageBreakBefore w:val="0"/>
              <w:widowControl w:val="0"/>
              <w:kinsoku/>
              <w:wordWrap/>
              <w:overflowPunct/>
              <w:topLinePunct w:val="0"/>
              <w:autoSpaceDE w:val="0"/>
              <w:autoSpaceDN w:val="0"/>
              <w:bidi w:val="0"/>
              <w:snapToGrid/>
              <w:spacing w:line="380" w:lineRule="exact"/>
              <w:contextualSpacing/>
              <w:textAlignment w:val="auto"/>
              <w:rPr>
                <w:color w:val="auto"/>
              </w:rPr>
            </w:pPr>
            <w:r>
              <w:rPr>
                <w:rFonts w:hint="eastAsia"/>
                <w:color w:val="auto"/>
              </w:rPr>
              <w:t>2、截止时间：同投标截止时间；</w:t>
            </w:r>
          </w:p>
          <w:p>
            <w:pPr>
              <w:keepNext w:val="0"/>
              <w:keepLines w:val="0"/>
              <w:pageBreakBefore w:val="0"/>
              <w:widowControl w:val="0"/>
              <w:kinsoku/>
              <w:wordWrap/>
              <w:overflowPunct/>
              <w:topLinePunct w:val="0"/>
              <w:autoSpaceDE w:val="0"/>
              <w:autoSpaceDN w:val="0"/>
              <w:bidi w:val="0"/>
              <w:snapToGrid/>
              <w:spacing w:line="380" w:lineRule="exact"/>
              <w:contextualSpacing/>
              <w:textAlignment w:val="auto"/>
              <w:rPr>
                <w:color w:val="auto"/>
              </w:rPr>
            </w:pPr>
            <w:r>
              <w:rPr>
                <w:rFonts w:hint="eastAsia"/>
                <w:color w:val="auto"/>
              </w:rPr>
              <w:t>3、信用信息查询记录和证据留存具体方式：经谈判小组确认的查询结果网页截图作为查询记录和证据，与其他采购文件一并保存；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napToGrid/>
              <w:spacing w:line="380" w:lineRule="exact"/>
              <w:contextualSpacing/>
              <w:textAlignment w:val="auto"/>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keepNext w:val="0"/>
              <w:keepLines w:val="0"/>
              <w:pageBreakBefore w:val="0"/>
              <w:widowControl w:val="0"/>
              <w:kinsoku/>
              <w:wordWrap/>
              <w:overflowPunct/>
              <w:topLinePunct w:val="0"/>
              <w:autoSpaceDE w:val="0"/>
              <w:autoSpaceDN w:val="0"/>
              <w:bidi w:val="0"/>
              <w:snapToGrid/>
              <w:spacing w:line="380" w:lineRule="exact"/>
              <w:contextualSpacing/>
              <w:textAlignment w:val="auto"/>
              <w:rPr>
                <w:color w:val="auto"/>
              </w:rPr>
            </w:pPr>
            <w:r>
              <w:rPr>
                <w:rFonts w:hint="eastAsia"/>
                <w:color w:val="auto"/>
              </w:rPr>
              <w:t>5、供应商不良信用记录以谈判小组查询结果为准，谈判小组查询之后，网站信息发生的任何变更不再作为评审依据，供应商自行提供的与网站信息不一致的其他证明材料亦不作为评审依据。</w:t>
            </w:r>
          </w:p>
          <w:p>
            <w:pPr>
              <w:pStyle w:val="2"/>
              <w:keepNext w:val="0"/>
              <w:keepLines w:val="0"/>
              <w:pageBreakBefore w:val="0"/>
              <w:widowControl w:val="0"/>
              <w:kinsoku/>
              <w:wordWrap/>
              <w:overflowPunct/>
              <w:topLinePunct w:val="0"/>
              <w:bidi w:val="0"/>
              <w:snapToGrid/>
              <w:spacing w:line="380" w:lineRule="exact"/>
              <w:textAlignment w:val="auto"/>
              <w:rPr>
                <w:color w:val="auto"/>
              </w:rPr>
            </w:pPr>
            <w:r>
              <w:rPr>
                <w:rFonts w:hint="eastAsia"/>
                <w:color w:val="auto"/>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51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51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563" w:type="dxa"/>
            <w:vAlign w:val="center"/>
          </w:tcPr>
          <w:p>
            <w:pPr>
              <w:keepNext w:val="0"/>
              <w:keepLines w:val="0"/>
              <w:pageBreakBefore w:val="0"/>
              <w:widowControl w:val="0"/>
              <w:kinsoku/>
              <w:wordWrap/>
              <w:overflowPunct/>
              <w:topLinePunct w:val="0"/>
              <w:bidi w:val="0"/>
              <w:snapToGrid/>
              <w:spacing w:line="380" w:lineRule="exact"/>
              <w:jc w:val="left"/>
              <w:textAlignment w:val="auto"/>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lang w:val="en-US" w:eastAsia="zh-CN"/>
              </w:rPr>
              <w:t>582971.66</w:t>
            </w:r>
            <w:r>
              <w:rPr>
                <w:rFonts w:hint="eastAsia" w:ascii="宋体" w:hAnsi="宋体" w:eastAsia="宋体" w:cs="宋体"/>
                <w:color w:val="auto"/>
                <w:szCs w:val="21"/>
                <w:shd w:val="clear" w:color="auto" w:fill="FFFFFF"/>
              </w:rPr>
              <w:t>元</w:t>
            </w:r>
            <w:r>
              <w:rPr>
                <w:rFonts w:hint="eastAsia" w:asciiTheme="majorEastAsia" w:hAnsiTheme="majorEastAsia" w:eastAsiaTheme="majorEastAsia" w:cstheme="majorEastAsia"/>
                <w:color w:val="auto"/>
                <w:szCs w:val="21"/>
              </w:rPr>
              <w:t>，</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51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51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51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不允许    □</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51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仿宋_GB2312" w:asciiTheme="minorEastAsia" w:hAnsiTheme="minorEastAsia"/>
                <w:color w:val="auto"/>
                <w:szCs w:val="21"/>
              </w:rPr>
            </w:pPr>
            <w:r>
              <w:rPr>
                <w:rFonts w:hint="eastAsia" w:cs="仿宋_GB2312" w:asciiTheme="minorEastAsia" w:hAnsiTheme="minorEastAsia"/>
                <w:color w:val="auto"/>
                <w:szCs w:val="21"/>
              </w:rPr>
              <w:t>90日历天（自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518" w:type="dxa"/>
            <w:vAlign w:val="center"/>
          </w:tcPr>
          <w:p>
            <w:pPr>
              <w:autoSpaceDE w:val="0"/>
              <w:autoSpaceDN w:val="0"/>
              <w:adjustRightInd w:val="0"/>
              <w:spacing w:line="24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518" w:type="dxa"/>
            <w:vAlign w:val="center"/>
          </w:tcPr>
          <w:p>
            <w:pPr>
              <w:autoSpaceDE w:val="0"/>
              <w:autoSpaceDN w:val="0"/>
              <w:adjustRightInd w:val="0"/>
              <w:spacing w:line="24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宋体" w:asciiTheme="minorEastAsia" w:hAnsiTheme="minorEastAsia"/>
                <w:bCs/>
                <w:color w:val="auto"/>
                <w:szCs w:val="21"/>
                <w:lang w:val="en-US" w:eastAsia="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11</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 xml:space="preserve"> 1 </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  时 30</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宋体" w:asciiTheme="minorEastAsia" w:hAnsiTheme="minorEastAsia"/>
                <w:bCs/>
                <w:color w:val="auto"/>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 xml:space="preserve">  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518" w:type="dxa"/>
            <w:vAlign w:val="center"/>
          </w:tcPr>
          <w:p>
            <w:pPr>
              <w:autoSpaceDE w:val="0"/>
              <w:autoSpaceDN w:val="0"/>
              <w:adjustRightInd w:val="0"/>
              <w:spacing w:line="24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24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w:t>
            </w:r>
            <w:r>
              <w:rPr>
                <w:rFonts w:hint="eastAsia" w:cs="仿宋_GB2312" w:asciiTheme="minorEastAsia" w:hAnsiTheme="minorEastAsia"/>
                <w:color w:val="FF0000"/>
                <w:szCs w:val="21"/>
              </w:rPr>
              <w:t>源交易中心开标</w:t>
            </w:r>
            <w:r>
              <w:rPr>
                <w:rFonts w:hint="eastAsia" w:cs="仿宋_GB2312" w:asciiTheme="minorEastAsia" w:hAnsiTheme="minorEastAsia"/>
                <w:color w:val="FF0000"/>
                <w:szCs w:val="21"/>
                <w:u w:val="single"/>
                <w:lang w:val="en-US" w:eastAsia="zh-CN"/>
              </w:rPr>
              <w:t xml:space="preserve"> 二  </w:t>
            </w:r>
            <w:r>
              <w:rPr>
                <w:rFonts w:hint="eastAsia" w:cs="仿宋_GB2312" w:asciiTheme="minorEastAsia" w:hAnsiTheme="minorEastAsia"/>
                <w:color w:val="FF0000"/>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51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563" w:type="dxa"/>
            <w:vAlign w:val="center"/>
          </w:tcPr>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spacing w:line="380" w:lineRule="exact"/>
              <w:contextualSpacing/>
              <w:textAlignment w:val="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本项目不收取谈判保证金。</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spacing w:line="380" w:lineRule="exact"/>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518" w:type="dxa"/>
            <w:vAlign w:val="center"/>
          </w:tcPr>
          <w:p>
            <w:pPr>
              <w:autoSpaceDE w:val="0"/>
              <w:autoSpaceDN w:val="0"/>
              <w:adjustRightInd w:val="0"/>
              <w:spacing w:line="24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p>
            <w:pPr>
              <w:autoSpaceDE w:val="0"/>
              <w:autoSpaceDN w:val="0"/>
              <w:adjustRightInd w:val="0"/>
              <w:spacing w:line="240"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缴纳方式</w:t>
            </w:r>
          </w:p>
        </w:tc>
        <w:tc>
          <w:tcPr>
            <w:tcW w:w="6563" w:type="dxa"/>
            <w:vAlign w:val="center"/>
          </w:tcPr>
          <w:p>
            <w:pPr>
              <w:pStyle w:val="2"/>
              <w:keepNext w:val="0"/>
              <w:keepLines w:val="0"/>
              <w:pageBreakBefore w:val="0"/>
              <w:widowControl w:val="0"/>
              <w:kinsoku/>
              <w:wordWrap/>
              <w:overflowPunct/>
              <w:topLinePunct w:val="0"/>
              <w:bidi w:val="0"/>
              <w:snapToGrid/>
              <w:spacing w:line="380" w:lineRule="exact"/>
              <w:textAlignment w:val="auto"/>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51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563"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518" w:type="dxa"/>
            <w:vAlign w:val="center"/>
          </w:tcPr>
          <w:p>
            <w:pPr>
              <w:autoSpaceDE w:val="0"/>
              <w:autoSpaceDN w:val="0"/>
              <w:adjustRightInd w:val="0"/>
              <w:spacing w:line="24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24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518" w:type="dxa"/>
            <w:vAlign w:val="center"/>
          </w:tcPr>
          <w:p>
            <w:pPr>
              <w:autoSpaceDE w:val="0"/>
              <w:autoSpaceDN w:val="0"/>
              <w:adjustRightInd w:val="0"/>
              <w:spacing w:line="24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24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七</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51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szCs w:val="21"/>
                <w:lang w:eastAsia="zh-CN"/>
              </w:rPr>
              <w:instrText xml:space="preserve">,</w:instrText>
            </w:r>
            <w:r>
              <w:rPr>
                <w:rFonts w:hint="eastAsia" w:ascii="新宋体" w:hAnsi="新宋体" w:eastAsia="新宋体"/>
                <w:b/>
                <w:color w:val="auto"/>
                <w:position w:val="2"/>
                <w:sz w:val="13"/>
                <w:szCs w:val="21"/>
                <w:lang w:eastAsia="zh-CN"/>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51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szCs w:val="21"/>
                <w:lang w:eastAsia="zh-CN"/>
              </w:rPr>
              <w:instrText xml:space="preserve">,</w:instrText>
            </w:r>
            <w:r>
              <w:rPr>
                <w:rFonts w:hint="eastAsia" w:ascii="新宋体" w:hAnsi="新宋体" w:eastAsia="新宋体"/>
                <w:b/>
                <w:color w:val="auto"/>
                <w:position w:val="2"/>
                <w:sz w:val="13"/>
                <w:szCs w:val="21"/>
                <w:lang w:eastAsia="zh-CN"/>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51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r>
              <w:rPr>
                <w:rFonts w:hint="eastAsia" w:ascii="宋体" w:hAnsi="宋体" w:eastAsia="宋体" w:cs="宋体"/>
                <w:szCs w:val="21"/>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51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ascii="新宋体" w:hAnsi="新宋体" w:eastAsia="新宋体"/>
                <w:color w:val="auto"/>
                <w:szCs w:val="21"/>
              </w:rPr>
            </w:pPr>
            <w:r>
              <w:rPr>
                <w:rFonts w:hint="eastAsia"/>
                <w:color w:val="auto"/>
              </w:rPr>
              <w:t>质量和服务均能满足谈判文件实质性响应要求且最后</w:t>
            </w:r>
            <w:r>
              <w:rPr>
                <w:rFonts w:hint="eastAsia"/>
                <w:color w:val="auto"/>
                <w:lang w:eastAsia="zh-CN"/>
              </w:rPr>
              <w:t>报价</w:t>
            </w:r>
            <w:r>
              <w:rPr>
                <w:rFonts w:hint="eastAsia"/>
                <w:color w:val="auto"/>
              </w:rPr>
              <w:t>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51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51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70" w:lineRule="exact"/>
              <w:contextualSpacing/>
              <w:textAlignment w:val="auto"/>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keepNext w:val="0"/>
              <w:keepLines w:val="0"/>
              <w:pageBreakBefore w:val="0"/>
              <w:widowControl w:val="0"/>
              <w:kinsoku/>
              <w:wordWrap/>
              <w:overflowPunct/>
              <w:topLinePunct w:val="0"/>
              <w:autoSpaceDE w:val="0"/>
              <w:autoSpaceDN w:val="0"/>
              <w:bidi w:val="0"/>
              <w:adjustRightInd w:val="0"/>
              <w:snapToGrid/>
              <w:spacing w:line="370" w:lineRule="exact"/>
              <w:contextualSpacing/>
              <w:textAlignment w:val="auto"/>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keepNext w:val="0"/>
              <w:keepLines w:val="0"/>
              <w:pageBreakBefore w:val="0"/>
              <w:widowControl w:val="0"/>
              <w:kinsoku/>
              <w:wordWrap/>
              <w:overflowPunct/>
              <w:topLinePunct w:val="0"/>
              <w:autoSpaceDE w:val="0"/>
              <w:autoSpaceDN w:val="0"/>
              <w:bidi w:val="0"/>
              <w:adjustRightInd w:val="0"/>
              <w:snapToGrid/>
              <w:spacing w:line="370" w:lineRule="exact"/>
              <w:contextualSpacing/>
              <w:textAlignment w:val="auto"/>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w:t>
            </w:r>
            <w:r>
              <w:rPr>
                <w:rFonts w:hint="eastAsia" w:ascii="ˎ̥" w:hAnsi="ˎ̥"/>
                <w:color w:val="auto"/>
                <w:sz w:val="21"/>
                <w:szCs w:val="21"/>
              </w:rPr>
              <w:t>（工程项目为3%—5%）</w:t>
            </w:r>
            <w:r>
              <w:rPr>
                <w:rFonts w:hint="eastAsia" w:ascii="ˎ̥" w:hAnsi="ˎ̥"/>
                <w:color w:val="auto"/>
              </w:rPr>
              <w:t>的扣除，用扣除后的价格参与评审。</w:t>
            </w:r>
          </w:p>
          <w:p>
            <w:pPr>
              <w:keepNext w:val="0"/>
              <w:keepLines w:val="0"/>
              <w:pageBreakBefore w:val="0"/>
              <w:widowControl w:val="0"/>
              <w:kinsoku/>
              <w:wordWrap/>
              <w:overflowPunct/>
              <w:topLinePunct w:val="0"/>
              <w:bidi w:val="0"/>
              <w:snapToGrid/>
              <w:spacing w:line="370" w:lineRule="exact"/>
              <w:contextualSpacing/>
              <w:textAlignment w:val="auto"/>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spacing w:line="370" w:lineRule="exact"/>
              <w:contextualSpacing/>
              <w:textAlignment w:val="auto"/>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val="0"/>
              <w:autoSpaceDN w:val="0"/>
              <w:bidi w:val="0"/>
              <w:adjustRightInd w:val="0"/>
              <w:snapToGrid/>
              <w:spacing w:line="370" w:lineRule="exact"/>
              <w:contextualSpacing/>
              <w:textAlignment w:val="auto"/>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val="0"/>
              <w:autoSpaceDN w:val="0"/>
              <w:bidi w:val="0"/>
              <w:adjustRightInd w:val="0"/>
              <w:snapToGrid/>
              <w:spacing w:line="370" w:lineRule="exact"/>
              <w:contextualSpacing/>
              <w:textAlignment w:val="auto"/>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25</w:t>
            </w:r>
          </w:p>
        </w:tc>
        <w:tc>
          <w:tcPr>
            <w:tcW w:w="251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26</w:t>
            </w:r>
          </w:p>
        </w:tc>
        <w:tc>
          <w:tcPr>
            <w:tcW w:w="251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7</w:t>
            </w:r>
          </w:p>
        </w:tc>
        <w:tc>
          <w:tcPr>
            <w:tcW w:w="251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8</w:t>
            </w:r>
          </w:p>
        </w:tc>
        <w:tc>
          <w:tcPr>
            <w:tcW w:w="251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563" w:type="dxa"/>
            <w:vAlign w:val="center"/>
          </w:tcPr>
          <w:p>
            <w:pPr>
              <w:keepNext w:val="0"/>
              <w:keepLines w:val="0"/>
              <w:pageBreakBefore w:val="0"/>
              <w:widowControl w:val="0"/>
              <w:kinsoku/>
              <w:wordWrap/>
              <w:overflowPunct/>
              <w:topLinePunct w:val="0"/>
              <w:autoSpaceDE w:val="0"/>
              <w:autoSpaceDN w:val="0"/>
              <w:bidi w:val="0"/>
              <w:snapToGrid/>
              <w:spacing w:line="380" w:lineRule="exact"/>
              <w:contextualSpacing/>
              <w:textAlignment w:val="auto"/>
              <w:rPr>
                <w:rFonts w:cs="宋体" w:asciiTheme="minorEastAsia" w:hAnsiTheme="minorEastAsia"/>
                <w:bCs/>
                <w:color w:val="auto"/>
                <w:szCs w:val="21"/>
              </w:rPr>
            </w:pPr>
            <w:r>
              <w:rPr>
                <w:rFonts w:hint="eastAsia" w:ascii="宋体" w:hAnsi="宋体" w:eastAsia="宋体" w:cs="宋体"/>
                <w:bCs/>
                <w:szCs w:val="21"/>
                <w:lang w:val="zh-CN"/>
              </w:rPr>
              <w:t>参考《国家发展和改革委员会办公厅关于招标代理服务收费有关问题的通知》(发改价格[20</w:t>
            </w:r>
            <w:r>
              <w:rPr>
                <w:rFonts w:ascii="宋体" w:hAnsi="宋体" w:eastAsia="宋体" w:cs="宋体"/>
                <w:bCs/>
                <w:szCs w:val="21"/>
                <w:lang w:val="zh-CN"/>
              </w:rPr>
              <w:t>11</w:t>
            </w:r>
            <w:r>
              <w:rPr>
                <w:rFonts w:hint="eastAsia" w:ascii="宋体" w:hAnsi="宋体" w:eastAsia="宋体" w:cs="宋体"/>
                <w:bCs/>
                <w:szCs w:val="21"/>
                <w:lang w:val="zh-CN"/>
              </w:rPr>
              <w:t>]</w:t>
            </w:r>
            <w:r>
              <w:rPr>
                <w:rFonts w:ascii="宋体" w:hAnsi="宋体" w:eastAsia="宋体" w:cs="宋体"/>
                <w:bCs/>
                <w:szCs w:val="21"/>
                <w:lang w:val="zh-CN"/>
              </w:rPr>
              <w:t>534</w:t>
            </w:r>
            <w:r>
              <w:rPr>
                <w:rFonts w:hint="eastAsia" w:ascii="宋体" w:hAnsi="宋体" w:eastAsia="宋体" w:cs="宋体"/>
                <w:bCs/>
                <w:szCs w:val="21"/>
                <w:lang w:val="zh-CN"/>
              </w:rPr>
              <w:t>号)和国家计委关于《招标代理服务收费管理暂行办法》（计价格[2002]1980号）文件中招标代理服务收费标准计取，由成交供应商支付给采购代理机构。</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51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bCs/>
                <w:szCs w:val="21"/>
                <w:lang w:val="zh-CN" w:eastAsia="zh-CN"/>
              </w:rPr>
            </w:pPr>
            <w:r>
              <w:rPr>
                <w:rFonts w:hint="eastAsia" w:ascii="宋体" w:hAnsi="宋体" w:eastAsia="宋体" w:cs="宋体"/>
                <w:bCs/>
                <w:szCs w:val="21"/>
                <w:lang w:val="en-US" w:eastAsia="zh-CN"/>
              </w:rPr>
              <w:t>1.</w:t>
            </w:r>
            <w:r>
              <w:rPr>
                <w:rFonts w:hint="eastAsia" w:ascii="宋体" w:hAnsi="宋体" w:eastAsia="宋体" w:cs="宋体"/>
                <w:bCs/>
                <w:szCs w:val="21"/>
                <w:lang w:val="zh-CN" w:eastAsia="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pStyle w:val="8"/>
              <w:keepNext w:val="0"/>
              <w:keepLines w:val="0"/>
              <w:pageBreakBefore w:val="0"/>
              <w:widowControl w:val="0"/>
              <w:kinsoku/>
              <w:wordWrap/>
              <w:overflowPunct/>
              <w:topLinePunct w:val="0"/>
              <w:bidi w:val="0"/>
              <w:snapToGrid/>
              <w:spacing w:line="380" w:lineRule="exact"/>
              <w:ind w:left="0" w:leftChars="0" w:firstLine="0" w:firstLineChars="0"/>
              <w:textAlignment w:val="auto"/>
              <w:rPr>
                <w:rFonts w:hint="eastAsia" w:ascii="宋体" w:hAnsi="宋体" w:eastAsia="宋体" w:cs="宋体"/>
                <w:bCs/>
                <w:szCs w:val="21"/>
                <w:lang w:val="zh-CN"/>
              </w:rPr>
            </w:pPr>
            <w:r>
              <w:rPr>
                <w:rFonts w:hint="eastAsia" w:cs="宋体" w:asciiTheme="minorEastAsia" w:hAnsiTheme="minorEastAsia"/>
                <w:color w:val="auto"/>
                <w:szCs w:val="21"/>
                <w:lang w:val="en-US" w:eastAsia="zh-CN"/>
              </w:rPr>
              <w:t>2.</w:t>
            </w:r>
            <w:r>
              <w:rPr>
                <w:rFonts w:hint="eastAsia" w:cs="宋体" w:asciiTheme="minorEastAsia" w:hAnsiTheme="minorEastAsia"/>
                <w:color w:val="auto"/>
                <w:szCs w:val="21"/>
                <w:lang w:val="zh-CN"/>
              </w:rPr>
              <w:t>中标人在接到中标通知时，须向代理机构发送投标及分项一览表（包含主要中标标的的名称、规格型号、数量、单价、服务要求等）电子文档，</w:t>
            </w:r>
            <w:r>
              <w:rPr>
                <w:rFonts w:hint="eastAsia" w:ascii="宋体" w:hAnsi="宋体" w:eastAsia="宋体" w:cs="宋体"/>
                <w:bCs/>
                <w:szCs w:val="21"/>
                <w:lang w:val="zh-CN"/>
              </w:rPr>
              <w:t>并同时电话告知代理机构。</w:t>
            </w:r>
          </w:p>
          <w:p>
            <w:pPr>
              <w:pStyle w:val="8"/>
              <w:keepNext w:val="0"/>
              <w:keepLines w:val="0"/>
              <w:pageBreakBefore w:val="0"/>
              <w:widowControl w:val="0"/>
              <w:kinsoku/>
              <w:wordWrap/>
              <w:overflowPunct/>
              <w:topLinePunct w:val="0"/>
              <w:bidi w:val="0"/>
              <w:snapToGrid/>
              <w:spacing w:line="380" w:lineRule="exact"/>
              <w:ind w:left="0" w:leftChars="0" w:firstLine="0" w:firstLineChars="0"/>
              <w:textAlignment w:val="auto"/>
              <w:rPr>
                <w:rFonts w:hint="eastAsia" w:eastAsia="宋体" w:cs="宋体" w:asciiTheme="minorEastAsia" w:hAnsiTheme="minorEastAsia"/>
                <w:bCs/>
                <w:color w:val="auto"/>
                <w:kern w:val="2"/>
                <w:sz w:val="21"/>
                <w:szCs w:val="21"/>
                <w:lang w:val="zh-CN" w:eastAsia="zh-CN" w:bidi="ar-SA"/>
              </w:rPr>
            </w:pPr>
            <w:r>
              <w:rPr>
                <w:rFonts w:hint="eastAsia" w:cs="宋体" w:asciiTheme="minorEastAsia" w:hAnsiTheme="minorEastAsia"/>
                <w:color w:val="auto"/>
                <w:szCs w:val="21"/>
                <w:lang w:val="zh-CN"/>
              </w:rPr>
              <w:t>联系电话：</w:t>
            </w:r>
            <w:r>
              <w:rPr>
                <w:rFonts w:hint="eastAsia"/>
                <w:color w:val="auto"/>
                <w:lang w:val="en-US" w:eastAsia="zh-CN"/>
              </w:rPr>
              <w:t>0374-7397667</w:t>
            </w:r>
            <w:r>
              <w:rPr>
                <w:rFonts w:hint="eastAsia" w:cs="宋体" w:asciiTheme="minorEastAsia" w:hAnsiTheme="minorEastAsia"/>
                <w:color w:val="auto"/>
                <w:szCs w:val="21"/>
                <w:lang w:val="zh-CN"/>
              </w:rPr>
              <w:t>，邮箱：</w:t>
            </w:r>
            <w:r>
              <w:rPr>
                <w:rFonts w:hint="eastAsia" w:cs="宋体" w:asciiTheme="minorEastAsia" w:hAnsiTheme="minorEastAsia"/>
                <w:color w:val="auto"/>
                <w:szCs w:val="21"/>
                <w:lang w:val="en-US" w:eastAsia="zh-CN"/>
              </w:rPr>
              <w:t>2350642745</w:t>
            </w:r>
            <w:r>
              <w:rPr>
                <w:rFonts w:hint="eastAsia" w:cs="宋体" w:asciiTheme="minorEastAsia" w:hAnsiTheme="minorEastAsia"/>
                <w:color w:val="auto"/>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51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51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806"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518"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color w:val="auto"/>
                <w:lang w:val="zh-CN"/>
              </w:rPr>
            </w:pPr>
            <w:r>
              <w:rPr>
                <w:rFonts w:hint="eastAsia"/>
                <w:color w:val="auto"/>
                <w:lang w:val="zh-CN"/>
              </w:rPr>
              <w:t>最后报价</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rPr>
            </w:pPr>
            <w:r>
              <w:rPr>
                <w:rFonts w:hint="eastAsia"/>
                <w:color w:val="auto"/>
              </w:rPr>
              <w:t>根据谈判小组要求，供应商须使用CA数字证书登录《全国公共资源交易平台(河南省▪许昌市)》公共资源交易系统（http://ggzy.xuchang.gov.cn:8088/ggzy/）进行最后</w:t>
            </w:r>
            <w:r>
              <w:rPr>
                <w:rFonts w:hint="eastAsia"/>
                <w:color w:val="auto"/>
                <w:lang w:eastAsia="zh-CN"/>
              </w:rPr>
              <w:t>报价</w:t>
            </w:r>
            <w:r>
              <w:rPr>
                <w:rFonts w:hint="eastAsia"/>
                <w:color w:val="auto"/>
              </w:rPr>
              <w:t>，最后</w:t>
            </w:r>
            <w:r>
              <w:rPr>
                <w:rFonts w:hint="eastAsia"/>
                <w:color w:val="auto"/>
                <w:lang w:eastAsia="zh-CN"/>
              </w:rPr>
              <w:t>报价</w:t>
            </w:r>
            <w:r>
              <w:rPr>
                <w:rFonts w:hint="eastAsia"/>
                <w:color w:val="auto"/>
              </w:rPr>
              <w:t>应包括：①总</w:t>
            </w:r>
            <w:r>
              <w:rPr>
                <w:rFonts w:hint="eastAsia"/>
                <w:color w:val="auto"/>
                <w:lang w:eastAsia="zh-CN"/>
              </w:rPr>
              <w:t>报价</w:t>
            </w:r>
            <w:r>
              <w:rPr>
                <w:rFonts w:hint="eastAsia"/>
                <w:color w:val="auto"/>
              </w:rPr>
              <w:t>②分项</w:t>
            </w:r>
            <w:r>
              <w:rPr>
                <w:rFonts w:hint="eastAsia"/>
                <w:color w:val="auto"/>
                <w:lang w:eastAsia="zh-CN"/>
              </w:rPr>
              <w:t>报价</w:t>
            </w:r>
            <w:r>
              <w:rPr>
                <w:rFonts w:hint="eastAsia"/>
                <w:color w:val="auto"/>
              </w:rPr>
              <w:t>。</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lang w:val="zh-CN"/>
              </w:rPr>
            </w:pPr>
            <w:r>
              <w:rPr>
                <w:rFonts w:hint="eastAsia"/>
                <w:color w:val="auto"/>
                <w:lang w:val="zh-CN"/>
              </w:rPr>
              <w:t>注：</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lang w:eastAsia="zh-CN"/>
              </w:rPr>
            </w:pPr>
            <w:r>
              <w:rPr>
                <w:rFonts w:hint="eastAsia"/>
                <w:color w:val="auto"/>
              </w:rPr>
              <w:t>①最后</w:t>
            </w:r>
            <w:r>
              <w:rPr>
                <w:rFonts w:hint="eastAsia"/>
                <w:color w:val="auto"/>
                <w:lang w:eastAsia="zh-CN"/>
              </w:rPr>
              <w:t>报价</w:t>
            </w:r>
            <w:r>
              <w:rPr>
                <w:rFonts w:hint="eastAsia"/>
                <w:color w:val="auto"/>
              </w:rPr>
              <w:t>（加盖公章，由法定代表人</w:t>
            </w:r>
            <w:r>
              <w:rPr>
                <w:rFonts w:hint="eastAsia"/>
                <w:color w:val="auto"/>
                <w:lang w:eastAsia="zh-CN"/>
              </w:rPr>
              <w:t>和</w:t>
            </w:r>
            <w:r>
              <w:rPr>
                <w:rFonts w:hint="eastAsia"/>
                <w:color w:val="auto"/>
              </w:rPr>
              <w:t>其授权的代表签字）</w:t>
            </w:r>
            <w:r>
              <w:rPr>
                <w:rFonts w:hint="eastAsia"/>
                <w:color w:val="auto"/>
                <w:lang w:eastAsia="zh-CN"/>
              </w:rPr>
              <w:t>。</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rPr>
            </w:pPr>
            <w:r>
              <w:rPr>
                <w:rFonts w:hint="eastAsia"/>
                <w:color w:val="auto"/>
              </w:rPr>
              <w:t>②谈判小组要求供应商提交最后</w:t>
            </w:r>
            <w:r>
              <w:rPr>
                <w:rFonts w:hint="eastAsia"/>
                <w:color w:val="auto"/>
                <w:lang w:eastAsia="zh-CN"/>
              </w:rPr>
              <w:t>报价</w:t>
            </w:r>
            <w:r>
              <w:rPr>
                <w:rFonts w:hint="eastAsia"/>
                <w:color w:val="auto"/>
              </w:rPr>
              <w:t>时，</w:t>
            </w:r>
            <w:r>
              <w:rPr>
                <w:rFonts w:hint="eastAsia"/>
                <w:color w:val="auto"/>
                <w:lang w:val="zh-CN"/>
              </w:rPr>
              <w:t>在谈判小组规定时间内，供应商未提交最后报价则以其初次提交响应文件为最后报价。</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rPr>
            </w:pPr>
            <w:r>
              <w:rPr>
                <w:rFonts w:hint="eastAsia"/>
                <w:color w:val="auto"/>
              </w:rPr>
              <w:t>③采购文件第二章“采购需求”中“采购清单”以工程量清单提供的，供应商应以</w:t>
            </w:r>
            <w:r>
              <w:rPr>
                <w:rFonts w:hint="eastAsia"/>
                <w:color w:val="auto"/>
                <w:lang w:eastAsia="zh-CN"/>
              </w:rPr>
              <w:t>已标价</w:t>
            </w:r>
            <w:r>
              <w:rPr>
                <w:rFonts w:hint="eastAsia"/>
                <w:color w:val="auto"/>
              </w:rPr>
              <w:t>工程量清单方式提交最后</w:t>
            </w:r>
            <w:r>
              <w:rPr>
                <w:rFonts w:hint="eastAsia"/>
                <w:color w:val="auto"/>
                <w:lang w:eastAsia="zh-CN"/>
              </w:rPr>
              <w:t>报价</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806"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33</w:t>
            </w:r>
          </w:p>
        </w:tc>
        <w:tc>
          <w:tcPr>
            <w:tcW w:w="2518"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563"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ˎ̥" w:hAnsi="ˎ̥"/>
                <w:color w:val="auto"/>
              </w:rPr>
            </w:pPr>
            <w:r>
              <w:rPr>
                <w:rFonts w:hint="eastAsia" w:ascii="ˎ̥" w:hAnsi="ˎ̥"/>
                <w:color w:val="auto"/>
              </w:rPr>
              <w:t>1、按照《关于推进全流程电子化交易和在线监管工作有关问题的通知》（许公管办[2019]3号）规定：</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ˎ̥" w:hAnsi="ˎ̥"/>
                <w:color w:val="auto"/>
              </w:rPr>
            </w:pPr>
            <w:r>
              <w:rPr>
                <w:rFonts w:hint="eastAsia" w:ascii="ˎ̥" w:hAnsi="ˎ̥"/>
                <w:color w:val="auto"/>
              </w:rPr>
              <w:t>2、项目编号以本谈判文件中的采购编号为准。</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hint="eastAsia" w:asciiTheme="minorEastAsia" w:hAnsiTheme="minorEastAsia" w:cstheme="minorEastAsia"/>
                <w:color w:val="auto"/>
                <w:szCs w:val="21"/>
              </w:rPr>
            </w:pPr>
            <w:r>
              <w:rPr>
                <w:rFonts w:hint="eastAsia" w:ascii="ˎ̥" w:hAnsi="ˎ̥"/>
                <w:color w:val="auto"/>
              </w:rPr>
              <w:t>3、谈判文件第八章响应文件有关格式的先后顺序不做无效响应。</w:t>
            </w:r>
          </w:p>
        </w:tc>
      </w:tr>
    </w:tbl>
    <w:p>
      <w:pPr>
        <w:keepNext w:val="0"/>
        <w:keepLines w:val="0"/>
        <w:pageBreakBefore w:val="0"/>
        <w:widowControl w:val="0"/>
        <w:kinsoku/>
        <w:wordWrap/>
        <w:overflowPunct/>
        <w:topLinePunct w:val="0"/>
        <w:bidi w:val="0"/>
        <w:snapToGrid/>
        <w:spacing w:line="380" w:lineRule="exact"/>
        <w:textAlignment w:val="auto"/>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424" w:leftChars="-202" w:firstLine="424" w:firstLineChars="201"/>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ascii="宋体" w:hAnsi="宋体"/>
          <w:color w:val="auto"/>
          <w:szCs w:val="21"/>
        </w:rPr>
        <w:t>2.5“甲方”系指采购人。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keepNext w:val="0"/>
        <w:keepLines w:val="0"/>
        <w:pageBreakBefore w:val="0"/>
        <w:widowControl w:val="0"/>
        <w:kinsoku/>
        <w:wordWrap/>
        <w:overflowPunct/>
        <w:topLinePunct w:val="0"/>
        <w:autoSpaceDE w:val="0"/>
        <w:autoSpaceDN w:val="0"/>
        <w:bidi w:val="0"/>
        <w:adjustRightInd/>
        <w:snapToGrid/>
        <w:spacing w:line="400" w:lineRule="exact"/>
        <w:ind w:left="1415" w:leftChars="199" w:hanging="997" w:hangingChars="475"/>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3"/>
          <w:rFonts w:cs="宋体" w:asciiTheme="minorEastAsia" w:hAnsiTheme="minorEastAsia"/>
          <w:color w:val="auto"/>
          <w:kern w:val="0"/>
          <w:szCs w:val="21"/>
        </w:rPr>
        <w:t>www.chinanpo.gov.cn</w:t>
      </w:r>
      <w:r>
        <w:rPr>
          <w:rStyle w:val="33"/>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3.3.5供应商不良信用记录以谈判小组查询结果为准，谈判小组查询之后，网站信息发生的任何变更不再作为评审依据，供应商自行提供的与网站信息不一致的其他证明材料亦不作为评审依据。</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.1在响应文件中向采购人提交联合体协议书，明确联合体各方承担的工作和义务；</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olor w:val="auto"/>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3.7成交单位对项目实施过程中的一切安全问题负责，对此作出承诺，否则按无效标处理。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法律、行政法规规定的其他条件。</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r>
        <w:rPr>
          <w:rFonts w:hint="eastAsia" w:cs="宋体" w:asciiTheme="minorEastAsia" w:hAnsiTheme="minorEastAsia"/>
          <w:color w:val="auto"/>
          <w:kern w:val="0"/>
          <w:szCs w:val="21"/>
          <w:lang w:eastAsia="zh-CN"/>
        </w:rPr>
        <w:t>工程项目类施工所需机械设备必须执行国家及地方非道路移动机械污染防治相关政策规定，</w:t>
      </w:r>
      <w:r>
        <w:rPr>
          <w:rFonts w:hint="eastAsia" w:cs="宋体" w:asciiTheme="minorEastAsia" w:hAnsiTheme="minorEastAsia"/>
          <w:color w:val="auto"/>
          <w:kern w:val="0"/>
          <w:szCs w:val="21"/>
          <w:lang w:val="en-US" w:eastAsia="zh-CN"/>
        </w:rPr>
        <w:t>对此作出承诺，否则按无效标处理。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2" w:name="baidusnap0"/>
      <w:bookmarkEnd w:id="2"/>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4.6成交单位由于自身原因造成项目延期交付使用，造成采购人损失由成交单位承担，对此作出承诺，否则按无效标处理。</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400" w:lineRule="exact"/>
        <w:contextualSpacing/>
        <w:jc w:val="center"/>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的资料。一经成交，不得以不完全了解项目要求、项目情况等为借口而提出额外补偿等要求，否则，由此引起的一切后果由成交供应商负责。</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河南省政府采购网》、《全国公共资源交易平台（河南省·许昌市）》发布更正公告。</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keepNext w:val="0"/>
        <w:keepLines w:val="0"/>
        <w:pageBreakBefore w:val="0"/>
        <w:widowControl w:val="0"/>
        <w:tabs>
          <w:tab w:val="left" w:pos="1260"/>
        </w:tabs>
        <w:kinsoku/>
        <w:wordWrap/>
        <w:overflowPunct/>
        <w:topLinePunct w:val="0"/>
        <w:autoSpaceDE w:val="0"/>
        <w:autoSpaceDN w:val="0"/>
        <w:bidi w:val="0"/>
        <w:adjustRightInd/>
        <w:snapToGrid/>
        <w:spacing w:line="400" w:lineRule="exact"/>
        <w:contextualSpacing/>
        <w:jc w:val="center"/>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hint="eastAsia" w:cs="宋体" w:asciiTheme="minorEastAsia" w:hAnsiTheme="minorEastAsia" w:eastAsiaTheme="minorEastAsia"/>
          <w:b/>
          <w:color w:val="auto"/>
          <w:kern w:val="0"/>
          <w:szCs w:val="21"/>
          <w:lang w:eastAsia="zh-CN"/>
        </w:rPr>
      </w:pPr>
      <w:r>
        <w:rPr>
          <w:rFonts w:hint="eastAsia" w:cs="宋体" w:asciiTheme="minorEastAsia" w:hAnsiTheme="minorEastAsia"/>
          <w:b/>
          <w:color w:val="auto"/>
          <w:kern w:val="0"/>
          <w:szCs w:val="21"/>
        </w:rPr>
        <w:t>12 .</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12.1本次谈判项目的均以人民币为计算单位。</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，少报漏报将导致其响应为非实质性响应予以拒绝。</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响应应是履行合同的最终价格，除“采购需求”中另有说明外，响应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的机会。</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12.5本项目所涉及的运输、施工、安装、集成、调试、验收、备品和工具等费用均包含在响应中。</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12.6不得高于本项目预算金额，且不低于成本价。供应商的响应高于预算金额（项目控制金额上限）的，该供应商的响应文件将被视为非实质性响应予以拒绝。</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12.7最低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不能做为成交的保证。</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无效。</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13.2采购人可根据实际情况，在原有效期截止之前，征询供应商是否同意延长响应文件的有效期，供应商同意延长的须作出书面答复。在延长的有效期内，供应商将不会被要求和允许修正其。</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14.5</w:t>
      </w: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电子响应文件制作技术咨询：0374-2961598。</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keepNext w:val="0"/>
        <w:keepLines w:val="0"/>
        <w:pageBreakBefore w:val="0"/>
        <w:widowControl w:val="0"/>
        <w:tabs>
          <w:tab w:val="left" w:pos="1260"/>
        </w:tabs>
        <w:kinsoku/>
        <w:wordWrap/>
        <w:overflowPunct/>
        <w:topLinePunct w:val="0"/>
        <w:autoSpaceDE w:val="0"/>
        <w:autoSpaceDN w:val="0"/>
        <w:bidi w:val="0"/>
        <w:adjustRightInd/>
        <w:snapToGrid/>
        <w:spacing w:line="400" w:lineRule="exact"/>
        <w:contextualSpacing/>
        <w:jc w:val="center"/>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 xml:space="preserve">18.1 </w:t>
      </w:r>
      <w:r>
        <w:rPr>
          <w:rFonts w:hint="eastAsia" w:cs="宋体" w:asciiTheme="minorEastAsia" w:hAnsiTheme="minorEastAsia"/>
          <w:b w:val="0"/>
          <w:bCs/>
          <w:color w:val="auto"/>
          <w:kern w:val="0"/>
          <w:szCs w:val="21"/>
        </w:rPr>
        <w:t>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 xml:space="preserve">18.2 </w:t>
      </w:r>
      <w:r>
        <w:rPr>
          <w:rFonts w:hint="eastAsia" w:cs="宋体" w:asciiTheme="minorEastAsia" w:hAnsiTheme="minorEastAsia"/>
          <w:b w:val="0"/>
          <w:bCs/>
          <w:color w:val="auto"/>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color w:val="auto"/>
          <w:kern w:val="0"/>
          <w:szCs w:val="21"/>
        </w:rPr>
      </w:pPr>
      <w:r>
        <w:rPr>
          <w:rFonts w:hint="eastAsia" w:cs="微软雅黑"/>
          <w:color w:val="auto"/>
        </w:rPr>
        <w:t>在提交截止时间以后</w:t>
      </w:r>
      <w:r>
        <w:rPr>
          <w:rFonts w:hint="eastAsia" w:cs="微软雅黑"/>
          <w:color w:val="auto"/>
          <w:lang w:eastAsia="zh-CN"/>
        </w:rPr>
        <w:t>上传提交</w:t>
      </w:r>
      <w:r>
        <w:rPr>
          <w:rFonts w:hint="eastAsia" w:cs="微软雅黑"/>
          <w:color w:val="auto"/>
        </w:rPr>
        <w:t>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20.1</w:t>
      </w:r>
      <w:r>
        <w:rPr>
          <w:rFonts w:hint="eastAsia" w:cs="宋体" w:asciiTheme="minorEastAsia" w:hAnsiTheme="minorEastAsia"/>
          <w:color w:val="auto"/>
          <w:kern w:val="0"/>
          <w:szCs w:val="21"/>
        </w:rPr>
        <w:t>供应商应当在谈判响应截止时间前完成电子响应文件的提交，可以补充、修改或撤回。谈判</w:t>
      </w:r>
      <w:r>
        <w:rPr>
          <w:rFonts w:hint="eastAsia" w:cs="宋体" w:asciiTheme="minorEastAsia" w:hAnsiTheme="minorEastAsia"/>
          <w:color w:val="auto"/>
          <w:kern w:val="0"/>
          <w:szCs w:val="21"/>
          <w:lang w:eastAsia="zh-CN"/>
        </w:rPr>
        <w:t>响</w:t>
      </w:r>
      <w:r>
        <w:rPr>
          <w:rFonts w:hint="eastAsia" w:cs="宋体" w:asciiTheme="minorEastAsia" w:hAnsiTheme="minorEastAsia"/>
          <w:color w:val="auto"/>
          <w:kern w:val="0"/>
          <w:szCs w:val="21"/>
        </w:rPr>
        <w:t>应截止时间前未完成电子响应文件提交的，视为撤回响应文件。</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420" w:leftChars="200" w:firstLine="0" w:firstLineChars="0"/>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20.2</w:t>
      </w:r>
      <w:r>
        <w:rPr>
          <w:rFonts w:hint="eastAsia" w:cs="宋体" w:asciiTheme="minorEastAsia" w:hAnsiTheme="minorEastAsia"/>
          <w:color w:val="auto"/>
          <w:kern w:val="0"/>
          <w:szCs w:val="21"/>
        </w:rPr>
        <w:t>响供应商补充、修改的内容并作为响应文件的组成部分。补充或修改应当按谈判文件要</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求签署、盖章、提交，并应注明“修改”或“补充”字样。</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20.3</w:t>
      </w:r>
      <w:r>
        <w:rPr>
          <w:rFonts w:hint="eastAsia" w:cs="宋体" w:asciiTheme="minorEastAsia" w:hAnsiTheme="minorEastAsia"/>
          <w:color w:val="auto"/>
          <w:kern w:val="0"/>
          <w:szCs w:val="21"/>
        </w:rPr>
        <w:t>供应商不得在响应有效期内撤销响应文件，否则供应商将承担违背响应承诺函的责任追究。</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w:t>
      </w:r>
      <w:r>
        <w:rPr>
          <w:rFonts w:hint="eastAsia" w:cs="宋体" w:asciiTheme="minorEastAsia" w:hAnsiTheme="minorEastAsia"/>
          <w:b/>
          <w:color w:val="auto"/>
          <w:kern w:val="0"/>
          <w:szCs w:val="21"/>
          <w:lang w:eastAsia="zh-CN"/>
        </w:rPr>
        <w:t>电子</w:t>
      </w:r>
      <w:r>
        <w:rPr>
          <w:rFonts w:hint="eastAsia" w:cs="宋体" w:asciiTheme="minorEastAsia" w:hAnsiTheme="minorEastAsia"/>
          <w:b/>
          <w:color w:val="auto"/>
          <w:kern w:val="0"/>
          <w:szCs w:val="21"/>
        </w:rPr>
        <w:t>响应文件不予退还。</w:t>
      </w:r>
    </w:p>
    <w:p>
      <w:pPr>
        <w:keepNext w:val="0"/>
        <w:keepLines w:val="0"/>
        <w:pageBreakBefore w:val="0"/>
        <w:widowControl w:val="0"/>
        <w:tabs>
          <w:tab w:val="left" w:pos="1260"/>
        </w:tabs>
        <w:kinsoku/>
        <w:wordWrap/>
        <w:overflowPunct/>
        <w:topLinePunct w:val="0"/>
        <w:autoSpaceDE w:val="0"/>
        <w:autoSpaceDN w:val="0"/>
        <w:bidi w:val="0"/>
        <w:adjustRightInd/>
        <w:snapToGrid/>
        <w:spacing w:line="400" w:lineRule="exact"/>
        <w:contextualSpacing/>
        <w:jc w:val="center"/>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22.</w:t>
      </w:r>
      <w:r>
        <w:rPr>
          <w:rFonts w:hint="eastAsia" w:cs="宋体" w:asciiTheme="minorEastAsia" w:hAnsiTheme="minorEastAsia"/>
          <w:b/>
          <w:color w:val="auto"/>
          <w:kern w:val="0"/>
          <w:szCs w:val="21"/>
        </w:rPr>
        <w:t>响应文件解密</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仿宋_GB2312" w:asciiTheme="minorEastAsia" w:hAnsiTheme="minorEastAsia"/>
          <w:color w:val="auto"/>
          <w:szCs w:val="21"/>
          <w:lang w:val="en-US" w:eastAsia="zh-CN"/>
        </w:rPr>
        <w:t>22.2</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22.2.1</w:t>
      </w: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22.2.2</w:t>
      </w:r>
      <w:r>
        <w:rPr>
          <w:rFonts w:hint="eastAsia" w:cs="宋体" w:asciiTheme="minorEastAsia" w:hAnsiTheme="minorEastAsia"/>
          <w:color w:val="auto"/>
          <w:kern w:val="0"/>
          <w:szCs w:val="21"/>
        </w:rPr>
        <w:t>供应商解密：供应商使用本单位CA数字证书进行远程解密。</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22.2.3</w:t>
      </w:r>
      <w:r>
        <w:rPr>
          <w:rFonts w:hint="eastAsia" w:cs="宋体" w:asciiTheme="minorEastAsia" w:hAnsiTheme="minorEastAsia"/>
          <w:color w:val="auto"/>
          <w:kern w:val="0"/>
          <w:szCs w:val="21"/>
        </w:rPr>
        <w:t>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asciiTheme="minorEastAsia" w:hAnsiTheme="minorEastAsia"/>
          <w:color w:val="auto"/>
          <w:szCs w:val="21"/>
          <w:lang w:val="en-US" w:eastAsia="zh-CN"/>
        </w:rPr>
        <w:t>22.2.4</w:t>
      </w: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响应文件解密过程由采购代理机构负责记录。</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asciiTheme="minorEastAsia" w:hAnsiTheme="minorEastAsia"/>
          <w:color w:val="auto"/>
          <w:szCs w:val="21"/>
          <w:lang w:val="en-US" w:eastAsia="zh-CN"/>
        </w:rPr>
        <w:t>22.6</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23 .谈判小组组成</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23.1.1</w:t>
      </w:r>
      <w:r>
        <w:rPr>
          <w:rFonts w:hint="eastAsia" w:cs="宋体" w:asciiTheme="minorEastAsia" w:hAnsiTheme="minorEastAsia"/>
          <w:color w:val="auto"/>
          <w:kern w:val="0"/>
          <w:szCs w:val="21"/>
        </w:rPr>
        <w:t>达到公开招标数额标准的货物或者服务采购项目，或者达到招标规模标准的政府采购工程，竞争性谈判小组应当由5人以上单数组成。</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23.1.2</w:t>
      </w:r>
      <w:r>
        <w:rPr>
          <w:rFonts w:hint="eastAsia" w:cs="宋体" w:asciiTheme="minorEastAsia" w:hAnsiTheme="minorEastAsia"/>
          <w:color w:val="auto"/>
          <w:kern w:val="0"/>
          <w:szCs w:val="21"/>
        </w:rPr>
        <w:t>采购项目符合下列情形之一的，评标委员会成员人数应当为7人以上单数：</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采购预算金额在1000万元以上； 技术复杂；社会影响较大。</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23.2采购</w:t>
      </w:r>
      <w:r>
        <w:rPr>
          <w:rFonts w:ascii="ˎ̥" w:hAnsi="ˎ̥"/>
          <w:color w:val="auto"/>
        </w:rPr>
        <w:t>人不得以评审专家身份参加本部门或本单位采购项目的评审</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ascii="ˎ̥" w:hAnsi="ˎ̥"/>
          <w:color w:val="auto"/>
        </w:rPr>
      </w:pPr>
      <w:r>
        <w:rPr>
          <w:rFonts w:hint="eastAsia" w:cs="宋体" w:asciiTheme="minorEastAsia" w:hAnsiTheme="minorEastAsia"/>
          <w:color w:val="auto"/>
          <w:kern w:val="0"/>
          <w:szCs w:val="21"/>
        </w:rPr>
        <w:t>23.3.3与供</w:t>
      </w:r>
      <w:r>
        <w:rPr>
          <w:rFonts w:hint="eastAsia" w:ascii="ˎ̥" w:hAnsi="ˎ̥"/>
          <w:color w:val="auto"/>
        </w:rPr>
        <w:t>应商有其他可能影响政府采购活动公平、公正进行的关系。</w:t>
      </w:r>
    </w:p>
    <w:p>
      <w:pPr>
        <w:pStyle w:val="55"/>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24 .资格审查和符合性审查</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422"/>
        <w:contextualSpacing/>
        <w:textAlignment w:val="auto"/>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5"/>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1"/>
          <w:numId w:val="7"/>
        </w:numPr>
        <w:kinsoku/>
        <w:wordWrap/>
        <w:overflowPunct/>
        <w:topLinePunct w:val="0"/>
        <w:autoSpaceDE w:val="0"/>
        <w:autoSpaceDN w:val="0"/>
        <w:bidi w:val="0"/>
        <w:adjustRightInd/>
        <w:snapToGrid/>
        <w:spacing w:line="400" w:lineRule="exact"/>
        <w:ind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25 .响应文件的澄清</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26 .响应文件出现前后不一致的修正</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按照“供应商须知”25.2规定经供应商确认后产生约束力，供应商不确认的，为无效。</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27 .响应无效情形</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kinsoku/>
        <w:wordWrap/>
        <w:overflowPunct/>
        <w:topLinePunct w:val="0"/>
        <w:autoSpaceDE w:val="0"/>
        <w:autoSpaceDN w:val="0"/>
        <w:bidi w:val="0"/>
        <w:adjustRightInd/>
        <w:snapToGrid/>
        <w:spacing w:line="400" w:lineRule="exact"/>
        <w:ind w:left="3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27.1.1未按照谈判文件的规定提交响应承诺函的；</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3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3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3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27.1.4超过谈判文件中规定的预算金额的；</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3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3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27.2.4不同供应商的响应文件异常一致或者投标呈规律性差异；</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28 .响应文件评审与谈判</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28.2谈</w:t>
      </w:r>
      <w:r>
        <w:rPr>
          <w:rFonts w:ascii="ˎ̥" w:hAnsi="ˎ̥"/>
          <w:color w:val="auto"/>
        </w:rPr>
        <w:t>判小组所有成员应当集中与单一供应商分别进行谈判，并给予所有参加谈判的供应商平等的谈判机会</w:t>
      </w:r>
      <w:r>
        <w:rPr>
          <w:rFonts w:hint="eastAsia" w:ascii="ˎ̥" w:hAnsi="ˎ̥"/>
          <w:color w:val="auto"/>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28.3在谈判</w:t>
      </w:r>
      <w:r>
        <w:rPr>
          <w:rFonts w:hint="eastAsia" w:cs="微软雅黑"/>
          <w:color w:val="auto"/>
        </w:rPr>
        <w:t>中，谈判的任何一方不得透露与谈判有关的其他供应商的技术资料、价格和其他信息。</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ascii="宋体" w:hAnsi="宋体" w:eastAsia="宋体" w:cs="宋体"/>
          <w:kern w:val="0"/>
          <w:szCs w:val="21"/>
        </w:rPr>
      </w:pPr>
      <w:r>
        <w:rPr>
          <w:rFonts w:hint="eastAsia" w:cs="宋体" w:asciiTheme="minorEastAsia" w:hAnsiTheme="minorEastAsia"/>
          <w:color w:val="auto"/>
          <w:kern w:val="0"/>
          <w:szCs w:val="21"/>
        </w:rPr>
        <w:t>28.6</w:t>
      </w:r>
      <w:r>
        <w:rPr>
          <w:rFonts w:hint="eastAsia" w:ascii="宋体" w:hAnsi="宋体" w:eastAsia="宋体" w:cs="宋体"/>
          <w:kern w:val="0"/>
          <w:szCs w:val="21"/>
        </w:rPr>
        <w:t>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5"/>
        <w:keepNext w:val="0"/>
        <w:keepLines w:val="0"/>
        <w:pageBreakBefore w:val="0"/>
        <w:widowControl w:val="0"/>
        <w:kinsoku/>
        <w:wordWrap/>
        <w:overflowPunct/>
        <w:topLinePunct w:val="0"/>
        <w:autoSpaceDE w:val="0"/>
        <w:autoSpaceDN w:val="0"/>
        <w:bidi w:val="0"/>
        <w:adjustRightInd/>
        <w:snapToGrid/>
        <w:spacing w:line="400" w:lineRule="exact"/>
        <w:ind w:left="0"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28.7最后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是供应商响应文件的有效组成部分。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之前，可以根据谈判情况退出谈判。</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28.9</w:t>
      </w:r>
      <w:r>
        <w:rPr>
          <w:rFonts w:hint="eastAsia" w:cs="宋体" w:asciiTheme="minorEastAsia" w:hAnsiTheme="minorEastAsia"/>
          <w:b w:val="0"/>
          <w:bCs/>
          <w:color w:val="auto"/>
          <w:kern w:val="0"/>
          <w:szCs w:val="21"/>
        </w:rPr>
        <w:t>按照《关于推进全流程电子化交易和在线监管工作有关问题的通知》（许公管办[2019]3号）规定，评审专家应严格按照要求查看“硬件特征码相” 关信息并进行评审。</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29 .评审方法与提出成交候选人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w:t>
      </w:r>
      <w:r>
        <w:rPr>
          <w:rFonts w:hint="eastAsia" w:ascii="ˎ̥" w:hAnsi="ˎ̥"/>
          <w:color w:val="auto"/>
          <w:lang w:eastAsia="zh-CN"/>
        </w:rPr>
        <w:t>报价</w:t>
      </w:r>
      <w:r>
        <w:rPr>
          <w:rFonts w:ascii="ˎ̥" w:hAnsi="ˎ̥"/>
          <w:color w:val="auto"/>
        </w:rPr>
        <w:t>由低到高的顺序提出3名以上成交候选人，并编写评审报告。</w:t>
      </w:r>
    </w:p>
    <w:p>
      <w:pPr>
        <w:keepNext w:val="0"/>
        <w:keepLines w:val="0"/>
        <w:pageBreakBefore w:val="0"/>
        <w:widowControl w:val="0"/>
        <w:tabs>
          <w:tab w:val="left" w:pos="1260"/>
        </w:tabs>
        <w:kinsoku/>
        <w:wordWrap/>
        <w:overflowPunct/>
        <w:topLinePunct w:val="0"/>
        <w:autoSpaceDE w:val="0"/>
        <w:autoSpaceDN w:val="0"/>
        <w:bidi w:val="0"/>
        <w:adjustRightInd/>
        <w:snapToGrid/>
        <w:spacing w:line="400" w:lineRule="exact"/>
        <w:contextualSpacing/>
        <w:jc w:val="center"/>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最低的原则确定成交供应商。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w:t>
      </w:r>
      <w:r>
        <w:rPr>
          <w:rFonts w:hint="eastAsia" w:ascii="ˎ̥" w:hAnsi="ˎ̥"/>
          <w:color w:val="auto"/>
          <w:lang w:eastAsia="zh-CN"/>
        </w:rPr>
        <w:t>报价</w:t>
      </w:r>
      <w:r>
        <w:rPr>
          <w:rFonts w:ascii="ˎ̥" w:hAnsi="ˎ̥"/>
          <w:color w:val="auto"/>
        </w:rPr>
        <w:t>最低的供应商为成交供应商</w:t>
      </w:r>
      <w:r>
        <w:rPr>
          <w:rFonts w:hint="eastAsia" w:ascii="ˎ̥" w:hAnsi="ˎ̥"/>
          <w:color w:val="auto"/>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5"/>
        <w:keepNext w:val="0"/>
        <w:keepLines w:val="0"/>
        <w:pageBreakBefore w:val="0"/>
        <w:widowControl w:val="0"/>
        <w:numPr>
          <w:ilvl w:val="0"/>
          <w:numId w:val="9"/>
        </w:numPr>
        <w:kinsoku/>
        <w:wordWrap/>
        <w:overflowPunct/>
        <w:topLinePunct w:val="0"/>
        <w:autoSpaceDE w:val="0"/>
        <w:autoSpaceDN w:val="0"/>
        <w:bidi w:val="0"/>
        <w:adjustRightInd/>
        <w:snapToGrid/>
        <w:spacing w:line="400" w:lineRule="exact"/>
        <w:ind w:firstLineChars="0"/>
        <w:contextualSpacing/>
        <w:textAlignment w:val="auto"/>
        <w:rPr>
          <w:rFonts w:cs="宋体" w:asciiTheme="minorEastAsia" w:hAnsiTheme="minorEastAsia"/>
          <w:vanish/>
          <w:color w:val="auto"/>
          <w:kern w:val="0"/>
          <w:szCs w:val="21"/>
        </w:rPr>
      </w:pP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ascii="ˎ̥" w:hAnsi="ˎ̥"/>
          <w:color w:val="auto"/>
        </w:rPr>
      </w:pPr>
      <w:r>
        <w:rPr>
          <w:rFonts w:hint="eastAsia" w:asciiTheme="minorEastAsia" w:hAnsiTheme="minorEastAsia"/>
          <w:color w:val="auto"/>
        </w:rPr>
        <w:t>31.3在采购过程中符合竞争要求的供应商或者未超过采购预算的供应商不足3家的，但《政府采购非招标采购方式管理办法》第二十七条第二款规定的情形除外。</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32.3成交供应商在接到成交通知时，须向采购代理机构发送谈判及分项（</w:t>
      </w:r>
      <w:r>
        <w:rPr>
          <w:rFonts w:hint="eastAsia" w:cs="宋体" w:asciiTheme="minorEastAsia" w:hAnsiTheme="minorEastAsia"/>
          <w:color w:val="auto"/>
          <w:kern w:val="0"/>
          <w:szCs w:val="21"/>
          <w:lang w:eastAsia="zh-CN"/>
        </w:rPr>
        <w:t>已标价工程量清单</w:t>
      </w:r>
      <w:r>
        <w:rPr>
          <w:rFonts w:hint="eastAsia" w:cs="宋体" w:asciiTheme="minorEastAsia" w:hAnsiTheme="minorEastAsia"/>
          <w:color w:val="auto"/>
          <w:kern w:val="0"/>
          <w:szCs w:val="21"/>
        </w:rPr>
        <w:t>）电子文档，并同时电话告知采购代理机构联系人。</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向采购人提出，并同时将符合《政府采购质疑和投诉办法》第十二条规定的纸质质疑函和必要的证明材料一式两份送采购单位，如未提出视为全面接受；</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5"/>
        <w:keepNext w:val="0"/>
        <w:keepLines w:val="0"/>
        <w:pageBreakBefore w:val="0"/>
        <w:widowControl w:val="0"/>
        <w:kinsoku/>
        <w:wordWrap/>
        <w:overflowPunct/>
        <w:topLinePunct w:val="0"/>
        <w:autoSpaceDE w:val="0"/>
        <w:autoSpaceDN w:val="0"/>
        <w:bidi w:val="0"/>
        <w:adjustRightInd/>
        <w:snapToGrid/>
        <w:spacing w:line="400" w:lineRule="exact"/>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5"/>
        <w:keepNext w:val="0"/>
        <w:keepLines w:val="0"/>
        <w:pageBreakBefore w:val="0"/>
        <w:widowControl w:val="0"/>
        <w:kinsoku/>
        <w:wordWrap/>
        <w:overflowPunct/>
        <w:topLinePunct w:val="0"/>
        <w:autoSpaceDE w:val="0"/>
        <w:autoSpaceDN w:val="0"/>
        <w:bidi w:val="0"/>
        <w:adjustRightInd/>
        <w:snapToGrid/>
        <w:spacing w:line="400" w:lineRule="exact"/>
        <w:ind w:firstLine="0" w:firstLineChars="0"/>
        <w:contextualSpacing/>
        <w:textAlignment w:val="auto"/>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pStyle w:val="5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firstLine="420" w:firstLineChars="200"/>
        <w:contextualSpacing/>
        <w:textAlignment w:val="auto"/>
        <w:rPr>
          <w:rFonts w:hint="eastAsia"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cs="宋体" w:asciiTheme="minorEastAsia" w:hAnsiTheme="minorEastAsia"/>
          <w:b/>
          <w:color w:val="auto"/>
          <w:kern w:val="0"/>
          <w:szCs w:val="21"/>
        </w:rPr>
        <w:t xml:space="preserve"> </w:t>
      </w:r>
    </w:p>
    <w:p>
      <w:pPr>
        <w:autoSpaceDE w:val="0"/>
        <w:autoSpaceDN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5"/>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5"/>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项目为非专门面向中小企业采购的项目，根据财政部、工业和信息化部《政府采购促进中小企业发展管理办法》（财库[2020]46号）规定，对符合该办法规定的小型和微型企业给予6%-10%</w:t>
      </w:r>
      <w:r>
        <w:rPr>
          <w:rFonts w:hint="eastAsia" w:ascii="ˎ̥" w:hAnsi="ˎ̥"/>
          <w:color w:val="auto"/>
          <w:sz w:val="21"/>
          <w:szCs w:val="21"/>
        </w:rPr>
        <w:t>（工程项目为3%—5%）</w:t>
      </w:r>
      <w:r>
        <w:rPr>
          <w:rFonts w:hint="eastAsia" w:cs="仿宋_GB2312" w:asciiTheme="minorEastAsia" w:hAnsiTheme="minorEastAsia"/>
          <w:color w:val="auto"/>
          <w:szCs w:val="21"/>
          <w:lang w:val="zh-CN"/>
        </w:rPr>
        <w:t>的扣除，用扣除后的价格参与评审。</w:t>
      </w:r>
    </w:p>
    <w:p>
      <w:pPr>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keepNext w:val="0"/>
        <w:keepLines w:val="0"/>
        <w:pageBreakBefore w:val="0"/>
        <w:widowControl w:val="0"/>
        <w:kinsoku/>
        <w:wordWrap/>
        <w:overflowPunct/>
        <w:topLinePunct/>
        <w:autoSpaceDE/>
        <w:autoSpaceDN/>
        <w:bidi w:val="0"/>
        <w:adjustRightInd/>
        <w:snapToGrid/>
        <w:spacing w:line="400" w:lineRule="exact"/>
        <w:ind w:firstLine="422" w:firstLineChars="200"/>
        <w:contextualSpacing/>
        <w:textAlignment w:val="auto"/>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5"/>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5"/>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keepNext w:val="0"/>
        <w:keepLines w:val="0"/>
        <w:pageBreakBefore w:val="0"/>
        <w:widowControl w:val="0"/>
        <w:kinsoku/>
        <w:wordWrap/>
        <w:overflowPunct/>
        <w:autoSpaceDE/>
        <w:autoSpaceDN/>
        <w:bidi w:val="0"/>
        <w:adjustRightInd/>
        <w:snapToGrid/>
        <w:spacing w:line="400" w:lineRule="exact"/>
        <w:ind w:firstLine="420" w:firstLineChars="200"/>
        <w:contextualSpacing/>
        <w:textAlignment w:val="auto"/>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keepNext w:val="0"/>
        <w:keepLines w:val="0"/>
        <w:pageBreakBefore w:val="0"/>
        <w:widowControl w:val="0"/>
        <w:kinsoku/>
        <w:wordWrap/>
        <w:overflowPunct/>
        <w:autoSpaceDE/>
        <w:autoSpaceDN/>
        <w:bidi w:val="0"/>
        <w:adjustRightInd/>
        <w:snapToGrid/>
        <w:spacing w:line="400" w:lineRule="exact"/>
        <w:ind w:firstLine="422" w:firstLineChars="200"/>
        <w:contextualSpacing/>
        <w:textAlignment w:val="auto"/>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keepNext w:val="0"/>
        <w:keepLines w:val="0"/>
        <w:pageBreakBefore w:val="0"/>
        <w:widowControl w:val="0"/>
        <w:kinsoku/>
        <w:wordWrap/>
        <w:overflowPunct/>
        <w:topLinePunct/>
        <w:autoSpaceDE/>
        <w:autoSpaceDN/>
        <w:bidi w:val="0"/>
        <w:adjustRightInd/>
        <w:snapToGrid/>
        <w:spacing w:line="400" w:lineRule="exact"/>
        <w:ind w:firstLine="420" w:firstLineChars="200"/>
        <w:contextualSpacing/>
        <w:textAlignment w:val="auto"/>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keepNext w:val="0"/>
        <w:keepLines w:val="0"/>
        <w:pageBreakBefore w:val="0"/>
        <w:widowControl w:val="0"/>
        <w:kinsoku/>
        <w:wordWrap/>
        <w:overflowPunct/>
        <w:autoSpaceDE/>
        <w:autoSpaceDN/>
        <w:bidi w:val="0"/>
        <w:adjustRightInd/>
        <w:snapToGrid/>
        <w:spacing w:line="400" w:lineRule="exact"/>
        <w:contextualSpacing/>
        <w:textAlignment w:val="auto"/>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keepNext w:val="0"/>
        <w:keepLines w:val="0"/>
        <w:pageBreakBefore w:val="0"/>
        <w:widowControl w:val="0"/>
        <w:kinsoku/>
        <w:wordWrap/>
        <w:overflowPunct/>
        <w:topLinePunct w:val="0"/>
        <w:autoSpaceDE/>
        <w:autoSpaceDN/>
        <w:bidi w:val="0"/>
        <w:adjustRightInd/>
        <w:snapToGrid/>
        <w:spacing w:line="400" w:lineRule="exact"/>
        <w:ind w:right="420" w:rightChars="200" w:firstLine="420" w:firstLineChars="200"/>
        <w:contextualSpacing/>
        <w:textAlignment w:val="auto"/>
        <w:rPr>
          <w:rFonts w:ascii="宋体" w:hAnsi="宋体" w:eastAsia="宋体" w:cs="宋体"/>
          <w:szCs w:val="21"/>
          <w:lang w:val="zh-CN"/>
        </w:rPr>
      </w:pPr>
      <w:r>
        <w:rPr>
          <w:rFonts w:hint="eastAsia" w:ascii="宋体" w:hAnsi="宋体" w:eastAsia="宋体" w:cs="宋体"/>
          <w:bCs/>
          <w:szCs w:val="21"/>
        </w:rPr>
        <w:t>（一）谈判小组依法对供应商资格进行审查</w:t>
      </w:r>
      <w:r>
        <w:rPr>
          <w:rFonts w:hint="eastAsia" w:ascii="宋体" w:hAnsi="宋体" w:eastAsia="宋体" w:cs="宋体"/>
          <w:szCs w:val="21"/>
          <w:lang w:val="zh-CN"/>
        </w:rPr>
        <w:t>。确定符合资格的供应商不少于3家，将</w:t>
      </w:r>
      <w:r>
        <w:rPr>
          <w:rFonts w:hint="eastAsia" w:ascii="宋体" w:hAnsi="宋体" w:eastAsia="宋体" w:cs="宋体"/>
          <w:szCs w:val="21"/>
        </w:rPr>
        <w:t>对响应文件的有效性、完整性和响应程度进行审查并对响应文件进行评审</w:t>
      </w:r>
      <w:r>
        <w:rPr>
          <w:rFonts w:hint="eastAsia" w:ascii="宋体" w:hAnsi="宋体" w:eastAsia="宋体" w:cs="宋体"/>
          <w:szCs w:val="21"/>
          <w:lang w:val="zh-CN"/>
        </w:rPr>
        <w:t>。</w:t>
      </w:r>
    </w:p>
    <w:p>
      <w:pPr>
        <w:keepNext w:val="0"/>
        <w:keepLines w:val="0"/>
        <w:pageBreakBefore w:val="0"/>
        <w:widowControl w:val="0"/>
        <w:kinsoku/>
        <w:wordWrap/>
        <w:overflowPunct/>
        <w:topLinePunct w:val="0"/>
        <w:autoSpaceDE/>
        <w:autoSpaceDN/>
        <w:bidi w:val="0"/>
        <w:adjustRightInd/>
        <w:snapToGrid/>
        <w:spacing w:line="400" w:lineRule="exact"/>
        <w:ind w:right="420" w:rightChars="200" w:firstLine="420" w:firstLineChars="200"/>
        <w:contextualSpacing/>
        <w:textAlignment w:val="auto"/>
        <w:rPr>
          <w:rFonts w:ascii="宋体" w:hAnsi="宋体" w:eastAsia="宋体" w:cs="宋体"/>
          <w:szCs w:val="21"/>
          <w:lang w:val="zh-CN"/>
        </w:rPr>
      </w:pPr>
      <w:r>
        <w:rPr>
          <w:rFonts w:hint="eastAsia" w:ascii="宋体" w:hAnsi="宋体" w:eastAsia="宋体" w:cs="宋体"/>
          <w:szCs w:val="21"/>
          <w:lang w:val="zh-CN"/>
        </w:rPr>
        <w:t>（二）资格证明材料（本栏所列内容为本项目的资格审查条件，如有一项不符合要求，则不能进入下一步评审）。</w:t>
      </w:r>
    </w:p>
    <w:p>
      <w:pPr>
        <w:keepNext w:val="0"/>
        <w:keepLines w:val="0"/>
        <w:pageBreakBefore w:val="0"/>
        <w:widowControl w:val="0"/>
        <w:kinsoku/>
        <w:wordWrap/>
        <w:overflowPunct/>
        <w:topLinePunct w:val="0"/>
        <w:autoSpaceDE/>
        <w:autoSpaceDN/>
        <w:bidi w:val="0"/>
        <w:adjustRightInd/>
        <w:snapToGrid/>
        <w:spacing w:line="400" w:lineRule="exact"/>
        <w:ind w:right="420" w:rightChars="200" w:firstLine="420" w:firstLineChars="200"/>
        <w:contextualSpacing/>
        <w:textAlignment w:val="auto"/>
        <w:rPr>
          <w:rFonts w:hint="eastAsia" w:asciiTheme="minorEastAsia" w:hAnsiTheme="minorEastAsia"/>
          <w:bCs/>
          <w:color w:val="auto"/>
          <w:szCs w:val="21"/>
        </w:rPr>
      </w:pPr>
      <w:r>
        <w:rPr>
          <w:rFonts w:hint="eastAsia" w:ascii="宋体" w:hAnsi="宋体" w:eastAsia="宋体" w:cs="宋体"/>
          <w:szCs w:val="21"/>
          <w:lang w:val="zh-CN"/>
        </w:rPr>
        <w:t>（三）资格审查中所涉及到的证书及材料，均须在电子投标文件中提供原件扫描件（或图片）。</w:t>
      </w:r>
    </w:p>
    <w:tbl>
      <w:tblPr>
        <w:tblStyle w:val="27"/>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439"/>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pacing w:line="360" w:lineRule="auto"/>
              <w:jc w:val="both"/>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39"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626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39"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626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w:t>
            </w:r>
          </w:p>
        </w:tc>
        <w:tc>
          <w:tcPr>
            <w:tcW w:w="2439"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法人或者其他组织的营业执照等证明文件，自然人的身份证明</w:t>
            </w:r>
          </w:p>
        </w:tc>
        <w:tc>
          <w:tcPr>
            <w:tcW w:w="62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（1）企业法人营业执照或营业执照。（企业提供）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（2）事业单位法人证书。（事业单位提供）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（3）执业许可证。（非企业专业服务机构提供）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（4）个体工商户营业执照。（个体工商户提供）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（5）自然人身份证明。（自然人提供）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3</w:t>
            </w:r>
          </w:p>
        </w:tc>
        <w:tc>
          <w:tcPr>
            <w:tcW w:w="2439"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财务状况报告相关材料</w:t>
            </w:r>
          </w:p>
        </w:tc>
        <w:tc>
          <w:tcPr>
            <w:tcW w:w="62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（1）供应商是法人（法人包括企业法人、机关法人、事业单位法人和社会团体法人），提供本单位：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w:t>
            </w:r>
            <w:r>
              <w:rPr>
                <w:rFonts w:hint="eastAsia" w:asciiTheme="majorEastAsia" w:hAnsiTheme="majorEastAsia" w:eastAsiaTheme="majorEastAsia" w:cstheme="majorEastAsia"/>
                <w:bCs/>
                <w:color w:val="auto"/>
                <w:szCs w:val="21"/>
                <w:lang w:val="en-US" w:eastAsia="zh-CN"/>
              </w:rPr>
              <w:t>2019年度或2020年度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②基本开户银行出具的资信证明；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（2）供应商（其他组织和自然人）提供本单位：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w:t>
            </w:r>
            <w:r>
              <w:rPr>
                <w:rFonts w:hint="eastAsia" w:asciiTheme="majorEastAsia" w:hAnsiTheme="majorEastAsia" w:eastAsiaTheme="majorEastAsia" w:cstheme="majorEastAsia"/>
                <w:bCs/>
                <w:color w:val="auto"/>
                <w:szCs w:val="21"/>
                <w:lang w:val="en-US" w:eastAsia="zh-CN"/>
              </w:rPr>
              <w:t xml:space="preserve"> 2019年度或2020年度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②银行出具的资信证明；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4</w:t>
            </w:r>
          </w:p>
        </w:tc>
        <w:tc>
          <w:tcPr>
            <w:tcW w:w="2439"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依法缴纳税收相关材料</w:t>
            </w:r>
          </w:p>
        </w:tc>
        <w:tc>
          <w:tcPr>
            <w:tcW w:w="62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5</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依法缴纳社会保障资金的证明材料</w:t>
            </w:r>
          </w:p>
        </w:tc>
        <w:tc>
          <w:tcPr>
            <w:tcW w:w="62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6</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履行合同所必须的设备和专业技术能力的证明材料</w:t>
            </w:r>
          </w:p>
        </w:tc>
        <w:tc>
          <w:tcPr>
            <w:tcW w:w="62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①与本项目响应相关设备的购置发票、专业技术人员职称证书、用工合同等；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②供应商具备履行合同所必须的设备和专业技术能力承诺函或声明（承诺函或声明格式自拟）。</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7</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参加政府采购活动前3年内在经营活动中没有重大违法记录的声明</w:t>
            </w:r>
          </w:p>
        </w:tc>
        <w:tc>
          <w:tcPr>
            <w:tcW w:w="62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如无重大违法记录请按照谈判文件提供格式填写。</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8</w:t>
            </w:r>
          </w:p>
        </w:tc>
        <w:tc>
          <w:tcPr>
            <w:tcW w:w="2439"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信用记录查询及使用</w:t>
            </w:r>
          </w:p>
        </w:tc>
        <w:tc>
          <w:tcPr>
            <w:tcW w:w="62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ajorEastAsia" w:hAnsiTheme="majorEastAsia" w:eastAsiaTheme="majorEastAsia" w:cstheme="majorEastAsia"/>
                <w:color w:val="auto"/>
                <w:szCs w:val="21"/>
              </w:rPr>
              <w:t>“中国社会组织公共服务平台”网站（www.chinanpo.gov.cn）严重违法失信社会组织名单的供应商</w:t>
            </w: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rPr>
              <w:t>（联合体形式投标的，联合体成员存在不良信用记录，视同联合体存在不良信用记录）。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（1）查询渠道：</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3"/>
                <w:rFonts w:hint="eastAsia" w:asciiTheme="majorEastAsia" w:hAnsiTheme="majorEastAsia" w:eastAsiaTheme="majorEastAsia" w:cstheme="majorEastAsia"/>
                <w:color w:val="auto"/>
                <w:szCs w:val="21"/>
              </w:rPr>
              <w:t>www.creditchina.gov.cn</w:t>
            </w:r>
            <w:r>
              <w:rPr>
                <w:rStyle w:val="33"/>
                <w:rFonts w:hint="eastAsia" w:asciiTheme="majorEastAsia" w:hAnsiTheme="majorEastAsia" w:eastAsiaTheme="majorEastAsia" w:cstheme="majorEastAsia"/>
                <w:color w:val="auto"/>
                <w:szCs w:val="21"/>
              </w:rPr>
              <w:fldChar w:fldCharType="end"/>
            </w:r>
            <w:r>
              <w:rPr>
                <w:rFonts w:hint="eastAsia" w:asciiTheme="majorEastAsia" w:hAnsiTheme="majorEastAsia" w:eastAsiaTheme="majorEastAsia" w:cstheme="majorEastAsia"/>
                <w:bCs/>
                <w:color w:val="auto"/>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②“中国政府采购网”（www.ccgp.gov.cn）</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w:t>
            </w:r>
            <w:r>
              <w:rPr>
                <w:rFonts w:hint="eastAsia" w:asciiTheme="majorEastAsia" w:hAnsiTheme="majorEastAsia" w:eastAsiaTheme="majorEastAsia" w:cstheme="majorEastAsia"/>
                <w:color w:val="auto"/>
                <w:szCs w:val="21"/>
              </w:rPr>
              <w:t>“中国社会组织公共服务平台”网站（www.chinanpo.gov.cn）（仅查询社会组织）</w:t>
            </w:r>
            <w:r>
              <w:rPr>
                <w:rFonts w:hint="eastAsia" w:asciiTheme="majorEastAsia" w:hAnsiTheme="majorEastAsia" w:eastAsiaTheme="majorEastAsia" w:cstheme="majorEastAsia"/>
                <w:bCs/>
                <w:color w:val="auto"/>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（2）截止时间：同投标截止时间；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（3）信用信息查询记录和证据留存具体方式：经</w:t>
            </w:r>
            <w:r>
              <w:rPr>
                <w:rFonts w:hint="eastAsia" w:asciiTheme="majorEastAsia" w:hAnsiTheme="majorEastAsia" w:eastAsiaTheme="majorEastAsia" w:cstheme="majorEastAsia"/>
                <w:color w:val="auto"/>
                <w:kern w:val="0"/>
                <w:szCs w:val="21"/>
              </w:rPr>
              <w:t>谈判小组</w:t>
            </w:r>
            <w:r>
              <w:rPr>
                <w:rFonts w:hint="eastAsia" w:asciiTheme="majorEastAsia" w:hAnsiTheme="majorEastAsia" w:eastAsiaTheme="majorEastAsia" w:cstheme="majorEastAsia"/>
                <w:bCs/>
                <w:color w:val="auto"/>
                <w:szCs w:val="21"/>
              </w:rPr>
              <w:t>确认的查询结果网页截图作为查询记录和证据，与其他采购文件一并保存；</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（4）信用信息的使用原则：经</w:t>
            </w:r>
            <w:r>
              <w:rPr>
                <w:rFonts w:hint="eastAsia" w:asciiTheme="majorEastAsia" w:hAnsiTheme="majorEastAsia" w:eastAsiaTheme="majorEastAsia" w:cstheme="majorEastAsia"/>
                <w:color w:val="auto"/>
                <w:kern w:val="0"/>
                <w:szCs w:val="21"/>
              </w:rPr>
              <w:t>谈判小组</w:t>
            </w:r>
            <w:r>
              <w:rPr>
                <w:rFonts w:hint="eastAsia" w:asciiTheme="majorEastAsia" w:hAnsiTheme="majorEastAsia" w:eastAsiaTheme="majorEastAsia" w:cstheme="majorEastAsia"/>
                <w:bCs/>
                <w:color w:val="auto"/>
                <w:szCs w:val="21"/>
              </w:rPr>
              <w:t>确认认定的被列入失信被执行人、重大税收违法案件当事人名单、政府采购严重违法失信行为记录名单的供应商，</w:t>
            </w:r>
            <w:r>
              <w:rPr>
                <w:rFonts w:hint="eastAsia" w:asciiTheme="majorEastAsia" w:hAnsiTheme="majorEastAsia" w:eastAsiaTheme="majorEastAsia" w:cstheme="majorEastAsia"/>
                <w:color w:val="auto"/>
                <w:szCs w:val="21"/>
              </w:rPr>
              <w:t>严重违法失信社会组织</w:t>
            </w:r>
            <w:r>
              <w:rPr>
                <w:rFonts w:hint="eastAsia" w:asciiTheme="majorEastAsia" w:hAnsiTheme="majorEastAsia" w:eastAsiaTheme="majorEastAsia" w:cstheme="maj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9</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供应商须具备的特殊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color w:val="auto"/>
                <w:szCs w:val="21"/>
              </w:rPr>
              <w:t>资质证书</w:t>
            </w:r>
          </w:p>
        </w:tc>
        <w:tc>
          <w:tcPr>
            <w:tcW w:w="626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eastAsia="zh-CN"/>
              </w:rPr>
              <w:t>详见谈判公告</w:t>
            </w:r>
          </w:p>
        </w:tc>
      </w:tr>
    </w:tbl>
    <w:p>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cs="仿宋_GB2312" w:asciiTheme="minorEastAsia" w:hAnsiTheme="minorEastAsia" w:eastAsiaTheme="minorEastAsia"/>
          <w:b/>
          <w:color w:val="auto"/>
          <w:sz w:val="21"/>
          <w:szCs w:val="21"/>
          <w:lang w:val="zh-CN"/>
        </w:rPr>
      </w:pP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43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10</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谈判</w:t>
            </w:r>
          </w:p>
        </w:tc>
        <w:tc>
          <w:tcPr>
            <w:tcW w:w="595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响应是否超出谈判文件中规定的预算金额，超出预算金额的无效。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11</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响应承诺函</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12</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联合体协议</w:t>
            </w:r>
          </w:p>
        </w:tc>
        <w:tc>
          <w:tcPr>
            <w:tcW w:w="595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13</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供应商身份证明及授权</w:t>
            </w:r>
          </w:p>
        </w:tc>
        <w:tc>
          <w:tcPr>
            <w:tcW w:w="595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（1）法定代表人身份证明或提供法定代表人授权委托书及被授权人身份证明和社保证明。（法人提供）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（2）单位负责人身份证明或提供单位负责人授权委托书及被授权人身份证明和社保证明。（非法人提供）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①企业（银行、保险、石油石化、电力、电信等行业除外）、事业单位和社会团体以法人身份参加谈判的，法定代表人应与实际提交的“营业执照等证明文件”载明的一致。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③</w:t>
            </w:r>
            <w:r>
              <w:rPr>
                <w:rFonts w:hint="eastAsia" w:asciiTheme="majorEastAsia" w:hAnsiTheme="majorEastAsia" w:eastAsiaTheme="majorEastAsia" w:cstheme="majorEastAsia"/>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14</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单位负责人为同一人或者存在直接控股、管理关系的不同供应商，不得参加同一合同项下的政府采购活动</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供应商提供与参加本项目响应的其他供应商之间，单位负责人不为同一人并且不存在直接控股、管理关系承诺函（承诺函格式自拟）。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15</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为本项目提供整体设计、规范编制或者项目管理、监理、检测等服务的供应商不得参加本项目响应</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供应商提供未为本项目提供整体设计、规范编制或者项目管理、监理、检测等服务承诺函（承诺函格式自拟）。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ajorEastAsia" w:hAnsiTheme="majorEastAsia" w:eastAsiaTheme="majorEastAsia" w:cstheme="majorEastAsia"/>
                <w:bCs/>
                <w:color w:val="auto"/>
                <w:szCs w:val="21"/>
              </w:rPr>
            </w:pPr>
          </w:p>
        </w:tc>
      </w:tr>
    </w:tbl>
    <w:p>
      <w:pPr>
        <w:pStyle w:val="15"/>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二、（对响应文件评审一）审查响应文件</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jc w:val="left"/>
        <w:textAlignment w:val="auto"/>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5"/>
        <w:keepNext w:val="0"/>
        <w:keepLines w:val="0"/>
        <w:pageBreakBefore w:val="0"/>
        <w:widowControl w:val="0"/>
        <w:kinsoku/>
        <w:overflowPunct/>
        <w:topLinePunct w:val="0"/>
        <w:bidi w:val="0"/>
        <w:adjustRightInd/>
        <w:snapToGrid/>
        <w:spacing w:line="400" w:lineRule="exact"/>
        <w:ind w:firstLine="420" w:firstLineChars="200"/>
        <w:contextualSpacing/>
        <w:jc w:val="left"/>
        <w:textAlignment w:val="auto"/>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5"/>
        <w:keepNext w:val="0"/>
        <w:keepLines w:val="0"/>
        <w:pageBreakBefore w:val="0"/>
        <w:widowControl w:val="0"/>
        <w:kinsoku/>
        <w:overflowPunct/>
        <w:topLinePunct w:val="0"/>
        <w:bidi w:val="0"/>
        <w:adjustRightInd/>
        <w:snapToGrid/>
        <w:spacing w:line="400" w:lineRule="exact"/>
        <w:ind w:firstLine="420" w:firstLineChars="200"/>
        <w:contextualSpacing/>
        <w:jc w:val="left"/>
        <w:textAlignment w:val="auto"/>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注：审查中所涉及到的证书及材料，均应在响应文件中提供原件扫描件（或图片）。</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5"/>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keepNext w:val="0"/>
        <w:keepLines w:val="0"/>
        <w:pageBreakBefore w:val="0"/>
        <w:widowControl w:val="0"/>
        <w:kinsoku/>
        <w:wordWrap w:val="0"/>
        <w:overflowPunct/>
        <w:topLinePunct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jc w:val="left"/>
        <w:textAlignment w:val="auto"/>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b/>
          <w:color w:val="auto"/>
          <w:sz w:val="21"/>
          <w:szCs w:val="21"/>
          <w:lang w:val="zh-CN"/>
        </w:rPr>
        <w:t>（三）因落实政府采购政策进行价格调整的，以调整后的价格计算。</w:t>
      </w:r>
    </w:p>
    <w:p>
      <w:pPr>
        <w:pStyle w:val="15"/>
        <w:keepNext w:val="0"/>
        <w:keepLines w:val="0"/>
        <w:pageBreakBefore w:val="0"/>
        <w:widowControl w:val="0"/>
        <w:kinsoku/>
        <w:overflowPunct/>
        <w:topLinePunct w:val="0"/>
        <w:bidi w:val="0"/>
        <w:adjustRightInd/>
        <w:snapToGrid/>
        <w:spacing w:line="400" w:lineRule="exact"/>
        <w:ind w:firstLine="480" w:firstLineChars="200"/>
        <w:contextualSpacing/>
        <w:textAlignment w:val="auto"/>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w:t>
      </w:r>
      <w:r>
        <w:rPr>
          <w:rFonts w:hint="eastAsia" w:ascii="ˎ̥" w:hAnsi="ˎ̥"/>
          <w:color w:val="auto"/>
          <w:sz w:val="21"/>
          <w:szCs w:val="21"/>
        </w:rPr>
        <w:t>给予6%—10%（工程项目为3%—5%）的扣除，用扣除后的价格参与评审。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keepNext w:val="0"/>
        <w:keepLines w:val="0"/>
        <w:pageBreakBefore w:val="0"/>
        <w:widowControl w:val="0"/>
        <w:kinsoku/>
        <w:overflowPunct/>
        <w:topLinePunct w:val="0"/>
        <w:bidi w:val="0"/>
        <w:adjustRightInd/>
        <w:snapToGrid/>
        <w:spacing w:line="400" w:lineRule="exact"/>
        <w:ind w:firstLine="420" w:firstLineChars="200"/>
        <w:textAlignment w:val="auto"/>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keepNext w:val="0"/>
        <w:keepLines w:val="0"/>
        <w:pageBreakBefore w:val="0"/>
        <w:widowControl w:val="0"/>
        <w:kinsoku/>
        <w:overflowPunct/>
        <w:topLinePunct w:val="0"/>
        <w:bidi w:val="0"/>
        <w:adjustRightInd/>
        <w:snapToGrid/>
        <w:spacing w:line="400" w:lineRule="exact"/>
        <w:ind w:firstLine="420" w:firstLineChars="200"/>
        <w:textAlignment w:val="auto"/>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pPr>
        <w:pStyle w:val="15"/>
        <w:keepNext w:val="0"/>
        <w:keepLines w:val="0"/>
        <w:pageBreakBefore w:val="0"/>
        <w:widowControl w:val="0"/>
        <w:kinsoku/>
        <w:overflowPunct/>
        <w:topLinePunct w:val="0"/>
        <w:bidi w:val="0"/>
        <w:adjustRightInd/>
        <w:snapToGrid/>
        <w:spacing w:line="400" w:lineRule="exact"/>
        <w:ind w:firstLine="480" w:firstLineChars="200"/>
        <w:contextualSpacing/>
        <w:textAlignment w:val="auto"/>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hint="eastAsia"/>
          <w:lang w:val="zh-CN"/>
        </w:rPr>
      </w:pPr>
      <w:r>
        <w:rPr>
          <w:rFonts w:hint="eastAsia" w:asciiTheme="majorEastAsia" w:hAnsiTheme="majorEastAsia" w:eastAsiaTheme="majorEastAsia" w:cstheme="majorEastAsia"/>
          <w:b/>
          <w:color w:val="auto"/>
          <w:szCs w:val="21"/>
          <w:lang w:val="zh-CN"/>
        </w:rPr>
        <w:t>落实政府采购政策计算</w:t>
      </w:r>
    </w:p>
    <w:p>
      <w:pPr>
        <w:rPr>
          <w:lang w:val="zh-CN"/>
        </w:rPr>
      </w:pPr>
    </w:p>
    <w:tbl>
      <w:tblPr>
        <w:tblStyle w:val="2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3143"/>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序号</w:t>
            </w:r>
          </w:p>
        </w:tc>
        <w:tc>
          <w:tcPr>
            <w:tcW w:w="2540"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情形</w:t>
            </w:r>
          </w:p>
        </w:tc>
        <w:tc>
          <w:tcPr>
            <w:tcW w:w="3143"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rPr>
              <w:t>价格扣除</w:t>
            </w:r>
            <w:r>
              <w:rPr>
                <w:rFonts w:hint="eastAsia" w:asciiTheme="majorEastAsia" w:hAnsiTheme="majorEastAsia" w:eastAsiaTheme="majorEastAsia" w:cstheme="majorEastAsia"/>
                <w:b/>
                <w:color w:val="auto"/>
                <w:szCs w:val="21"/>
                <w:lang w:val="en-GB"/>
              </w:rPr>
              <w:t>比例</w:t>
            </w:r>
          </w:p>
        </w:tc>
        <w:tc>
          <w:tcPr>
            <w:tcW w:w="2984"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1</w:t>
            </w:r>
          </w:p>
        </w:tc>
        <w:tc>
          <w:tcPr>
            <w:tcW w:w="2540" w:type="dxa"/>
            <w:vAlign w:val="center"/>
          </w:tcPr>
          <w:p>
            <w:pPr>
              <w:jc w:val="center"/>
              <w:rPr>
                <w:rFonts w:asciiTheme="majorEastAsia" w:hAnsiTheme="majorEastAsia" w:eastAsiaTheme="majorEastAsia" w:cstheme="majorEastAsia"/>
                <w:b/>
                <w:color w:val="FF0000"/>
                <w:szCs w:val="21"/>
                <w:lang w:val="en-GB"/>
              </w:rPr>
            </w:pPr>
            <w:r>
              <w:rPr>
                <w:rFonts w:hint="eastAsia" w:asciiTheme="majorEastAsia" w:hAnsiTheme="majorEastAsia" w:eastAsiaTheme="majorEastAsia" w:cstheme="majorEastAsia"/>
                <w:color w:val="FF0000"/>
                <w:szCs w:val="21"/>
                <w:lang w:val="en-GB"/>
              </w:rPr>
              <w:t>非联合体供应商</w:t>
            </w:r>
          </w:p>
        </w:tc>
        <w:tc>
          <w:tcPr>
            <w:tcW w:w="3143" w:type="dxa"/>
            <w:vAlign w:val="center"/>
          </w:tcPr>
          <w:p>
            <w:pPr>
              <w:jc w:val="center"/>
              <w:rPr>
                <w:rFonts w:asciiTheme="majorEastAsia" w:hAnsiTheme="majorEastAsia" w:eastAsiaTheme="majorEastAsia" w:cstheme="majorEastAsia"/>
                <w:b/>
                <w:color w:val="FF0000"/>
                <w:szCs w:val="21"/>
                <w:lang w:val="en-GB"/>
              </w:rPr>
            </w:pPr>
            <w:r>
              <w:rPr>
                <w:rFonts w:hint="eastAsia" w:asciiTheme="majorEastAsia" w:hAnsiTheme="majorEastAsia" w:eastAsiaTheme="majorEastAsia" w:cstheme="majorEastAsia"/>
                <w:color w:val="FF0000"/>
                <w:szCs w:val="21"/>
              </w:rPr>
              <w:t>对小型和微型企业产品的价格扣除</w:t>
            </w:r>
            <w:r>
              <w:rPr>
                <w:rFonts w:hint="eastAsia" w:asciiTheme="majorEastAsia" w:hAnsiTheme="majorEastAsia" w:eastAsiaTheme="majorEastAsia" w:cstheme="majorEastAsia"/>
                <w:color w:val="FF0000"/>
                <w:szCs w:val="21"/>
                <w:u w:val="single"/>
                <w:lang w:val="en-US" w:eastAsia="zh-CN"/>
              </w:rPr>
              <w:t>6</w:t>
            </w:r>
            <w:r>
              <w:rPr>
                <w:rFonts w:hint="eastAsia" w:asciiTheme="majorEastAsia" w:hAnsiTheme="majorEastAsia" w:eastAsiaTheme="majorEastAsia" w:cstheme="majorEastAsia"/>
                <w:color w:val="FF0000"/>
                <w:szCs w:val="21"/>
              </w:rPr>
              <w:t>%</w:t>
            </w:r>
          </w:p>
        </w:tc>
        <w:tc>
          <w:tcPr>
            <w:tcW w:w="2984" w:type="dxa"/>
            <w:vMerge w:val="restart"/>
            <w:shd w:val="clear" w:color="auto" w:fill="auto"/>
            <w:vAlign w:val="center"/>
          </w:tcPr>
          <w:p>
            <w:pPr>
              <w:jc w:val="center"/>
              <w:rPr>
                <w:rFonts w:asciiTheme="majorEastAsia" w:hAnsiTheme="majorEastAsia" w:eastAsiaTheme="majorEastAsia" w:cstheme="majorEastAsia"/>
                <w:color w:val="FF0000"/>
                <w:szCs w:val="21"/>
                <w:lang w:val="en-GB"/>
              </w:rPr>
            </w:pPr>
            <w:r>
              <w:rPr>
                <w:rFonts w:hint="eastAsia" w:asciiTheme="majorEastAsia" w:hAnsiTheme="majorEastAsia" w:eastAsiaTheme="majorEastAsia" w:cstheme="majorEastAsia"/>
                <w:color w:val="FF0000"/>
                <w:szCs w:val="21"/>
                <w:lang w:val="en-GB"/>
              </w:rPr>
              <w:t>评审价格＝响应—</w:t>
            </w:r>
            <w:r>
              <w:rPr>
                <w:rFonts w:hint="eastAsia" w:asciiTheme="majorEastAsia" w:hAnsiTheme="majorEastAsia" w:eastAsiaTheme="majorEastAsia" w:cstheme="majorEastAsia"/>
                <w:color w:val="FF0000"/>
                <w:szCs w:val="21"/>
              </w:rPr>
              <w:t>小型和微型企业产品的价格</w:t>
            </w:r>
            <w:r>
              <w:rPr>
                <w:rFonts w:hint="eastAsia" w:asciiTheme="majorEastAsia" w:hAnsiTheme="majorEastAsia" w:eastAsiaTheme="majorEastAsia" w:cstheme="majorEastAsia"/>
                <w:color w:val="FF0000"/>
                <w:szCs w:val="21"/>
                <w:lang w:val="en-GB"/>
              </w:rPr>
              <w:t>×</w:t>
            </w:r>
            <w:r>
              <w:rPr>
                <w:rFonts w:hint="eastAsia" w:asciiTheme="majorEastAsia" w:hAnsiTheme="majorEastAsia" w:eastAsiaTheme="majorEastAsia" w:cstheme="majorEastAsia"/>
                <w:color w:val="FF0000"/>
                <w:szCs w:val="21"/>
                <w:lang w:val="en-US" w:eastAsia="zh-CN"/>
              </w:rPr>
              <w:t>6</w:t>
            </w:r>
            <w:r>
              <w:rPr>
                <w:rFonts w:hint="eastAsia" w:asciiTheme="majorEastAsia" w:hAnsiTheme="majorEastAsia" w:eastAsiaTheme="majorEastAsia" w:cstheme="majorEastAsia"/>
                <w:color w:val="FF0000"/>
                <w:szCs w:val="21"/>
                <w:lang w:val="en-GB"/>
              </w:rPr>
              <w:t>%</w:t>
            </w:r>
          </w:p>
          <w:p>
            <w:pPr>
              <w:jc w:val="center"/>
              <w:rPr>
                <w:rFonts w:asciiTheme="majorEastAsia" w:hAnsiTheme="majorEastAsia" w:eastAsiaTheme="majorEastAsia" w:cstheme="majorEastAsia"/>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2</w:t>
            </w:r>
          </w:p>
        </w:tc>
        <w:tc>
          <w:tcPr>
            <w:tcW w:w="2540" w:type="dxa"/>
            <w:vAlign w:val="center"/>
          </w:tcPr>
          <w:p>
            <w:pPr>
              <w:jc w:val="center"/>
              <w:rPr>
                <w:rFonts w:asciiTheme="majorEastAsia" w:hAnsiTheme="majorEastAsia" w:eastAsiaTheme="majorEastAsia" w:cstheme="majorEastAsia"/>
                <w:b/>
                <w:color w:val="FF0000"/>
                <w:szCs w:val="21"/>
              </w:rPr>
            </w:pPr>
            <w:r>
              <w:rPr>
                <w:rFonts w:hint="eastAsia" w:asciiTheme="majorEastAsia" w:hAnsiTheme="majorEastAsia" w:eastAsiaTheme="majorEastAsia" w:cstheme="majorEastAsia"/>
                <w:color w:val="FF0000"/>
                <w:szCs w:val="21"/>
                <w:lang w:val="en-GB"/>
              </w:rPr>
              <w:t>联合体各方均为小型、微型企业</w:t>
            </w:r>
          </w:p>
        </w:tc>
        <w:tc>
          <w:tcPr>
            <w:tcW w:w="3143" w:type="dxa"/>
            <w:vAlign w:val="center"/>
          </w:tcPr>
          <w:p>
            <w:pPr>
              <w:jc w:val="center"/>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对小型和微型企业产品的价格扣除</w:t>
            </w:r>
            <w:r>
              <w:rPr>
                <w:rFonts w:hint="eastAsia" w:asciiTheme="majorEastAsia" w:hAnsiTheme="majorEastAsia" w:eastAsiaTheme="majorEastAsia" w:cstheme="majorEastAsia"/>
                <w:color w:val="FF0000"/>
                <w:szCs w:val="21"/>
                <w:u w:val="single"/>
                <w:lang w:val="en-US" w:eastAsia="zh-CN"/>
              </w:rPr>
              <w:t>6</w:t>
            </w:r>
            <w:r>
              <w:rPr>
                <w:rFonts w:hint="eastAsia" w:asciiTheme="majorEastAsia" w:hAnsiTheme="majorEastAsia" w:eastAsiaTheme="majorEastAsia" w:cstheme="majorEastAsia"/>
                <w:color w:val="FF0000"/>
                <w:szCs w:val="21"/>
              </w:rPr>
              <w:t>%</w:t>
            </w:r>
          </w:p>
          <w:p>
            <w:pPr>
              <w:jc w:val="center"/>
              <w:rPr>
                <w:rFonts w:asciiTheme="majorEastAsia" w:hAnsiTheme="majorEastAsia" w:eastAsiaTheme="majorEastAsia" w:cstheme="majorEastAsia"/>
                <w:b/>
                <w:color w:val="FF0000"/>
                <w:szCs w:val="21"/>
                <w:lang w:val="en-GB"/>
              </w:rPr>
            </w:pPr>
            <w:r>
              <w:rPr>
                <w:rFonts w:hint="eastAsia" w:asciiTheme="majorEastAsia" w:hAnsiTheme="majorEastAsia" w:eastAsiaTheme="majorEastAsia" w:cstheme="majorEastAsia"/>
                <w:color w:val="FF0000"/>
                <w:szCs w:val="21"/>
              </w:rPr>
              <w:t>（不再享受序号3的价格折扣）</w:t>
            </w:r>
          </w:p>
        </w:tc>
        <w:tc>
          <w:tcPr>
            <w:tcW w:w="2984" w:type="dxa"/>
            <w:vMerge w:val="continue"/>
            <w:shd w:val="clear" w:color="auto" w:fill="auto"/>
          </w:tcPr>
          <w:p>
            <w:pPr>
              <w:rPr>
                <w:rFonts w:asciiTheme="majorEastAsia" w:hAnsiTheme="majorEastAsia" w:eastAsiaTheme="majorEastAsia" w:cstheme="majorEastAsia"/>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3</w:t>
            </w:r>
          </w:p>
        </w:tc>
        <w:tc>
          <w:tcPr>
            <w:tcW w:w="2540" w:type="dxa"/>
            <w:vAlign w:val="center"/>
          </w:tcPr>
          <w:p>
            <w:pPr>
              <w:jc w:val="center"/>
              <w:rPr>
                <w:rFonts w:asciiTheme="majorEastAsia" w:hAnsiTheme="majorEastAsia" w:eastAsiaTheme="majorEastAsia" w:cstheme="majorEastAsia"/>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3143" w:type="dxa"/>
            <w:vAlign w:val="center"/>
          </w:tcPr>
          <w:p>
            <w:pPr>
              <w:jc w:val="center"/>
              <w:rPr>
                <w:rFonts w:asciiTheme="majorEastAsia" w:hAnsiTheme="majorEastAsia" w:eastAsiaTheme="majorEastAsia" w:cstheme="majorEastAsia"/>
                <w:b/>
                <w:color w:val="auto"/>
                <w:szCs w:val="21"/>
                <w:lang w:val="en-GB"/>
              </w:rPr>
            </w:pPr>
            <w:r>
              <w:rPr>
                <w:rFonts w:ascii="ˎ̥" w:hAnsi="ˎ̥" w:eastAsia="宋体"/>
                <w:color w:val="auto"/>
                <w:szCs w:val="21"/>
              </w:rPr>
              <w:t>对联合体或者大中型企业的</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84" w:type="dxa"/>
            <w:shd w:val="clear" w:color="auto" w:fill="auto"/>
            <w:vAlign w:val="center"/>
          </w:tcPr>
          <w:p>
            <w:pPr>
              <w:jc w:val="center"/>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lang w:val="en-GB"/>
              </w:rPr>
              <w:t>评审价格＝响应×</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u w:val="single"/>
              </w:rPr>
              <w:t>2%)</w:t>
            </w:r>
          </w:p>
          <w:p>
            <w:pPr>
              <w:jc w:val="center"/>
              <w:rPr>
                <w:rFonts w:asciiTheme="majorEastAsia" w:hAnsiTheme="majorEastAsia" w:eastAsiaTheme="majorEastAsia" w:cstheme="majorEastAsia"/>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4</w:t>
            </w:r>
          </w:p>
        </w:tc>
        <w:tc>
          <w:tcPr>
            <w:tcW w:w="2540"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监狱企业</w:t>
            </w:r>
          </w:p>
        </w:tc>
        <w:tc>
          <w:tcPr>
            <w:tcW w:w="3143"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对监狱企业产品价格扣除</w:t>
            </w:r>
            <w:r>
              <w:rPr>
                <w:rFonts w:hint="eastAsia" w:asciiTheme="majorEastAsia" w:hAnsiTheme="majorEastAsia" w:eastAsiaTheme="majorEastAsia" w:cstheme="majorEastAsia"/>
                <w:color w:val="auto"/>
                <w:szCs w:val="21"/>
                <w:u w:val="single"/>
              </w:rPr>
              <w:t>6</w:t>
            </w:r>
            <w:r>
              <w:rPr>
                <w:rFonts w:hint="eastAsia" w:asciiTheme="majorEastAsia" w:hAnsiTheme="majorEastAsia" w:eastAsiaTheme="majorEastAsia" w:cstheme="majorEastAsia"/>
                <w:color w:val="auto"/>
                <w:szCs w:val="21"/>
              </w:rPr>
              <w:t>%</w:t>
            </w:r>
          </w:p>
        </w:tc>
        <w:tc>
          <w:tcPr>
            <w:tcW w:w="2984" w:type="dxa"/>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w:t>
            </w:r>
            <w:r>
              <w:rPr>
                <w:rFonts w:hint="eastAsia" w:asciiTheme="majorEastAsia" w:hAnsiTheme="majorEastAsia" w:eastAsiaTheme="majorEastAsia" w:cstheme="majorEastAsia"/>
                <w:color w:val="auto"/>
                <w:szCs w:val="21"/>
              </w:rPr>
              <w:t>监狱企业产品的价格</w:t>
            </w:r>
            <w:r>
              <w:rPr>
                <w:rFonts w:hint="eastAsia" w:asciiTheme="majorEastAsia" w:hAnsiTheme="majorEastAsia" w:eastAsiaTheme="majorEastAsia" w:cstheme="major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5</w:t>
            </w:r>
          </w:p>
        </w:tc>
        <w:tc>
          <w:tcPr>
            <w:tcW w:w="2540"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残疾人福利性单位</w:t>
            </w:r>
          </w:p>
        </w:tc>
        <w:tc>
          <w:tcPr>
            <w:tcW w:w="3143"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对残疾人福利性单位产品价格扣除</w:t>
            </w:r>
            <w:r>
              <w:rPr>
                <w:rFonts w:hint="eastAsia" w:asciiTheme="majorEastAsia" w:hAnsiTheme="majorEastAsia" w:eastAsiaTheme="majorEastAsia" w:cstheme="majorEastAsia"/>
                <w:color w:val="auto"/>
                <w:szCs w:val="21"/>
                <w:u w:val="single"/>
              </w:rPr>
              <w:t>6</w:t>
            </w:r>
            <w:r>
              <w:rPr>
                <w:rFonts w:hint="eastAsia" w:asciiTheme="majorEastAsia" w:hAnsiTheme="majorEastAsia" w:eastAsiaTheme="majorEastAsia" w:cstheme="majorEastAsia"/>
                <w:color w:val="auto"/>
                <w:szCs w:val="21"/>
              </w:rPr>
              <w:t>%</w:t>
            </w:r>
          </w:p>
        </w:tc>
        <w:tc>
          <w:tcPr>
            <w:tcW w:w="2984" w:type="dxa"/>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w:t>
            </w:r>
            <w:r>
              <w:rPr>
                <w:rFonts w:hint="eastAsia" w:asciiTheme="majorEastAsia" w:hAnsiTheme="majorEastAsia" w:eastAsiaTheme="majorEastAsia" w:cstheme="majorEastAsia"/>
                <w:color w:val="auto"/>
                <w:szCs w:val="21"/>
              </w:rPr>
              <w:t>残疾人福利性单位产品的价格</w:t>
            </w:r>
            <w:r>
              <w:rPr>
                <w:rFonts w:hint="eastAsia" w:asciiTheme="majorEastAsia" w:hAnsiTheme="majorEastAsia" w:eastAsiaTheme="majorEastAsia" w:cstheme="major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9388" w:type="dxa"/>
            <w:gridSpan w:val="4"/>
            <w:vAlign w:val="center"/>
          </w:tcPr>
          <w:p>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keepNext w:val="0"/>
              <w:keepLines w:val="0"/>
              <w:pageBreakBefore w:val="0"/>
              <w:kinsoku/>
              <w:wordWrap/>
              <w:overflowPunct/>
              <w:topLinePunct w:val="0"/>
              <w:autoSpaceDE/>
              <w:autoSpaceDN/>
              <w:bidi w:val="0"/>
              <w:adjustRightInd w:val="0"/>
              <w:snapToGrid/>
              <w:spacing w:line="380" w:lineRule="exact"/>
              <w:jc w:val="left"/>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2、经谈判小组审查、评价，响应文件符合谈判文件实质性要求且进行了政策性价格扣除后，以评审价格由低到高的顺序提出3名成交候选人。</w:t>
            </w:r>
          </w:p>
        </w:tc>
      </w:tr>
    </w:tbl>
    <w:p>
      <w:pPr>
        <w:keepNext w:val="0"/>
        <w:keepLines w:val="0"/>
        <w:pageBreakBefore w:val="0"/>
        <w:widowControl w:val="0"/>
        <w:tabs>
          <w:tab w:val="left" w:pos="1260"/>
        </w:tabs>
        <w:kinsoku/>
        <w:overflowPunct/>
        <w:topLinePunct w:val="0"/>
        <w:autoSpaceDE w:val="0"/>
        <w:autoSpaceDN w:val="0"/>
        <w:bidi w:val="0"/>
        <w:adjustRightInd/>
        <w:snapToGrid/>
        <w:spacing w:line="400" w:lineRule="exact"/>
        <w:contextualSpacing/>
        <w:textAlignment w:val="auto"/>
        <w:rPr>
          <w:rFonts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备注：</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a、不接受联合体响应的项目，本表中第2项、第3项情形不适用。</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b、小型和微型企业产品包括货物及其提供的服务与工程。</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c、中小企业、残疾人福利性单位提供其他企业制造的货物的，则该货物的制造商也必须为上述企业，否则不能享受价格优惠。</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color w:val="auto"/>
          <w:szCs w:val="21"/>
          <w:lang w:val="zh-CN"/>
        </w:rPr>
        <w:t>d、残疾人福利性单位属于小型、微型企业的，不重复享受政策。</w:t>
      </w:r>
    </w:p>
    <w:p>
      <w:pPr>
        <w:keepNext w:val="0"/>
        <w:keepLines w:val="0"/>
        <w:pageBreakBefore w:val="0"/>
        <w:widowControl w:val="0"/>
        <w:kinsoku/>
        <w:overflowPunct/>
        <w:topLinePunct w:val="0"/>
        <w:bidi w:val="0"/>
        <w:adjustRightInd/>
        <w:snapToGrid/>
        <w:spacing w:line="400" w:lineRule="exact"/>
        <w:ind w:firstLine="420" w:firstLineChars="200"/>
        <w:textAlignment w:val="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E、小型和微型企业不包括民办非企业单位。</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四、评审方法</w:t>
      </w:r>
    </w:p>
    <w:p>
      <w:pPr>
        <w:pStyle w:val="15"/>
        <w:keepNext w:val="0"/>
        <w:keepLines w:val="0"/>
        <w:pageBreakBefore w:val="0"/>
        <w:widowControl w:val="0"/>
        <w:kinsoku/>
        <w:overflowPunct/>
        <w:topLinePunct w:val="0"/>
        <w:bidi w:val="0"/>
        <w:adjustRightInd/>
        <w:snapToGrid/>
        <w:spacing w:line="400" w:lineRule="exact"/>
        <w:ind w:firstLine="420" w:firstLineChars="200"/>
        <w:contextualSpacing/>
        <w:jc w:val="left"/>
        <w:textAlignment w:val="auto"/>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从质量和服务均能满足采购文件实质性响应要求的供应商中，按照由低到高的顺序提出3名成交候选人。根据规定,采购人按照成交候选人排名顺序确定成交供应商。</w:t>
      </w:r>
    </w:p>
    <w:p>
      <w:pPr>
        <w:pStyle w:val="15"/>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五、谈判小组编写评审报告。</w:t>
      </w:r>
    </w:p>
    <w:p>
      <w:pPr>
        <w:pStyle w:val="15"/>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val="0"/>
        <w:overflowPunct/>
        <w:topLinePunct w:val="0"/>
        <w:bidi w:val="0"/>
        <w:adjustRightInd/>
        <w:snapToGrid/>
        <w:spacing w:line="400"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hint="eastAsia" w:asciiTheme="majorEastAsia" w:hAnsiTheme="majorEastAsia" w:eastAsiaTheme="majorEastAsia" w:cstheme="majorEastAsia"/>
          <w:color w:val="auto"/>
          <w:sz w:val="21"/>
          <w:szCs w:val="21"/>
          <w:lang w:val="zh-CN"/>
        </w:rPr>
      </w:pPr>
    </w:p>
    <w:p>
      <w:pPr>
        <w:adjustRightInd w:val="0"/>
        <w:snapToGrid w:val="0"/>
        <w:spacing w:line="360" w:lineRule="auto"/>
        <w:rPr>
          <w:rFonts w:ascii="宋体" w:hAnsi="宋体" w:cs="Courier New"/>
          <w:color w:val="auto"/>
          <w:szCs w:val="21"/>
        </w:rPr>
      </w:pPr>
    </w:p>
    <w:p>
      <w:pPr>
        <w:pStyle w:val="25"/>
        <w:rPr>
          <w:rFonts w:ascii="宋体" w:hAnsi="宋体" w:cs="Courier New"/>
          <w:color w:val="auto"/>
          <w:szCs w:val="21"/>
        </w:rPr>
      </w:pPr>
    </w:p>
    <w:p>
      <w:pPr>
        <w:pStyle w:val="26"/>
        <w:rPr>
          <w:rFonts w:ascii="宋体" w:hAnsi="宋体" w:cs="Courier New"/>
          <w:color w:val="auto"/>
          <w:szCs w:val="21"/>
        </w:rPr>
      </w:pPr>
    </w:p>
    <w:p>
      <w:pPr>
        <w:rPr>
          <w:rFonts w:ascii="宋体" w:hAnsi="宋体" w:cs="Courier New"/>
          <w:color w:val="auto"/>
          <w:szCs w:val="21"/>
        </w:rPr>
      </w:pPr>
    </w:p>
    <w:p>
      <w:pPr>
        <w:pStyle w:val="25"/>
        <w:rPr>
          <w:rFonts w:ascii="宋体" w:hAnsi="宋体" w:cs="Courier New"/>
          <w:color w:val="auto"/>
          <w:szCs w:val="21"/>
        </w:rPr>
      </w:pPr>
    </w:p>
    <w:p>
      <w:pPr>
        <w:pStyle w:val="26"/>
        <w:rPr>
          <w:rFonts w:ascii="宋体" w:hAnsi="宋体" w:cs="Courier New"/>
          <w:color w:val="auto"/>
          <w:szCs w:val="21"/>
        </w:rPr>
      </w:pPr>
    </w:p>
    <w:p>
      <w:pPr>
        <w:rPr>
          <w:rFonts w:ascii="宋体" w:hAnsi="宋体" w:cs="Courier New"/>
          <w:color w:val="auto"/>
          <w:szCs w:val="21"/>
        </w:rPr>
      </w:pPr>
    </w:p>
    <w:p>
      <w:pPr>
        <w:pStyle w:val="25"/>
        <w:rPr>
          <w:rFonts w:ascii="宋体" w:hAnsi="宋体" w:cs="Courier New"/>
          <w:color w:val="auto"/>
          <w:szCs w:val="21"/>
        </w:rPr>
      </w:pPr>
    </w:p>
    <w:p>
      <w:pPr>
        <w:pStyle w:val="26"/>
        <w:rPr>
          <w:rFonts w:ascii="宋体" w:hAnsi="宋体" w:cs="Courier New"/>
          <w:color w:val="auto"/>
          <w:szCs w:val="21"/>
        </w:rPr>
      </w:pPr>
    </w:p>
    <w:p>
      <w:pPr>
        <w:rPr>
          <w:rFonts w:ascii="宋体" w:hAnsi="宋体" w:cs="Courier New"/>
          <w:color w:val="auto"/>
          <w:szCs w:val="21"/>
        </w:rPr>
      </w:pPr>
    </w:p>
    <w:p>
      <w:pPr>
        <w:pStyle w:val="25"/>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最终签定合同的主要条款不能与谈判文件有冲突）</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4"/>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numPr>
          <w:ilvl w:val="0"/>
          <w:numId w:val="0"/>
        </w:num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44"/>
          <w:szCs w:val="44"/>
        </w:rPr>
      </w:pPr>
    </w:p>
    <w:p>
      <w:pPr>
        <w:numPr>
          <w:ilvl w:val="0"/>
          <w:numId w:val="0"/>
        </w:num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44"/>
          <w:szCs w:val="44"/>
        </w:rPr>
      </w:pPr>
    </w:p>
    <w:p>
      <w:pPr>
        <w:pStyle w:val="2"/>
        <w:rPr>
          <w:rFonts w:cs="宋体" w:asciiTheme="majorEastAsia" w:hAnsiTheme="majorEastAsia" w:eastAsiaTheme="majorEastAsia"/>
          <w:b/>
          <w:color w:val="auto"/>
          <w:kern w:val="0"/>
          <w:sz w:val="44"/>
          <w:szCs w:val="44"/>
        </w:rPr>
      </w:pPr>
    </w:p>
    <w:p>
      <w:pPr>
        <w:pStyle w:val="3"/>
        <w:rPr>
          <w:rFonts w:cs="宋体" w:asciiTheme="majorEastAsia" w:hAnsiTheme="majorEastAsia" w:eastAsiaTheme="majorEastAsia"/>
          <w:b/>
          <w:color w:val="auto"/>
          <w:kern w:val="0"/>
          <w:sz w:val="44"/>
          <w:szCs w:val="44"/>
        </w:rPr>
      </w:pPr>
    </w:p>
    <w:p>
      <w:pPr>
        <w:pStyle w:val="3"/>
        <w:rPr>
          <w:rFonts w:cs="宋体" w:asciiTheme="majorEastAsia" w:hAnsiTheme="majorEastAsia" w:eastAsiaTheme="majorEastAsia"/>
          <w:b/>
          <w:color w:val="auto"/>
          <w:kern w:val="0"/>
          <w:sz w:val="44"/>
          <w:szCs w:val="44"/>
        </w:rPr>
      </w:pPr>
    </w:p>
    <w:p>
      <w:pPr>
        <w:numPr>
          <w:ilvl w:val="0"/>
          <w:numId w:val="0"/>
        </w:num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44"/>
          <w:szCs w:val="44"/>
        </w:rPr>
      </w:pPr>
    </w:p>
    <w:p>
      <w:pPr>
        <w:numPr>
          <w:ilvl w:val="0"/>
          <w:numId w:val="0"/>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第八章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响应文件有关格式</w:t>
      </w:r>
    </w:p>
    <w:p>
      <w:pPr>
        <w:spacing w:line="360" w:lineRule="auto"/>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注：</w:t>
      </w:r>
    </w:p>
    <w:p>
      <w:pPr>
        <w:spacing w:line="360" w:lineRule="auto"/>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pStyle w:val="25"/>
        <w:spacing w:line="360" w:lineRule="auto"/>
        <w:rPr>
          <w:sz w:val="24"/>
          <w:szCs w:val="24"/>
        </w:rPr>
      </w:pPr>
      <w:r>
        <w:rPr>
          <w:rFonts w:hint="eastAsia" w:ascii="宋体" w:hAnsi="宋体" w:eastAsia="宋体" w:cs="黑体"/>
          <w:b/>
          <w:color w:val="000000"/>
          <w:kern w:val="0"/>
          <w:sz w:val="24"/>
          <w:szCs w:val="24"/>
        </w:rPr>
        <w:t>2.没有给定格式的，投标人可以自行设计。</w:t>
      </w:r>
    </w:p>
    <w:p>
      <w:pPr>
        <w:pStyle w:val="2"/>
        <w:rPr>
          <w:color w:val="auto"/>
        </w:rPr>
      </w:pPr>
    </w:p>
    <w:p>
      <w:pPr>
        <w:pStyle w:val="3"/>
        <w:rPr>
          <w:color w:val="auto"/>
        </w:rPr>
      </w:pPr>
    </w:p>
    <w:p>
      <w:pPr>
        <w:pStyle w:val="3"/>
        <w:rPr>
          <w:color w:val="auto"/>
        </w:rPr>
      </w:pPr>
    </w:p>
    <w:p>
      <w:pPr>
        <w:pStyle w:val="3"/>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hint="eastAsia"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4" w:name="_Toc27760_WPSOffice_Level1"/>
      <w:bookmarkStart w:id="5" w:name="_Toc7428_WPSOffice_Level1"/>
      <w:r>
        <w:rPr>
          <w:rFonts w:hint="eastAsia" w:ascii="宋体" w:hAnsi="宋体" w:cs="宋体"/>
          <w:color w:val="auto"/>
          <w:sz w:val="28"/>
          <w:szCs w:val="28"/>
          <w:lang w:eastAsia="zh-CN"/>
        </w:rPr>
        <w:t>投标人</w:t>
      </w:r>
      <w:r>
        <w:rPr>
          <w:rFonts w:hint="eastAsia" w:ascii="宋体" w:hAnsi="宋体" w:cs="宋体"/>
          <w:color w:val="auto"/>
          <w:sz w:val="28"/>
          <w:szCs w:val="28"/>
        </w:rPr>
        <w:t>：（全称并加盖公章）</w:t>
      </w:r>
      <w:bookmarkEnd w:id="4"/>
      <w:bookmarkEnd w:id="5"/>
    </w:p>
    <w:p>
      <w:pPr>
        <w:spacing w:line="480" w:lineRule="auto"/>
        <w:ind w:firstLine="1120" w:firstLineChars="400"/>
        <w:rPr>
          <w:rFonts w:ascii="宋体" w:hAnsi="宋体" w:cs="宋体"/>
          <w:b/>
          <w:bCs/>
          <w:color w:val="auto"/>
          <w:sz w:val="28"/>
          <w:szCs w:val="28"/>
        </w:rPr>
      </w:pPr>
      <w:bookmarkStart w:id="6" w:name="_Toc4840_WPSOffice_Level1"/>
      <w:bookmarkStart w:id="7" w:name="_Toc28157_WPSOffice_Level1"/>
      <w:r>
        <w:rPr>
          <w:rFonts w:hint="eastAsia" w:ascii="宋体" w:hAnsi="宋体" w:cs="宋体"/>
          <w:color w:val="auto"/>
          <w:sz w:val="28"/>
          <w:szCs w:val="28"/>
        </w:rPr>
        <w:t>法定代表人或委托代理人（签字）：</w:t>
      </w:r>
      <w:bookmarkEnd w:id="6"/>
      <w:bookmarkEnd w:id="7"/>
    </w:p>
    <w:p>
      <w:pPr>
        <w:spacing w:line="480" w:lineRule="auto"/>
        <w:ind w:firstLine="1120" w:firstLineChars="400"/>
        <w:rPr>
          <w:rFonts w:hint="eastAsia" w:cs="黑体" w:asciiTheme="minorEastAsia" w:hAnsiTheme="minorEastAsia" w:eastAsiaTheme="minorEastAsia"/>
          <w:color w:val="auto"/>
          <w:kern w:val="2"/>
          <w:sz w:val="28"/>
          <w:szCs w:val="28"/>
          <w:lang w:val="zh-CN"/>
        </w:rPr>
      </w:pPr>
      <w:bookmarkStart w:id="8" w:name="_Toc15640_WPSOffice_Level1"/>
      <w:bookmarkStart w:id="9" w:name="_Toc2311_WPSOffice_Level1"/>
      <w:r>
        <w:rPr>
          <w:rFonts w:hint="eastAsia" w:ascii="宋体" w:hAnsi="宋体" w:cs="宋体"/>
          <w:color w:val="auto"/>
          <w:sz w:val="28"/>
          <w:szCs w:val="28"/>
        </w:rPr>
        <w:t>日    期：年 月 日</w:t>
      </w:r>
      <w:bookmarkEnd w:id="8"/>
      <w:bookmarkEnd w:id="9"/>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lang w:eastAsia="zh-CN"/>
              </w:rPr>
              <w:t>报价</w:t>
            </w:r>
            <w:r>
              <w:rPr>
                <w:rFonts w:hint="eastAsia" w:hAnsi="宋体"/>
                <w:color w:val="auto"/>
                <w:kern w:val="0"/>
                <w:sz w:val="21"/>
                <w:szCs w:val="21"/>
              </w:rPr>
              <w:t>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lang w:eastAsia="zh-CN"/>
              </w:rPr>
              <w:t>投标</w:t>
            </w:r>
            <w:r>
              <w:rPr>
                <w:rFonts w:hint="eastAsia" w:hAnsi="宋体"/>
                <w:color w:val="auto"/>
                <w:kern w:val="0"/>
                <w:sz w:val="21"/>
                <w:szCs w:val="21"/>
              </w:rPr>
              <w:t>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5"/>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5"/>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int="default" w:hAnsi="宋体" w:eastAsia="宋体" w:cs="微软雅黑"/>
                <w:bCs/>
                <w:color w:val="auto"/>
                <w:kern w:val="0"/>
                <w:sz w:val="21"/>
                <w:szCs w:val="21"/>
                <w:lang w:val="en-US" w:eastAsia="zh-CN"/>
              </w:rPr>
            </w:pPr>
            <w:r>
              <w:rPr>
                <w:rFonts w:hint="eastAsia" w:hAnsi="宋体" w:cs="微软雅黑"/>
                <w:bCs/>
                <w:color w:val="auto"/>
                <w:kern w:val="0"/>
                <w:sz w:val="21"/>
                <w:szCs w:val="21"/>
              </w:rPr>
              <w:t>分项</w:t>
            </w:r>
            <w:r>
              <w:rPr>
                <w:rFonts w:hint="eastAsia" w:hAnsi="宋体" w:cs="微软雅黑"/>
                <w:bCs/>
                <w:color w:val="auto"/>
                <w:kern w:val="0"/>
                <w:sz w:val="21"/>
                <w:szCs w:val="21"/>
                <w:lang w:eastAsia="zh-CN"/>
              </w:rPr>
              <w:t>报价</w:t>
            </w:r>
            <w:r>
              <w:rPr>
                <w:rFonts w:hint="eastAsia" w:hAnsi="宋体" w:cs="微软雅黑"/>
                <w:bCs/>
                <w:color w:val="auto"/>
                <w:kern w:val="0"/>
                <w:sz w:val="21"/>
                <w:szCs w:val="21"/>
              </w:rPr>
              <w:t>表</w:t>
            </w:r>
            <w:r>
              <w:rPr>
                <w:rFonts w:hint="eastAsia" w:hAnsi="宋体" w:cs="微软雅黑"/>
                <w:bCs/>
                <w:color w:val="auto"/>
                <w:kern w:val="0"/>
                <w:sz w:val="21"/>
                <w:szCs w:val="21"/>
                <w:lang w:eastAsia="zh-CN"/>
              </w:rPr>
              <w:t>（已标价工程量清单）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26</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367" w:leftChars="-1" w:hanging="369" w:hangingChars="176"/>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cstheme="majorEastAsia"/>
          <w:color w:val="auto"/>
          <w:szCs w:val="21"/>
        </w:rPr>
        <w:t>②本表序号10请按照本谈判文件 “第六章资格审查与评标”资格审查表中序号6要求提供，根据所提供证明材料或承诺函（声明）情况填写其中一项即可。</w:t>
      </w:r>
    </w:p>
    <w:p>
      <w:pPr>
        <w:pStyle w:val="15"/>
        <w:spacing w:line="360" w:lineRule="auto"/>
        <w:jc w:val="center"/>
        <w:rPr>
          <w:rFonts w:asciiTheme="majorEastAsia" w:hAnsiTheme="majorEastAsia" w:eastAsiaTheme="majorEastAsia"/>
          <w:b/>
          <w:snapToGrid w:val="0"/>
          <w:color w:val="auto"/>
          <w:kern w:val="0"/>
          <w:sz w:val="28"/>
          <w:szCs w:val="28"/>
        </w:rPr>
      </w:pPr>
    </w:p>
    <w:p>
      <w:pPr>
        <w:pStyle w:val="15"/>
        <w:spacing w:line="360" w:lineRule="auto"/>
        <w:jc w:val="center"/>
        <w:rPr>
          <w:rFonts w:asciiTheme="majorEastAsia" w:hAnsiTheme="majorEastAsia" w:eastAsiaTheme="majorEastAsia"/>
          <w:b/>
          <w:snapToGrid w:val="0"/>
          <w:color w:val="auto"/>
          <w:kern w:val="0"/>
          <w:sz w:val="28"/>
          <w:szCs w:val="28"/>
        </w:rPr>
      </w:pPr>
    </w:p>
    <w:p>
      <w:pPr>
        <w:pStyle w:val="15"/>
        <w:spacing w:line="360" w:lineRule="auto"/>
        <w:jc w:val="center"/>
        <w:rPr>
          <w:rFonts w:asciiTheme="majorEastAsia" w:hAnsiTheme="majorEastAsia" w:eastAsiaTheme="majorEastAsia"/>
          <w:b/>
          <w:snapToGrid w:val="0"/>
          <w:color w:val="auto"/>
          <w:kern w:val="0"/>
          <w:sz w:val="28"/>
          <w:szCs w:val="28"/>
        </w:rPr>
      </w:pPr>
    </w:p>
    <w:p>
      <w:pPr>
        <w:pStyle w:val="15"/>
        <w:spacing w:line="360" w:lineRule="auto"/>
        <w:jc w:val="center"/>
        <w:rPr>
          <w:rFonts w:asciiTheme="majorEastAsia" w:hAnsiTheme="majorEastAsia" w:eastAsiaTheme="majorEastAsia"/>
          <w:b/>
          <w:snapToGrid w:val="0"/>
          <w:color w:val="auto"/>
          <w:kern w:val="0"/>
          <w:sz w:val="28"/>
          <w:szCs w:val="28"/>
        </w:rPr>
      </w:pPr>
    </w:p>
    <w:p>
      <w:pPr>
        <w:pStyle w:val="15"/>
        <w:spacing w:line="360" w:lineRule="auto"/>
        <w:jc w:val="center"/>
        <w:rPr>
          <w:rFonts w:asciiTheme="majorEastAsia" w:hAnsiTheme="majorEastAsia" w:eastAsiaTheme="majorEastAsia"/>
          <w:b/>
          <w:snapToGrid w:val="0"/>
          <w:color w:val="auto"/>
          <w:kern w:val="0"/>
          <w:sz w:val="28"/>
          <w:szCs w:val="28"/>
        </w:rPr>
      </w:pPr>
    </w:p>
    <w:p>
      <w:pPr>
        <w:pStyle w:val="15"/>
        <w:spacing w:line="360" w:lineRule="auto"/>
        <w:jc w:val="both"/>
        <w:rPr>
          <w:rFonts w:asciiTheme="majorEastAsia" w:hAnsiTheme="majorEastAsia" w:eastAsiaTheme="majorEastAsia"/>
          <w:b/>
          <w:snapToGrid w:val="0"/>
          <w:color w:val="auto"/>
          <w:kern w:val="0"/>
          <w:sz w:val="28"/>
          <w:szCs w:val="28"/>
        </w:rPr>
      </w:pPr>
    </w:p>
    <w:p>
      <w:pPr>
        <w:pStyle w:val="15"/>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w:t>
      </w:r>
      <w:r>
        <w:rPr>
          <w:rFonts w:hint="eastAsia" w:asciiTheme="majorEastAsia" w:hAnsiTheme="majorEastAsia" w:eastAsiaTheme="majorEastAsia"/>
          <w:b/>
          <w:snapToGrid w:val="0"/>
          <w:color w:val="auto"/>
          <w:kern w:val="0"/>
          <w:sz w:val="28"/>
          <w:szCs w:val="28"/>
          <w:lang w:eastAsia="zh-CN"/>
        </w:rPr>
        <w:t>报价</w:t>
      </w:r>
      <w:r>
        <w:rPr>
          <w:rFonts w:hint="eastAsia" w:asciiTheme="majorEastAsia" w:hAnsiTheme="majorEastAsia" w:eastAsiaTheme="majorEastAsia"/>
          <w:b/>
          <w:snapToGrid w:val="0"/>
          <w:color w:val="auto"/>
          <w:kern w:val="0"/>
          <w:sz w:val="28"/>
          <w:szCs w:val="28"/>
        </w:rPr>
        <w:t>一览表</w:t>
      </w:r>
    </w:p>
    <w:p>
      <w:pPr>
        <w:pStyle w:val="15"/>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color w:val="auto"/>
                <w:szCs w:val="21"/>
                <w:lang w:val="en-US" w:eastAsia="zh-CN"/>
              </w:rPr>
            </w:pPr>
            <w:r>
              <w:rPr>
                <w:rFonts w:hint="eastAsia" w:cs="宋体" w:asciiTheme="minorEastAsia" w:hAnsiTheme="minorEastAsia"/>
                <w:b/>
                <w:color w:val="auto"/>
                <w:szCs w:val="21"/>
                <w:lang w:val="zh-CN"/>
              </w:rPr>
              <w:t>响应</w:t>
            </w:r>
            <w:r>
              <w:rPr>
                <w:rFonts w:hint="eastAsia" w:cs="宋体" w:asciiTheme="minorEastAsia" w:hAnsiTheme="minorEastAsia"/>
                <w:b/>
                <w:color w:val="auto"/>
                <w:szCs w:val="21"/>
                <w:lang w:val="zh-CN" w:eastAsia="zh-CN"/>
              </w:rPr>
              <w:t>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lang w:val="zh-CN"/>
        </w:rPr>
      </w:pPr>
      <w:r>
        <w:rPr>
          <w:rFonts w:hint="eastAsia" w:ascii="宋体" w:hAnsi="宋体" w:eastAsia="宋体" w:cs="宋体"/>
          <w:szCs w:val="21"/>
          <w:lang w:val="zh-CN"/>
        </w:rPr>
        <w:t>投标人法定代表人（单位负责人）和授权代表签字：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ascii="宋体" w:hAnsi="Calibri" w:eastAsia="宋体" w:cs="宋体"/>
          <w:szCs w:val="21"/>
          <w:lang w:val="zh-CN"/>
        </w:rPr>
      </w:pPr>
      <w:r>
        <w:rPr>
          <w:rFonts w:hint="eastAsia" w:ascii="宋体" w:hAnsi="宋体" w:eastAsia="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Calibri"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2"/>
        <w:rPr>
          <w:rFonts w:cs="黑体" w:asciiTheme="minorEastAsia" w:hAnsiTheme="minorEastAsia"/>
          <w:b/>
          <w:bCs/>
          <w:color w:val="auto"/>
          <w:sz w:val="44"/>
          <w:szCs w:val="44"/>
          <w:lang w:val="zh-CN"/>
        </w:rPr>
      </w:pPr>
    </w:p>
    <w:p>
      <w:pPr>
        <w:pStyle w:val="3"/>
        <w:rPr>
          <w:lang w:val="zh-CN"/>
        </w:rPr>
      </w:pPr>
    </w:p>
    <w:p>
      <w:pPr>
        <w:autoSpaceDE w:val="0"/>
        <w:autoSpaceDN w:val="0"/>
        <w:adjustRightInd w:val="0"/>
        <w:spacing w:line="360" w:lineRule="auto"/>
        <w:jc w:val="both"/>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5"/>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 xml:space="preserve">3.1 </w:t>
      </w:r>
      <w:r>
        <w:rPr>
          <w:rFonts w:hint="eastAsia" w:asciiTheme="majorEastAsia" w:hAnsiTheme="majorEastAsia" w:eastAsiaTheme="majorEastAsia"/>
          <w:b/>
          <w:snapToGrid w:val="0"/>
          <w:color w:val="auto"/>
          <w:kern w:val="0"/>
          <w:szCs w:val="24"/>
          <w:lang w:eastAsia="zh-CN"/>
        </w:rPr>
        <w:t>投</w:t>
      </w:r>
      <w:r>
        <w:rPr>
          <w:rFonts w:hint="eastAsia" w:asciiTheme="majorEastAsia" w:hAnsiTheme="majorEastAsia" w:eastAsiaTheme="majorEastAsia"/>
          <w:b/>
          <w:snapToGrid w:val="0"/>
          <w:color w:val="auto"/>
          <w:kern w:val="0"/>
          <w:szCs w:val="24"/>
          <w:lang w:val="en-US" w:eastAsia="zh-CN"/>
        </w:rPr>
        <w:t xml:space="preserve"> </w:t>
      </w:r>
      <w:r>
        <w:rPr>
          <w:rFonts w:hint="eastAsia" w:asciiTheme="majorEastAsia" w:hAnsiTheme="majorEastAsia" w:eastAsiaTheme="majorEastAsia"/>
          <w:b/>
          <w:snapToGrid w:val="0"/>
          <w:color w:val="auto"/>
          <w:kern w:val="0"/>
          <w:szCs w:val="24"/>
          <w:lang w:eastAsia="zh-CN"/>
        </w:rPr>
        <w:t>标</w:t>
      </w:r>
      <w:r>
        <w:rPr>
          <w:rFonts w:hint="eastAsia" w:asciiTheme="majorEastAsia" w:hAnsiTheme="majorEastAsia" w:eastAsiaTheme="majorEastAsia"/>
          <w:b/>
          <w:snapToGrid w:val="0"/>
          <w:color w:val="auto"/>
          <w:kern w:val="0"/>
          <w:szCs w:val="24"/>
        </w:rPr>
        <w:t xml:space="preserve"> 函</w:t>
      </w:r>
    </w:p>
    <w:p>
      <w:pPr>
        <w:pStyle w:val="15"/>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宋体" w:hAnsi="宋体" w:eastAsia="宋体" w:cs="宋体"/>
          <w:color w:val="auto"/>
          <w:szCs w:val="21"/>
          <w:u w:val="single"/>
          <w:shd w:val="clear" w:color="auto" w:fill="FFFFFF"/>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w:t>
      </w:r>
      <w:r>
        <w:rPr>
          <w:rFonts w:hint="eastAsia" w:asciiTheme="minorEastAsia" w:hAnsiTheme="minorEastAsia"/>
          <w:snapToGrid w:val="0"/>
          <w:color w:val="auto"/>
          <w:kern w:val="0"/>
          <w:szCs w:val="21"/>
          <w:lang w:eastAsia="zh-CN"/>
        </w:rPr>
        <w:t>投标人</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w:t>
      </w:r>
      <w:r>
        <w:rPr>
          <w:rFonts w:hint="eastAsia" w:asciiTheme="minorEastAsia" w:hAnsiTheme="minorEastAsia"/>
          <w:snapToGrid w:val="0"/>
          <w:color w:val="auto"/>
          <w:kern w:val="0"/>
          <w:szCs w:val="21"/>
          <w:lang w:eastAsia="zh-CN"/>
        </w:rPr>
        <w:t>投标人</w:t>
      </w:r>
      <w:r>
        <w:rPr>
          <w:rFonts w:hint="eastAsia" w:asciiTheme="minorEastAsia" w:hAnsiTheme="minorEastAsia"/>
          <w:snapToGrid w:val="0"/>
          <w:color w:val="auto"/>
          <w:kern w:val="0"/>
          <w:szCs w:val="21"/>
        </w:rPr>
        <w:t>名称、地址）提交。</w:t>
      </w:r>
    </w:p>
    <w:p>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w:t>
      </w:r>
      <w:r>
        <w:rPr>
          <w:rFonts w:hint="eastAsia" w:asciiTheme="minorEastAsia" w:hAnsiTheme="minorEastAsia" w:eastAsiaTheme="minorEastAsia"/>
          <w:snapToGrid w:val="0"/>
          <w:color w:val="auto"/>
          <w:kern w:val="0"/>
          <w:sz w:val="21"/>
          <w:szCs w:val="21"/>
          <w:lang w:eastAsia="zh-CN"/>
        </w:rPr>
        <w:t>项目</w:t>
      </w:r>
      <w:r>
        <w:rPr>
          <w:rFonts w:hint="eastAsia" w:asciiTheme="minorEastAsia" w:hAnsiTheme="minorEastAsia" w:eastAsiaTheme="minorEastAsia"/>
          <w:snapToGrid w:val="0"/>
          <w:color w:val="auto"/>
          <w:kern w:val="0"/>
          <w:sz w:val="21"/>
          <w:szCs w:val="21"/>
        </w:rPr>
        <w:t>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w:t>
      </w:r>
      <w:r>
        <w:rPr>
          <w:rFonts w:hint="eastAsia" w:cs="Courier New" w:asciiTheme="minorEastAsia" w:hAnsiTheme="minorEastAsia"/>
          <w:color w:val="auto"/>
          <w:szCs w:val="21"/>
          <w:lang w:eastAsia="zh-CN"/>
        </w:rPr>
        <w:t>工程</w:t>
      </w:r>
      <w:r>
        <w:rPr>
          <w:rFonts w:hint="eastAsia" w:cs="Courier New" w:asciiTheme="minorEastAsia" w:hAnsiTheme="minorEastAsia"/>
          <w:color w:val="auto"/>
          <w:szCs w:val="21"/>
        </w:rPr>
        <w:t>与相关服务的响应总价详见《一览表》。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w:t>
      </w:r>
      <w:r>
        <w:rPr>
          <w:rFonts w:hint="eastAsia" w:ascii="宋体" w:hAnsi="宋体"/>
          <w:color w:val="auto"/>
          <w:szCs w:val="21"/>
          <w:lang w:eastAsia="zh-CN"/>
        </w:rPr>
        <w:t>三</w:t>
      </w:r>
      <w:r>
        <w:rPr>
          <w:rFonts w:hint="eastAsia" w:ascii="宋体" w:hAnsi="宋体"/>
          <w:color w:val="auto"/>
          <w:szCs w:val="21"/>
        </w:rPr>
        <w:t>条第</w:t>
      </w:r>
      <w:r>
        <w:rPr>
          <w:rFonts w:hint="eastAsia" w:ascii="宋体" w:hAnsi="宋体"/>
          <w:color w:val="auto"/>
          <w:szCs w:val="21"/>
          <w:lang w:eastAsia="zh-CN"/>
        </w:rPr>
        <w:t>二</w:t>
      </w:r>
      <w:r>
        <w:rPr>
          <w:rFonts w:hint="eastAsia" w:ascii="宋体" w:hAnsi="宋体"/>
          <w:color w:val="auto"/>
          <w:szCs w:val="21"/>
        </w:rPr>
        <w:t>款关于延长投标有效期的规定。</w:t>
      </w:r>
      <w:r>
        <w:rPr>
          <w:rFonts w:hint="eastAsia" w:cs="Courier New" w:asciiTheme="minorEastAsia" w:hAnsiTheme="minorEastAsia"/>
          <w:color w:val="auto"/>
          <w:szCs w:val="21"/>
        </w:rPr>
        <w:t>如成交，有效期将延至</w:t>
      </w:r>
      <w:r>
        <w:rPr>
          <w:rFonts w:hint="eastAsia" w:cs="Courier New" w:asciiTheme="minorEastAsia" w:hAnsiTheme="minorEastAsia"/>
          <w:color w:val="auto"/>
          <w:szCs w:val="21"/>
          <w:lang w:eastAsia="zh-CN"/>
        </w:rPr>
        <w:t>项目</w:t>
      </w:r>
      <w:r>
        <w:rPr>
          <w:rFonts w:hint="eastAsia" w:cs="Courier New" w:asciiTheme="minorEastAsia" w:hAnsiTheme="minorEastAsia"/>
          <w:color w:val="auto"/>
          <w:szCs w:val="21"/>
        </w:rPr>
        <w:t>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5"/>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eastAsia="zh-CN"/>
        </w:rPr>
        <w:t>八</w:t>
      </w:r>
      <w:r>
        <w:rPr>
          <w:rFonts w:hint="eastAsia" w:cs="Arial" w:asciiTheme="minorEastAsia" w:hAnsiTheme="minorEastAsia" w:eastAsiaTheme="minorEastAsia"/>
          <w:color w:val="auto"/>
          <w:sz w:val="21"/>
          <w:szCs w:val="21"/>
        </w:rPr>
        <w:t>、我方具备《政府采购法》第二十二条规定的条件；承诺如下：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九</w:t>
      </w:r>
      <w:r>
        <w:rPr>
          <w:rFonts w:hint="eastAsia" w:asciiTheme="minorEastAsia" w:hAnsiTheme="minorEastAsia" w:eastAsiaTheme="minorEastAsia"/>
          <w:color w:val="auto"/>
          <w:sz w:val="21"/>
          <w:szCs w:val="21"/>
        </w:rPr>
        <w:t>、我方具备履行合同所必需的设备和专业技术能力。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w:t>
      </w:r>
      <w:r>
        <w:rPr>
          <w:rFonts w:hint="eastAsia" w:asciiTheme="minorEastAsia" w:hAnsiTheme="minorEastAsia" w:eastAsiaTheme="minorEastAsia"/>
          <w:color w:val="auto"/>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color w:val="auto"/>
          <w:sz w:val="21"/>
          <w:szCs w:val="21"/>
        </w:rPr>
      </w:pPr>
    </w:p>
    <w:p>
      <w:pPr>
        <w:pStyle w:val="15"/>
        <w:adjustRightInd w:val="0"/>
        <w:snapToGrid w:val="0"/>
        <w:spacing w:line="360" w:lineRule="auto"/>
        <w:rPr>
          <w:rFonts w:asciiTheme="minorEastAsia" w:hAnsiTheme="minorEastAsia" w:eastAsiaTheme="minorEastAsia"/>
          <w:color w:val="auto"/>
          <w:sz w:val="21"/>
          <w:szCs w:val="21"/>
        </w:rPr>
      </w:pPr>
    </w:p>
    <w:p>
      <w:pPr>
        <w:pStyle w:val="15"/>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lang w:eastAsia="zh-CN"/>
        </w:rPr>
        <w:t>投标人</w:t>
      </w:r>
      <w:r>
        <w:rPr>
          <w:rFonts w:hint="eastAsia" w:cs="宋体" w:asciiTheme="minorEastAsia" w:hAnsiTheme="minorEastAsia"/>
          <w:color w:val="auto"/>
          <w:szCs w:val="21"/>
        </w:rPr>
        <w:t>代表姓名：</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hint="eastAsia" w:cs="宋体" w:asciiTheme="minorEastAsia" w:hAnsiTheme="minorEastAsia"/>
          <w:color w:val="auto"/>
          <w:szCs w:val="21"/>
        </w:rPr>
      </w:pPr>
      <w:r>
        <w:rPr>
          <w:rFonts w:hint="eastAsia" w:cs="宋体" w:asciiTheme="minorEastAsia" w:hAnsiTheme="minorEastAsia"/>
          <w:color w:val="auto"/>
          <w:szCs w:val="21"/>
          <w:lang w:eastAsia="zh-CN"/>
        </w:rPr>
        <w:t>投标人</w:t>
      </w:r>
      <w:r>
        <w:rPr>
          <w:rFonts w:hint="eastAsia" w:cs="宋体" w:asciiTheme="minorEastAsia" w:hAnsiTheme="minorEastAsia"/>
          <w:color w:val="auto"/>
          <w:szCs w:val="21"/>
        </w:rPr>
        <w:t>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p>
    <w:p>
      <w:pPr>
        <w:pStyle w:val="25"/>
        <w:ind w:left="0" w:leftChars="0" w:firstLine="0" w:firstLineChars="0"/>
        <w:rPr>
          <w:rFonts w:cs="宋体" w:asciiTheme="minorEastAsia" w:hAnsiTheme="minorEastAsia"/>
          <w:color w:val="auto"/>
          <w:szCs w:val="21"/>
        </w:rPr>
      </w:pPr>
      <w:r>
        <w:rPr>
          <w:rFonts w:hint="eastAsia" w:cs="宋体" w:asciiTheme="minorEastAsia" w:hAnsiTheme="minorEastAsia" w:eastAsiaTheme="minorEastAsia"/>
          <w:color w:val="auto"/>
          <w:kern w:val="2"/>
          <w:sz w:val="21"/>
          <w:szCs w:val="21"/>
          <w:lang w:val="en-US" w:eastAsia="zh-CN" w:bidi="ar-SA"/>
        </w:rPr>
        <w:t>投标人法定代表人（单位负责人）或法定代表人（单位负责人）授权代表签字和盖章：</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p>
    <w:p>
      <w:pPr>
        <w:adjustRightInd w:val="0"/>
        <w:snapToGrid w:val="0"/>
        <w:spacing w:line="360" w:lineRule="auto"/>
        <w:ind w:firstLine="4305" w:firstLineChars="2050"/>
        <w:rPr>
          <w:rFonts w:hint="eastAsia"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月</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line="480" w:lineRule="exact"/>
        <w:jc w:val="both"/>
        <w:rPr>
          <w:rFonts w:hint="eastAsia" w:asciiTheme="majorEastAsia" w:hAnsiTheme="majorEastAsia" w:eastAsiaTheme="majorEastAsia"/>
          <w:b/>
          <w:bCs/>
          <w:color w:val="auto"/>
          <w:sz w:val="24"/>
          <w:szCs w:val="24"/>
        </w:rPr>
      </w:pPr>
    </w:p>
    <w:p>
      <w:pPr>
        <w:pStyle w:val="2"/>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pStyle w:val="3"/>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7"/>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lang w:val="en-US" w:eastAsia="zh-CN"/>
        </w:rPr>
        <w:t xml:space="preserve"> </w:t>
      </w:r>
      <w:r>
        <w:rPr>
          <w:rFonts w:hint="eastAsia" w:asciiTheme="minorEastAsia" w:hAnsiTheme="minorEastAsia"/>
          <w:i/>
          <w:snapToGrid w:val="0"/>
          <w:color w:val="auto"/>
          <w:sz w:val="21"/>
          <w:szCs w:val="21"/>
          <w:u w:val="single"/>
          <w:lang w:eastAsia="zh-CN"/>
        </w:rPr>
        <w:t>投标人</w:t>
      </w:r>
      <w:r>
        <w:rPr>
          <w:rFonts w:hint="eastAsia" w:asciiTheme="minorEastAsia" w:hAnsiTheme="minorEastAsia"/>
          <w:i/>
          <w:snapToGrid w:val="0"/>
          <w:color w:val="auto"/>
          <w:sz w:val="21"/>
          <w:szCs w:val="21"/>
          <w:u w:val="single"/>
        </w:rPr>
        <w:t>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lang w:val="en-US" w:eastAsia="zh-CN"/>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lang w:val="en-US" w:eastAsia="zh-CN"/>
        </w:rPr>
        <w:t xml:space="preserve"> </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lang w:val="en-US" w:eastAsia="zh-CN"/>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7"/>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lang w:eastAsia="zh-CN"/>
        </w:rPr>
        <w:t>投标人</w:t>
      </w:r>
      <w:r>
        <w:rPr>
          <w:rFonts w:hint="eastAsia" w:cs="宋体" w:asciiTheme="minorEastAsia" w:hAnsiTheme="minorEastAsia"/>
          <w:color w:val="auto"/>
          <w:szCs w:val="21"/>
        </w:rPr>
        <w:t>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p>
    <w:p>
      <w:pPr>
        <w:pStyle w:val="60"/>
        <w:spacing w:before="60" w:line="480" w:lineRule="auto"/>
        <w:ind w:firstLine="3937" w:firstLineChars="1875"/>
        <w:rPr>
          <w:rFonts w:cs="Arial" w:asciiTheme="minorEastAsia" w:hAnsiTheme="minorEastAsia" w:eastAsiaTheme="minorEastAsia"/>
          <w:color w:val="auto"/>
          <w:sz w:val="21"/>
          <w:szCs w:val="21"/>
          <w:u w:val="single"/>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single"/>
          <w:lang w:val="en-US" w:eastAsia="zh-CN"/>
        </w:rPr>
        <w:t xml:space="preserve">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none"/>
        </w:rPr>
        <w:t xml:space="preserve"> 年</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single"/>
          <w:lang w:val="en-US" w:eastAsia="zh-CN"/>
        </w:rPr>
        <w:t xml:space="preserve">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none"/>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single"/>
          <w:lang w:val="en-US" w:eastAsia="zh-CN"/>
        </w:rPr>
        <w:t xml:space="preserve">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none"/>
        </w:rPr>
        <w:t>日</w:t>
      </w:r>
    </w:p>
    <w:p>
      <w:pPr>
        <w:pStyle w:val="5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color w:val="auto"/>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hint="eastAsia" w:ascii="宋体" w:hAnsi="宋体"/>
          <w:b/>
          <w:bCs/>
          <w:color w:val="auto"/>
          <w:sz w:val="24"/>
          <w:szCs w:val="24"/>
        </w:rPr>
      </w:pPr>
    </w:p>
    <w:p>
      <w:pPr>
        <w:spacing w:line="480" w:lineRule="exact"/>
        <w:jc w:val="center"/>
        <w:rPr>
          <w:rFonts w:hint="eastAsia" w:ascii="宋体" w:hAnsi="宋体"/>
          <w:b/>
          <w:bCs/>
          <w:color w:val="auto"/>
          <w:sz w:val="24"/>
          <w:szCs w:val="24"/>
        </w:rPr>
      </w:pPr>
    </w:p>
    <w:p>
      <w:pPr>
        <w:spacing w:line="480" w:lineRule="exact"/>
        <w:jc w:val="center"/>
        <w:rPr>
          <w:rFonts w:hint="eastAsia" w:ascii="宋体" w:hAnsi="宋体"/>
          <w:b/>
          <w:bCs/>
          <w:color w:val="auto"/>
          <w:sz w:val="24"/>
          <w:szCs w:val="24"/>
        </w:rPr>
      </w:pPr>
    </w:p>
    <w:p>
      <w:pPr>
        <w:spacing w:line="480" w:lineRule="exact"/>
        <w:jc w:val="center"/>
        <w:rPr>
          <w:rFonts w:hint="eastAsia" w:ascii="宋体" w:hAnsi="宋体"/>
          <w:b/>
          <w:bCs/>
          <w:color w:val="auto"/>
          <w:sz w:val="24"/>
          <w:szCs w:val="24"/>
        </w:rPr>
      </w:pPr>
    </w:p>
    <w:p>
      <w:pPr>
        <w:spacing w:line="480" w:lineRule="exact"/>
        <w:jc w:val="center"/>
        <w:rPr>
          <w:rFonts w:hint="eastAsia" w:ascii="宋体" w:hAnsi="宋体"/>
          <w:b/>
          <w:bCs/>
          <w:color w:val="auto"/>
          <w:sz w:val="24"/>
          <w:szCs w:val="24"/>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lang w:eastAsia="zh-CN"/>
        </w:rPr>
        <w:t>投标人</w:t>
      </w:r>
      <w:r>
        <w:rPr>
          <w:rFonts w:hint="eastAsia" w:asciiTheme="minorEastAsia" w:hAnsiTheme="minorEastAsia"/>
          <w:i/>
          <w:snapToGrid w:val="0"/>
          <w:color w:val="auto"/>
          <w:szCs w:val="21"/>
          <w:u w:val="single"/>
        </w:rPr>
        <w:t xml:space="preserve">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lang w:eastAsia="zh-CN"/>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w:t>
      </w:r>
      <w:r>
        <w:rPr>
          <w:rFonts w:hint="eastAsia" w:cs="Arial" w:asciiTheme="minorEastAsia" w:hAnsiTheme="minorEastAsia"/>
          <w:color w:val="auto"/>
          <w:szCs w:val="21"/>
          <w:lang w:eastAsia="zh-CN"/>
        </w:rPr>
        <w:t>和</w:t>
      </w:r>
      <w:r>
        <w:rPr>
          <w:rFonts w:hint="eastAsia" w:cs="Arial"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w:t>
      </w:r>
      <w:r>
        <w:rPr>
          <w:rFonts w:hint="eastAsia" w:asciiTheme="minorEastAsia" w:hAnsiTheme="minorEastAsia"/>
          <w:color w:val="auto"/>
          <w:szCs w:val="21"/>
          <w:lang w:eastAsia="zh-CN"/>
        </w:rPr>
        <w:t>和</w:t>
      </w:r>
      <w:r>
        <w:rPr>
          <w:rFonts w:hint="eastAsia" w:asciiTheme="minorEastAsia" w:hAnsiTheme="minorEastAsia"/>
          <w:color w:val="auto"/>
          <w:szCs w:val="21"/>
        </w:rPr>
        <w:t>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val="en-US" w:eastAsia="zh-CN"/>
              </w:rPr>
              <w:t>正</w:t>
            </w:r>
            <w:r>
              <w:rPr>
                <w:rFonts w:hint="eastAsia" w:asciiTheme="minorEastAsia" w:hAnsiTheme="minorEastAsia"/>
                <w:color w:val="auto"/>
                <w:szCs w:val="21"/>
              </w:rPr>
              <w:t>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val="en-US"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val="en-US" w:eastAsia="zh-CN"/>
              </w:rPr>
              <w:t>正</w:t>
            </w:r>
            <w:r>
              <w:rPr>
                <w:rFonts w:hint="eastAsia" w:asciiTheme="minorEastAsia" w:hAnsiTheme="minorEastAsia"/>
                <w:color w:val="auto"/>
                <w:szCs w:val="21"/>
              </w:rPr>
              <w:t>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val="en-US" w:eastAsia="zh-CN"/>
              </w:rPr>
              <w:t>反</w:t>
            </w:r>
            <w:r>
              <w:rPr>
                <w:rFonts w:hint="eastAsia" w:asciiTheme="minorEastAsia" w:hAnsiTheme="minorEastAsia"/>
                <w:color w:val="auto"/>
                <w:szCs w:val="21"/>
              </w:rPr>
              <w:t>面）</w:t>
            </w:r>
          </w:p>
        </w:tc>
      </w:tr>
    </w:tbl>
    <w:p>
      <w:pPr>
        <w:widowControl/>
        <w:spacing w:before="100" w:beforeAutospacing="1" w:after="100" w:afterAutospacing="1" w:line="360" w:lineRule="auto"/>
        <w:jc w:val="both"/>
        <w:rPr>
          <w:rFonts w:hint="eastAsia"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
        <w:rPr>
          <w:rFonts w:cs="宋体" w:asciiTheme="minorEastAsia" w:hAnsiTheme="minorEastAsia"/>
          <w:color w:val="auto"/>
          <w:sz w:val="24"/>
          <w:szCs w:val="24"/>
          <w:lang w:val="zh-CN"/>
        </w:rPr>
      </w:pPr>
    </w:p>
    <w:p>
      <w:pPr>
        <w:pStyle w:val="3"/>
        <w:rPr>
          <w:rFonts w:cs="宋体" w:asciiTheme="minorEastAsia" w:hAnsiTheme="minorEastAsia"/>
          <w:color w:val="auto"/>
          <w:sz w:val="24"/>
          <w:szCs w:val="24"/>
          <w:lang w:val="zh-CN"/>
        </w:rPr>
      </w:pPr>
    </w:p>
    <w:p>
      <w:pPr>
        <w:pStyle w:val="3"/>
        <w:rPr>
          <w:rFonts w:cs="宋体" w:asciiTheme="minorEastAsia" w:hAnsiTheme="minorEastAsia"/>
          <w:color w:val="auto"/>
          <w:sz w:val="24"/>
          <w:szCs w:val="24"/>
          <w:lang w:val="zh-CN"/>
        </w:rPr>
      </w:pPr>
    </w:p>
    <w:p>
      <w:pPr>
        <w:pStyle w:val="3"/>
        <w:rPr>
          <w:rFonts w:cs="宋体" w:asciiTheme="minorEastAsia" w:hAnsiTheme="minorEastAsia"/>
          <w:color w:val="auto"/>
          <w:sz w:val="24"/>
          <w:szCs w:val="24"/>
          <w:lang w:val="zh-CN"/>
        </w:rPr>
      </w:pPr>
    </w:p>
    <w:p>
      <w:pPr>
        <w:pStyle w:val="3"/>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en-US" w:eastAsia="zh-CN"/>
        </w:rPr>
        <w:t xml:space="preserve">    </w:t>
      </w:r>
      <w:r>
        <w:rPr>
          <w:rFonts w:ascii="宋体" w:hAnsi="宋体" w:eastAsia="宋体" w:cs="宋体"/>
          <w:szCs w:val="21"/>
          <w:lang w:val="zh-CN"/>
        </w:rPr>
        <w:t>年____月</w:t>
      </w:r>
      <w:r>
        <w:rPr>
          <w:rFonts w:hint="eastAsia" w:ascii="宋体" w:hAnsi="宋体" w:eastAsia="宋体" w:cs="宋体"/>
          <w:szCs w:val="21"/>
          <w:u w:val="single"/>
          <w:lang w:val="en-US" w:eastAsia="zh-CN"/>
        </w:rPr>
        <w:t xml:space="preserve">     </w:t>
      </w:r>
      <w:r>
        <w:rPr>
          <w:rFonts w:ascii="宋体" w:hAnsi="宋体" w:eastAsia="宋体" w:cs="宋体"/>
          <w:szCs w:val="21"/>
          <w:lang w:val="zh-CN"/>
        </w:rPr>
        <w:t>日</w:t>
      </w:r>
      <w:r>
        <w:rPr>
          <w:rFonts w:hint="eastAsia" w:ascii="宋体" w:hAnsi="宋体" w:eastAsia="宋体" w:cs="宋体"/>
          <w:szCs w:val="21"/>
          <w:u w:val="single"/>
          <w:lang w:val="en-US" w:eastAsia="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lang w:val="en-US" w:eastAsia="zh-CN"/>
        </w:rPr>
        <w:t xml:space="preserve">     </w:t>
      </w:r>
      <w:r>
        <w:rPr>
          <w:rFonts w:hint="eastAsia" w:cs="宋体" w:asciiTheme="minorEastAsia" w:hAnsiTheme="minorEastAsia"/>
          <w:szCs w:val="21"/>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xml:space="preserve"> 日</w:t>
      </w:r>
    </w:p>
    <w:p>
      <w:pPr>
        <w:pStyle w:val="2"/>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3"/>
        <w:rPr>
          <w:rFonts w:ascii="宋体" w:cs="宋体"/>
          <w:color w:val="auto"/>
          <w:sz w:val="24"/>
          <w:lang w:val="zh-CN"/>
        </w:rPr>
      </w:pPr>
    </w:p>
    <w:p>
      <w:pPr>
        <w:pStyle w:val="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2"/>
        <w:rPr>
          <w:color w:val="auto"/>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ascii="宋体" w:hAnsi="宋体"/>
          <w:b/>
          <w:bCs/>
          <w:sz w:val="24"/>
          <w:szCs w:val="24"/>
        </w:rPr>
        <w:t>中小企业声明函</w:t>
      </w:r>
      <w:r>
        <w:rPr>
          <w:rFonts w:hint="eastAsia" w:ascii="宋体" w:hAnsi="宋体"/>
          <w:b/>
          <w:bCs/>
          <w:sz w:val="24"/>
          <w:szCs w:val="24"/>
        </w:rPr>
        <w:t>（货物）</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rPr>
          <w:rFonts w:hint="eastAsia"/>
        </w:rPr>
        <w:t>企业名称（盖章）：</w:t>
      </w:r>
    </w:p>
    <w:p>
      <w:pPr>
        <w:spacing w:line="480" w:lineRule="auto"/>
        <w:jc w:val="left"/>
        <w:rPr>
          <w:rFonts w:cs="Arial" w:asciiTheme="minorEastAsia" w:hAnsiTheme="minorEastAsia"/>
          <w:color w:val="000000"/>
          <w:szCs w:val="21"/>
        </w:rPr>
      </w:pPr>
      <w:r>
        <w:rPr>
          <w:rFonts w:hint="eastAsia"/>
        </w:rPr>
        <w:t>日期：</w:t>
      </w:r>
    </w:p>
    <w:p>
      <w:pPr>
        <w:spacing w:line="480" w:lineRule="auto"/>
        <w:ind w:left="4358" w:leftChars="2075"/>
        <w:rPr>
          <w:rFonts w:hint="eastAsia" w:cs="Arial" w:asciiTheme="minorEastAsia" w:hAnsiTheme="minorEastAsia"/>
          <w:color w:val="000000"/>
          <w:szCs w:val="21"/>
        </w:rPr>
      </w:pPr>
    </w:p>
    <w:p>
      <w:pPr>
        <w:widowControl/>
        <w:spacing w:before="100" w:beforeAutospacing="1" w:after="100" w:afterAutospacing="1" w:line="360" w:lineRule="auto"/>
        <w:contextualSpacing/>
        <w:jc w:val="left"/>
        <w:rPr>
          <w:rFonts w:hint="eastAsia"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cs="Arial"/>
          <w:color w:val="000000"/>
          <w:kern w:val="0"/>
          <w:szCs w:val="21"/>
        </w:rPr>
      </w:pPr>
      <w:r>
        <w:rPr>
          <w:rFonts w:hint="eastAsia" w:ascii="宋体" w:hAnsi="宋体" w:cs="Arial"/>
          <w:color w:val="000000"/>
          <w:kern w:val="0"/>
          <w:szCs w:val="21"/>
        </w:rPr>
        <w:t>2、中小企业参加政府采购活动，应当出具</w:t>
      </w:r>
      <w:r>
        <w:rPr>
          <w:rFonts w:hint="eastAsia"/>
        </w:rPr>
        <w:t>《中小企业声明函》，否则不得享受相关中小企业扶持政</w:t>
      </w:r>
      <w:r>
        <w:rPr>
          <w:rFonts w:hint="eastAsia" w:ascii="宋体" w:hAnsi="宋体" w:cs="Arial"/>
          <w:color w:val="000000"/>
          <w:kern w:val="0"/>
          <w:szCs w:val="21"/>
        </w:rPr>
        <w:t>策。</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pStyle w:val="2"/>
        <w:rPr>
          <w:rFonts w:hint="eastAsia" w:ascii="宋体" w:hAnsi="宋体"/>
          <w:b/>
          <w:bCs/>
          <w:sz w:val="24"/>
          <w:szCs w:val="24"/>
        </w:rPr>
      </w:pPr>
    </w:p>
    <w:p>
      <w:pPr>
        <w:pStyle w:val="3"/>
        <w:rPr>
          <w:rFonts w:hint="eastAsia" w:ascii="宋体" w:hAnsi="宋体"/>
          <w:b/>
          <w:bCs/>
          <w:sz w:val="24"/>
          <w:szCs w:val="24"/>
        </w:rPr>
      </w:pPr>
    </w:p>
    <w:p>
      <w:pPr>
        <w:pStyle w:val="3"/>
        <w:rPr>
          <w:rFonts w:hint="eastAsia" w:ascii="宋体" w:hAnsi="宋体"/>
          <w:b/>
          <w:bCs/>
          <w:sz w:val="24"/>
          <w:szCs w:val="24"/>
        </w:rPr>
      </w:pPr>
    </w:p>
    <w:p>
      <w:pPr>
        <w:pStyle w:val="3"/>
        <w:rPr>
          <w:rFonts w:hint="eastAsia" w:ascii="宋体" w:hAnsi="宋体"/>
          <w:b/>
          <w:bCs/>
          <w:sz w:val="24"/>
          <w:szCs w:val="24"/>
        </w:rPr>
      </w:pPr>
    </w:p>
    <w:p>
      <w:pPr>
        <w:pStyle w:val="3"/>
        <w:rPr>
          <w:rFonts w:hint="eastAsia" w:ascii="宋体" w:hAnsi="宋体"/>
          <w:b/>
          <w:bCs/>
          <w:sz w:val="24"/>
          <w:szCs w:val="24"/>
        </w:rPr>
      </w:pPr>
    </w:p>
    <w:p>
      <w:pPr>
        <w:pStyle w:val="3"/>
        <w:rPr>
          <w:rFonts w:hint="eastAsia" w:ascii="宋体" w:hAnsi="宋体"/>
          <w:b/>
          <w:bCs/>
          <w:sz w:val="24"/>
          <w:szCs w:val="24"/>
        </w:rPr>
      </w:pPr>
    </w:p>
    <w:p>
      <w:pPr>
        <w:pStyle w:val="3"/>
        <w:rPr>
          <w:rFonts w:hint="eastAsia" w:ascii="宋体" w:hAnsi="宋体"/>
          <w:b/>
          <w:bCs/>
          <w:sz w:val="24"/>
          <w:szCs w:val="24"/>
        </w:rPr>
      </w:pPr>
    </w:p>
    <w:p>
      <w:pPr>
        <w:pStyle w:val="3"/>
        <w:rPr>
          <w:rFonts w:hint="eastAsia" w:ascii="宋体" w:hAnsi="宋体"/>
          <w:b/>
          <w:bCs/>
          <w:sz w:val="24"/>
          <w:szCs w:val="24"/>
        </w:rPr>
      </w:pPr>
    </w:p>
    <w:p>
      <w:pPr>
        <w:pStyle w:val="3"/>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7</w:t>
      </w:r>
      <w:r>
        <w:rPr>
          <w:rFonts w:hint="eastAsia" w:ascii="宋体" w:hAnsi="宋体"/>
          <w:b/>
          <w:bCs/>
          <w:sz w:val="24"/>
          <w:szCs w:val="24"/>
        </w:rPr>
        <w:t xml:space="preserve"> 残疾人福利性单位声明函（若是）</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cs="黑体" w:asciiTheme="minorEastAsia" w:hAnsiTheme="minorEastAsia"/>
          <w:b/>
          <w:bCs/>
          <w:sz w:val="44"/>
          <w:szCs w:val="44"/>
          <w:lang w:val="zh-CN"/>
        </w:rPr>
      </w:pPr>
      <w:r>
        <w:rPr>
          <w:rFonts w:hint="eastAsia" w:ascii="宋体" w:hAnsi="宋体" w:cs="Arial"/>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lang w:eastAsia="zh-CN"/>
        </w:rPr>
        <w:t>投标人</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10" w:name="_GoBack"/>
      <w:bookmarkEnd w:id="10"/>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7CF4B"/>
    <w:multiLevelType w:val="singleLevel"/>
    <w:tmpl w:val="CDC7CF4B"/>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BBDE255"/>
    <w:multiLevelType w:val="singleLevel"/>
    <w:tmpl w:val="3BBDE255"/>
    <w:lvl w:ilvl="0" w:tentative="0">
      <w:start w:val="1"/>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65"/>
      <w:suff w:val="nothing"/>
      <w:lvlText w:val="%1、"/>
      <w:lvlJc w:val="left"/>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8"/>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35499"/>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4386D"/>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A329F"/>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7D84"/>
    <w:rsid w:val="00410B19"/>
    <w:rsid w:val="00416591"/>
    <w:rsid w:val="00435E0B"/>
    <w:rsid w:val="00440D16"/>
    <w:rsid w:val="0044232F"/>
    <w:rsid w:val="00444482"/>
    <w:rsid w:val="004464C2"/>
    <w:rsid w:val="0044739E"/>
    <w:rsid w:val="004510BA"/>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225"/>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1A00"/>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E7510"/>
    <w:rsid w:val="007F042C"/>
    <w:rsid w:val="007F216A"/>
    <w:rsid w:val="007F4688"/>
    <w:rsid w:val="007F7459"/>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1485"/>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E603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05748"/>
    <w:rsid w:val="00C13A29"/>
    <w:rsid w:val="00C14BFB"/>
    <w:rsid w:val="00C21F92"/>
    <w:rsid w:val="00C24F01"/>
    <w:rsid w:val="00C25F2B"/>
    <w:rsid w:val="00C27457"/>
    <w:rsid w:val="00C32265"/>
    <w:rsid w:val="00C32DA0"/>
    <w:rsid w:val="00C3589C"/>
    <w:rsid w:val="00C41F0D"/>
    <w:rsid w:val="00C43592"/>
    <w:rsid w:val="00C44F98"/>
    <w:rsid w:val="00C46F35"/>
    <w:rsid w:val="00C513E0"/>
    <w:rsid w:val="00C51450"/>
    <w:rsid w:val="00C53C71"/>
    <w:rsid w:val="00C54034"/>
    <w:rsid w:val="00C54556"/>
    <w:rsid w:val="00C553F0"/>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1C74"/>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2B3580"/>
    <w:rsid w:val="013921B6"/>
    <w:rsid w:val="014B2F11"/>
    <w:rsid w:val="014B3758"/>
    <w:rsid w:val="014F4C4A"/>
    <w:rsid w:val="0156716E"/>
    <w:rsid w:val="01733C45"/>
    <w:rsid w:val="017B20B0"/>
    <w:rsid w:val="01802834"/>
    <w:rsid w:val="01901102"/>
    <w:rsid w:val="01B362D5"/>
    <w:rsid w:val="01C633A4"/>
    <w:rsid w:val="01CD2E9D"/>
    <w:rsid w:val="01E93814"/>
    <w:rsid w:val="02140C93"/>
    <w:rsid w:val="023F171F"/>
    <w:rsid w:val="0244629D"/>
    <w:rsid w:val="028751DA"/>
    <w:rsid w:val="028A425A"/>
    <w:rsid w:val="02944553"/>
    <w:rsid w:val="02B70804"/>
    <w:rsid w:val="02BD7A41"/>
    <w:rsid w:val="02D27556"/>
    <w:rsid w:val="02ED44C5"/>
    <w:rsid w:val="02F81DDA"/>
    <w:rsid w:val="02FB74E4"/>
    <w:rsid w:val="030044E7"/>
    <w:rsid w:val="03030FE3"/>
    <w:rsid w:val="03323DAE"/>
    <w:rsid w:val="03397A84"/>
    <w:rsid w:val="033D207E"/>
    <w:rsid w:val="034A7381"/>
    <w:rsid w:val="037018D8"/>
    <w:rsid w:val="03822349"/>
    <w:rsid w:val="03AD747D"/>
    <w:rsid w:val="03AE2B50"/>
    <w:rsid w:val="03C64307"/>
    <w:rsid w:val="03DF4AC4"/>
    <w:rsid w:val="040173B5"/>
    <w:rsid w:val="04201815"/>
    <w:rsid w:val="04231BDF"/>
    <w:rsid w:val="0452098D"/>
    <w:rsid w:val="04682521"/>
    <w:rsid w:val="047C028D"/>
    <w:rsid w:val="049239DF"/>
    <w:rsid w:val="04AC355F"/>
    <w:rsid w:val="04D74B21"/>
    <w:rsid w:val="04E92736"/>
    <w:rsid w:val="051534BE"/>
    <w:rsid w:val="051752A5"/>
    <w:rsid w:val="05413A6A"/>
    <w:rsid w:val="0545527A"/>
    <w:rsid w:val="05504EC1"/>
    <w:rsid w:val="056617E7"/>
    <w:rsid w:val="0576499B"/>
    <w:rsid w:val="0593559E"/>
    <w:rsid w:val="059A3581"/>
    <w:rsid w:val="05AD5E78"/>
    <w:rsid w:val="060C64B2"/>
    <w:rsid w:val="060E75E5"/>
    <w:rsid w:val="06356442"/>
    <w:rsid w:val="06437D45"/>
    <w:rsid w:val="065C4F81"/>
    <w:rsid w:val="06713666"/>
    <w:rsid w:val="067B5F22"/>
    <w:rsid w:val="069426E4"/>
    <w:rsid w:val="069F204B"/>
    <w:rsid w:val="06AA0CC3"/>
    <w:rsid w:val="06B53C44"/>
    <w:rsid w:val="06BD274A"/>
    <w:rsid w:val="06C6248C"/>
    <w:rsid w:val="06CC61D3"/>
    <w:rsid w:val="06F42C0A"/>
    <w:rsid w:val="072B161E"/>
    <w:rsid w:val="07312A1C"/>
    <w:rsid w:val="07370862"/>
    <w:rsid w:val="074B6958"/>
    <w:rsid w:val="074F3FD1"/>
    <w:rsid w:val="07531908"/>
    <w:rsid w:val="075B138F"/>
    <w:rsid w:val="076A10F7"/>
    <w:rsid w:val="07733ED3"/>
    <w:rsid w:val="07870796"/>
    <w:rsid w:val="07951D3A"/>
    <w:rsid w:val="079A26F9"/>
    <w:rsid w:val="07A43F68"/>
    <w:rsid w:val="07BC752A"/>
    <w:rsid w:val="07C25A4B"/>
    <w:rsid w:val="07DA3A8A"/>
    <w:rsid w:val="07DB6498"/>
    <w:rsid w:val="07E527D8"/>
    <w:rsid w:val="07ED3B11"/>
    <w:rsid w:val="07F97265"/>
    <w:rsid w:val="08010646"/>
    <w:rsid w:val="08067E49"/>
    <w:rsid w:val="080D3FAC"/>
    <w:rsid w:val="080E257E"/>
    <w:rsid w:val="080F5FB5"/>
    <w:rsid w:val="082C7ED8"/>
    <w:rsid w:val="08453EB6"/>
    <w:rsid w:val="08456AFD"/>
    <w:rsid w:val="086541D6"/>
    <w:rsid w:val="08710A56"/>
    <w:rsid w:val="08806AA8"/>
    <w:rsid w:val="08816AF0"/>
    <w:rsid w:val="08AB6382"/>
    <w:rsid w:val="08BC3CB2"/>
    <w:rsid w:val="08BD0AC9"/>
    <w:rsid w:val="08C43800"/>
    <w:rsid w:val="08CC5038"/>
    <w:rsid w:val="08DB5B2B"/>
    <w:rsid w:val="090470F8"/>
    <w:rsid w:val="09095AA6"/>
    <w:rsid w:val="09217917"/>
    <w:rsid w:val="092735FB"/>
    <w:rsid w:val="092A625B"/>
    <w:rsid w:val="093E1099"/>
    <w:rsid w:val="09541EE0"/>
    <w:rsid w:val="098D3D55"/>
    <w:rsid w:val="098F3780"/>
    <w:rsid w:val="09B53AEA"/>
    <w:rsid w:val="09B609EB"/>
    <w:rsid w:val="09BB2F29"/>
    <w:rsid w:val="09DB785D"/>
    <w:rsid w:val="0A056CE5"/>
    <w:rsid w:val="0A081459"/>
    <w:rsid w:val="0A0E1CAF"/>
    <w:rsid w:val="0A1C0020"/>
    <w:rsid w:val="0A214574"/>
    <w:rsid w:val="0A2D466E"/>
    <w:rsid w:val="0A2F7788"/>
    <w:rsid w:val="0A635F4B"/>
    <w:rsid w:val="0A764020"/>
    <w:rsid w:val="0A7E609B"/>
    <w:rsid w:val="0A814CE7"/>
    <w:rsid w:val="0A973EE9"/>
    <w:rsid w:val="0A9E69C4"/>
    <w:rsid w:val="0AB96F90"/>
    <w:rsid w:val="0ABB40F2"/>
    <w:rsid w:val="0ABE69F0"/>
    <w:rsid w:val="0AD16BED"/>
    <w:rsid w:val="0B14703C"/>
    <w:rsid w:val="0B2E2101"/>
    <w:rsid w:val="0B39541A"/>
    <w:rsid w:val="0B505A69"/>
    <w:rsid w:val="0B6E05A6"/>
    <w:rsid w:val="0B734634"/>
    <w:rsid w:val="0B7C345F"/>
    <w:rsid w:val="0B8C23CD"/>
    <w:rsid w:val="0B9A431C"/>
    <w:rsid w:val="0BE7201F"/>
    <w:rsid w:val="0BE7416E"/>
    <w:rsid w:val="0BEF2225"/>
    <w:rsid w:val="0BF21BC0"/>
    <w:rsid w:val="0C04291F"/>
    <w:rsid w:val="0C054D84"/>
    <w:rsid w:val="0C061046"/>
    <w:rsid w:val="0C11514C"/>
    <w:rsid w:val="0C256686"/>
    <w:rsid w:val="0C357CC7"/>
    <w:rsid w:val="0C3633F3"/>
    <w:rsid w:val="0C4B304E"/>
    <w:rsid w:val="0C644676"/>
    <w:rsid w:val="0C6B0D9C"/>
    <w:rsid w:val="0C824D6A"/>
    <w:rsid w:val="0CA26434"/>
    <w:rsid w:val="0CA856BF"/>
    <w:rsid w:val="0CC014E5"/>
    <w:rsid w:val="0CE82C18"/>
    <w:rsid w:val="0CE97E64"/>
    <w:rsid w:val="0D04225C"/>
    <w:rsid w:val="0D092790"/>
    <w:rsid w:val="0D0B565E"/>
    <w:rsid w:val="0D59417C"/>
    <w:rsid w:val="0D7A35F0"/>
    <w:rsid w:val="0DD64262"/>
    <w:rsid w:val="0DEC7605"/>
    <w:rsid w:val="0E003865"/>
    <w:rsid w:val="0E11359C"/>
    <w:rsid w:val="0E232199"/>
    <w:rsid w:val="0E5A57CE"/>
    <w:rsid w:val="0E5B405D"/>
    <w:rsid w:val="0EC844E9"/>
    <w:rsid w:val="0EE97B8E"/>
    <w:rsid w:val="0EF05F5C"/>
    <w:rsid w:val="0EF913A3"/>
    <w:rsid w:val="0F0F0F63"/>
    <w:rsid w:val="0F340DE7"/>
    <w:rsid w:val="0FAC0830"/>
    <w:rsid w:val="0FCE4785"/>
    <w:rsid w:val="0FEB546A"/>
    <w:rsid w:val="100050F9"/>
    <w:rsid w:val="10207B12"/>
    <w:rsid w:val="105D1DBB"/>
    <w:rsid w:val="107931DF"/>
    <w:rsid w:val="107D1F73"/>
    <w:rsid w:val="10806031"/>
    <w:rsid w:val="10985461"/>
    <w:rsid w:val="109F5CCA"/>
    <w:rsid w:val="10B54A36"/>
    <w:rsid w:val="10CE4301"/>
    <w:rsid w:val="10D571A6"/>
    <w:rsid w:val="10F06662"/>
    <w:rsid w:val="110D5527"/>
    <w:rsid w:val="1112436C"/>
    <w:rsid w:val="11271048"/>
    <w:rsid w:val="117E74AC"/>
    <w:rsid w:val="118C5DD1"/>
    <w:rsid w:val="119650FF"/>
    <w:rsid w:val="11C45639"/>
    <w:rsid w:val="11CE396B"/>
    <w:rsid w:val="120654D3"/>
    <w:rsid w:val="120D0468"/>
    <w:rsid w:val="121E6B0A"/>
    <w:rsid w:val="12273790"/>
    <w:rsid w:val="122C5434"/>
    <w:rsid w:val="122E6D2D"/>
    <w:rsid w:val="125729A3"/>
    <w:rsid w:val="128137D9"/>
    <w:rsid w:val="12AB5973"/>
    <w:rsid w:val="12B46F2D"/>
    <w:rsid w:val="12C27869"/>
    <w:rsid w:val="12E328EC"/>
    <w:rsid w:val="1301733A"/>
    <w:rsid w:val="13030F33"/>
    <w:rsid w:val="13046389"/>
    <w:rsid w:val="13244FF5"/>
    <w:rsid w:val="13341ADD"/>
    <w:rsid w:val="13706DBD"/>
    <w:rsid w:val="13826A44"/>
    <w:rsid w:val="138472B0"/>
    <w:rsid w:val="13923DAC"/>
    <w:rsid w:val="139A19E8"/>
    <w:rsid w:val="13C2585E"/>
    <w:rsid w:val="13D721E8"/>
    <w:rsid w:val="14006325"/>
    <w:rsid w:val="145B1FE3"/>
    <w:rsid w:val="14884374"/>
    <w:rsid w:val="148E3B93"/>
    <w:rsid w:val="149A392F"/>
    <w:rsid w:val="14A42D96"/>
    <w:rsid w:val="14BD284D"/>
    <w:rsid w:val="14DA2BFC"/>
    <w:rsid w:val="14E87E6E"/>
    <w:rsid w:val="14F33BBC"/>
    <w:rsid w:val="14FC1368"/>
    <w:rsid w:val="14FE7737"/>
    <w:rsid w:val="150D1D94"/>
    <w:rsid w:val="15180AF4"/>
    <w:rsid w:val="15285CB1"/>
    <w:rsid w:val="155A020D"/>
    <w:rsid w:val="155B3153"/>
    <w:rsid w:val="15660F2F"/>
    <w:rsid w:val="156654B3"/>
    <w:rsid w:val="157F620F"/>
    <w:rsid w:val="159D32DB"/>
    <w:rsid w:val="15B460E6"/>
    <w:rsid w:val="160434BC"/>
    <w:rsid w:val="1604505A"/>
    <w:rsid w:val="161D0C38"/>
    <w:rsid w:val="161D4240"/>
    <w:rsid w:val="163D3A57"/>
    <w:rsid w:val="165F4374"/>
    <w:rsid w:val="166801D0"/>
    <w:rsid w:val="166D3216"/>
    <w:rsid w:val="16953FC5"/>
    <w:rsid w:val="16C25C54"/>
    <w:rsid w:val="16CE5A52"/>
    <w:rsid w:val="16FD0548"/>
    <w:rsid w:val="172D7CCE"/>
    <w:rsid w:val="17745194"/>
    <w:rsid w:val="17A32C0E"/>
    <w:rsid w:val="17B11C51"/>
    <w:rsid w:val="17B30CC5"/>
    <w:rsid w:val="17B8106A"/>
    <w:rsid w:val="17C66C85"/>
    <w:rsid w:val="17D13D71"/>
    <w:rsid w:val="17D952B9"/>
    <w:rsid w:val="17F77804"/>
    <w:rsid w:val="18374AA6"/>
    <w:rsid w:val="187E740A"/>
    <w:rsid w:val="188F72B0"/>
    <w:rsid w:val="18D27992"/>
    <w:rsid w:val="18DE6304"/>
    <w:rsid w:val="18F27288"/>
    <w:rsid w:val="192370D5"/>
    <w:rsid w:val="1933564B"/>
    <w:rsid w:val="194445A4"/>
    <w:rsid w:val="19AC03C5"/>
    <w:rsid w:val="19C36CDF"/>
    <w:rsid w:val="19DA6D63"/>
    <w:rsid w:val="1A050E11"/>
    <w:rsid w:val="1A184310"/>
    <w:rsid w:val="1A1E5FD2"/>
    <w:rsid w:val="1A246C41"/>
    <w:rsid w:val="1A435352"/>
    <w:rsid w:val="1A546759"/>
    <w:rsid w:val="1A62068F"/>
    <w:rsid w:val="1A737B8C"/>
    <w:rsid w:val="1A811E5F"/>
    <w:rsid w:val="1A9461AB"/>
    <w:rsid w:val="1A9723EE"/>
    <w:rsid w:val="1AC9487A"/>
    <w:rsid w:val="1AE340C6"/>
    <w:rsid w:val="1B232102"/>
    <w:rsid w:val="1B3575D7"/>
    <w:rsid w:val="1B422D28"/>
    <w:rsid w:val="1B5F6410"/>
    <w:rsid w:val="1B8868B0"/>
    <w:rsid w:val="1B970CD1"/>
    <w:rsid w:val="1BA6237C"/>
    <w:rsid w:val="1BB539BC"/>
    <w:rsid w:val="1BBB00A3"/>
    <w:rsid w:val="1BE41E26"/>
    <w:rsid w:val="1BE85C38"/>
    <w:rsid w:val="1BFD3750"/>
    <w:rsid w:val="1C262569"/>
    <w:rsid w:val="1C453399"/>
    <w:rsid w:val="1C4978C9"/>
    <w:rsid w:val="1C5B019E"/>
    <w:rsid w:val="1C632F40"/>
    <w:rsid w:val="1C736F5A"/>
    <w:rsid w:val="1C9D5143"/>
    <w:rsid w:val="1CD033C3"/>
    <w:rsid w:val="1CE24AD8"/>
    <w:rsid w:val="1D1558CF"/>
    <w:rsid w:val="1D174DC1"/>
    <w:rsid w:val="1D2908C1"/>
    <w:rsid w:val="1D3C14C1"/>
    <w:rsid w:val="1D3D2567"/>
    <w:rsid w:val="1D3F5508"/>
    <w:rsid w:val="1D50048F"/>
    <w:rsid w:val="1D9917D0"/>
    <w:rsid w:val="1DA6328C"/>
    <w:rsid w:val="1DB76D5D"/>
    <w:rsid w:val="1DCE5357"/>
    <w:rsid w:val="1DE978C4"/>
    <w:rsid w:val="1DF62F6B"/>
    <w:rsid w:val="1DFC64A2"/>
    <w:rsid w:val="1E5A43D8"/>
    <w:rsid w:val="1E7874CB"/>
    <w:rsid w:val="1E8066A0"/>
    <w:rsid w:val="1E966749"/>
    <w:rsid w:val="1EC0385D"/>
    <w:rsid w:val="1ED878F4"/>
    <w:rsid w:val="1ED92D91"/>
    <w:rsid w:val="1EEB13BD"/>
    <w:rsid w:val="1EFC6314"/>
    <w:rsid w:val="1F036C4F"/>
    <w:rsid w:val="1F1109F3"/>
    <w:rsid w:val="1F5D66F0"/>
    <w:rsid w:val="1F616084"/>
    <w:rsid w:val="1F6973A7"/>
    <w:rsid w:val="1F7F10D7"/>
    <w:rsid w:val="1F88629B"/>
    <w:rsid w:val="1F947477"/>
    <w:rsid w:val="1FAC462E"/>
    <w:rsid w:val="1FCC6F3D"/>
    <w:rsid w:val="1FD46F19"/>
    <w:rsid w:val="1FE93E7D"/>
    <w:rsid w:val="1FFE0613"/>
    <w:rsid w:val="200139F3"/>
    <w:rsid w:val="20184D8F"/>
    <w:rsid w:val="20424DF4"/>
    <w:rsid w:val="207B7B00"/>
    <w:rsid w:val="20845C5A"/>
    <w:rsid w:val="20BC486E"/>
    <w:rsid w:val="20CF15EC"/>
    <w:rsid w:val="20E02DFE"/>
    <w:rsid w:val="21176552"/>
    <w:rsid w:val="21177EC5"/>
    <w:rsid w:val="21245EDF"/>
    <w:rsid w:val="212D05C3"/>
    <w:rsid w:val="21363642"/>
    <w:rsid w:val="214713E7"/>
    <w:rsid w:val="2158431E"/>
    <w:rsid w:val="21603F07"/>
    <w:rsid w:val="216C4DE1"/>
    <w:rsid w:val="21740660"/>
    <w:rsid w:val="217A2F31"/>
    <w:rsid w:val="21916952"/>
    <w:rsid w:val="21CF534E"/>
    <w:rsid w:val="21DB7273"/>
    <w:rsid w:val="22504CB0"/>
    <w:rsid w:val="225B402E"/>
    <w:rsid w:val="225F4AB8"/>
    <w:rsid w:val="22605FB2"/>
    <w:rsid w:val="22651489"/>
    <w:rsid w:val="22B75FEF"/>
    <w:rsid w:val="22BC3A41"/>
    <w:rsid w:val="22CA4BB1"/>
    <w:rsid w:val="22D2793E"/>
    <w:rsid w:val="22D36EAB"/>
    <w:rsid w:val="22F05FDA"/>
    <w:rsid w:val="23182DFD"/>
    <w:rsid w:val="233B3F61"/>
    <w:rsid w:val="23435EF7"/>
    <w:rsid w:val="235D6CCF"/>
    <w:rsid w:val="23647134"/>
    <w:rsid w:val="237D11EC"/>
    <w:rsid w:val="238242BD"/>
    <w:rsid w:val="238B4EA7"/>
    <w:rsid w:val="23D6301E"/>
    <w:rsid w:val="23DF407F"/>
    <w:rsid w:val="23EB3EFF"/>
    <w:rsid w:val="24033A1B"/>
    <w:rsid w:val="243C42EE"/>
    <w:rsid w:val="244A2F80"/>
    <w:rsid w:val="24506BB2"/>
    <w:rsid w:val="248A1F8B"/>
    <w:rsid w:val="24947709"/>
    <w:rsid w:val="24B1062F"/>
    <w:rsid w:val="24E915BF"/>
    <w:rsid w:val="24F25BA6"/>
    <w:rsid w:val="24FE742E"/>
    <w:rsid w:val="250C27CB"/>
    <w:rsid w:val="25125570"/>
    <w:rsid w:val="25291BF1"/>
    <w:rsid w:val="252A611B"/>
    <w:rsid w:val="255F4A9B"/>
    <w:rsid w:val="256E4D5D"/>
    <w:rsid w:val="25746D86"/>
    <w:rsid w:val="25796FBC"/>
    <w:rsid w:val="25801711"/>
    <w:rsid w:val="25863E79"/>
    <w:rsid w:val="258A6899"/>
    <w:rsid w:val="25AD76E4"/>
    <w:rsid w:val="25B67A66"/>
    <w:rsid w:val="25CE2047"/>
    <w:rsid w:val="25D11869"/>
    <w:rsid w:val="25EA22B5"/>
    <w:rsid w:val="25F30CBA"/>
    <w:rsid w:val="25F44020"/>
    <w:rsid w:val="25FD7BF7"/>
    <w:rsid w:val="260B4E1E"/>
    <w:rsid w:val="26110D99"/>
    <w:rsid w:val="261C558D"/>
    <w:rsid w:val="263171C2"/>
    <w:rsid w:val="263B734F"/>
    <w:rsid w:val="264C7F83"/>
    <w:rsid w:val="26527F4C"/>
    <w:rsid w:val="265850B9"/>
    <w:rsid w:val="265D3E18"/>
    <w:rsid w:val="266E0BC6"/>
    <w:rsid w:val="26787C6D"/>
    <w:rsid w:val="26914912"/>
    <w:rsid w:val="26AE7F5A"/>
    <w:rsid w:val="26B844EC"/>
    <w:rsid w:val="26C41CB2"/>
    <w:rsid w:val="26D238AF"/>
    <w:rsid w:val="26E07A87"/>
    <w:rsid w:val="26E37AD1"/>
    <w:rsid w:val="26E4330B"/>
    <w:rsid w:val="270A5838"/>
    <w:rsid w:val="273019A9"/>
    <w:rsid w:val="27416E82"/>
    <w:rsid w:val="274C1F08"/>
    <w:rsid w:val="274C3FCA"/>
    <w:rsid w:val="2750205B"/>
    <w:rsid w:val="27510A80"/>
    <w:rsid w:val="276B7A58"/>
    <w:rsid w:val="277C2A82"/>
    <w:rsid w:val="27821D05"/>
    <w:rsid w:val="27934192"/>
    <w:rsid w:val="27984DD3"/>
    <w:rsid w:val="27A37FBA"/>
    <w:rsid w:val="27B84312"/>
    <w:rsid w:val="27BA7DC7"/>
    <w:rsid w:val="27C11C64"/>
    <w:rsid w:val="27C247BA"/>
    <w:rsid w:val="27D457A1"/>
    <w:rsid w:val="27EF0AB2"/>
    <w:rsid w:val="27FE2E10"/>
    <w:rsid w:val="280F0E6C"/>
    <w:rsid w:val="28172D11"/>
    <w:rsid w:val="281A5753"/>
    <w:rsid w:val="28212744"/>
    <w:rsid w:val="28304123"/>
    <w:rsid w:val="284500E0"/>
    <w:rsid w:val="284941DC"/>
    <w:rsid w:val="285309B3"/>
    <w:rsid w:val="28756083"/>
    <w:rsid w:val="2881546F"/>
    <w:rsid w:val="288616A5"/>
    <w:rsid w:val="28B02392"/>
    <w:rsid w:val="28D24387"/>
    <w:rsid w:val="28DB6406"/>
    <w:rsid w:val="28F82C4B"/>
    <w:rsid w:val="28FA1CC3"/>
    <w:rsid w:val="28FC10C5"/>
    <w:rsid w:val="29132921"/>
    <w:rsid w:val="295C73BB"/>
    <w:rsid w:val="297462D2"/>
    <w:rsid w:val="298F1909"/>
    <w:rsid w:val="299A2D64"/>
    <w:rsid w:val="299D1B7F"/>
    <w:rsid w:val="29D01E7C"/>
    <w:rsid w:val="29EB20E2"/>
    <w:rsid w:val="29F54480"/>
    <w:rsid w:val="29F63E7E"/>
    <w:rsid w:val="29FC417E"/>
    <w:rsid w:val="2A386925"/>
    <w:rsid w:val="2A4E7218"/>
    <w:rsid w:val="2A527143"/>
    <w:rsid w:val="2A5F10F6"/>
    <w:rsid w:val="2A876D21"/>
    <w:rsid w:val="2A9B65A1"/>
    <w:rsid w:val="2A9C2458"/>
    <w:rsid w:val="2AA71F8F"/>
    <w:rsid w:val="2AB62D21"/>
    <w:rsid w:val="2AB67698"/>
    <w:rsid w:val="2ACA776B"/>
    <w:rsid w:val="2B071285"/>
    <w:rsid w:val="2B353A35"/>
    <w:rsid w:val="2B3B25A7"/>
    <w:rsid w:val="2B431031"/>
    <w:rsid w:val="2B4771DC"/>
    <w:rsid w:val="2B870F4A"/>
    <w:rsid w:val="2B9C228D"/>
    <w:rsid w:val="2BAD17F5"/>
    <w:rsid w:val="2BDD56DD"/>
    <w:rsid w:val="2C013F0B"/>
    <w:rsid w:val="2C04648E"/>
    <w:rsid w:val="2C3754DF"/>
    <w:rsid w:val="2C7526B9"/>
    <w:rsid w:val="2C9E5563"/>
    <w:rsid w:val="2CBA27EF"/>
    <w:rsid w:val="2CC171B6"/>
    <w:rsid w:val="2D085FA6"/>
    <w:rsid w:val="2D123A9F"/>
    <w:rsid w:val="2D2877B9"/>
    <w:rsid w:val="2D2C3753"/>
    <w:rsid w:val="2D4E63F4"/>
    <w:rsid w:val="2D5866A0"/>
    <w:rsid w:val="2D7F7274"/>
    <w:rsid w:val="2D8C42F2"/>
    <w:rsid w:val="2D9F12C1"/>
    <w:rsid w:val="2DB26D86"/>
    <w:rsid w:val="2DBB0F28"/>
    <w:rsid w:val="2DD13967"/>
    <w:rsid w:val="2DD143F5"/>
    <w:rsid w:val="2E26292B"/>
    <w:rsid w:val="2E2C5224"/>
    <w:rsid w:val="2E330B3F"/>
    <w:rsid w:val="2E394DF4"/>
    <w:rsid w:val="2E4A3617"/>
    <w:rsid w:val="2E631B4A"/>
    <w:rsid w:val="2E7834D7"/>
    <w:rsid w:val="2E803B8E"/>
    <w:rsid w:val="2E932F28"/>
    <w:rsid w:val="2EB9015F"/>
    <w:rsid w:val="2EBD417F"/>
    <w:rsid w:val="2EC26C84"/>
    <w:rsid w:val="2EC36428"/>
    <w:rsid w:val="2EDE558F"/>
    <w:rsid w:val="2EF53C00"/>
    <w:rsid w:val="2F05452E"/>
    <w:rsid w:val="2F0E7DF2"/>
    <w:rsid w:val="2F2B520E"/>
    <w:rsid w:val="2F3271D3"/>
    <w:rsid w:val="2F436657"/>
    <w:rsid w:val="2F481595"/>
    <w:rsid w:val="2F563251"/>
    <w:rsid w:val="2F632C26"/>
    <w:rsid w:val="2F6A1FAA"/>
    <w:rsid w:val="2F8C5DDC"/>
    <w:rsid w:val="2F997F89"/>
    <w:rsid w:val="2FB914A6"/>
    <w:rsid w:val="2FCE0D44"/>
    <w:rsid w:val="2FD63CD3"/>
    <w:rsid w:val="2FDA4DFE"/>
    <w:rsid w:val="300F124E"/>
    <w:rsid w:val="301309A5"/>
    <w:rsid w:val="301A7EDF"/>
    <w:rsid w:val="30292DEB"/>
    <w:rsid w:val="3034208F"/>
    <w:rsid w:val="30374DCF"/>
    <w:rsid w:val="3059764C"/>
    <w:rsid w:val="30691805"/>
    <w:rsid w:val="307668EC"/>
    <w:rsid w:val="30940582"/>
    <w:rsid w:val="30AA5F9F"/>
    <w:rsid w:val="30E8713E"/>
    <w:rsid w:val="30EA7E3E"/>
    <w:rsid w:val="30F55220"/>
    <w:rsid w:val="31303506"/>
    <w:rsid w:val="313F3091"/>
    <w:rsid w:val="31454C16"/>
    <w:rsid w:val="315268F0"/>
    <w:rsid w:val="31547DA6"/>
    <w:rsid w:val="31734B2E"/>
    <w:rsid w:val="319F53A6"/>
    <w:rsid w:val="31B347D4"/>
    <w:rsid w:val="31BB4034"/>
    <w:rsid w:val="31CC2A3B"/>
    <w:rsid w:val="31E43029"/>
    <w:rsid w:val="31F46CAC"/>
    <w:rsid w:val="31FB7466"/>
    <w:rsid w:val="322E47E3"/>
    <w:rsid w:val="3230338C"/>
    <w:rsid w:val="32493792"/>
    <w:rsid w:val="325C477A"/>
    <w:rsid w:val="326804AC"/>
    <w:rsid w:val="32A8223F"/>
    <w:rsid w:val="32C3732F"/>
    <w:rsid w:val="32D95EF7"/>
    <w:rsid w:val="32DC5400"/>
    <w:rsid w:val="32EE16B1"/>
    <w:rsid w:val="33057BFC"/>
    <w:rsid w:val="331B22C2"/>
    <w:rsid w:val="331B5546"/>
    <w:rsid w:val="332A3001"/>
    <w:rsid w:val="33322BE5"/>
    <w:rsid w:val="334C3C6E"/>
    <w:rsid w:val="3381316E"/>
    <w:rsid w:val="3386171C"/>
    <w:rsid w:val="3386255A"/>
    <w:rsid w:val="33B172C7"/>
    <w:rsid w:val="33BB224B"/>
    <w:rsid w:val="33E55BB9"/>
    <w:rsid w:val="340E2C32"/>
    <w:rsid w:val="343161D8"/>
    <w:rsid w:val="3438662A"/>
    <w:rsid w:val="34450D7E"/>
    <w:rsid w:val="34514AA7"/>
    <w:rsid w:val="34561534"/>
    <w:rsid w:val="3469380A"/>
    <w:rsid w:val="34AD6E36"/>
    <w:rsid w:val="34AE374B"/>
    <w:rsid w:val="34B0281B"/>
    <w:rsid w:val="34B255D3"/>
    <w:rsid w:val="34C544EF"/>
    <w:rsid w:val="35063C23"/>
    <w:rsid w:val="35081201"/>
    <w:rsid w:val="350D35A2"/>
    <w:rsid w:val="35204D7F"/>
    <w:rsid w:val="353F450E"/>
    <w:rsid w:val="35411E6A"/>
    <w:rsid w:val="35AD3EF5"/>
    <w:rsid w:val="35B01F13"/>
    <w:rsid w:val="35B07A97"/>
    <w:rsid w:val="35B53B02"/>
    <w:rsid w:val="35BA3F90"/>
    <w:rsid w:val="35CA097F"/>
    <w:rsid w:val="361E7F0A"/>
    <w:rsid w:val="36472E0A"/>
    <w:rsid w:val="364B7D5E"/>
    <w:rsid w:val="366C2724"/>
    <w:rsid w:val="366E3C20"/>
    <w:rsid w:val="36843FB8"/>
    <w:rsid w:val="368B7BDE"/>
    <w:rsid w:val="36B17D10"/>
    <w:rsid w:val="36B47A55"/>
    <w:rsid w:val="36B627DF"/>
    <w:rsid w:val="37111A5B"/>
    <w:rsid w:val="3714777D"/>
    <w:rsid w:val="371619FA"/>
    <w:rsid w:val="3725678E"/>
    <w:rsid w:val="373C5526"/>
    <w:rsid w:val="37410CD3"/>
    <w:rsid w:val="376C46C0"/>
    <w:rsid w:val="37842204"/>
    <w:rsid w:val="378665EC"/>
    <w:rsid w:val="379F6E3E"/>
    <w:rsid w:val="37D268C3"/>
    <w:rsid w:val="37D73C29"/>
    <w:rsid w:val="37D95464"/>
    <w:rsid w:val="37E272A9"/>
    <w:rsid w:val="38015F42"/>
    <w:rsid w:val="38066243"/>
    <w:rsid w:val="38230352"/>
    <w:rsid w:val="38574C7C"/>
    <w:rsid w:val="386D59C9"/>
    <w:rsid w:val="387177C1"/>
    <w:rsid w:val="38904469"/>
    <w:rsid w:val="38B05BD4"/>
    <w:rsid w:val="38E56AB5"/>
    <w:rsid w:val="38EC05E0"/>
    <w:rsid w:val="38F90C52"/>
    <w:rsid w:val="39352BCE"/>
    <w:rsid w:val="39514A69"/>
    <w:rsid w:val="39573FCF"/>
    <w:rsid w:val="39794476"/>
    <w:rsid w:val="397B7F57"/>
    <w:rsid w:val="39840CD1"/>
    <w:rsid w:val="39890B16"/>
    <w:rsid w:val="39A5464D"/>
    <w:rsid w:val="39A87446"/>
    <w:rsid w:val="39D62D35"/>
    <w:rsid w:val="39E128DE"/>
    <w:rsid w:val="39E874D3"/>
    <w:rsid w:val="39F64C0F"/>
    <w:rsid w:val="39FA6671"/>
    <w:rsid w:val="3A0E773A"/>
    <w:rsid w:val="3A447983"/>
    <w:rsid w:val="3A5272D3"/>
    <w:rsid w:val="3A6A75F3"/>
    <w:rsid w:val="3A7A745C"/>
    <w:rsid w:val="3A7B0F00"/>
    <w:rsid w:val="3A8E2FD1"/>
    <w:rsid w:val="3AB0548E"/>
    <w:rsid w:val="3AEB4B5E"/>
    <w:rsid w:val="3B221CC7"/>
    <w:rsid w:val="3B232E81"/>
    <w:rsid w:val="3B3D247F"/>
    <w:rsid w:val="3B5514FC"/>
    <w:rsid w:val="3B6A4EDF"/>
    <w:rsid w:val="3BA715DA"/>
    <w:rsid w:val="3BAD0FA3"/>
    <w:rsid w:val="3BC67705"/>
    <w:rsid w:val="3BC87466"/>
    <w:rsid w:val="3BE449EE"/>
    <w:rsid w:val="3BEB2910"/>
    <w:rsid w:val="3BF67516"/>
    <w:rsid w:val="3C035D98"/>
    <w:rsid w:val="3C0B77A0"/>
    <w:rsid w:val="3C1D4DB8"/>
    <w:rsid w:val="3C231A89"/>
    <w:rsid w:val="3C2F2438"/>
    <w:rsid w:val="3C3A6743"/>
    <w:rsid w:val="3C557A56"/>
    <w:rsid w:val="3C8D65A3"/>
    <w:rsid w:val="3C9D2EBC"/>
    <w:rsid w:val="3CAF4BCA"/>
    <w:rsid w:val="3CB3562B"/>
    <w:rsid w:val="3CB62C02"/>
    <w:rsid w:val="3CBF0F1A"/>
    <w:rsid w:val="3CEC6F22"/>
    <w:rsid w:val="3CFA18A2"/>
    <w:rsid w:val="3D1617E6"/>
    <w:rsid w:val="3D2F707D"/>
    <w:rsid w:val="3D321F39"/>
    <w:rsid w:val="3D391B90"/>
    <w:rsid w:val="3D422CFE"/>
    <w:rsid w:val="3D5E36C8"/>
    <w:rsid w:val="3D615CDD"/>
    <w:rsid w:val="3D7218B0"/>
    <w:rsid w:val="3D994708"/>
    <w:rsid w:val="3D9F51C2"/>
    <w:rsid w:val="3DA258F5"/>
    <w:rsid w:val="3DA631E6"/>
    <w:rsid w:val="3DAF7400"/>
    <w:rsid w:val="3DB067B4"/>
    <w:rsid w:val="3DC70408"/>
    <w:rsid w:val="3DFA2F32"/>
    <w:rsid w:val="3E2F6782"/>
    <w:rsid w:val="3E421737"/>
    <w:rsid w:val="3E4C7A3D"/>
    <w:rsid w:val="3E822B6D"/>
    <w:rsid w:val="3E823052"/>
    <w:rsid w:val="3EA944DF"/>
    <w:rsid w:val="3EC63FCF"/>
    <w:rsid w:val="3ED4389D"/>
    <w:rsid w:val="3EE43A83"/>
    <w:rsid w:val="3EE844D3"/>
    <w:rsid w:val="3EFB0E15"/>
    <w:rsid w:val="3F575F95"/>
    <w:rsid w:val="3F591F63"/>
    <w:rsid w:val="3F923969"/>
    <w:rsid w:val="3FB44807"/>
    <w:rsid w:val="3FB67E9D"/>
    <w:rsid w:val="3FC31190"/>
    <w:rsid w:val="3FC63183"/>
    <w:rsid w:val="3FCD6FB3"/>
    <w:rsid w:val="3FD62A45"/>
    <w:rsid w:val="3FF86E45"/>
    <w:rsid w:val="40025CD4"/>
    <w:rsid w:val="40106055"/>
    <w:rsid w:val="40305DE9"/>
    <w:rsid w:val="40534843"/>
    <w:rsid w:val="405B23C7"/>
    <w:rsid w:val="40641751"/>
    <w:rsid w:val="406C61DF"/>
    <w:rsid w:val="40962193"/>
    <w:rsid w:val="40B3192F"/>
    <w:rsid w:val="40BC09F5"/>
    <w:rsid w:val="40BC684F"/>
    <w:rsid w:val="40D81C36"/>
    <w:rsid w:val="40E605C1"/>
    <w:rsid w:val="40E67DF0"/>
    <w:rsid w:val="41284948"/>
    <w:rsid w:val="41365678"/>
    <w:rsid w:val="41486CF2"/>
    <w:rsid w:val="417325FA"/>
    <w:rsid w:val="41742415"/>
    <w:rsid w:val="418D5CE1"/>
    <w:rsid w:val="41960235"/>
    <w:rsid w:val="419A065F"/>
    <w:rsid w:val="41C24D1C"/>
    <w:rsid w:val="41DC1FC8"/>
    <w:rsid w:val="41E424CB"/>
    <w:rsid w:val="41EE7E8F"/>
    <w:rsid w:val="41EF0DC3"/>
    <w:rsid w:val="41F0088E"/>
    <w:rsid w:val="42046DFA"/>
    <w:rsid w:val="42576449"/>
    <w:rsid w:val="426040B2"/>
    <w:rsid w:val="42691E86"/>
    <w:rsid w:val="42745016"/>
    <w:rsid w:val="42ED0FD4"/>
    <w:rsid w:val="42F13EEB"/>
    <w:rsid w:val="430B6125"/>
    <w:rsid w:val="432D273B"/>
    <w:rsid w:val="43311CB3"/>
    <w:rsid w:val="43340782"/>
    <w:rsid w:val="433441F5"/>
    <w:rsid w:val="43361DCB"/>
    <w:rsid w:val="433A0424"/>
    <w:rsid w:val="4346576A"/>
    <w:rsid w:val="434A2E43"/>
    <w:rsid w:val="4388081B"/>
    <w:rsid w:val="439400BB"/>
    <w:rsid w:val="43D45ABA"/>
    <w:rsid w:val="43D47300"/>
    <w:rsid w:val="43D5316D"/>
    <w:rsid w:val="443215B7"/>
    <w:rsid w:val="44333D12"/>
    <w:rsid w:val="443661B5"/>
    <w:rsid w:val="443B6BB2"/>
    <w:rsid w:val="444D598C"/>
    <w:rsid w:val="4458483A"/>
    <w:rsid w:val="44650006"/>
    <w:rsid w:val="446E4031"/>
    <w:rsid w:val="447A5187"/>
    <w:rsid w:val="448B343F"/>
    <w:rsid w:val="449856D0"/>
    <w:rsid w:val="449A3F53"/>
    <w:rsid w:val="44AE6234"/>
    <w:rsid w:val="44B640F9"/>
    <w:rsid w:val="44C25732"/>
    <w:rsid w:val="44DA4491"/>
    <w:rsid w:val="44EE5523"/>
    <w:rsid w:val="45063D05"/>
    <w:rsid w:val="452E4653"/>
    <w:rsid w:val="4532495B"/>
    <w:rsid w:val="454B438A"/>
    <w:rsid w:val="454D157F"/>
    <w:rsid w:val="4558170E"/>
    <w:rsid w:val="45884073"/>
    <w:rsid w:val="45932BEC"/>
    <w:rsid w:val="45AF1F07"/>
    <w:rsid w:val="45B03EB7"/>
    <w:rsid w:val="45CC3DEB"/>
    <w:rsid w:val="45EC1356"/>
    <w:rsid w:val="45F8336D"/>
    <w:rsid w:val="45FA452B"/>
    <w:rsid w:val="46187F13"/>
    <w:rsid w:val="46911492"/>
    <w:rsid w:val="4693586F"/>
    <w:rsid w:val="46DD36B0"/>
    <w:rsid w:val="472D73FF"/>
    <w:rsid w:val="4750548C"/>
    <w:rsid w:val="476B2A37"/>
    <w:rsid w:val="47AB7293"/>
    <w:rsid w:val="47AD3A53"/>
    <w:rsid w:val="47BE309E"/>
    <w:rsid w:val="47BF118C"/>
    <w:rsid w:val="47CF68B5"/>
    <w:rsid w:val="47E60087"/>
    <w:rsid w:val="47E83DFD"/>
    <w:rsid w:val="47F8629A"/>
    <w:rsid w:val="48031B7B"/>
    <w:rsid w:val="481102EC"/>
    <w:rsid w:val="4844455D"/>
    <w:rsid w:val="484B6BD7"/>
    <w:rsid w:val="48561B05"/>
    <w:rsid w:val="485D2A1D"/>
    <w:rsid w:val="485F37C1"/>
    <w:rsid w:val="486C3B84"/>
    <w:rsid w:val="487A1123"/>
    <w:rsid w:val="489913ED"/>
    <w:rsid w:val="48C333B3"/>
    <w:rsid w:val="48C65BBD"/>
    <w:rsid w:val="491A4C9A"/>
    <w:rsid w:val="494A3D9D"/>
    <w:rsid w:val="497B368C"/>
    <w:rsid w:val="49AC1650"/>
    <w:rsid w:val="49C14601"/>
    <w:rsid w:val="49D637CF"/>
    <w:rsid w:val="49DD5ACD"/>
    <w:rsid w:val="49DF18D9"/>
    <w:rsid w:val="49E3469B"/>
    <w:rsid w:val="49F0321F"/>
    <w:rsid w:val="4A040C80"/>
    <w:rsid w:val="4A180BBD"/>
    <w:rsid w:val="4A305948"/>
    <w:rsid w:val="4A564783"/>
    <w:rsid w:val="4A5F7E1C"/>
    <w:rsid w:val="4A6717A6"/>
    <w:rsid w:val="4A6A4EE0"/>
    <w:rsid w:val="4A6E0369"/>
    <w:rsid w:val="4A6E2832"/>
    <w:rsid w:val="4A801B89"/>
    <w:rsid w:val="4A80606F"/>
    <w:rsid w:val="4ACF5668"/>
    <w:rsid w:val="4AD11E77"/>
    <w:rsid w:val="4B0804C8"/>
    <w:rsid w:val="4B1037FF"/>
    <w:rsid w:val="4B2A453B"/>
    <w:rsid w:val="4B2C181B"/>
    <w:rsid w:val="4B581D3E"/>
    <w:rsid w:val="4B7A0FC4"/>
    <w:rsid w:val="4B864AB8"/>
    <w:rsid w:val="4B8A7A57"/>
    <w:rsid w:val="4BC14947"/>
    <w:rsid w:val="4BC15BAB"/>
    <w:rsid w:val="4BD2223D"/>
    <w:rsid w:val="4C290433"/>
    <w:rsid w:val="4C2E5751"/>
    <w:rsid w:val="4C480FC0"/>
    <w:rsid w:val="4C4A453C"/>
    <w:rsid w:val="4C5F1C51"/>
    <w:rsid w:val="4C6C1F08"/>
    <w:rsid w:val="4CA2405D"/>
    <w:rsid w:val="4CA51A4A"/>
    <w:rsid w:val="4D0565E0"/>
    <w:rsid w:val="4D0F1E57"/>
    <w:rsid w:val="4D4044B4"/>
    <w:rsid w:val="4D406F53"/>
    <w:rsid w:val="4D630700"/>
    <w:rsid w:val="4D6F2CBC"/>
    <w:rsid w:val="4D704977"/>
    <w:rsid w:val="4D7C5561"/>
    <w:rsid w:val="4D824DDB"/>
    <w:rsid w:val="4D8E632C"/>
    <w:rsid w:val="4DE44762"/>
    <w:rsid w:val="4DE54021"/>
    <w:rsid w:val="4DFA4762"/>
    <w:rsid w:val="4E243666"/>
    <w:rsid w:val="4E7C6646"/>
    <w:rsid w:val="4E7E1192"/>
    <w:rsid w:val="4E806870"/>
    <w:rsid w:val="4EA0023D"/>
    <w:rsid w:val="4EA30D44"/>
    <w:rsid w:val="4EC04089"/>
    <w:rsid w:val="4ED2446F"/>
    <w:rsid w:val="4ED4024C"/>
    <w:rsid w:val="4F0219B1"/>
    <w:rsid w:val="4F0A358B"/>
    <w:rsid w:val="4F391F24"/>
    <w:rsid w:val="4F6C1315"/>
    <w:rsid w:val="4F740B6D"/>
    <w:rsid w:val="4F7C2C3F"/>
    <w:rsid w:val="4F886D66"/>
    <w:rsid w:val="4FD20F72"/>
    <w:rsid w:val="4FD32978"/>
    <w:rsid w:val="4FD948E3"/>
    <w:rsid w:val="500266CA"/>
    <w:rsid w:val="50172AB6"/>
    <w:rsid w:val="502B11B7"/>
    <w:rsid w:val="502D0EFD"/>
    <w:rsid w:val="50303266"/>
    <w:rsid w:val="503358F0"/>
    <w:rsid w:val="5042478B"/>
    <w:rsid w:val="504302A0"/>
    <w:rsid w:val="50605AA2"/>
    <w:rsid w:val="5064130C"/>
    <w:rsid w:val="506C4D2A"/>
    <w:rsid w:val="50722629"/>
    <w:rsid w:val="50883AA5"/>
    <w:rsid w:val="50965C66"/>
    <w:rsid w:val="50A55003"/>
    <w:rsid w:val="50B4234B"/>
    <w:rsid w:val="50BA196E"/>
    <w:rsid w:val="50C62730"/>
    <w:rsid w:val="50D04D5A"/>
    <w:rsid w:val="50E13446"/>
    <w:rsid w:val="51046C67"/>
    <w:rsid w:val="511D28D3"/>
    <w:rsid w:val="51346527"/>
    <w:rsid w:val="5142147E"/>
    <w:rsid w:val="51AE18A6"/>
    <w:rsid w:val="520B0285"/>
    <w:rsid w:val="520B41D7"/>
    <w:rsid w:val="52322655"/>
    <w:rsid w:val="525E7342"/>
    <w:rsid w:val="5271432D"/>
    <w:rsid w:val="52767B85"/>
    <w:rsid w:val="528024F6"/>
    <w:rsid w:val="52895E25"/>
    <w:rsid w:val="52967689"/>
    <w:rsid w:val="52BF6CE0"/>
    <w:rsid w:val="52F91F32"/>
    <w:rsid w:val="53067087"/>
    <w:rsid w:val="530D3A04"/>
    <w:rsid w:val="53133690"/>
    <w:rsid w:val="532E3588"/>
    <w:rsid w:val="533247FD"/>
    <w:rsid w:val="533E0A67"/>
    <w:rsid w:val="53672256"/>
    <w:rsid w:val="537832F7"/>
    <w:rsid w:val="537C2152"/>
    <w:rsid w:val="53A56149"/>
    <w:rsid w:val="53AE131D"/>
    <w:rsid w:val="53B7153F"/>
    <w:rsid w:val="53C0014D"/>
    <w:rsid w:val="53CF143D"/>
    <w:rsid w:val="53DC55CE"/>
    <w:rsid w:val="53E01F6C"/>
    <w:rsid w:val="53E37EF5"/>
    <w:rsid w:val="53FD69A3"/>
    <w:rsid w:val="541B38DD"/>
    <w:rsid w:val="541D7663"/>
    <w:rsid w:val="543B766C"/>
    <w:rsid w:val="544A0674"/>
    <w:rsid w:val="547D39E4"/>
    <w:rsid w:val="54943A42"/>
    <w:rsid w:val="54AA44BA"/>
    <w:rsid w:val="54B30C34"/>
    <w:rsid w:val="54C92006"/>
    <w:rsid w:val="54CB09CC"/>
    <w:rsid w:val="54D46A7D"/>
    <w:rsid w:val="54DD1657"/>
    <w:rsid w:val="55091566"/>
    <w:rsid w:val="550B4FC1"/>
    <w:rsid w:val="551108F1"/>
    <w:rsid w:val="551A38E3"/>
    <w:rsid w:val="55333061"/>
    <w:rsid w:val="55383A98"/>
    <w:rsid w:val="55471081"/>
    <w:rsid w:val="554C0AA9"/>
    <w:rsid w:val="55520F29"/>
    <w:rsid w:val="55580F56"/>
    <w:rsid w:val="555D4405"/>
    <w:rsid w:val="55664CBF"/>
    <w:rsid w:val="55765394"/>
    <w:rsid w:val="557D34EE"/>
    <w:rsid w:val="55857916"/>
    <w:rsid w:val="559346D9"/>
    <w:rsid w:val="55966D17"/>
    <w:rsid w:val="55B34853"/>
    <w:rsid w:val="55B770D5"/>
    <w:rsid w:val="55CD5ACF"/>
    <w:rsid w:val="55DA7786"/>
    <w:rsid w:val="55F2324D"/>
    <w:rsid w:val="55F47FF6"/>
    <w:rsid w:val="561108A0"/>
    <w:rsid w:val="56154DAC"/>
    <w:rsid w:val="561F0ADE"/>
    <w:rsid w:val="561F0EB1"/>
    <w:rsid w:val="56207420"/>
    <w:rsid w:val="56214C9D"/>
    <w:rsid w:val="5627530A"/>
    <w:rsid w:val="563D4E84"/>
    <w:rsid w:val="56596B74"/>
    <w:rsid w:val="56663907"/>
    <w:rsid w:val="56667E72"/>
    <w:rsid w:val="568B71E6"/>
    <w:rsid w:val="56F928BE"/>
    <w:rsid w:val="571503B5"/>
    <w:rsid w:val="57320CA5"/>
    <w:rsid w:val="57396169"/>
    <w:rsid w:val="573A6E44"/>
    <w:rsid w:val="573A7F8F"/>
    <w:rsid w:val="575D58EC"/>
    <w:rsid w:val="57856961"/>
    <w:rsid w:val="57B67AF0"/>
    <w:rsid w:val="57FF6D22"/>
    <w:rsid w:val="581D330D"/>
    <w:rsid w:val="5829793B"/>
    <w:rsid w:val="582F1FCF"/>
    <w:rsid w:val="5833175D"/>
    <w:rsid w:val="58340685"/>
    <w:rsid w:val="583A29FB"/>
    <w:rsid w:val="583B6C8B"/>
    <w:rsid w:val="58B152C0"/>
    <w:rsid w:val="58BA7477"/>
    <w:rsid w:val="58CC166E"/>
    <w:rsid w:val="58F748FE"/>
    <w:rsid w:val="58FB078B"/>
    <w:rsid w:val="5927426C"/>
    <w:rsid w:val="592B7216"/>
    <w:rsid w:val="59562C77"/>
    <w:rsid w:val="597948E4"/>
    <w:rsid w:val="59B95DCB"/>
    <w:rsid w:val="5A007077"/>
    <w:rsid w:val="5A0532A7"/>
    <w:rsid w:val="5A0F4F4F"/>
    <w:rsid w:val="5A3D43E4"/>
    <w:rsid w:val="5A4D7DAF"/>
    <w:rsid w:val="5A710009"/>
    <w:rsid w:val="5A762C88"/>
    <w:rsid w:val="5A7910AF"/>
    <w:rsid w:val="5A973007"/>
    <w:rsid w:val="5AB43A17"/>
    <w:rsid w:val="5AEB2ADD"/>
    <w:rsid w:val="5B294977"/>
    <w:rsid w:val="5B47685E"/>
    <w:rsid w:val="5B4D2EC1"/>
    <w:rsid w:val="5B501B3A"/>
    <w:rsid w:val="5B510F14"/>
    <w:rsid w:val="5B571F8E"/>
    <w:rsid w:val="5B6D4CCD"/>
    <w:rsid w:val="5B834D1B"/>
    <w:rsid w:val="5B892B90"/>
    <w:rsid w:val="5BA6021E"/>
    <w:rsid w:val="5BD65DD6"/>
    <w:rsid w:val="5BDF5215"/>
    <w:rsid w:val="5BFB17E1"/>
    <w:rsid w:val="5BFC2D9F"/>
    <w:rsid w:val="5C060CF4"/>
    <w:rsid w:val="5C3E0E51"/>
    <w:rsid w:val="5C5F2B10"/>
    <w:rsid w:val="5C772769"/>
    <w:rsid w:val="5C9F2C68"/>
    <w:rsid w:val="5CBE2543"/>
    <w:rsid w:val="5CC13ECF"/>
    <w:rsid w:val="5D5C1E7F"/>
    <w:rsid w:val="5D720CED"/>
    <w:rsid w:val="5D7257DD"/>
    <w:rsid w:val="5DA27EEB"/>
    <w:rsid w:val="5DAB5682"/>
    <w:rsid w:val="5DAC204A"/>
    <w:rsid w:val="5DB24086"/>
    <w:rsid w:val="5DB43C38"/>
    <w:rsid w:val="5DB53F06"/>
    <w:rsid w:val="5DB8605A"/>
    <w:rsid w:val="5DDF2CB9"/>
    <w:rsid w:val="5DE32BE1"/>
    <w:rsid w:val="5DF90AEA"/>
    <w:rsid w:val="5DF9198F"/>
    <w:rsid w:val="5DFB2CE6"/>
    <w:rsid w:val="5E086688"/>
    <w:rsid w:val="5E154EF3"/>
    <w:rsid w:val="5E2673AC"/>
    <w:rsid w:val="5E2C1C29"/>
    <w:rsid w:val="5E453021"/>
    <w:rsid w:val="5E4974BC"/>
    <w:rsid w:val="5E4B19DA"/>
    <w:rsid w:val="5E4D1784"/>
    <w:rsid w:val="5E61364C"/>
    <w:rsid w:val="5E672B8C"/>
    <w:rsid w:val="5E962B86"/>
    <w:rsid w:val="5EA1448C"/>
    <w:rsid w:val="5EAA0B3D"/>
    <w:rsid w:val="5EDB47BE"/>
    <w:rsid w:val="5EE26CD2"/>
    <w:rsid w:val="5F0B6E44"/>
    <w:rsid w:val="5F3207C7"/>
    <w:rsid w:val="5F4674AE"/>
    <w:rsid w:val="5F63615D"/>
    <w:rsid w:val="5F685340"/>
    <w:rsid w:val="5F7F0F0D"/>
    <w:rsid w:val="5F90723D"/>
    <w:rsid w:val="5F9402E3"/>
    <w:rsid w:val="5F9473F6"/>
    <w:rsid w:val="5F9616FC"/>
    <w:rsid w:val="5F975884"/>
    <w:rsid w:val="5FA447DA"/>
    <w:rsid w:val="5FB90016"/>
    <w:rsid w:val="5FCA2E7D"/>
    <w:rsid w:val="5FD509E6"/>
    <w:rsid w:val="5FF829CF"/>
    <w:rsid w:val="600D7EF0"/>
    <w:rsid w:val="601011C3"/>
    <w:rsid w:val="601969F9"/>
    <w:rsid w:val="60253829"/>
    <w:rsid w:val="60314504"/>
    <w:rsid w:val="60327D78"/>
    <w:rsid w:val="6039051E"/>
    <w:rsid w:val="60451CCA"/>
    <w:rsid w:val="605D4F6B"/>
    <w:rsid w:val="60755A9B"/>
    <w:rsid w:val="607619D0"/>
    <w:rsid w:val="608C5E9B"/>
    <w:rsid w:val="60BC1227"/>
    <w:rsid w:val="60C770BC"/>
    <w:rsid w:val="60CF65CB"/>
    <w:rsid w:val="60DA5D36"/>
    <w:rsid w:val="60DC5C53"/>
    <w:rsid w:val="60FF74A8"/>
    <w:rsid w:val="61193E07"/>
    <w:rsid w:val="61315D65"/>
    <w:rsid w:val="614A23D1"/>
    <w:rsid w:val="61606F07"/>
    <w:rsid w:val="61730D16"/>
    <w:rsid w:val="6173685A"/>
    <w:rsid w:val="618F5EFA"/>
    <w:rsid w:val="61E571F9"/>
    <w:rsid w:val="61E96DB8"/>
    <w:rsid w:val="61F04760"/>
    <w:rsid w:val="62063CEC"/>
    <w:rsid w:val="62064328"/>
    <w:rsid w:val="62091CD5"/>
    <w:rsid w:val="62121232"/>
    <w:rsid w:val="62423758"/>
    <w:rsid w:val="62537CAF"/>
    <w:rsid w:val="629164F1"/>
    <w:rsid w:val="62AD452E"/>
    <w:rsid w:val="62B754CF"/>
    <w:rsid w:val="62F0097F"/>
    <w:rsid w:val="62FC1B8C"/>
    <w:rsid w:val="62FD3E4C"/>
    <w:rsid w:val="63040D02"/>
    <w:rsid w:val="6306624B"/>
    <w:rsid w:val="630D0B6D"/>
    <w:rsid w:val="63197202"/>
    <w:rsid w:val="631E0F0F"/>
    <w:rsid w:val="631F6383"/>
    <w:rsid w:val="63222E3D"/>
    <w:rsid w:val="633A322F"/>
    <w:rsid w:val="633B01DC"/>
    <w:rsid w:val="63570AB0"/>
    <w:rsid w:val="635A325B"/>
    <w:rsid w:val="636B69E0"/>
    <w:rsid w:val="637F492D"/>
    <w:rsid w:val="63AE1FD0"/>
    <w:rsid w:val="63C67FED"/>
    <w:rsid w:val="63FA25AE"/>
    <w:rsid w:val="641F0D08"/>
    <w:rsid w:val="64660DE2"/>
    <w:rsid w:val="646F4C42"/>
    <w:rsid w:val="64721767"/>
    <w:rsid w:val="64764625"/>
    <w:rsid w:val="64995609"/>
    <w:rsid w:val="64A501B1"/>
    <w:rsid w:val="64A9105F"/>
    <w:rsid w:val="64AE3D29"/>
    <w:rsid w:val="64C73905"/>
    <w:rsid w:val="64E60748"/>
    <w:rsid w:val="64E6261B"/>
    <w:rsid w:val="64E95112"/>
    <w:rsid w:val="64EC68D4"/>
    <w:rsid w:val="64FC62C9"/>
    <w:rsid w:val="65181BD5"/>
    <w:rsid w:val="65231BCA"/>
    <w:rsid w:val="652F24A2"/>
    <w:rsid w:val="655773D9"/>
    <w:rsid w:val="657207CF"/>
    <w:rsid w:val="65737CEF"/>
    <w:rsid w:val="659067B0"/>
    <w:rsid w:val="65A70D4D"/>
    <w:rsid w:val="65B63A5C"/>
    <w:rsid w:val="66071F06"/>
    <w:rsid w:val="661577FC"/>
    <w:rsid w:val="661F5459"/>
    <w:rsid w:val="66381AD6"/>
    <w:rsid w:val="66467DB9"/>
    <w:rsid w:val="66620416"/>
    <w:rsid w:val="668A3702"/>
    <w:rsid w:val="668B337A"/>
    <w:rsid w:val="66947828"/>
    <w:rsid w:val="66A36C22"/>
    <w:rsid w:val="66AC0E93"/>
    <w:rsid w:val="66CF7A6E"/>
    <w:rsid w:val="66D123FF"/>
    <w:rsid w:val="66D20804"/>
    <w:rsid w:val="66D40875"/>
    <w:rsid w:val="66D46B98"/>
    <w:rsid w:val="66D5609F"/>
    <w:rsid w:val="673A527D"/>
    <w:rsid w:val="67566C56"/>
    <w:rsid w:val="676A37D1"/>
    <w:rsid w:val="677C2B4C"/>
    <w:rsid w:val="67A67063"/>
    <w:rsid w:val="67C42DDE"/>
    <w:rsid w:val="67DC6979"/>
    <w:rsid w:val="67E11B2D"/>
    <w:rsid w:val="682A7219"/>
    <w:rsid w:val="687F096C"/>
    <w:rsid w:val="68883E49"/>
    <w:rsid w:val="6893084C"/>
    <w:rsid w:val="68AC32D7"/>
    <w:rsid w:val="68AE07E3"/>
    <w:rsid w:val="692709E9"/>
    <w:rsid w:val="69411885"/>
    <w:rsid w:val="69444E88"/>
    <w:rsid w:val="69444EEB"/>
    <w:rsid w:val="696A0FDB"/>
    <w:rsid w:val="696C42EC"/>
    <w:rsid w:val="698506F1"/>
    <w:rsid w:val="699A0CC2"/>
    <w:rsid w:val="69BF4CF5"/>
    <w:rsid w:val="69F55D03"/>
    <w:rsid w:val="69FE7841"/>
    <w:rsid w:val="6A1F22B8"/>
    <w:rsid w:val="6A5F2C0C"/>
    <w:rsid w:val="6A920A08"/>
    <w:rsid w:val="6AA36162"/>
    <w:rsid w:val="6AC73619"/>
    <w:rsid w:val="6ADA1257"/>
    <w:rsid w:val="6AE139D1"/>
    <w:rsid w:val="6AED2CD3"/>
    <w:rsid w:val="6B0709FE"/>
    <w:rsid w:val="6B13267C"/>
    <w:rsid w:val="6B160FA9"/>
    <w:rsid w:val="6B2024A5"/>
    <w:rsid w:val="6B3F20ED"/>
    <w:rsid w:val="6B5B6CFE"/>
    <w:rsid w:val="6B5F4FD8"/>
    <w:rsid w:val="6B7019ED"/>
    <w:rsid w:val="6B8A7931"/>
    <w:rsid w:val="6B8D52B8"/>
    <w:rsid w:val="6B945283"/>
    <w:rsid w:val="6BDE37E7"/>
    <w:rsid w:val="6BE84F8F"/>
    <w:rsid w:val="6C0768BC"/>
    <w:rsid w:val="6C4050F1"/>
    <w:rsid w:val="6C4279CA"/>
    <w:rsid w:val="6C486AB5"/>
    <w:rsid w:val="6C4E2090"/>
    <w:rsid w:val="6C96773D"/>
    <w:rsid w:val="6C9E0DB3"/>
    <w:rsid w:val="6CA00E05"/>
    <w:rsid w:val="6CA32094"/>
    <w:rsid w:val="6CA32856"/>
    <w:rsid w:val="6CCC5227"/>
    <w:rsid w:val="6CEC3352"/>
    <w:rsid w:val="6D3B7E38"/>
    <w:rsid w:val="6D554F51"/>
    <w:rsid w:val="6D60098C"/>
    <w:rsid w:val="6D71007C"/>
    <w:rsid w:val="6D7345C7"/>
    <w:rsid w:val="6D7E428C"/>
    <w:rsid w:val="6DA7180D"/>
    <w:rsid w:val="6DAB38E8"/>
    <w:rsid w:val="6DD449ED"/>
    <w:rsid w:val="6E2437B0"/>
    <w:rsid w:val="6E400952"/>
    <w:rsid w:val="6E492F35"/>
    <w:rsid w:val="6E52257B"/>
    <w:rsid w:val="6E6D06FA"/>
    <w:rsid w:val="6E745A78"/>
    <w:rsid w:val="6E7B3931"/>
    <w:rsid w:val="6E7C5528"/>
    <w:rsid w:val="6E864400"/>
    <w:rsid w:val="6ED63281"/>
    <w:rsid w:val="6EDB5A82"/>
    <w:rsid w:val="6EE4213E"/>
    <w:rsid w:val="6F2431DF"/>
    <w:rsid w:val="6F385EC2"/>
    <w:rsid w:val="6F3D43E9"/>
    <w:rsid w:val="6F482307"/>
    <w:rsid w:val="6F5A0565"/>
    <w:rsid w:val="6F671FEF"/>
    <w:rsid w:val="6F7A525E"/>
    <w:rsid w:val="6F8E6C1A"/>
    <w:rsid w:val="6FA2023C"/>
    <w:rsid w:val="6FAA2896"/>
    <w:rsid w:val="6FAC42DB"/>
    <w:rsid w:val="6FC04DE1"/>
    <w:rsid w:val="6FE25F0E"/>
    <w:rsid w:val="70157997"/>
    <w:rsid w:val="701E769F"/>
    <w:rsid w:val="702E6248"/>
    <w:rsid w:val="70412229"/>
    <w:rsid w:val="704425F3"/>
    <w:rsid w:val="704A360A"/>
    <w:rsid w:val="705547DB"/>
    <w:rsid w:val="706554BB"/>
    <w:rsid w:val="70A46938"/>
    <w:rsid w:val="70CF552F"/>
    <w:rsid w:val="70EB7AB6"/>
    <w:rsid w:val="71036B8C"/>
    <w:rsid w:val="7141502F"/>
    <w:rsid w:val="71AD3A0E"/>
    <w:rsid w:val="71B952FA"/>
    <w:rsid w:val="71BA68DE"/>
    <w:rsid w:val="71BE0A91"/>
    <w:rsid w:val="71C278DD"/>
    <w:rsid w:val="71C27E9D"/>
    <w:rsid w:val="71DA4236"/>
    <w:rsid w:val="71E010FD"/>
    <w:rsid w:val="723B7DBF"/>
    <w:rsid w:val="725310CC"/>
    <w:rsid w:val="725415A9"/>
    <w:rsid w:val="72691273"/>
    <w:rsid w:val="726E3C83"/>
    <w:rsid w:val="727B66C0"/>
    <w:rsid w:val="72827E86"/>
    <w:rsid w:val="728F706D"/>
    <w:rsid w:val="72AA3624"/>
    <w:rsid w:val="72AE1B72"/>
    <w:rsid w:val="72B42316"/>
    <w:rsid w:val="72B50B0A"/>
    <w:rsid w:val="72BE5AE6"/>
    <w:rsid w:val="72DA424C"/>
    <w:rsid w:val="72F17F63"/>
    <w:rsid w:val="730B275B"/>
    <w:rsid w:val="73135CF4"/>
    <w:rsid w:val="732763F5"/>
    <w:rsid w:val="737E4ACB"/>
    <w:rsid w:val="73896514"/>
    <w:rsid w:val="738F32F7"/>
    <w:rsid w:val="73C520F7"/>
    <w:rsid w:val="73CF425F"/>
    <w:rsid w:val="73E00C59"/>
    <w:rsid w:val="73EF4030"/>
    <w:rsid w:val="73FB3DAE"/>
    <w:rsid w:val="73FE7B50"/>
    <w:rsid w:val="741E1EA8"/>
    <w:rsid w:val="742000F3"/>
    <w:rsid w:val="742F655B"/>
    <w:rsid w:val="74543A55"/>
    <w:rsid w:val="745C2AF0"/>
    <w:rsid w:val="745F175E"/>
    <w:rsid w:val="74A0413F"/>
    <w:rsid w:val="74A05147"/>
    <w:rsid w:val="74B023E6"/>
    <w:rsid w:val="74DC70F0"/>
    <w:rsid w:val="75150D30"/>
    <w:rsid w:val="75383213"/>
    <w:rsid w:val="757D7C18"/>
    <w:rsid w:val="757F40F1"/>
    <w:rsid w:val="75C436EB"/>
    <w:rsid w:val="75D653FF"/>
    <w:rsid w:val="7602437F"/>
    <w:rsid w:val="762B2D27"/>
    <w:rsid w:val="76377AD2"/>
    <w:rsid w:val="764A4BBB"/>
    <w:rsid w:val="76612220"/>
    <w:rsid w:val="769D05B4"/>
    <w:rsid w:val="76AF6536"/>
    <w:rsid w:val="76C20AE7"/>
    <w:rsid w:val="76C30773"/>
    <w:rsid w:val="76E65DC6"/>
    <w:rsid w:val="770A79BC"/>
    <w:rsid w:val="770D1E93"/>
    <w:rsid w:val="774F13C6"/>
    <w:rsid w:val="77593413"/>
    <w:rsid w:val="775E172F"/>
    <w:rsid w:val="7763050D"/>
    <w:rsid w:val="77765B09"/>
    <w:rsid w:val="777B4B9B"/>
    <w:rsid w:val="777E2A60"/>
    <w:rsid w:val="7780727D"/>
    <w:rsid w:val="77932D33"/>
    <w:rsid w:val="78182B49"/>
    <w:rsid w:val="782E6A82"/>
    <w:rsid w:val="7834515F"/>
    <w:rsid w:val="785E3B70"/>
    <w:rsid w:val="78620798"/>
    <w:rsid w:val="786B44E6"/>
    <w:rsid w:val="78701AC6"/>
    <w:rsid w:val="789A06DF"/>
    <w:rsid w:val="78CF0CBA"/>
    <w:rsid w:val="78DB5FAA"/>
    <w:rsid w:val="78E01D63"/>
    <w:rsid w:val="792615DB"/>
    <w:rsid w:val="792957F5"/>
    <w:rsid w:val="79296275"/>
    <w:rsid w:val="79357EBD"/>
    <w:rsid w:val="793F2F1C"/>
    <w:rsid w:val="79730477"/>
    <w:rsid w:val="797D5CF8"/>
    <w:rsid w:val="798966B7"/>
    <w:rsid w:val="798E179D"/>
    <w:rsid w:val="799B327E"/>
    <w:rsid w:val="799C4DE9"/>
    <w:rsid w:val="79A71C4F"/>
    <w:rsid w:val="79A7206E"/>
    <w:rsid w:val="79D13BE6"/>
    <w:rsid w:val="7A3200A1"/>
    <w:rsid w:val="7A526A61"/>
    <w:rsid w:val="7A5C53A7"/>
    <w:rsid w:val="7A6C1E3E"/>
    <w:rsid w:val="7A773995"/>
    <w:rsid w:val="7A847DA1"/>
    <w:rsid w:val="7A91199E"/>
    <w:rsid w:val="7A91633F"/>
    <w:rsid w:val="7AA54535"/>
    <w:rsid w:val="7ACF0C29"/>
    <w:rsid w:val="7AD75F46"/>
    <w:rsid w:val="7B0170D3"/>
    <w:rsid w:val="7B1E1500"/>
    <w:rsid w:val="7B287D4D"/>
    <w:rsid w:val="7B2F7223"/>
    <w:rsid w:val="7B335417"/>
    <w:rsid w:val="7B3D260D"/>
    <w:rsid w:val="7B9E0129"/>
    <w:rsid w:val="7BCF021B"/>
    <w:rsid w:val="7BDA1117"/>
    <w:rsid w:val="7BED73F5"/>
    <w:rsid w:val="7BEE342B"/>
    <w:rsid w:val="7C0474D0"/>
    <w:rsid w:val="7C324BBB"/>
    <w:rsid w:val="7C433F8A"/>
    <w:rsid w:val="7C4D0904"/>
    <w:rsid w:val="7C5202FF"/>
    <w:rsid w:val="7C69311A"/>
    <w:rsid w:val="7C7144E2"/>
    <w:rsid w:val="7C98631A"/>
    <w:rsid w:val="7CB07F1E"/>
    <w:rsid w:val="7D051CD0"/>
    <w:rsid w:val="7D0B5113"/>
    <w:rsid w:val="7D1F0C5F"/>
    <w:rsid w:val="7D2E5AFA"/>
    <w:rsid w:val="7D333678"/>
    <w:rsid w:val="7D343301"/>
    <w:rsid w:val="7D467819"/>
    <w:rsid w:val="7D664174"/>
    <w:rsid w:val="7DA31F9E"/>
    <w:rsid w:val="7DF5150A"/>
    <w:rsid w:val="7E004338"/>
    <w:rsid w:val="7E0E4466"/>
    <w:rsid w:val="7E130181"/>
    <w:rsid w:val="7E2F1118"/>
    <w:rsid w:val="7E2F77F1"/>
    <w:rsid w:val="7E407F53"/>
    <w:rsid w:val="7E464E8F"/>
    <w:rsid w:val="7E4D1F27"/>
    <w:rsid w:val="7E526CD3"/>
    <w:rsid w:val="7E57168E"/>
    <w:rsid w:val="7E76666C"/>
    <w:rsid w:val="7E8A6790"/>
    <w:rsid w:val="7E8E2C7C"/>
    <w:rsid w:val="7EA27FB0"/>
    <w:rsid w:val="7EC33B13"/>
    <w:rsid w:val="7EDD6F4A"/>
    <w:rsid w:val="7EEC2FB6"/>
    <w:rsid w:val="7F075501"/>
    <w:rsid w:val="7F0E4617"/>
    <w:rsid w:val="7F54346F"/>
    <w:rsid w:val="7F58188D"/>
    <w:rsid w:val="7F5F4710"/>
    <w:rsid w:val="7F7B6320"/>
    <w:rsid w:val="7F9B4D02"/>
    <w:rsid w:val="7F9B7B32"/>
    <w:rsid w:val="7FA52FE2"/>
    <w:rsid w:val="7FBB6C8F"/>
    <w:rsid w:val="7FD6272B"/>
    <w:rsid w:val="7FD71343"/>
    <w:rsid w:val="7FE25BA0"/>
    <w:rsid w:val="7FEA0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semiHidden/>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1"/>
    <w:qFormat/>
    <w:uiPriority w:val="0"/>
    <w:rPr>
      <w:rFonts w:ascii="Times New Roman" w:hAnsi="Times New Roman" w:eastAsia="宋体" w:cs="Times New Roman"/>
      <w:color w:val="FF0000"/>
      <w:sz w:val="24"/>
      <w:szCs w:val="24"/>
    </w:rPr>
  </w:style>
  <w:style w:type="paragraph" w:styleId="11">
    <w:name w:val="Body Text Indent"/>
    <w:basedOn w:val="1"/>
    <w:next w:val="12"/>
    <w:link w:val="44"/>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5"/>
    <w:qFormat/>
    <w:uiPriority w:val="0"/>
    <w:rPr>
      <w:rFonts w:eastAsia="宋体"/>
      <w:sz w:val="24"/>
    </w:rPr>
  </w:style>
  <w:style w:type="paragraph" w:styleId="16">
    <w:name w:val="Date"/>
    <w:basedOn w:val="1"/>
    <w:next w:val="1"/>
    <w:link w:val="46"/>
    <w:unhideWhenUsed/>
    <w:qFormat/>
    <w:uiPriority w:val="99"/>
    <w:pPr>
      <w:ind w:left="100" w:leftChars="2500"/>
    </w:pPr>
  </w:style>
  <w:style w:type="paragraph" w:styleId="17">
    <w:name w:val="Balloon Text"/>
    <w:basedOn w:val="1"/>
    <w:link w:val="48"/>
    <w:semiHidden/>
    <w:unhideWhenUsed/>
    <w:qFormat/>
    <w:uiPriority w:val="99"/>
    <w:rPr>
      <w:sz w:val="18"/>
      <w:szCs w:val="18"/>
    </w:rPr>
  </w:style>
  <w:style w:type="paragraph" w:styleId="18">
    <w:name w:val="footer"/>
    <w:basedOn w:val="1"/>
    <w:link w:val="49"/>
    <w:unhideWhenUsed/>
    <w:qFormat/>
    <w:uiPriority w:val="99"/>
    <w:pPr>
      <w:tabs>
        <w:tab w:val="center" w:pos="4153"/>
        <w:tab w:val="right" w:pos="8306"/>
      </w:tabs>
      <w:snapToGrid w:val="0"/>
      <w:jc w:val="left"/>
    </w:pPr>
    <w:rPr>
      <w:sz w:val="18"/>
      <w:szCs w:val="18"/>
    </w:rPr>
  </w:style>
  <w:style w:type="paragraph" w:styleId="1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toc 9"/>
    <w:basedOn w:val="1"/>
    <w:next w:val="1"/>
    <w:qFormat/>
    <w:uiPriority w:val="0"/>
    <w:pPr>
      <w:ind w:left="1600" w:leftChars="1600"/>
    </w:pPr>
    <w:rPr>
      <w:rFonts w:ascii="Times New Roman" w:hAnsi="Times New Roman" w:eastAsia="宋体" w:cs="Times New Roman"/>
    </w:rPr>
  </w:style>
  <w:style w:type="paragraph" w:styleId="22">
    <w:name w:val="Body Text 2"/>
    <w:basedOn w:val="1"/>
    <w:qFormat/>
    <w:uiPriority w:val="0"/>
    <w:pPr>
      <w:spacing w:after="120" w:line="480" w:lineRule="auto"/>
    </w:pPr>
  </w:style>
  <w:style w:type="paragraph" w:styleId="23">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2"/>
    <w:next w:val="26"/>
    <w:link w:val="53"/>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1"/>
    <w:next w:val="1"/>
    <w:qFormat/>
    <w:uiPriority w:val="99"/>
    <w:pPr>
      <w:tabs>
        <w:tab w:val="left" w:pos="945"/>
        <w:tab w:val="left" w:pos="1155"/>
      </w:tabs>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99"/>
    <w:rPr>
      <w:color w:val="000000"/>
      <w:u w:val="none"/>
    </w:rPr>
  </w:style>
  <w:style w:type="paragraph" w:customStyle="1" w:styleId="34">
    <w:name w:val="列出段落1"/>
    <w:basedOn w:val="1"/>
    <w:qFormat/>
    <w:uiPriority w:val="34"/>
    <w:pPr>
      <w:ind w:firstLine="420" w:firstLineChars="200"/>
    </w:pPr>
  </w:style>
  <w:style w:type="paragraph" w:customStyle="1" w:styleId="35">
    <w:name w:val="style4"/>
    <w:basedOn w:val="1"/>
    <w:next w:val="36"/>
    <w:qFormat/>
    <w:uiPriority w:val="0"/>
    <w:pPr>
      <w:widowControl/>
      <w:spacing w:before="280" w:after="280"/>
    </w:pPr>
    <w:rPr>
      <w:rFonts w:ascii="宋体" w:hAnsi="Times New Roman" w:eastAsia="宋体" w:cs="Times New Roman"/>
      <w:sz w:val="18"/>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7">
    <w:name w:val="标题 1 Char"/>
    <w:basedOn w:val="29"/>
    <w:link w:val="4"/>
    <w:qFormat/>
    <w:uiPriority w:val="0"/>
    <w:rPr>
      <w:rFonts w:ascii="Calibri" w:hAnsi="Calibri" w:eastAsia="宋体" w:cs="Times New Roman"/>
      <w:b/>
      <w:bCs/>
      <w:kern w:val="44"/>
      <w:sz w:val="44"/>
      <w:szCs w:val="44"/>
    </w:rPr>
  </w:style>
  <w:style w:type="character" w:customStyle="1" w:styleId="38">
    <w:name w:val="标题 2 Char"/>
    <w:basedOn w:val="29"/>
    <w:link w:val="5"/>
    <w:qFormat/>
    <w:uiPriority w:val="0"/>
    <w:rPr>
      <w:rFonts w:ascii="Arial" w:hAnsi="Arial" w:eastAsia="黑体" w:cs="Times New Roman"/>
      <w:b/>
      <w:bCs/>
      <w:kern w:val="0"/>
      <w:sz w:val="32"/>
      <w:szCs w:val="32"/>
    </w:rPr>
  </w:style>
  <w:style w:type="character" w:customStyle="1" w:styleId="39">
    <w:name w:val="标题 3 Char"/>
    <w:basedOn w:val="29"/>
    <w:link w:val="6"/>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7"/>
    <w:qFormat/>
    <w:uiPriority w:val="0"/>
    <w:rPr>
      <w:rFonts w:ascii="Arial" w:hAnsi="Arial" w:eastAsia="黑体" w:cs="Times New Roman"/>
      <w:b/>
      <w:bCs/>
      <w:kern w:val="0"/>
      <w:sz w:val="28"/>
      <w:szCs w:val="28"/>
    </w:rPr>
  </w:style>
  <w:style w:type="character" w:customStyle="1" w:styleId="41">
    <w:name w:val="正文文本 3 Char"/>
    <w:basedOn w:val="29"/>
    <w:link w:val="10"/>
    <w:qFormat/>
    <w:uiPriority w:val="0"/>
    <w:rPr>
      <w:rFonts w:ascii="Times New Roman" w:hAnsi="Times New Roman" w:eastAsia="宋体" w:cs="Times New Roman"/>
      <w:color w:val="FF0000"/>
      <w:sz w:val="24"/>
      <w:szCs w:val="24"/>
    </w:rPr>
  </w:style>
  <w:style w:type="character" w:customStyle="1" w:styleId="42">
    <w:name w:val="正文文本 Char"/>
    <w:basedOn w:val="29"/>
    <w:link w:val="2"/>
    <w:semiHidden/>
    <w:qFormat/>
    <w:uiPriority w:val="99"/>
  </w:style>
  <w:style w:type="character" w:customStyle="1" w:styleId="43">
    <w:name w:val="正文文本缩进 Char"/>
    <w:basedOn w:val="29"/>
    <w:link w:val="11"/>
    <w:qFormat/>
    <w:uiPriority w:val="0"/>
  </w:style>
  <w:style w:type="character" w:customStyle="1" w:styleId="44">
    <w:name w:val="正文文本缩进 Char1"/>
    <w:basedOn w:val="29"/>
    <w:link w:val="11"/>
    <w:qFormat/>
    <w:uiPriority w:val="0"/>
    <w:rPr>
      <w:kern w:val="0"/>
      <w:sz w:val="24"/>
      <w:szCs w:val="20"/>
    </w:rPr>
  </w:style>
  <w:style w:type="character" w:customStyle="1" w:styleId="45">
    <w:name w:val="纯文本 Char"/>
    <w:basedOn w:val="29"/>
    <w:link w:val="15"/>
    <w:qFormat/>
    <w:uiPriority w:val="0"/>
    <w:rPr>
      <w:rFonts w:eastAsia="宋体"/>
      <w:sz w:val="24"/>
    </w:rPr>
  </w:style>
  <w:style w:type="character" w:customStyle="1" w:styleId="46">
    <w:name w:val="日期 Char"/>
    <w:basedOn w:val="29"/>
    <w:link w:val="16"/>
    <w:qFormat/>
    <w:uiPriority w:val="99"/>
  </w:style>
  <w:style w:type="character" w:customStyle="1" w:styleId="47">
    <w:name w:val="批注框文本 Char"/>
    <w:basedOn w:val="29"/>
    <w:link w:val="17"/>
    <w:semiHidden/>
    <w:qFormat/>
    <w:uiPriority w:val="99"/>
    <w:rPr>
      <w:sz w:val="18"/>
      <w:szCs w:val="18"/>
    </w:rPr>
  </w:style>
  <w:style w:type="character" w:customStyle="1" w:styleId="48">
    <w:name w:val="批注框文本 Char1"/>
    <w:basedOn w:val="29"/>
    <w:link w:val="17"/>
    <w:semiHidden/>
    <w:qFormat/>
    <w:uiPriority w:val="99"/>
    <w:rPr>
      <w:sz w:val="18"/>
      <w:szCs w:val="18"/>
    </w:rPr>
  </w:style>
  <w:style w:type="character" w:customStyle="1" w:styleId="49">
    <w:name w:val="页脚 Char"/>
    <w:basedOn w:val="29"/>
    <w:link w:val="18"/>
    <w:qFormat/>
    <w:uiPriority w:val="99"/>
    <w:rPr>
      <w:sz w:val="18"/>
      <w:szCs w:val="18"/>
    </w:rPr>
  </w:style>
  <w:style w:type="character" w:customStyle="1" w:styleId="50">
    <w:name w:val="页眉 Char"/>
    <w:basedOn w:val="29"/>
    <w:link w:val="19"/>
    <w:qFormat/>
    <w:uiPriority w:val="99"/>
    <w:rPr>
      <w:sz w:val="18"/>
      <w:szCs w:val="18"/>
    </w:rPr>
  </w:style>
  <w:style w:type="character" w:customStyle="1" w:styleId="51">
    <w:name w:val="HTML 预设格式 Char"/>
    <w:basedOn w:val="29"/>
    <w:link w:val="23"/>
    <w:semiHidden/>
    <w:qFormat/>
    <w:uiPriority w:val="99"/>
    <w:rPr>
      <w:rFonts w:ascii="宋体" w:hAnsi="宋体" w:eastAsia="宋体" w:cs="宋体"/>
      <w:kern w:val="0"/>
      <w:sz w:val="24"/>
      <w:szCs w:val="24"/>
    </w:rPr>
  </w:style>
  <w:style w:type="character" w:customStyle="1" w:styleId="52">
    <w:name w:val="HTML 预设格式 Char1"/>
    <w:basedOn w:val="29"/>
    <w:link w:val="23"/>
    <w:semiHidden/>
    <w:qFormat/>
    <w:uiPriority w:val="99"/>
    <w:rPr>
      <w:rFonts w:ascii="Courier New" w:hAnsi="Courier New" w:cs="Courier New"/>
      <w:sz w:val="20"/>
      <w:szCs w:val="20"/>
    </w:rPr>
  </w:style>
  <w:style w:type="character" w:customStyle="1" w:styleId="53">
    <w:name w:val="正文首行缩进 Char"/>
    <w:basedOn w:val="42"/>
    <w:link w:val="25"/>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9"/>
    <w:qFormat/>
    <w:uiPriority w:val="0"/>
  </w:style>
  <w:style w:type="paragraph" w:customStyle="1" w:styleId="6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6">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7">
    <w:name w:val="*正文"/>
    <w:basedOn w:val="1"/>
    <w:qFormat/>
    <w:uiPriority w:val="0"/>
    <w:pPr>
      <w:keepNext/>
      <w:keepLines/>
      <w:spacing w:line="360" w:lineRule="auto"/>
      <w:ind w:firstLine="200" w:firstLineChars="200"/>
    </w:pPr>
    <w:rPr>
      <w:rFonts w:ascii="宋体" w:hAnsi="宋体"/>
    </w:rPr>
  </w:style>
  <w:style w:type="character" w:customStyle="1" w:styleId="68">
    <w:name w:val="hover"/>
    <w:basedOn w:val="29"/>
    <w:qFormat/>
    <w:uiPriority w:val="0"/>
  </w:style>
  <w:style w:type="character" w:customStyle="1" w:styleId="69">
    <w:name w:val="red"/>
    <w:basedOn w:val="29"/>
    <w:qFormat/>
    <w:uiPriority w:val="0"/>
    <w:rPr>
      <w:color w:val="FF0000"/>
      <w:sz w:val="18"/>
      <w:szCs w:val="18"/>
    </w:rPr>
  </w:style>
  <w:style w:type="character" w:customStyle="1" w:styleId="70">
    <w:name w:val="red1"/>
    <w:basedOn w:val="29"/>
    <w:qFormat/>
    <w:uiPriority w:val="0"/>
    <w:rPr>
      <w:color w:val="FF0000"/>
      <w:sz w:val="18"/>
      <w:szCs w:val="18"/>
    </w:rPr>
  </w:style>
  <w:style w:type="character" w:customStyle="1" w:styleId="71">
    <w:name w:val="red2"/>
    <w:basedOn w:val="29"/>
    <w:qFormat/>
    <w:uiPriority w:val="0"/>
    <w:rPr>
      <w:color w:val="CC0000"/>
    </w:rPr>
  </w:style>
  <w:style w:type="character" w:customStyle="1" w:styleId="72">
    <w:name w:val="red3"/>
    <w:basedOn w:val="29"/>
    <w:qFormat/>
    <w:uiPriority w:val="0"/>
    <w:rPr>
      <w:color w:val="FF0000"/>
    </w:rPr>
  </w:style>
  <w:style w:type="character" w:customStyle="1" w:styleId="73">
    <w:name w:val="green"/>
    <w:basedOn w:val="29"/>
    <w:qFormat/>
    <w:uiPriority w:val="0"/>
    <w:rPr>
      <w:color w:val="66AE00"/>
      <w:sz w:val="18"/>
      <w:szCs w:val="18"/>
    </w:rPr>
  </w:style>
  <w:style w:type="character" w:customStyle="1" w:styleId="74">
    <w:name w:val="green1"/>
    <w:basedOn w:val="29"/>
    <w:qFormat/>
    <w:uiPriority w:val="0"/>
    <w:rPr>
      <w:color w:val="66AE00"/>
      <w:sz w:val="18"/>
      <w:szCs w:val="18"/>
    </w:rPr>
  </w:style>
  <w:style w:type="character" w:customStyle="1" w:styleId="75">
    <w:name w:val="active4"/>
    <w:basedOn w:val="29"/>
    <w:qFormat/>
    <w:uiPriority w:val="0"/>
    <w:rPr>
      <w:color w:val="FFFFFF"/>
      <w:shd w:val="clear" w:fill="2B7AFC"/>
    </w:rPr>
  </w:style>
  <w:style w:type="character" w:customStyle="1" w:styleId="76">
    <w:name w:val="gb-jt"/>
    <w:basedOn w:val="29"/>
    <w:qFormat/>
    <w:uiPriority w:val="0"/>
  </w:style>
  <w:style w:type="character" w:customStyle="1" w:styleId="77">
    <w:name w:val="blue"/>
    <w:basedOn w:val="29"/>
    <w:qFormat/>
    <w:uiPriority w:val="0"/>
    <w:rPr>
      <w:color w:val="0371C6"/>
      <w:sz w:val="21"/>
      <w:szCs w:val="21"/>
    </w:rPr>
  </w:style>
  <w:style w:type="character" w:customStyle="1" w:styleId="78">
    <w:name w:val="right"/>
    <w:basedOn w:val="2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60</Pages>
  <Words>4736</Words>
  <Characters>27001</Characters>
  <Lines>225</Lines>
  <Paragraphs>63</Paragraphs>
  <TotalTime>16</TotalTime>
  <ScaleCrop>false</ScaleCrop>
  <LinksUpToDate>false</LinksUpToDate>
  <CharactersWithSpaces>31674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河南建标工程管理有限公司:李松岳</cp:lastModifiedBy>
  <cp:lastPrinted>2021-10-20T08:55:00Z</cp:lastPrinted>
  <dcterms:modified xsi:type="dcterms:W3CDTF">2021-10-25T00:17:29Z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154CEA885CCA416795107758FAC2E672</vt:lpwstr>
  </property>
</Properties>
</file>