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长葛市城镇38座垃圾中转站垃圾转运业务及8座垃圾中转站日常运行管理维护业务托管费用项目（不见面开标）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项目 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中标供应商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被推荐供应商名单及理由：</w:t>
      </w:r>
    </w:p>
    <w:p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被推荐供应商：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长葛市捷通垃圾清运有限公司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评标委员会小组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投标响应文件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评标委员会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zh-CN" w:eastAsia="zh-CN"/>
        </w:rPr>
        <w:t>小组从质量和服务均能满足采购文件实质性响应要求的供应商中，按照综合评分法得分由高到低的顺序向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中标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E1B5B"/>
    <w:rsid w:val="05D103EB"/>
    <w:rsid w:val="0A5B0ACE"/>
    <w:rsid w:val="0B233FAA"/>
    <w:rsid w:val="0FF57B91"/>
    <w:rsid w:val="160F6BA8"/>
    <w:rsid w:val="17503E27"/>
    <w:rsid w:val="1F081C1A"/>
    <w:rsid w:val="23E65DFE"/>
    <w:rsid w:val="3659413E"/>
    <w:rsid w:val="400853C5"/>
    <w:rsid w:val="447E1B5B"/>
    <w:rsid w:val="44D70ED6"/>
    <w:rsid w:val="60446853"/>
    <w:rsid w:val="72F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3">
    <w:name w:val="Body Text"/>
    <w:basedOn w:val="1"/>
    <w:next w:val="2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styleId="5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paragraph" w:customStyle="1" w:styleId="9">
    <w:name w:val="style4"/>
    <w:basedOn w:val="1"/>
    <w:next w:val="10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10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智远工程管理有限公司:高波</cp:lastModifiedBy>
  <dcterms:modified xsi:type="dcterms:W3CDTF">2021-09-29T02:54:45Z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838F701CD3DB461CBF41E78B25C0AD0B</vt:lpwstr>
  </property>
</Properties>
</file>