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Cs/>
          <w:color w:val="auto"/>
          <w:sz w:val="36"/>
          <w:szCs w:val="36"/>
          <w:lang w:eastAsia="zh-CN"/>
        </w:rPr>
      </w:pPr>
      <w:r>
        <w:rPr>
          <w:rFonts w:hint="eastAsia" w:ascii="黑体" w:hAnsi="黑体" w:eastAsia="黑体" w:cs="黑体"/>
          <w:bCs/>
          <w:color w:val="auto"/>
          <w:sz w:val="36"/>
          <w:szCs w:val="36"/>
        </w:rPr>
        <w:t>禹州市</w:t>
      </w:r>
      <w:r>
        <w:rPr>
          <w:rFonts w:hint="eastAsia" w:ascii="黑体" w:hAnsi="黑体" w:eastAsia="黑体" w:cs="黑体"/>
          <w:bCs/>
          <w:color w:val="auto"/>
          <w:sz w:val="36"/>
          <w:szCs w:val="36"/>
          <w:lang w:eastAsia="zh-CN"/>
        </w:rPr>
        <w:t>不动产登记交易中心不动产登记优化营商环境</w:t>
      </w:r>
    </w:p>
    <w:p>
      <w:pPr>
        <w:jc w:val="center"/>
        <w:rPr>
          <w:rFonts w:ascii="华文隶书" w:eastAsia="华文隶书"/>
          <w:bCs/>
          <w:color w:val="auto"/>
          <w:w w:val="90"/>
          <w:sz w:val="96"/>
        </w:rPr>
      </w:pPr>
      <w:r>
        <w:rPr>
          <w:rFonts w:hint="eastAsia" w:ascii="黑体" w:hAnsi="黑体" w:eastAsia="黑体" w:cs="黑体"/>
          <w:bCs/>
          <w:color w:val="auto"/>
          <w:sz w:val="36"/>
          <w:szCs w:val="36"/>
          <w:lang w:eastAsia="zh-CN"/>
        </w:rPr>
        <w:t>信息化建设项目</w:t>
      </w:r>
      <w:r>
        <w:rPr>
          <w:rFonts w:hint="eastAsia" w:ascii="黑体" w:hAnsi="黑体" w:eastAsia="黑体" w:cs="黑体"/>
          <w:bCs/>
          <w:color w:val="auto"/>
          <w:sz w:val="36"/>
          <w:szCs w:val="36"/>
        </w:rPr>
        <w:t>（不见面开标）</w:t>
      </w:r>
    </w:p>
    <w:p>
      <w:pPr>
        <w:pStyle w:val="35"/>
        <w:ind w:firstLine="0" w:firstLineChars="0"/>
        <w:rPr>
          <w:rFonts w:ascii="华文隶书" w:eastAsia="华文隶书"/>
          <w:bCs/>
          <w:color w:val="auto"/>
          <w:w w:val="90"/>
          <w:sz w:val="96"/>
        </w:rPr>
      </w:pPr>
    </w:p>
    <w:p>
      <w:pPr>
        <w:pStyle w:val="35"/>
        <w:ind w:firstLine="0" w:firstLineChars="0"/>
        <w:rPr>
          <w:rFonts w:ascii="华文隶书" w:eastAsia="华文隶书"/>
          <w:bCs/>
          <w:color w:val="auto"/>
          <w:w w:val="90"/>
          <w:sz w:val="96"/>
        </w:rPr>
      </w:pPr>
    </w:p>
    <w:p>
      <w:pPr>
        <w:pStyle w:val="68"/>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招 标 文 件</w:t>
      </w:r>
    </w:p>
    <w:p>
      <w:pPr>
        <w:rPr>
          <w:rFonts w:ascii="微软简隶书" w:eastAsia="微软简隶书"/>
          <w:color w:val="auto"/>
        </w:rPr>
      </w:pPr>
    </w:p>
    <w:p>
      <w:pPr>
        <w:rPr>
          <w:rFonts w:ascii="微软简隶书" w:eastAsia="微软简隶书"/>
          <w:color w:val="auto"/>
        </w:rPr>
      </w:pPr>
    </w:p>
    <w:p>
      <w:pPr>
        <w:pStyle w:val="12"/>
        <w:rPr>
          <w:color w:val="auto"/>
        </w:rPr>
      </w:pPr>
    </w:p>
    <w:p>
      <w:pPr>
        <w:pStyle w:val="36"/>
        <w:rPr>
          <w:color w:val="auto"/>
        </w:rPr>
      </w:pPr>
    </w:p>
    <w:p>
      <w:pPr>
        <w:pStyle w:val="7"/>
        <w:numPr>
          <w:ilvl w:val="3"/>
          <w:numId w:val="0"/>
        </w:numPr>
        <w:rPr>
          <w:color w:val="auto"/>
        </w:rPr>
      </w:pPr>
    </w:p>
    <w:p>
      <w:pPr>
        <w:rPr>
          <w:color w:val="auto"/>
        </w:rPr>
      </w:pPr>
    </w:p>
    <w:p>
      <w:pPr>
        <w:pStyle w:val="12"/>
        <w:rPr>
          <w:color w:val="auto"/>
        </w:rPr>
      </w:pPr>
    </w:p>
    <w:p>
      <w:pPr>
        <w:rPr>
          <w:rFonts w:ascii="微软简隶书" w:eastAsia="微软简隶书"/>
          <w:color w:val="auto"/>
        </w:rPr>
      </w:pPr>
    </w:p>
    <w:p>
      <w:pPr>
        <w:spacing w:line="600" w:lineRule="exact"/>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采购编号：</w:t>
      </w:r>
      <w:r>
        <w:rPr>
          <w:rFonts w:asciiTheme="majorEastAsia" w:hAnsiTheme="majorEastAsia" w:eastAsiaTheme="majorEastAsia" w:cstheme="majorEastAsia"/>
          <w:b/>
          <w:bCs/>
          <w:color w:val="auto"/>
          <w:sz w:val="36"/>
          <w:szCs w:val="36"/>
        </w:rPr>
        <w:t xml:space="preserve"> </w:t>
      </w:r>
      <w:r>
        <w:rPr>
          <w:rFonts w:hint="eastAsia" w:asciiTheme="majorEastAsia" w:hAnsiTheme="majorEastAsia" w:eastAsiaTheme="majorEastAsia" w:cstheme="majorEastAsia"/>
          <w:b/>
          <w:bCs/>
          <w:color w:val="auto"/>
          <w:sz w:val="36"/>
          <w:szCs w:val="36"/>
        </w:rPr>
        <w:t>YZCG-DLG2021</w:t>
      </w:r>
      <w:r>
        <w:rPr>
          <w:rFonts w:hint="eastAsia" w:asciiTheme="majorEastAsia" w:hAnsiTheme="majorEastAsia" w:eastAsiaTheme="majorEastAsia" w:cstheme="majorEastAsia"/>
          <w:b/>
          <w:bCs/>
          <w:color w:val="auto"/>
          <w:sz w:val="36"/>
          <w:szCs w:val="36"/>
          <w:lang w:val="en-US" w:eastAsia="zh-CN"/>
        </w:rPr>
        <w:t xml:space="preserve">079 </w:t>
      </w:r>
    </w:p>
    <w:p>
      <w:pPr>
        <w:ind w:firstLine="1066" w:firstLineChars="295"/>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采购单位：禹州市</w:t>
      </w:r>
      <w:r>
        <w:rPr>
          <w:rFonts w:hint="eastAsia" w:asciiTheme="majorEastAsia" w:hAnsiTheme="majorEastAsia" w:eastAsiaTheme="majorEastAsia" w:cstheme="majorEastAsia"/>
          <w:b/>
          <w:bCs/>
          <w:color w:val="auto"/>
          <w:sz w:val="36"/>
          <w:szCs w:val="36"/>
          <w:lang w:eastAsia="zh-CN"/>
        </w:rPr>
        <w:t>不动产登记交易中心</w:t>
      </w:r>
      <w:r>
        <w:rPr>
          <w:rFonts w:hint="eastAsia" w:asciiTheme="majorEastAsia" w:hAnsiTheme="majorEastAsia" w:eastAsiaTheme="majorEastAsia" w:cstheme="majorEastAsia"/>
          <w:b/>
          <w:bCs/>
          <w:color w:val="auto"/>
          <w:sz w:val="36"/>
          <w:szCs w:val="36"/>
          <w:lang w:val="en-US" w:eastAsia="zh-CN"/>
        </w:rPr>
        <w:t xml:space="preserve"> </w:t>
      </w:r>
    </w:p>
    <w:p>
      <w:pPr>
        <w:ind w:firstLine="1066" w:firstLineChars="295"/>
        <w:rPr>
          <w:rFonts w:hint="eastAsia" w:eastAsiaTheme="majorEastAsia"/>
          <w:color w:val="auto"/>
          <w:lang w:val="en-US" w:eastAsia="zh-CN"/>
        </w:rPr>
      </w:pPr>
      <w:r>
        <w:rPr>
          <w:rFonts w:hint="eastAsia" w:asciiTheme="majorEastAsia" w:hAnsiTheme="majorEastAsia" w:eastAsiaTheme="majorEastAsia" w:cstheme="majorEastAsia"/>
          <w:b/>
          <w:bCs/>
          <w:color w:val="auto"/>
          <w:sz w:val="36"/>
          <w:szCs w:val="36"/>
        </w:rPr>
        <w:t>代理机构：许昌丰元咨询管理有限公司</w:t>
      </w:r>
    </w:p>
    <w:p>
      <w:pPr>
        <w:jc w:val="center"/>
        <w:rPr>
          <w:rFonts w:cs="黑体" w:asciiTheme="minorEastAsia" w:hAnsiTheme="minorEastAsia"/>
          <w:b/>
          <w:bCs/>
          <w:color w:val="auto"/>
          <w:sz w:val="44"/>
          <w:szCs w:val="44"/>
          <w:lang w:val="zh-CN"/>
        </w:rPr>
      </w:pPr>
      <w:r>
        <w:rPr>
          <w:rFonts w:hint="eastAsia" w:asciiTheme="majorEastAsia" w:hAnsiTheme="majorEastAsia" w:eastAsiaTheme="majorEastAsia" w:cstheme="majorEastAsia"/>
          <w:b/>
          <w:bCs/>
          <w:color w:val="auto"/>
          <w:sz w:val="36"/>
          <w:szCs w:val="36"/>
        </w:rPr>
        <w:t>二〇二一年</w:t>
      </w:r>
      <w:r>
        <w:rPr>
          <w:rFonts w:hint="eastAsia" w:asciiTheme="majorEastAsia" w:hAnsiTheme="majorEastAsia" w:eastAsiaTheme="majorEastAsia" w:cstheme="majorEastAsia"/>
          <w:b/>
          <w:bCs/>
          <w:color w:val="auto"/>
          <w:sz w:val="36"/>
          <w:szCs w:val="36"/>
          <w:lang w:val="en-US" w:eastAsia="zh-CN"/>
        </w:rPr>
        <w:t>九</w:t>
      </w:r>
      <w:r>
        <w:rPr>
          <w:rFonts w:hint="eastAsia" w:asciiTheme="majorEastAsia" w:hAnsiTheme="majorEastAsia" w:eastAsiaTheme="majorEastAsia" w:cstheme="majorEastAsia"/>
          <w:b/>
          <w:bCs/>
          <w:color w:val="auto"/>
          <w:sz w:val="36"/>
          <w:szCs w:val="36"/>
        </w:rPr>
        <w:t>月</w:t>
      </w:r>
    </w:p>
    <w:p>
      <w:pPr>
        <w:autoSpaceDE w:val="0"/>
        <w:autoSpaceDN w:val="0"/>
        <w:adjustRightInd w:val="0"/>
        <w:spacing w:line="700" w:lineRule="exact"/>
        <w:jc w:val="center"/>
        <w:rPr>
          <w:rFonts w:cs="黑体" w:asciiTheme="minorEastAsia" w:hAnsiTheme="minorEastAsia"/>
          <w:b/>
          <w:bCs/>
          <w:color w:val="auto"/>
          <w:sz w:val="44"/>
          <w:szCs w:val="44"/>
          <w:lang w:val="zh-CN"/>
        </w:rPr>
      </w:pP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第三章 </w:t>
      </w:r>
      <w:r>
        <w:rPr>
          <w:rFonts w:hint="eastAsia" w:asciiTheme="majorEastAsia" w:hAnsiTheme="majorEastAsia" w:eastAsiaTheme="majorEastAsia" w:cstheme="majorEastAsia"/>
          <w:b/>
          <w:color w:val="auto"/>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第四章 </w:t>
      </w:r>
      <w:r>
        <w:rPr>
          <w:rFonts w:hint="eastAsia" w:asciiTheme="majorEastAsia" w:hAnsiTheme="majorEastAsia" w:eastAsiaTheme="majorEastAsia" w:cstheme="majorEastAsia"/>
          <w:b/>
          <w:color w:val="auto"/>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第五章 政府采购政策功能</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第六章 资格审查与评标</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第七章 拟签订的合同文本</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第八章 投标文件有关格式</w:t>
      </w:r>
    </w:p>
    <w:p>
      <w:pPr>
        <w:jc w:val="both"/>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color w:val="auto"/>
        </w:rPr>
      </w:pPr>
      <w:r>
        <w:rPr>
          <w:rFonts w:hint="eastAsia" w:cs="宋体" w:asciiTheme="majorEastAsia" w:hAnsiTheme="majorEastAsia" w:eastAsiaTheme="majorEastAsia"/>
          <w:b/>
          <w:color w:val="auto"/>
          <w:kern w:val="0"/>
          <w:sz w:val="32"/>
          <w:szCs w:val="32"/>
        </w:rPr>
        <w:t>第一章  投标邀请</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许昌丰元咨询管理有限公司受禹州市</w:t>
      </w:r>
      <w:r>
        <w:rPr>
          <w:rFonts w:hint="eastAsia" w:ascii="宋体" w:hAnsi="宋体" w:eastAsia="宋体" w:cs="宋体"/>
          <w:color w:val="auto"/>
          <w:szCs w:val="21"/>
          <w:shd w:val="clear" w:color="auto" w:fill="FFFFFF"/>
          <w:lang w:eastAsia="zh-CN"/>
        </w:rPr>
        <w:t>不动产登记交易中心</w:t>
      </w:r>
      <w:r>
        <w:rPr>
          <w:rFonts w:hint="eastAsia" w:ascii="宋体" w:hAnsi="宋体" w:eastAsia="宋体" w:cs="宋体"/>
          <w:color w:val="auto"/>
          <w:szCs w:val="21"/>
          <w:shd w:val="clear" w:color="auto" w:fill="FFFFFF"/>
        </w:rPr>
        <w:t>的委托，就“禹州市</w:t>
      </w:r>
      <w:r>
        <w:rPr>
          <w:rFonts w:hint="eastAsia" w:ascii="宋体" w:hAnsi="宋体" w:eastAsia="宋体" w:cs="宋体"/>
          <w:color w:val="auto"/>
          <w:szCs w:val="21"/>
          <w:shd w:val="clear" w:color="auto" w:fill="FFFFFF"/>
          <w:lang w:eastAsia="zh-CN"/>
        </w:rPr>
        <w:t>不动产登记交易中心不动产登记优化营商环境信息化建设项目</w:t>
      </w:r>
      <w:r>
        <w:rPr>
          <w:rFonts w:hint="eastAsia" w:ascii="宋体" w:hAnsi="宋体" w:eastAsia="宋体" w:cs="宋体"/>
          <w:color w:val="auto"/>
          <w:szCs w:val="21"/>
          <w:shd w:val="clear" w:color="auto" w:fill="FFFFFF"/>
        </w:rPr>
        <w:t>”进行公开招标，欢迎合格的投标人前来投标。</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cs="宋体"/>
          <w:b/>
          <w:bCs/>
          <w:color w:val="auto"/>
          <w:szCs w:val="21"/>
          <w:shd w:val="clear" w:color="auto" w:fill="FFFFFF"/>
        </w:rPr>
        <w:t>一、</w:t>
      </w:r>
      <w:r>
        <w:rPr>
          <w:rFonts w:hint="eastAsia" w:ascii="宋体" w:hAnsi="宋体" w:eastAsia="宋体" w:cs="宋体"/>
          <w:b/>
          <w:bCs/>
          <w:color w:val="auto"/>
          <w:szCs w:val="21"/>
          <w:shd w:val="clear" w:color="auto" w:fill="FFFFFF"/>
        </w:rPr>
        <w:t>项目基本情况</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1、采购人：禹州市</w:t>
      </w:r>
      <w:r>
        <w:rPr>
          <w:rFonts w:hint="eastAsia" w:ascii="宋体" w:hAnsi="宋体" w:eastAsia="宋体" w:cs="宋体"/>
          <w:color w:val="auto"/>
          <w:szCs w:val="21"/>
          <w:shd w:val="clear" w:color="auto" w:fill="FFFFFF"/>
          <w:lang w:eastAsia="zh-CN"/>
        </w:rPr>
        <w:t>不动产登记交易中心</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2、项目名称：禹州市</w:t>
      </w:r>
      <w:r>
        <w:rPr>
          <w:rFonts w:hint="eastAsia" w:ascii="宋体" w:hAnsi="宋体" w:eastAsia="宋体" w:cs="宋体"/>
          <w:color w:val="auto"/>
          <w:szCs w:val="21"/>
          <w:shd w:val="clear" w:color="auto" w:fill="FFFFFF"/>
          <w:lang w:eastAsia="zh-CN"/>
        </w:rPr>
        <w:t>不动产登记交易中心不动产登记优化营商环境信息化建设项目</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3、采购编号：YZCG-DLG2021</w:t>
      </w:r>
      <w:r>
        <w:rPr>
          <w:rFonts w:hint="eastAsia" w:ascii="宋体" w:hAnsi="宋体" w:eastAsia="宋体" w:cs="宋体"/>
          <w:color w:val="auto"/>
          <w:szCs w:val="21"/>
          <w:shd w:val="clear" w:color="auto" w:fill="FFFFFF"/>
          <w:lang w:val="en-US" w:eastAsia="zh-CN"/>
        </w:rPr>
        <w:t>079</w:t>
      </w:r>
      <w:r>
        <w:rPr>
          <w:rFonts w:hint="eastAsia" w:ascii="宋体" w:hAnsi="宋体" w:eastAsia="宋体" w:cs="宋体"/>
          <w:color w:val="auto"/>
          <w:szCs w:val="21"/>
          <w:shd w:val="clear" w:color="auto" w:fill="FFFFFF"/>
        </w:rPr>
        <w:t xml:space="preserve"> </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4、项目需求：禹州市</w:t>
      </w:r>
      <w:r>
        <w:rPr>
          <w:rFonts w:hint="eastAsia" w:ascii="宋体" w:hAnsi="宋体" w:eastAsia="宋体" w:cs="宋体"/>
          <w:color w:val="auto"/>
          <w:szCs w:val="21"/>
          <w:shd w:val="clear" w:color="auto" w:fill="FFFFFF"/>
          <w:lang w:eastAsia="zh-CN"/>
        </w:rPr>
        <w:t>不动产登记交易中心不动产登记优化营商环境信息化建设项目</w:t>
      </w:r>
      <w:r>
        <w:rPr>
          <w:rFonts w:hint="eastAsia" w:ascii="宋体" w:hAnsi="宋体" w:eastAsia="宋体" w:cs="宋体"/>
          <w:color w:val="auto"/>
          <w:szCs w:val="21"/>
          <w:shd w:val="clear" w:color="auto" w:fill="FFFFFF"/>
        </w:rPr>
        <w:t>（详见招标文件）</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5、采购预算：</w:t>
      </w:r>
      <w:r>
        <w:rPr>
          <w:rFonts w:hint="eastAsia" w:ascii="宋体" w:hAnsi="宋体" w:eastAsia="宋体" w:cs="宋体"/>
          <w:color w:val="auto"/>
          <w:szCs w:val="21"/>
          <w:shd w:val="clear" w:color="auto" w:fill="FFFFFF"/>
          <w:lang w:val="en-US" w:eastAsia="zh-CN"/>
        </w:rPr>
        <w:t>2250000.00</w:t>
      </w:r>
      <w:r>
        <w:rPr>
          <w:rFonts w:hint="eastAsia" w:ascii="宋体" w:hAnsi="宋体" w:eastAsia="宋体" w:cs="宋体"/>
          <w:color w:val="auto"/>
          <w:szCs w:val="21"/>
          <w:shd w:val="clear" w:color="auto" w:fill="FFFFFF"/>
        </w:rPr>
        <w:t>元</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w:t>
      </w:r>
      <w:r>
        <w:rPr>
          <w:rFonts w:hint="eastAsia" w:ascii="宋体" w:hAnsi="宋体" w:cs="宋体"/>
          <w:bCs/>
          <w:color w:val="auto"/>
          <w:kern w:val="0"/>
          <w:szCs w:val="21"/>
          <w:lang w:val="zh-CN"/>
        </w:rPr>
        <w:t>交付（服务、完工）期限</w:t>
      </w:r>
      <w:r>
        <w:rPr>
          <w:rFonts w:hint="eastAsia" w:ascii="宋体" w:hAnsi="宋体" w:eastAsia="宋体" w:cs="宋体"/>
          <w:color w:val="auto"/>
          <w:szCs w:val="21"/>
          <w:shd w:val="clear" w:color="auto" w:fill="FFFFFF"/>
        </w:rPr>
        <w:t>：</w:t>
      </w:r>
      <w:r>
        <w:rPr>
          <w:rFonts w:hint="eastAsia" w:ascii="宋体" w:hAnsi="宋体" w:cs="宋体"/>
          <w:bCs/>
          <w:color w:val="auto"/>
          <w:kern w:val="0"/>
          <w:szCs w:val="21"/>
          <w:lang w:val="zh-CN"/>
        </w:rPr>
        <w:t>合同签订后</w:t>
      </w:r>
      <w:r>
        <w:rPr>
          <w:rFonts w:hint="eastAsia" w:ascii="宋体" w:hAnsi="宋体" w:cs="宋体"/>
          <w:bCs/>
          <w:color w:val="auto"/>
          <w:kern w:val="0"/>
          <w:szCs w:val="21"/>
          <w:lang w:val="en-US" w:eastAsia="zh-CN"/>
        </w:rPr>
        <w:t>100日历天</w:t>
      </w:r>
      <w:r>
        <w:rPr>
          <w:rFonts w:hint="eastAsia" w:ascii="宋体" w:hAnsi="宋体" w:cs="宋体"/>
          <w:bCs/>
          <w:color w:val="auto"/>
          <w:kern w:val="0"/>
          <w:szCs w:val="21"/>
        </w:rPr>
        <w:t>内</w:t>
      </w:r>
      <w:r>
        <w:rPr>
          <w:rFonts w:hint="eastAsia" w:ascii="宋体" w:hAnsi="宋体" w:cs="宋体"/>
          <w:bCs/>
          <w:color w:val="auto"/>
          <w:kern w:val="0"/>
          <w:szCs w:val="21"/>
          <w:lang w:val="zh-CN"/>
        </w:rPr>
        <w:t>。</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二、需要落实的政府采购政策</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本项目落实节约能源、保护环境、扶持不发达地区和少数民族地区、促进中小企业、监狱企业发展等政府采购政策。</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三、供应商资格要求</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1、符合《政府采购法》第二十二条之规定；</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 xml:space="preserve">2、供应商须具有履行合同所必需的设备和专业技术能力；  </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3、被委托人须是本单位职工，提供公司为本人缴纳社会保险证明；</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4、本项目不接受联合体投标。</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四、获取招标文件的方式</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（一）持CA数字认证证书，登录《全国公共资源交易平台（河南省·许昌市）》“系统用户注册”入口</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http://ggzy.xuchang.gov.cn:8088/ggzy/eps/public</w:t>
      </w:r>
    </w:p>
    <w:p>
      <w:pPr>
        <w:spacing w:line="360" w:lineRule="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/RegistAllJcxx.html）</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进行免费注册登记（详见“常见问题解答-诚信库网上注册相关资料下载”）；</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（二）在招标响应截止时间前均可登录《全国公共资源交易平台（河南省·许昌市）》“投标人/供应商登录”入口</w:t>
      </w:r>
      <w:r>
        <w:rPr>
          <w:color w:val="auto"/>
        </w:rPr>
        <w:fldChar w:fldCharType="begin"/>
      </w:r>
      <w:r>
        <w:rPr>
          <w:color w:val="auto"/>
        </w:rPr>
        <w:instrText xml:space="preserve"> HYPERLINK "（一）持CA数字认证证书，登录《全国公共资源交易平台（河南省·许昌市）》" </w:instrText>
      </w:r>
      <w:r>
        <w:rPr>
          <w:color w:val="auto"/>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自行免费下载招标文件（详见“常见问题解答-交易系统操作手册”）。</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（三）招标文件每份售价人民币0元</w:t>
      </w:r>
      <w:r>
        <w:rPr>
          <w:rFonts w:hint="eastAsia" w:ascii="宋体" w:hAnsi="宋体" w:eastAsia="宋体" w:cs="宋体"/>
          <w:color w:val="auto"/>
          <w:szCs w:val="21"/>
          <w:shd w:val="clear" w:color="auto" w:fill="FFFFFF"/>
          <w:lang w:eastAsia="zh-CN"/>
        </w:rPr>
        <w:t>。</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五、投标文件提交截止时间及开标时间</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1、投标文件提交截止时间及开标时间：2021年</w:t>
      </w:r>
      <w:r>
        <w:rPr>
          <w:rFonts w:hint="eastAsia" w:ascii="宋体" w:hAnsi="宋体" w:eastAsia="宋体" w:cs="宋体"/>
          <w:color w:val="auto"/>
          <w:szCs w:val="21"/>
          <w:shd w:val="clear" w:color="auto" w:fill="FFFFFF"/>
          <w:lang w:val="en-US" w:eastAsia="zh-CN"/>
        </w:rPr>
        <w:t>9</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29</w:t>
      </w:r>
      <w:r>
        <w:rPr>
          <w:rFonts w:hint="eastAsia" w:ascii="宋体" w:hAnsi="宋体" w:eastAsia="宋体" w:cs="宋体"/>
          <w:color w:val="auto"/>
          <w:szCs w:val="21"/>
          <w:shd w:val="clear" w:color="auto" w:fill="FFFFFF"/>
        </w:rPr>
        <w:t>日</w:t>
      </w:r>
      <w:r>
        <w:rPr>
          <w:rFonts w:hint="eastAsia" w:ascii="宋体" w:hAnsi="宋体" w:eastAsia="宋体" w:cs="宋体"/>
          <w:color w:val="auto"/>
          <w:szCs w:val="21"/>
          <w:shd w:val="clear" w:color="auto" w:fill="FFFFFF"/>
          <w:lang w:val="en-US" w:eastAsia="zh-CN"/>
        </w:rPr>
        <w:t>8：30分</w:t>
      </w:r>
      <w:r>
        <w:rPr>
          <w:rFonts w:hint="eastAsia" w:ascii="宋体" w:hAnsi="宋体" w:eastAsia="宋体" w:cs="宋体"/>
          <w:color w:val="auto"/>
          <w:szCs w:val="21"/>
          <w:shd w:val="clear" w:color="auto" w:fill="FFFFFF"/>
        </w:rPr>
        <w:t>（北京时间），逾期提交或不符合规定的响应文件恕不接受。</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2、投标文件开启时间：同响应文件提交截止时间。</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六、投标文件开启</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（一）开启地点：禹州市公共资源交易中心九楼第一开标室。（本项目采用远程不见面开标，供应商无须到达现场）。</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（二） 本项目为全流程电子化交易项目，供应商须提交电子投标文件。</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1、加密电子投标文件（.file格式）须在投标文件提交截止时间（投标截止时间）前通过《全国公共资源交易平台(河南省▪许昌市)》公共资源交易系统成功上传。</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投标截止时间前，投标供应商应登录不见面开标大厅，按照投标截止时间准时参加线上投标文件开启，在系统规定时间内对电子投标文件进行远程解密，未在规定时间内解密或因供应商原因解密失败的，其投标文件将被拒绝。</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3、不见面开标大厅登录：投标供应商使用CA数字证书登录全国公共资源交易平台（河南省·许昌市）——进入公共资源交易系统</w:t>
      </w:r>
      <w:r>
        <w:rPr>
          <w:color w:val="auto"/>
        </w:rPr>
        <w:fldChar w:fldCharType="begin"/>
      </w:r>
      <w:r>
        <w:rPr>
          <w:color w:val="auto"/>
        </w:rPr>
        <w:instrText xml:space="preserve"> HYPERLINK "（一）持CA数字认证证书，登录《全国公共资源交易平台（河南省·许昌市）》" </w:instrText>
      </w:r>
      <w:r>
        <w:rPr>
          <w:color w:val="auto"/>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——点击“项目信息——项目名称”——在系统操作导航栏点击“开标——不见面开标大厅”。</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七、本次招标公告同时在《河南省政府采购网》、《许昌市政府采购网》、《全国公共资源交易平台（河南省·许昌市）》发布等。</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八、代理机构及采购单位地址、联系人、联系电话</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采购单位：禹州市</w:t>
      </w:r>
      <w:r>
        <w:rPr>
          <w:rFonts w:hint="eastAsia" w:ascii="宋体" w:hAnsi="宋体" w:eastAsia="宋体" w:cs="宋体"/>
          <w:color w:val="auto"/>
          <w:szCs w:val="21"/>
          <w:shd w:val="clear" w:color="auto" w:fill="FFFFFF"/>
          <w:lang w:eastAsia="zh-CN"/>
        </w:rPr>
        <w:t>不动产登记交易中心</w:t>
      </w:r>
    </w:p>
    <w:p>
      <w:pPr>
        <w:spacing w:line="360" w:lineRule="auto"/>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地址</w:t>
      </w:r>
      <w:r>
        <w:rPr>
          <w:rFonts w:hint="eastAsia" w:ascii="宋体" w:hAnsi="宋体" w:eastAsia="宋体" w:cs="宋体"/>
          <w:color w:val="auto"/>
          <w:szCs w:val="21"/>
          <w:shd w:val="clear" w:color="auto" w:fill="FFFFFF"/>
          <w:lang w:eastAsia="zh-CN"/>
        </w:rPr>
        <w:t>：禹州市行政服务大厅</w:t>
      </w:r>
      <w:r>
        <w:rPr>
          <w:rFonts w:hint="eastAsia" w:ascii="宋体" w:hAnsi="宋体" w:eastAsia="宋体" w:cs="宋体"/>
          <w:color w:val="auto"/>
          <w:szCs w:val="21"/>
          <w:shd w:val="clear" w:color="auto" w:fill="FFFFFF"/>
          <w:lang w:val="en-US" w:eastAsia="zh-CN"/>
        </w:rPr>
        <w:t xml:space="preserve">3楼 </w:t>
      </w:r>
    </w:p>
    <w:p>
      <w:pPr>
        <w:autoSpaceDE w:val="0"/>
        <w:autoSpaceDN w:val="0"/>
        <w:adjustRightInd w:val="0"/>
        <w:spacing w:line="360" w:lineRule="auto"/>
        <w:ind w:firstLine="420" w:firstLineChars="200"/>
        <w:jc w:val="left"/>
        <w:rPr>
          <w:rFonts w:hint="eastAsia" w:ascii="宋体" w:hAnsi="宋体" w:eastAsia="宋体" w:cs="仿宋_GB2312"/>
          <w:color w:val="auto"/>
          <w:szCs w:val="21"/>
          <w:lang w:eastAsia="zh-CN"/>
        </w:rPr>
      </w:pPr>
      <w:r>
        <w:rPr>
          <w:rFonts w:hint="eastAsia" w:ascii="宋体" w:hAnsi="宋体" w:cs="仿宋_GB2312"/>
          <w:color w:val="auto"/>
          <w:szCs w:val="21"/>
        </w:rPr>
        <w:t>联系人：</w:t>
      </w:r>
      <w:r>
        <w:rPr>
          <w:rFonts w:hint="eastAsia" w:ascii="宋体" w:hAnsi="宋体" w:cs="仿宋_GB2312"/>
          <w:color w:val="auto"/>
          <w:szCs w:val="21"/>
          <w:lang w:eastAsia="zh-CN"/>
        </w:rPr>
        <w:t>董先生</w:t>
      </w:r>
      <w:r>
        <w:rPr>
          <w:rFonts w:hint="eastAsia" w:ascii="宋体" w:hAnsi="宋体" w:cs="仿宋_GB2312"/>
          <w:color w:val="auto"/>
          <w:szCs w:val="21"/>
          <w:lang w:val="en-US" w:eastAsia="zh-CN"/>
        </w:rPr>
        <w:t xml:space="preserve"> </w:t>
      </w:r>
    </w:p>
    <w:p>
      <w:pPr>
        <w:spacing w:line="360" w:lineRule="auto"/>
        <w:ind w:firstLine="420" w:firstLineChars="200"/>
        <w:rPr>
          <w:rFonts w:hint="eastAsia" w:ascii="宋体" w:hAnsi="宋体" w:eastAsia="宋体" w:cs="宋体"/>
          <w:color w:val="auto"/>
          <w:szCs w:val="21"/>
          <w:shd w:val="clear" w:color="auto" w:fill="FFFFFF"/>
          <w:lang w:eastAsia="zh-CN"/>
        </w:rPr>
      </w:pPr>
      <w:r>
        <w:rPr>
          <w:rFonts w:hint="eastAsia" w:ascii="宋体" w:hAnsi="宋体" w:cs="仿宋_GB2312"/>
          <w:color w:val="auto"/>
          <w:szCs w:val="21"/>
        </w:rPr>
        <w:t>联系电话：</w:t>
      </w:r>
      <w:r>
        <w:rPr>
          <w:rFonts w:hint="eastAsia" w:ascii="宋体" w:hAnsi="宋体" w:cs="仿宋_GB2312"/>
          <w:color w:val="auto"/>
          <w:szCs w:val="21"/>
          <w:lang w:val="en-US" w:eastAsia="zh-CN"/>
        </w:rPr>
        <w:t xml:space="preserve">18539061136 </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代理机构：许昌丰元咨询管理有限公司</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地址：禹州市颖北大道6号</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联系人： 连女士</w:t>
      </w:r>
    </w:p>
    <w:p>
      <w:pPr>
        <w:spacing w:line="360" w:lineRule="auto"/>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联系电话：0374-8281999</w:t>
      </w:r>
    </w:p>
    <w:p>
      <w:pPr>
        <w:spacing w:line="360" w:lineRule="auto"/>
        <w:ind w:firstLine="420" w:firstLineChars="200"/>
        <w:rPr>
          <w:rFonts w:hint="eastAsia" w:ascii="宋体" w:hAnsi="宋体" w:eastAsia="宋体" w:cs="宋体"/>
          <w:b/>
          <w:color w:val="auto"/>
          <w:szCs w:val="21"/>
        </w:rPr>
      </w:pPr>
      <w:r>
        <w:rPr>
          <w:rFonts w:hint="eastAsia" w:ascii="宋体" w:hAnsi="宋体" w:eastAsia="宋体" w:cs="宋体"/>
          <w:color w:val="auto"/>
          <w:szCs w:val="21"/>
          <w:shd w:val="clear" w:color="auto" w:fill="FFFFFF"/>
        </w:rPr>
        <w:t>监督单位：</w:t>
      </w:r>
      <w:r>
        <w:rPr>
          <w:rFonts w:hint="eastAsia"/>
          <w:color w:val="auto"/>
          <w:szCs w:val="21"/>
        </w:rPr>
        <w:t>禹州市</w:t>
      </w:r>
      <w:r>
        <w:rPr>
          <w:rFonts w:hint="eastAsia"/>
          <w:color w:val="auto"/>
          <w:szCs w:val="21"/>
          <w:lang w:eastAsia="zh-CN"/>
        </w:rPr>
        <w:t>政府采购监督管理办公室</w:t>
      </w:r>
    </w:p>
    <w:p>
      <w:pPr>
        <w:spacing w:line="360" w:lineRule="auto"/>
        <w:rPr>
          <w:rFonts w:ascii="宋体" w:hAnsi="宋体" w:eastAsia="宋体" w:cs="宋体"/>
          <w:b/>
          <w:color w:val="auto"/>
          <w:szCs w:val="21"/>
        </w:rPr>
      </w:pPr>
      <w:r>
        <w:rPr>
          <w:rFonts w:hint="eastAsia" w:ascii="宋体" w:hAnsi="宋体" w:eastAsia="宋体" w:cs="宋体"/>
          <w:b/>
          <w:color w:val="auto"/>
          <w:szCs w:val="21"/>
        </w:rPr>
        <w:t>温馨提示：</w:t>
      </w:r>
    </w:p>
    <w:p>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本项目为全流程电子化交易项目，请认真阅读招标文件，并注意以下事项。</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1.投标人应按招标文件规定编制、提交、解密电子投标文件。</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2.电子文件下载、制作、提交期间和远程不见面开标（</w:t>
      </w:r>
      <w:r>
        <w:rPr>
          <w:rFonts w:hint="eastAsia" w:ascii="宋体" w:hAnsi="宋体" w:eastAsia="宋体" w:cs="宋体"/>
          <w:color w:val="auto"/>
          <w:szCs w:val="21"/>
        </w:rPr>
        <w:t>电子投标文件的解密</w:t>
      </w:r>
      <w:r>
        <w:rPr>
          <w:rFonts w:hint="eastAsia" w:ascii="宋体" w:hAnsi="宋体" w:eastAsia="宋体" w:cs="宋体"/>
          <w:b/>
          <w:color w:val="auto"/>
          <w:szCs w:val="21"/>
        </w:rPr>
        <w:t>）环节，投标人须使用同一个CA数字证书（证书须在有效期内并可正常使用）。</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3.电子投标文件的制作</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3.1 投标人登录《全国公共资源交易平台(河南省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eastAsia="宋体" w:cs="宋体"/>
          <w:color w:val="auto"/>
          <w:szCs w:val="21"/>
        </w:rPr>
        <w:t>http://221.14.6.70:8088/ggzy/</w:t>
      </w:r>
      <w:r>
        <w:rPr>
          <w:rFonts w:hint="eastAsia" w:ascii="宋体" w:hAnsi="宋体" w:eastAsia="宋体" w:cs="宋体"/>
          <w:color w:val="auto"/>
          <w:szCs w:val="21"/>
        </w:rPr>
        <w:fldChar w:fldCharType="end"/>
      </w:r>
      <w:r>
        <w:rPr>
          <w:rFonts w:hint="eastAsia" w:ascii="宋体" w:hAnsi="宋体" w:eastAsia="宋体" w:cs="宋体"/>
          <w:color w:val="auto"/>
          <w:szCs w:val="21"/>
        </w:rPr>
        <w:t>）下载“许昌投标文件制作系统SEARUN 最新版本”，按招标文件要求制作电子投标文件。</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电子投标文件的制作，参考《全国公共资源交易平台(河南省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许昌市)》公共资源交易系统——组件下载——交易系统操作手册（投标人、供应商）。</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ascii="宋体" w:hAnsi="宋体" w:eastAsia="宋体" w:cs="宋体"/>
          <w:color w:val="auto"/>
          <w:szCs w:val="21"/>
        </w:rPr>
      </w:pPr>
      <w:r>
        <w:rPr>
          <w:rFonts w:hint="eastAsia" w:ascii="宋体" w:hAnsi="宋体" w:eastAsia="宋体" w:cs="宋体"/>
          <w:color w:val="auto"/>
          <w:szCs w:val="21"/>
        </w:rPr>
        <w:t>一个标段对应生成一个文件夹（xxxx项目xx标段）,其中后缀名为“.file”的文件用于电子投标使用。</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4.加密电子投标文件的提交</w:t>
      </w:r>
    </w:p>
    <w:p>
      <w:pPr>
        <w:tabs>
          <w:tab w:val="left" w:pos="7095"/>
        </w:tabs>
        <w:spacing w:line="360" w:lineRule="auto"/>
        <w:rPr>
          <w:rFonts w:ascii="宋体" w:hAnsi="宋体" w:eastAsia="宋体" w:cs="宋体"/>
          <w:color w:val="auto"/>
          <w:szCs w:val="21"/>
        </w:rPr>
      </w:pPr>
      <w:r>
        <w:rPr>
          <w:rFonts w:hint="eastAsia" w:ascii="宋体" w:hAnsi="宋体" w:eastAsia="宋体" w:cs="宋体"/>
          <w:color w:val="auto"/>
          <w:szCs w:val="21"/>
        </w:rPr>
        <w:t xml:space="preserve">    4.1加密电子投标文件应按规定在投标截止时间（开标时间）之前成功提交至《全国公共资源交易平台(河南省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eastAsia="宋体" w:cs="宋体"/>
          <w:color w:val="auto"/>
          <w:szCs w:val="21"/>
        </w:rPr>
        <w:t>http://221.14.6.70:8088/ggzy/</w:t>
      </w:r>
      <w:r>
        <w:rPr>
          <w:rFonts w:hint="eastAsia" w:ascii="宋体" w:hAnsi="宋体" w:eastAsia="宋体" w:cs="宋体"/>
          <w:color w:val="auto"/>
          <w:szCs w:val="21"/>
        </w:rPr>
        <w:fldChar w:fldCharType="end"/>
      </w:r>
      <w:r>
        <w:rPr>
          <w:rFonts w:hint="eastAsia" w:ascii="宋体" w:hAnsi="宋体" w:eastAsia="宋体" w:cs="宋体"/>
          <w:color w:val="auto"/>
          <w:szCs w:val="21"/>
        </w:rPr>
        <w:t>）。</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投标人应充分考虑并预留技术处理和上传数据所需时间。</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4.2 投标人对同一项目多个标段进行投标的，加密电子投标文件应按标段分别提交。</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4.3 加密电子投标文件成功提交后，《全国公共资源交易平台(河南省.许昌市)》公共资源交易系统（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eastAsia="宋体" w:cs="宋体"/>
          <w:color w:val="auto"/>
          <w:szCs w:val="21"/>
        </w:rPr>
        <w:t>http://221.14.6.70:8088/ggzy/</w:t>
      </w:r>
      <w:r>
        <w:rPr>
          <w:rFonts w:hint="eastAsia" w:ascii="宋体" w:hAnsi="宋体" w:eastAsia="宋体" w:cs="宋体"/>
          <w:color w:val="auto"/>
          <w:szCs w:val="21"/>
        </w:rPr>
        <w:fldChar w:fldCharType="end"/>
      </w:r>
      <w:r>
        <w:rPr>
          <w:rFonts w:hint="eastAsia" w:ascii="宋体" w:hAnsi="宋体" w:eastAsia="宋体" w:cs="宋体"/>
          <w:color w:val="auto"/>
          <w:szCs w:val="21"/>
        </w:rPr>
        <w:t>）生成“投标文件提交回执单”。</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5.远程不见面开标（电子投标文件的解密）</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5.1 投标人应熟悉《许昌市不见面操作手册》，并提前设置不见面开标浏览器（设置流程详见《许昌市不见面操作手册》）。</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5.2 《许昌市不见面操作手册》下载路径：全国公共资源交易平台（河南省·许昌市）—“资料下载”栏目。</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5.3开标时间前投标人应登录本项目不见面开标大厅，按照招标文件确定的开标时间准时参加网上开标。</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5.4投标人对开标过程和开标记录如有疑义，可在本项目不见面开标大厅“文字互动”对话框或“新增质疑”处在线提出询问。</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5.6项目远程不见面开标活动结束时，投标人应在《开标记录表》上进行电子签章。投标人未签章的，视同认可开标结果。</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6.评标依据</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6.1全流程电子化交易（不见面开标）项目，评标委员会以成功上传、解密的电子投标文件为依据评审。</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投标人通过电子邮件提供的书面说明或相关证明材料应加盖公章，或者由法定代表人或其授权的代表签字。</w:t>
      </w:r>
    </w:p>
    <w:p>
      <w:pPr>
        <w:tabs>
          <w:tab w:val="left" w:pos="7095"/>
        </w:tabs>
        <w:spacing w:line="360" w:lineRule="auto"/>
        <w:contextualSpacing/>
        <w:jc w:val="center"/>
        <w:rPr>
          <w:rFonts w:cs="宋体" w:asciiTheme="majorEastAsia" w:hAnsiTheme="majorEastAsia" w:eastAsiaTheme="majorEastAsia"/>
          <w:b/>
          <w:color w:val="auto"/>
          <w:kern w:val="0"/>
          <w:sz w:val="32"/>
          <w:szCs w:val="32"/>
        </w:rPr>
      </w:pPr>
    </w:p>
    <w:p>
      <w:pPr>
        <w:pStyle w:val="34"/>
        <w:rPr>
          <w:rFonts w:hint="default"/>
          <w:color w:val="auto"/>
          <w:lang w:val="en-US" w:eastAsia="zh-CN"/>
        </w:rPr>
      </w:pPr>
    </w:p>
    <w:p>
      <w:pPr>
        <w:pStyle w:val="34"/>
        <w:rPr>
          <w:rFonts w:hint="default"/>
          <w:color w:val="auto"/>
          <w:lang w:val="en-US" w:eastAsia="zh-CN"/>
        </w:rPr>
      </w:pPr>
    </w:p>
    <w:p>
      <w:pPr>
        <w:pStyle w:val="34"/>
        <w:rPr>
          <w:rFonts w:hint="default"/>
          <w:color w:val="auto"/>
          <w:lang w:val="en-US" w:eastAsia="zh-CN"/>
        </w:rPr>
      </w:pPr>
    </w:p>
    <w:p>
      <w:pPr>
        <w:pStyle w:val="34"/>
        <w:rPr>
          <w:rFonts w:hint="default"/>
          <w:color w:val="auto"/>
          <w:lang w:val="en-US" w:eastAsia="zh-CN"/>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numPr>
          <w:ilvl w:val="0"/>
          <w:numId w:val="4"/>
        </w:numPr>
        <w:tabs>
          <w:tab w:val="left" w:pos="7095"/>
        </w:tabs>
        <w:spacing w:line="360" w:lineRule="auto"/>
        <w:ind w:firstLine="3213" w:firstLineChars="1000"/>
        <w:contextualSpacing/>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 xml:space="preserve"> 采购需求</w:t>
      </w:r>
    </w:p>
    <w:tbl>
      <w:tblPr>
        <w:tblStyle w:val="27"/>
        <w:tblW w:w="8500" w:type="dxa"/>
        <w:jc w:val="center"/>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2716"/>
        <w:gridCol w:w="4100"/>
        <w:gridCol w:w="1216"/>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00" w:type="dxa"/>
            <w:gridSpan w:val="4"/>
            <w:tcBorders>
              <w:bottom w:val="single" w:color="auto" w:sz="4" w:space="0"/>
            </w:tcBorders>
            <w:shd w:val="clear" w:color="auto" w:fill="auto"/>
            <w:noWrap/>
            <w:vAlign w:val="center"/>
          </w:tcPr>
          <w:p>
            <w:pPr>
              <w:widowControl/>
              <w:jc w:val="both"/>
              <w:rPr>
                <w:rFonts w:hint="eastAsia" w:ascii="宋体" w:hAnsi="宋体" w:eastAsia="宋体" w:cs="宋体"/>
                <w:b/>
                <w:bCs/>
                <w:color w:val="0C0C0C" w:themeColor="text1" w:themeTint="F2"/>
                <w:kern w:val="0"/>
                <w:sz w:val="21"/>
                <w:szCs w:val="21"/>
                <w:lang w:eastAsia="zh-CN"/>
              </w:rPr>
            </w:pPr>
            <w:r>
              <w:rPr>
                <w:rFonts w:hint="eastAsia" w:ascii="宋体" w:hAnsi="宋体" w:eastAsia="宋体" w:cs="宋体"/>
                <w:b/>
                <w:bCs/>
                <w:color w:val="0C0C0C" w:themeColor="text1" w:themeTint="F2"/>
                <w:kern w:val="0"/>
                <w:sz w:val="21"/>
                <w:szCs w:val="21"/>
                <w:lang w:val="en-US" w:eastAsia="zh-CN"/>
              </w:rPr>
              <w:t>1</w:t>
            </w:r>
            <w:r>
              <w:rPr>
                <w:rFonts w:hint="eastAsia" w:ascii="宋体" w:hAnsi="宋体" w:eastAsia="宋体" w:cs="宋体"/>
                <w:b/>
                <w:bCs/>
                <w:color w:val="0C0C0C" w:themeColor="text1" w:themeTint="F2"/>
                <w:kern w:val="0"/>
                <w:sz w:val="21"/>
                <w:szCs w:val="21"/>
                <w:lang w:eastAsia="zh-CN"/>
              </w:rPr>
              <w:t>.采购需求及要求</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68" w:type="dxa"/>
            <w:tcBorders>
              <w:top w:val="single" w:color="auto" w:sz="4" w:space="0"/>
              <w:left w:val="single" w:color="auto" w:sz="4" w:space="0"/>
            </w:tcBorders>
            <w:shd w:val="clear" w:color="auto" w:fill="auto"/>
            <w:noWrap/>
            <w:vAlign w:val="center"/>
          </w:tcPr>
          <w:p>
            <w:pPr>
              <w:widowControl/>
              <w:jc w:val="center"/>
              <w:rPr>
                <w:rFonts w:ascii="宋体" w:hAnsi="宋体" w:eastAsia="宋体" w:cs="宋体"/>
                <w:b/>
                <w:bCs/>
                <w:color w:val="0C0C0C" w:themeColor="text1" w:themeTint="F2"/>
                <w:kern w:val="0"/>
                <w:sz w:val="21"/>
                <w:szCs w:val="21"/>
              </w:rPr>
            </w:pPr>
            <w:r>
              <w:rPr>
                <w:rFonts w:hint="eastAsia" w:ascii="宋体" w:hAnsi="宋体" w:eastAsia="宋体" w:cs="宋体"/>
                <w:b/>
                <w:bCs/>
                <w:color w:val="0C0C0C" w:themeColor="text1" w:themeTint="F2"/>
                <w:kern w:val="0"/>
                <w:sz w:val="21"/>
                <w:szCs w:val="21"/>
              </w:rPr>
              <w:t>序号</w:t>
            </w:r>
          </w:p>
        </w:tc>
        <w:tc>
          <w:tcPr>
            <w:tcW w:w="2716" w:type="dxa"/>
            <w:tcBorders>
              <w:top w:val="single" w:color="auto" w:sz="4" w:space="0"/>
            </w:tcBorders>
            <w:shd w:val="clear" w:color="auto" w:fill="auto"/>
            <w:noWrap/>
            <w:vAlign w:val="center"/>
          </w:tcPr>
          <w:p>
            <w:pPr>
              <w:widowControl/>
              <w:jc w:val="center"/>
              <w:rPr>
                <w:rFonts w:ascii="宋体" w:hAnsi="宋体" w:eastAsia="宋体" w:cs="宋体"/>
                <w:b/>
                <w:bCs/>
                <w:color w:val="0C0C0C" w:themeColor="text1" w:themeTint="F2"/>
                <w:kern w:val="0"/>
                <w:sz w:val="21"/>
                <w:szCs w:val="21"/>
              </w:rPr>
            </w:pPr>
            <w:r>
              <w:rPr>
                <w:rFonts w:hint="eastAsia" w:ascii="宋体" w:hAnsi="宋体" w:eastAsia="宋体" w:cs="宋体"/>
                <w:b/>
                <w:bCs/>
                <w:color w:val="0C0C0C" w:themeColor="text1" w:themeTint="F2"/>
                <w:kern w:val="0"/>
                <w:sz w:val="21"/>
                <w:szCs w:val="21"/>
              </w:rPr>
              <w:t>名称</w:t>
            </w:r>
          </w:p>
          <w:p>
            <w:pPr>
              <w:jc w:val="center"/>
              <w:rPr>
                <w:rFonts w:ascii="宋体" w:hAnsi="宋体" w:eastAsia="宋体" w:cs="宋体"/>
                <w:b/>
                <w:bCs/>
                <w:color w:val="0C0C0C" w:themeColor="text1" w:themeTint="F2"/>
                <w:kern w:val="0"/>
                <w:sz w:val="21"/>
                <w:szCs w:val="21"/>
              </w:rPr>
            </w:pPr>
          </w:p>
        </w:tc>
        <w:tc>
          <w:tcPr>
            <w:tcW w:w="4100" w:type="dxa"/>
            <w:tcBorders>
              <w:top w:val="single" w:color="auto" w:sz="4" w:space="0"/>
            </w:tcBorders>
            <w:shd w:val="clear" w:color="auto" w:fill="auto"/>
            <w:vAlign w:val="center"/>
          </w:tcPr>
          <w:p>
            <w:pPr>
              <w:widowControl/>
              <w:jc w:val="center"/>
              <w:rPr>
                <w:rFonts w:ascii="宋体" w:hAnsi="宋体" w:eastAsia="宋体" w:cs="宋体"/>
                <w:b/>
                <w:bCs/>
                <w:color w:val="0C0C0C" w:themeColor="text1" w:themeTint="F2"/>
                <w:kern w:val="0"/>
                <w:sz w:val="21"/>
                <w:szCs w:val="21"/>
              </w:rPr>
            </w:pPr>
            <w:r>
              <w:rPr>
                <w:rFonts w:hint="eastAsia" w:ascii="宋体" w:hAnsi="宋体" w:eastAsia="宋体" w:cs="宋体"/>
                <w:b/>
                <w:bCs/>
                <w:color w:val="0C0C0C" w:themeColor="text1" w:themeTint="F2"/>
                <w:kern w:val="0"/>
                <w:sz w:val="21"/>
                <w:szCs w:val="21"/>
              </w:rPr>
              <w:t>内容</w:t>
            </w:r>
          </w:p>
        </w:tc>
        <w:tc>
          <w:tcPr>
            <w:tcW w:w="1216" w:type="dxa"/>
            <w:tcBorders>
              <w:top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C0C0C" w:themeColor="text1" w:themeTint="F2"/>
                <w:kern w:val="0"/>
                <w:sz w:val="21"/>
                <w:szCs w:val="21"/>
              </w:rPr>
            </w:pPr>
            <w:r>
              <w:rPr>
                <w:rFonts w:hint="eastAsia" w:ascii="宋体" w:hAnsi="宋体" w:eastAsia="宋体" w:cs="宋体"/>
                <w:b/>
                <w:bCs/>
                <w:color w:val="0C0C0C" w:themeColor="text1" w:themeTint="F2"/>
                <w:kern w:val="0"/>
                <w:sz w:val="21"/>
                <w:szCs w:val="21"/>
              </w:rPr>
              <w:t>数量</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68" w:type="dxa"/>
            <w:tcBorders>
              <w:top w:val="single" w:color="auto" w:sz="4" w:space="0"/>
              <w:lef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w:t>
            </w:r>
          </w:p>
        </w:tc>
        <w:tc>
          <w:tcPr>
            <w:tcW w:w="2716" w:type="dxa"/>
            <w:tcBorders>
              <w:top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不动产登记交易平台运维费用</w:t>
            </w:r>
          </w:p>
        </w:tc>
        <w:tc>
          <w:tcPr>
            <w:tcW w:w="4100" w:type="dxa"/>
            <w:tcBorders>
              <w:top w:val="single" w:color="auto" w:sz="4" w:space="0"/>
            </w:tcBorders>
            <w:shd w:val="clear" w:color="auto" w:fill="auto"/>
            <w:vAlign w:val="center"/>
          </w:tcPr>
          <w:p>
            <w:pPr>
              <w:widowControl/>
              <w:jc w:val="left"/>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1；不动产登记信息基础管理平台。2；不动产登记权籍管理系统。</w:t>
            </w:r>
          </w:p>
          <w:p>
            <w:pPr>
              <w:widowControl/>
              <w:jc w:val="left"/>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3；不动产接入与上报系统。</w:t>
            </w:r>
          </w:p>
        </w:tc>
        <w:tc>
          <w:tcPr>
            <w:tcW w:w="1216" w:type="dxa"/>
            <w:tcBorders>
              <w:top w:val="single" w:color="auto" w:sz="4" w:space="0"/>
              <w:righ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1项</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468" w:type="dxa"/>
            <w:tcBorders>
              <w:top w:val="single" w:color="auto" w:sz="4" w:space="0"/>
              <w:lef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2</w:t>
            </w:r>
          </w:p>
        </w:tc>
        <w:tc>
          <w:tcPr>
            <w:tcW w:w="2716" w:type="dxa"/>
            <w:tcBorders>
              <w:top w:val="single" w:color="auto" w:sz="4" w:space="0"/>
            </w:tcBorders>
            <w:shd w:val="clear" w:color="auto" w:fill="auto"/>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登记平台网络改造</w:t>
            </w:r>
          </w:p>
        </w:tc>
        <w:tc>
          <w:tcPr>
            <w:tcW w:w="4100" w:type="dxa"/>
            <w:tcBorders>
              <w:top w:val="single" w:color="auto" w:sz="4" w:space="0"/>
            </w:tcBorders>
            <w:shd w:val="clear" w:color="auto" w:fill="auto"/>
            <w:vAlign w:val="center"/>
          </w:tcPr>
          <w:p>
            <w:pPr>
              <w:widowControl/>
              <w:jc w:val="left"/>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根据“自然资办函{2019}1041号”完善网络运维环境，推动不动产登记信息共享集成利用、优化平台布局和安全防护、业务办理和审核等工作。</w:t>
            </w:r>
          </w:p>
        </w:tc>
        <w:tc>
          <w:tcPr>
            <w:tcW w:w="1216" w:type="dxa"/>
            <w:tcBorders>
              <w:top w:val="single" w:color="auto" w:sz="4" w:space="0"/>
              <w:righ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1项</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468"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3</w:t>
            </w:r>
          </w:p>
        </w:tc>
        <w:tc>
          <w:tcPr>
            <w:tcW w:w="2716" w:type="dxa"/>
            <w:tcBorders>
              <w:top w:val="single" w:color="auto" w:sz="4" w:space="0"/>
              <w:bottom w:val="single" w:color="auto" w:sz="4" w:space="0"/>
            </w:tcBorders>
            <w:shd w:val="clear" w:color="auto" w:fill="auto"/>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12部门数据共享对接</w:t>
            </w:r>
          </w:p>
          <w:p>
            <w:pPr>
              <w:jc w:val="center"/>
              <w:rPr>
                <w:rFonts w:ascii="宋体" w:hAnsi="宋体" w:eastAsia="宋体" w:cs="宋体"/>
                <w:color w:val="0C0C0C" w:themeColor="text1" w:themeTint="F2"/>
                <w:kern w:val="0"/>
                <w:sz w:val="21"/>
                <w:szCs w:val="21"/>
              </w:rPr>
            </w:pPr>
          </w:p>
        </w:tc>
        <w:tc>
          <w:tcPr>
            <w:tcW w:w="4100" w:type="dxa"/>
            <w:tcBorders>
              <w:top w:val="single" w:color="auto" w:sz="4" w:space="0"/>
              <w:bottom w:val="single" w:color="auto" w:sz="4" w:space="0"/>
            </w:tcBorders>
            <w:shd w:val="clear" w:color="auto" w:fill="auto"/>
            <w:vAlign w:val="center"/>
          </w:tcPr>
          <w:p>
            <w:pPr>
              <w:widowControl/>
              <w:jc w:val="left"/>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自然资登记函【2019】16号结合自然资源部数据共享利用试点经验，申请利用公安、民政、工商、卫计委、编办、司法、银保监会等横向12部门共享数据（国家、省、市县三级数据源），获取自然人数据、法人数据等数据用于不动产登记业务办理，对数据服务接口进行对接开发、改造现有登记平台以在登记中利用这些数据。</w:t>
            </w:r>
          </w:p>
        </w:tc>
        <w:tc>
          <w:tcPr>
            <w:tcW w:w="1216" w:type="dxa"/>
            <w:tcBorders>
              <w:top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1项</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68" w:type="dxa"/>
            <w:tcBorders>
              <w:top w:val="single" w:color="auto" w:sz="4" w:space="0"/>
              <w:lef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4</w:t>
            </w:r>
          </w:p>
        </w:tc>
        <w:tc>
          <w:tcPr>
            <w:tcW w:w="2716" w:type="dxa"/>
            <w:tcBorders>
              <w:top w:val="single" w:color="auto" w:sz="4" w:space="0"/>
            </w:tcBorders>
            <w:shd w:val="clear" w:color="auto" w:fill="auto"/>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政务网“好差评”系统对接</w:t>
            </w:r>
          </w:p>
          <w:p>
            <w:pPr>
              <w:jc w:val="center"/>
              <w:rPr>
                <w:rFonts w:ascii="宋体" w:hAnsi="宋体" w:eastAsia="宋体" w:cs="宋体"/>
                <w:color w:val="0C0C0C" w:themeColor="text1" w:themeTint="F2"/>
                <w:kern w:val="0"/>
                <w:sz w:val="21"/>
                <w:szCs w:val="21"/>
              </w:rPr>
            </w:pPr>
          </w:p>
        </w:tc>
        <w:tc>
          <w:tcPr>
            <w:tcW w:w="4100" w:type="dxa"/>
            <w:tcBorders>
              <w:top w:val="single" w:color="auto" w:sz="4" w:space="0"/>
            </w:tcBorders>
            <w:shd w:val="clear" w:color="auto" w:fill="auto"/>
            <w:vAlign w:val="center"/>
          </w:tcPr>
          <w:p>
            <w:pPr>
              <w:widowControl/>
              <w:jc w:val="left"/>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省大数据管理局关于推进“好差评”系统线下对接工作的通知，实现政务服务大厅全覆盖对接涉及窗口系统、自助终端、移动app、平板电脑等相关系统和设备的对接。</w:t>
            </w:r>
          </w:p>
        </w:tc>
        <w:tc>
          <w:tcPr>
            <w:tcW w:w="1216" w:type="dxa"/>
            <w:tcBorders>
              <w:top w:val="single" w:color="auto" w:sz="4" w:space="0"/>
              <w:righ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1项</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468" w:type="dxa"/>
            <w:tcBorders>
              <w:top w:val="single" w:color="auto" w:sz="4" w:space="0"/>
              <w:lef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5</w:t>
            </w:r>
          </w:p>
        </w:tc>
        <w:tc>
          <w:tcPr>
            <w:tcW w:w="2716" w:type="dxa"/>
            <w:tcBorders>
              <w:top w:val="single" w:color="auto" w:sz="4" w:space="0"/>
            </w:tcBorders>
            <w:shd w:val="clear" w:color="auto" w:fill="auto"/>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电子证照</w:t>
            </w:r>
          </w:p>
        </w:tc>
        <w:tc>
          <w:tcPr>
            <w:tcW w:w="4100" w:type="dxa"/>
            <w:tcBorders>
              <w:top w:val="single" w:color="auto" w:sz="4" w:space="0"/>
            </w:tcBorders>
            <w:shd w:val="clear" w:color="auto" w:fill="auto"/>
            <w:vAlign w:val="center"/>
          </w:tcPr>
          <w:p>
            <w:pPr>
              <w:widowControl/>
              <w:jc w:val="left"/>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依照省里要求，开发不动产登记证照数据共享交换标准（库表模式），通过接口对接方式，将不动产登记中心证照照面信息存量及增量数据推送到县大数据局证照中心库，由大数据证照库生成电子签章。开发获取接口，获取证照库的电子证照信息到不动产中心，可以实现不动产登记平台、政务网等查询利用证照信息。最终实现不动产权证书、不动产登记证明电子证照的生成、归集和共享应用。</w:t>
            </w:r>
          </w:p>
        </w:tc>
        <w:tc>
          <w:tcPr>
            <w:tcW w:w="1216" w:type="dxa"/>
            <w:tcBorders>
              <w:top w:val="single" w:color="auto" w:sz="4" w:space="0"/>
              <w:righ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1项</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68" w:type="dxa"/>
            <w:tcBorders>
              <w:top w:val="single" w:color="auto" w:sz="4" w:space="0"/>
              <w:lef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6</w:t>
            </w:r>
          </w:p>
        </w:tc>
        <w:tc>
          <w:tcPr>
            <w:tcW w:w="2716" w:type="dxa"/>
            <w:tcBorders>
              <w:top w:val="single" w:color="auto" w:sz="4" w:space="0"/>
            </w:tcBorders>
            <w:shd w:val="clear" w:color="auto" w:fill="auto"/>
            <w:vAlign w:val="center"/>
          </w:tcPr>
          <w:p>
            <w:pPr>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涉税费用网上缴纳税务系统对接</w:t>
            </w:r>
          </w:p>
        </w:tc>
        <w:tc>
          <w:tcPr>
            <w:tcW w:w="4100" w:type="dxa"/>
            <w:tcBorders>
              <w:top w:val="single" w:color="auto" w:sz="4" w:space="0"/>
            </w:tcBorders>
            <w:shd w:val="clear" w:color="auto" w:fill="auto"/>
            <w:vAlign w:val="center"/>
          </w:tcPr>
          <w:p>
            <w:pPr>
              <w:widowControl/>
              <w:jc w:val="left"/>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与省财政非税收入系统进行对接，提供非税费用（登记费）网上缴纳、电子票据下载、退费等全流程网上办理，服务于“全豫通办”异地非税费用缴纳。</w:t>
            </w:r>
          </w:p>
        </w:tc>
        <w:tc>
          <w:tcPr>
            <w:tcW w:w="1216" w:type="dxa"/>
            <w:tcBorders>
              <w:top w:val="single" w:color="auto" w:sz="4" w:space="0"/>
              <w:righ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1项</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68" w:type="dxa"/>
            <w:tcBorders>
              <w:top w:val="single" w:color="auto" w:sz="4" w:space="0"/>
              <w:left w:val="single" w:color="auto" w:sz="4" w:space="0"/>
            </w:tcBorders>
            <w:shd w:val="clear" w:color="auto" w:fill="auto"/>
            <w:noWrap/>
            <w:vAlign w:val="center"/>
          </w:tcPr>
          <w:p>
            <w:pPr>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7</w:t>
            </w:r>
          </w:p>
        </w:tc>
        <w:tc>
          <w:tcPr>
            <w:tcW w:w="2716" w:type="dxa"/>
            <w:tcBorders>
              <w:top w:val="single" w:color="auto" w:sz="4" w:space="0"/>
            </w:tcBorders>
            <w:shd w:val="clear" w:color="auto" w:fill="auto"/>
            <w:vAlign w:val="center"/>
          </w:tcPr>
          <w:p>
            <w:pPr>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非税费用网上缴纳财政系统对接</w:t>
            </w:r>
          </w:p>
        </w:tc>
        <w:tc>
          <w:tcPr>
            <w:tcW w:w="4100" w:type="dxa"/>
            <w:tcBorders>
              <w:top w:val="single" w:color="auto" w:sz="4" w:space="0"/>
            </w:tcBorders>
            <w:shd w:val="clear" w:color="auto" w:fill="auto"/>
            <w:vAlign w:val="center"/>
          </w:tcPr>
          <w:p>
            <w:pPr>
              <w:widowControl/>
              <w:jc w:val="left"/>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与税务系统进行对接，提供网上缴税、电子票据下载、完税信息获取和完税凭证下载等全流程网上办理，服务于“全豫通办”异地缴税。</w:t>
            </w:r>
          </w:p>
        </w:tc>
        <w:tc>
          <w:tcPr>
            <w:tcW w:w="1216" w:type="dxa"/>
            <w:tcBorders>
              <w:top w:val="single" w:color="auto" w:sz="4" w:space="0"/>
              <w:righ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1项</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68" w:type="dxa"/>
            <w:tcBorders>
              <w:top w:val="single" w:color="auto" w:sz="4" w:space="0"/>
              <w:left w:val="single" w:color="auto" w:sz="4" w:space="0"/>
            </w:tcBorders>
            <w:shd w:val="clear" w:color="auto" w:fill="auto"/>
            <w:noWrap/>
            <w:vAlign w:val="center"/>
          </w:tcPr>
          <w:p>
            <w:pPr>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8</w:t>
            </w:r>
          </w:p>
        </w:tc>
        <w:tc>
          <w:tcPr>
            <w:tcW w:w="2716" w:type="dxa"/>
            <w:tcBorders>
              <w:top w:val="single" w:color="auto" w:sz="4" w:space="0"/>
            </w:tcBorders>
            <w:shd w:val="clear" w:color="auto" w:fill="auto"/>
            <w:vAlign w:val="center"/>
          </w:tcPr>
          <w:p>
            <w:pPr>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与省高院“司法查控”总对总对接</w:t>
            </w:r>
          </w:p>
        </w:tc>
        <w:tc>
          <w:tcPr>
            <w:tcW w:w="4100" w:type="dxa"/>
            <w:tcBorders>
              <w:top w:val="single" w:color="auto" w:sz="4" w:space="0"/>
            </w:tcBorders>
            <w:shd w:val="clear" w:color="auto" w:fill="auto"/>
            <w:vAlign w:val="center"/>
          </w:tcPr>
          <w:p>
            <w:pPr>
              <w:widowControl/>
              <w:jc w:val="left"/>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采用总对总对接方式，对接法院司法查控系统，实现司法查控在线办理。</w:t>
            </w:r>
          </w:p>
        </w:tc>
        <w:tc>
          <w:tcPr>
            <w:tcW w:w="1216" w:type="dxa"/>
            <w:tcBorders>
              <w:top w:val="single" w:color="auto" w:sz="4" w:space="0"/>
              <w:right w:val="single" w:color="auto" w:sz="4" w:space="0"/>
            </w:tcBorders>
            <w:shd w:val="clear" w:color="auto" w:fill="auto"/>
            <w:noWrap/>
            <w:vAlign w:val="center"/>
          </w:tcPr>
          <w:p>
            <w:pPr>
              <w:widowControl/>
              <w:jc w:val="left"/>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　1项</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468" w:type="dxa"/>
            <w:tcBorders>
              <w:top w:val="single" w:color="auto" w:sz="4" w:space="0"/>
              <w:lef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9</w:t>
            </w:r>
          </w:p>
        </w:tc>
        <w:tc>
          <w:tcPr>
            <w:tcW w:w="2716" w:type="dxa"/>
            <w:tcBorders>
              <w:top w:val="single" w:color="auto" w:sz="4" w:space="0"/>
            </w:tcBorders>
            <w:shd w:val="clear" w:color="auto" w:fill="auto"/>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网上“一窗办事”平台对接</w:t>
            </w:r>
          </w:p>
        </w:tc>
        <w:tc>
          <w:tcPr>
            <w:tcW w:w="4100" w:type="dxa"/>
            <w:tcBorders>
              <w:top w:val="single" w:color="auto" w:sz="4" w:space="0"/>
            </w:tcBorders>
            <w:shd w:val="clear" w:color="auto" w:fill="auto"/>
            <w:vAlign w:val="center"/>
          </w:tcPr>
          <w:p>
            <w:pPr>
              <w:widowControl/>
              <w:jc w:val="left"/>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对接全省统一网上“一窗办事”平台，实现一次受理、自动分发、并行办理、依法连接、一网通办，线上办事大厅和线下一窗受理融合衔接，实现“一窗受理、并行办理”线上线下集成统一的“一窗受理”平台。</w:t>
            </w:r>
          </w:p>
        </w:tc>
        <w:tc>
          <w:tcPr>
            <w:tcW w:w="1216" w:type="dxa"/>
            <w:tcBorders>
              <w:top w:val="single" w:color="auto" w:sz="4" w:space="0"/>
              <w:right w:val="single" w:color="auto" w:sz="4" w:space="0"/>
            </w:tcBorders>
            <w:shd w:val="clear" w:color="auto" w:fill="auto"/>
            <w:noWrap/>
            <w:vAlign w:val="center"/>
          </w:tcPr>
          <w:p>
            <w:pPr>
              <w:widowControl/>
              <w:jc w:val="left"/>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　1项</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68" w:type="dxa"/>
            <w:tcBorders>
              <w:top w:val="single" w:color="auto" w:sz="4" w:space="0"/>
              <w:lef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10</w:t>
            </w:r>
          </w:p>
        </w:tc>
        <w:tc>
          <w:tcPr>
            <w:tcW w:w="2716" w:type="dxa"/>
            <w:tcBorders>
              <w:top w:val="single" w:color="auto" w:sz="4" w:space="0"/>
            </w:tcBorders>
            <w:shd w:val="clear" w:color="auto" w:fill="auto"/>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开发扫码看图</w:t>
            </w:r>
          </w:p>
        </w:tc>
        <w:tc>
          <w:tcPr>
            <w:tcW w:w="4100" w:type="dxa"/>
            <w:tcBorders>
              <w:top w:val="single" w:color="auto" w:sz="4" w:space="0"/>
            </w:tcBorders>
            <w:shd w:val="clear" w:color="auto" w:fill="auto"/>
            <w:vAlign w:val="center"/>
          </w:tcPr>
          <w:p>
            <w:pPr>
              <w:widowControl/>
              <w:jc w:val="left"/>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开发不动产登记扫码看图功能，省去不动产登记从业人员打印宗地图、房产分户图后证书后面粘贴图纸，可生成二维码，扫码可直接查看不动产登记宗地图、房产分户图。（注：房产分户图需提前配置到不动产登记数据库中方可实现）。</w:t>
            </w:r>
          </w:p>
        </w:tc>
        <w:tc>
          <w:tcPr>
            <w:tcW w:w="1216" w:type="dxa"/>
            <w:tcBorders>
              <w:top w:val="single" w:color="auto" w:sz="4" w:space="0"/>
              <w:righ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1项</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68" w:type="dxa"/>
            <w:tcBorders>
              <w:top w:val="single" w:color="auto" w:sz="4" w:space="0"/>
              <w:lef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11</w:t>
            </w:r>
          </w:p>
        </w:tc>
        <w:tc>
          <w:tcPr>
            <w:tcW w:w="2716" w:type="dxa"/>
            <w:tcBorders>
              <w:top w:val="single" w:color="auto" w:sz="4" w:space="0"/>
            </w:tcBorders>
            <w:shd w:val="clear" w:color="auto" w:fill="auto"/>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全豫通办</w:t>
            </w:r>
          </w:p>
        </w:tc>
        <w:tc>
          <w:tcPr>
            <w:tcW w:w="4100" w:type="dxa"/>
            <w:tcBorders>
              <w:top w:val="single" w:color="auto" w:sz="4" w:space="0"/>
            </w:tcBorders>
            <w:shd w:val="clear" w:color="auto" w:fill="auto"/>
            <w:vAlign w:val="center"/>
          </w:tcPr>
          <w:p>
            <w:pPr>
              <w:widowControl/>
              <w:jc w:val="left"/>
              <w:rPr>
                <w:rFonts w:hint="eastAsia" w:ascii="宋体" w:hAnsi="宋体" w:eastAsia="宋体" w:cs="宋体"/>
                <w:color w:val="0C0C0C" w:themeColor="text1" w:themeTint="F2"/>
                <w:kern w:val="0"/>
                <w:sz w:val="21"/>
                <w:szCs w:val="21"/>
                <w:lang w:eastAsia="zh-CN"/>
              </w:rPr>
            </w:pPr>
            <w:r>
              <w:rPr>
                <w:rFonts w:hint="eastAsia" w:ascii="宋体" w:hAnsi="宋体" w:eastAsia="宋体" w:cs="宋体"/>
                <w:color w:val="0C0C0C" w:themeColor="text1" w:themeTint="F2"/>
                <w:kern w:val="0"/>
                <w:sz w:val="21"/>
                <w:szCs w:val="21"/>
              </w:rPr>
              <w:t>“全豫通办”功能开发，与省”全豫通办“业务系统对接开发，业务流程优化系统改造。</w:t>
            </w:r>
            <w:r>
              <w:rPr>
                <w:rFonts w:hint="eastAsia" w:ascii="宋体" w:hAnsi="宋体" w:eastAsia="宋体" w:cs="宋体"/>
                <w:color w:val="0C0C0C" w:themeColor="text1" w:themeTint="F2"/>
                <w:kern w:val="0"/>
                <w:sz w:val="21"/>
                <w:szCs w:val="21"/>
                <w:lang w:eastAsia="zh-CN"/>
              </w:rPr>
              <w:t>符合河南省自然资源厅规定标准。</w:t>
            </w:r>
          </w:p>
        </w:tc>
        <w:tc>
          <w:tcPr>
            <w:tcW w:w="1216" w:type="dxa"/>
            <w:tcBorders>
              <w:top w:val="single" w:color="auto" w:sz="4" w:space="0"/>
              <w:right w:val="single" w:color="auto" w:sz="4" w:space="0"/>
            </w:tcBorders>
            <w:shd w:val="clear" w:color="auto" w:fill="auto"/>
            <w:noWrap/>
            <w:vAlign w:val="center"/>
          </w:tcPr>
          <w:p>
            <w:pPr>
              <w:widowControl/>
              <w:jc w:val="left"/>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　1项</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68" w:type="dxa"/>
            <w:tcBorders>
              <w:top w:val="single" w:color="auto" w:sz="4" w:space="0"/>
              <w:left w:val="single" w:color="auto" w:sz="4" w:space="0"/>
            </w:tcBorders>
            <w:shd w:val="clear" w:color="auto" w:fill="auto"/>
            <w:noWrap/>
            <w:vAlign w:val="center"/>
          </w:tcPr>
          <w:p>
            <w:pPr>
              <w:widowControl/>
              <w:jc w:val="center"/>
              <w:rPr>
                <w:rFonts w:hint="eastAsia"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w:t>
            </w:r>
            <w:r>
              <w:rPr>
                <w:rFonts w:ascii="宋体" w:hAnsi="宋体" w:eastAsia="宋体" w:cs="宋体"/>
                <w:color w:val="0C0C0C" w:themeColor="text1" w:themeTint="F2"/>
                <w:kern w:val="0"/>
                <w:sz w:val="21"/>
                <w:szCs w:val="21"/>
              </w:rPr>
              <w:t>2</w:t>
            </w:r>
          </w:p>
        </w:tc>
        <w:tc>
          <w:tcPr>
            <w:tcW w:w="2716" w:type="dxa"/>
            <w:tcBorders>
              <w:top w:val="single" w:color="auto" w:sz="4" w:space="0"/>
            </w:tcBorders>
            <w:shd w:val="clear" w:color="auto" w:fill="auto"/>
            <w:vAlign w:val="center"/>
          </w:tcPr>
          <w:p>
            <w:pPr>
              <w:widowControl/>
              <w:jc w:val="center"/>
              <w:rPr>
                <w:rFonts w:hint="eastAsia" w:ascii="宋体" w:hAnsi="宋体" w:eastAsia="宋体" w:cs="宋体"/>
                <w:color w:val="0C0C0C" w:themeColor="text1" w:themeTint="F2"/>
                <w:kern w:val="0"/>
                <w:sz w:val="21"/>
                <w:szCs w:val="21"/>
                <w:lang w:eastAsia="zh-CN"/>
              </w:rPr>
            </w:pPr>
            <w:r>
              <w:rPr>
                <w:rFonts w:hint="eastAsia" w:ascii="宋体" w:hAnsi="宋体" w:eastAsia="宋体" w:cs="宋体"/>
                <w:color w:val="0C0C0C" w:themeColor="text1" w:themeTint="F2"/>
                <w:kern w:val="0"/>
                <w:sz w:val="21"/>
                <w:szCs w:val="21"/>
              </w:rPr>
              <w:t>房屋租赁网签系统、房屋抵押网签系统</w:t>
            </w:r>
            <w:r>
              <w:rPr>
                <w:rFonts w:hint="eastAsia" w:ascii="宋体" w:hAnsi="宋体" w:eastAsia="宋体" w:cs="宋体"/>
                <w:color w:val="0C0C0C" w:themeColor="text1" w:themeTint="F2"/>
                <w:kern w:val="0"/>
                <w:sz w:val="21"/>
                <w:szCs w:val="21"/>
                <w:lang w:eastAsia="zh-CN"/>
              </w:rPr>
              <w:t>、存量房网签升级改造</w:t>
            </w:r>
          </w:p>
        </w:tc>
        <w:tc>
          <w:tcPr>
            <w:tcW w:w="4100" w:type="dxa"/>
            <w:tcBorders>
              <w:top w:val="single" w:color="auto" w:sz="4" w:space="0"/>
            </w:tcBorders>
            <w:shd w:val="clear" w:color="auto" w:fill="auto"/>
            <w:vAlign w:val="center"/>
          </w:tcPr>
          <w:p>
            <w:pPr>
              <w:widowControl/>
              <w:jc w:val="left"/>
              <w:rPr>
                <w:rFonts w:hint="eastAsia" w:ascii="宋体" w:hAnsi="宋体" w:eastAsia="宋体" w:cs="宋体"/>
                <w:color w:val="0C0C0C" w:themeColor="text1" w:themeTint="F2"/>
                <w:kern w:val="0"/>
                <w:sz w:val="21"/>
                <w:szCs w:val="21"/>
                <w:lang w:eastAsia="zh-CN"/>
              </w:rPr>
            </w:pPr>
            <w:r>
              <w:rPr>
                <w:rFonts w:hint="eastAsia" w:ascii="宋体" w:hAnsi="宋体" w:eastAsia="宋体" w:cs="宋体"/>
                <w:color w:val="0C0C0C" w:themeColor="text1" w:themeTint="F2"/>
                <w:kern w:val="0"/>
                <w:sz w:val="21"/>
                <w:szCs w:val="21"/>
              </w:rPr>
              <w:t>建设房屋租赁网签系统、房屋抵押网签系统。</w:t>
            </w:r>
            <w:r>
              <w:rPr>
                <w:rFonts w:hint="eastAsia" w:ascii="宋体" w:hAnsi="宋体" w:eastAsia="宋体" w:cs="宋体"/>
                <w:color w:val="0C0C0C" w:themeColor="text1" w:themeTint="F2"/>
                <w:kern w:val="0"/>
                <w:sz w:val="21"/>
                <w:szCs w:val="21"/>
                <w:lang w:eastAsia="zh-CN"/>
              </w:rPr>
              <w:t>对现有存量房网签系统进行改造，实现网签业务业务全程网上办理，提示业务办理便利度。具备签约全程电子化，办理结果形成电子证照。</w:t>
            </w:r>
          </w:p>
        </w:tc>
        <w:tc>
          <w:tcPr>
            <w:tcW w:w="1216" w:type="dxa"/>
            <w:tcBorders>
              <w:top w:val="single" w:color="auto" w:sz="4" w:space="0"/>
              <w:righ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p>
          <w:p>
            <w:pPr>
              <w:widowControl/>
              <w:jc w:val="left"/>
              <w:rPr>
                <w:rFonts w:hint="eastAsia"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1项</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68" w:type="dxa"/>
            <w:tcBorders>
              <w:top w:val="single" w:color="auto" w:sz="4" w:space="0"/>
              <w:lef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w:t>
            </w:r>
            <w:r>
              <w:rPr>
                <w:rFonts w:ascii="宋体" w:hAnsi="宋体" w:eastAsia="宋体" w:cs="宋体"/>
                <w:color w:val="0C0C0C" w:themeColor="text1" w:themeTint="F2"/>
                <w:kern w:val="0"/>
                <w:sz w:val="21"/>
                <w:szCs w:val="21"/>
              </w:rPr>
              <w:t>3</w:t>
            </w:r>
          </w:p>
        </w:tc>
        <w:tc>
          <w:tcPr>
            <w:tcW w:w="2716" w:type="dxa"/>
            <w:tcBorders>
              <w:top w:val="single" w:color="auto" w:sz="4" w:space="0"/>
            </w:tcBorders>
            <w:shd w:val="clear" w:color="auto" w:fill="auto"/>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不动产交易监管平台建设</w:t>
            </w:r>
          </w:p>
        </w:tc>
        <w:tc>
          <w:tcPr>
            <w:tcW w:w="4100" w:type="dxa"/>
            <w:tcBorders>
              <w:top w:val="single" w:color="auto" w:sz="4" w:space="0"/>
            </w:tcBorders>
            <w:shd w:val="clear" w:color="auto" w:fill="auto"/>
            <w:vAlign w:val="center"/>
          </w:tcPr>
          <w:p>
            <w:pPr>
              <w:widowControl/>
              <w:jc w:val="left"/>
              <w:rPr>
                <w:rFonts w:hint="eastAsia" w:ascii="宋体" w:hAnsi="宋体" w:eastAsia="宋体" w:cs="宋体"/>
                <w:color w:val="0C0C0C" w:themeColor="text1" w:themeTint="F2"/>
                <w:kern w:val="0"/>
                <w:sz w:val="21"/>
                <w:szCs w:val="21"/>
                <w:lang w:eastAsia="zh-CN"/>
              </w:rPr>
            </w:pPr>
            <w:r>
              <w:rPr>
                <w:rFonts w:hint="eastAsia" w:ascii="宋体" w:hAnsi="宋体" w:eastAsia="宋体" w:cs="宋体"/>
                <w:color w:val="0C0C0C" w:themeColor="text1" w:themeTint="F2"/>
                <w:kern w:val="0"/>
                <w:sz w:val="21"/>
                <w:szCs w:val="21"/>
              </w:rPr>
              <w:t>建设禹州市不动产交易监管平台。</w:t>
            </w:r>
            <w:r>
              <w:rPr>
                <w:rFonts w:hint="eastAsia" w:ascii="宋体" w:hAnsi="宋体" w:eastAsia="宋体" w:cs="宋体"/>
                <w:color w:val="0C0C0C" w:themeColor="text1" w:themeTint="F2"/>
                <w:kern w:val="0"/>
                <w:sz w:val="21"/>
                <w:szCs w:val="21"/>
                <w:lang w:eastAsia="zh-CN"/>
              </w:rPr>
              <w:t>全面展示禹州市房地市场信息，提供涉及交易业务全程网上办理互联网通道。</w:t>
            </w:r>
          </w:p>
        </w:tc>
        <w:tc>
          <w:tcPr>
            <w:tcW w:w="1216" w:type="dxa"/>
            <w:tcBorders>
              <w:top w:val="single" w:color="auto" w:sz="4" w:space="0"/>
              <w:righ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1项</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68" w:type="dxa"/>
            <w:tcBorders>
              <w:top w:val="single" w:color="auto" w:sz="4" w:space="0"/>
              <w:lef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w:t>
            </w:r>
            <w:r>
              <w:rPr>
                <w:rFonts w:ascii="宋体" w:hAnsi="宋体" w:eastAsia="宋体" w:cs="宋体"/>
                <w:color w:val="0C0C0C" w:themeColor="text1" w:themeTint="F2"/>
                <w:kern w:val="0"/>
                <w:sz w:val="21"/>
                <w:szCs w:val="21"/>
              </w:rPr>
              <w:t>4</w:t>
            </w:r>
          </w:p>
        </w:tc>
        <w:tc>
          <w:tcPr>
            <w:tcW w:w="2716" w:type="dxa"/>
            <w:tcBorders>
              <w:top w:val="single" w:color="auto" w:sz="4" w:space="0"/>
            </w:tcBorders>
            <w:shd w:val="clear" w:color="auto" w:fill="auto"/>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不动产交易数据联网上报</w:t>
            </w:r>
          </w:p>
        </w:tc>
        <w:tc>
          <w:tcPr>
            <w:tcW w:w="4100" w:type="dxa"/>
            <w:tcBorders>
              <w:top w:val="single" w:color="auto" w:sz="4" w:space="0"/>
            </w:tcBorders>
            <w:shd w:val="clear" w:color="auto" w:fill="auto"/>
            <w:vAlign w:val="center"/>
          </w:tcPr>
          <w:p>
            <w:pPr>
              <w:widowControl/>
              <w:jc w:val="left"/>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根据住建厅要求，开发不动产交易数据联网上报程序。</w:t>
            </w:r>
          </w:p>
        </w:tc>
        <w:tc>
          <w:tcPr>
            <w:tcW w:w="1216" w:type="dxa"/>
            <w:tcBorders>
              <w:top w:val="single" w:color="auto" w:sz="4" w:space="0"/>
              <w:righ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p>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1项</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68" w:type="dxa"/>
            <w:tcBorders>
              <w:top w:val="single" w:color="auto" w:sz="4" w:space="0"/>
              <w:lef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w:t>
            </w:r>
            <w:r>
              <w:rPr>
                <w:rFonts w:ascii="宋体" w:hAnsi="宋体" w:eastAsia="宋体" w:cs="宋体"/>
                <w:color w:val="0C0C0C" w:themeColor="text1" w:themeTint="F2"/>
                <w:kern w:val="0"/>
                <w:sz w:val="21"/>
                <w:szCs w:val="21"/>
              </w:rPr>
              <w:t>5</w:t>
            </w:r>
          </w:p>
        </w:tc>
        <w:tc>
          <w:tcPr>
            <w:tcW w:w="2716" w:type="dxa"/>
            <w:tcBorders>
              <w:top w:val="single" w:color="auto" w:sz="4" w:space="0"/>
            </w:tcBorders>
            <w:shd w:val="clear" w:color="auto" w:fill="auto"/>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不动产于河南省政务网</w:t>
            </w:r>
            <w:r>
              <w:rPr>
                <w:rFonts w:ascii="宋体" w:hAnsi="宋体" w:eastAsia="宋体" w:cs="宋体"/>
                <w:color w:val="0C0C0C" w:themeColor="text1" w:themeTint="F2"/>
                <w:kern w:val="0"/>
                <w:sz w:val="21"/>
                <w:szCs w:val="21"/>
              </w:rPr>
              <w:t>”</w:t>
            </w:r>
            <w:r>
              <w:rPr>
                <w:rFonts w:hint="eastAsia" w:ascii="宋体" w:hAnsi="宋体" w:eastAsia="宋体" w:cs="宋体"/>
                <w:color w:val="0C0C0C" w:themeColor="text1" w:themeTint="F2"/>
                <w:kern w:val="0"/>
                <w:sz w:val="21"/>
                <w:szCs w:val="21"/>
              </w:rPr>
              <w:t>统一受理“系统对接”</w:t>
            </w:r>
          </w:p>
        </w:tc>
        <w:tc>
          <w:tcPr>
            <w:tcW w:w="4100" w:type="dxa"/>
            <w:tcBorders>
              <w:top w:val="single" w:color="auto" w:sz="4" w:space="0"/>
            </w:tcBorders>
            <w:shd w:val="clear" w:color="auto" w:fill="auto"/>
            <w:vAlign w:val="center"/>
          </w:tcPr>
          <w:p>
            <w:pPr>
              <w:widowControl/>
              <w:jc w:val="left"/>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实现通过省政务服务网“统一受理”平台申请，经省级分发后，不动产登记平台可以办理对应业务，并将办件过程数据和结果按省政务服务平台标准，通过省不动产信息管理基础平台推送到省政务服务网“统一受理”平台。</w:t>
            </w:r>
          </w:p>
        </w:tc>
        <w:tc>
          <w:tcPr>
            <w:tcW w:w="1216" w:type="dxa"/>
            <w:tcBorders>
              <w:top w:val="single" w:color="auto" w:sz="4" w:space="0"/>
              <w:righ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1项</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68" w:type="dxa"/>
            <w:tcBorders>
              <w:top w:val="single" w:color="auto" w:sz="4" w:space="0"/>
              <w:lef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w:t>
            </w:r>
            <w:r>
              <w:rPr>
                <w:rFonts w:ascii="宋体" w:hAnsi="宋体" w:eastAsia="宋体" w:cs="宋体"/>
                <w:color w:val="0C0C0C" w:themeColor="text1" w:themeTint="F2"/>
                <w:kern w:val="0"/>
                <w:sz w:val="21"/>
                <w:szCs w:val="21"/>
              </w:rPr>
              <w:t>6</w:t>
            </w:r>
          </w:p>
        </w:tc>
        <w:tc>
          <w:tcPr>
            <w:tcW w:w="2716" w:type="dxa"/>
            <w:tcBorders>
              <w:top w:val="single" w:color="auto" w:sz="4" w:space="0"/>
            </w:tcBorders>
            <w:shd w:val="clear" w:color="auto" w:fill="auto"/>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不动产登记与I许昌APP对接</w:t>
            </w:r>
          </w:p>
        </w:tc>
        <w:tc>
          <w:tcPr>
            <w:tcW w:w="4100" w:type="dxa"/>
            <w:tcBorders>
              <w:top w:val="single" w:color="auto" w:sz="4" w:space="0"/>
            </w:tcBorders>
            <w:shd w:val="clear" w:color="auto" w:fill="auto"/>
            <w:vAlign w:val="center"/>
          </w:tcPr>
          <w:p>
            <w:pPr>
              <w:widowControl/>
              <w:jc w:val="left"/>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根据许昌市大数据管理局要求，禹州市不动产登记平台对接“I许昌”A</w:t>
            </w:r>
            <w:r>
              <w:rPr>
                <w:rFonts w:ascii="宋体" w:hAnsi="宋体" w:eastAsia="宋体" w:cs="宋体"/>
                <w:color w:val="0C0C0C" w:themeColor="text1" w:themeTint="F2"/>
                <w:kern w:val="0"/>
                <w:sz w:val="21"/>
                <w:szCs w:val="21"/>
              </w:rPr>
              <w:t>PP</w:t>
            </w:r>
            <w:r>
              <w:rPr>
                <w:rFonts w:hint="eastAsia" w:ascii="宋体" w:hAnsi="宋体" w:eastAsia="宋体" w:cs="宋体"/>
                <w:color w:val="0C0C0C" w:themeColor="text1" w:themeTint="F2"/>
                <w:kern w:val="0"/>
                <w:sz w:val="21"/>
                <w:szCs w:val="21"/>
              </w:rPr>
              <w:t>，实现不动产登记的查询，公示公告，业务申请等。</w:t>
            </w:r>
          </w:p>
        </w:tc>
        <w:tc>
          <w:tcPr>
            <w:tcW w:w="1216" w:type="dxa"/>
            <w:tcBorders>
              <w:top w:val="single" w:color="auto" w:sz="4" w:space="0"/>
              <w:righ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1项</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68" w:type="dxa"/>
            <w:tcBorders>
              <w:top w:val="single" w:color="auto" w:sz="4" w:space="0"/>
              <w:lef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w:t>
            </w:r>
            <w:r>
              <w:rPr>
                <w:rFonts w:ascii="宋体" w:hAnsi="宋体" w:eastAsia="宋体" w:cs="宋体"/>
                <w:color w:val="0C0C0C" w:themeColor="text1" w:themeTint="F2"/>
                <w:kern w:val="0"/>
                <w:sz w:val="21"/>
                <w:szCs w:val="21"/>
              </w:rPr>
              <w:t>7</w:t>
            </w:r>
          </w:p>
        </w:tc>
        <w:tc>
          <w:tcPr>
            <w:tcW w:w="2716" w:type="dxa"/>
            <w:tcBorders>
              <w:top w:val="single" w:color="auto" w:sz="4" w:space="0"/>
            </w:tcBorders>
            <w:shd w:val="clear" w:color="auto" w:fill="auto"/>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不动产登记交易网签合同电子化改造升级</w:t>
            </w:r>
          </w:p>
        </w:tc>
        <w:tc>
          <w:tcPr>
            <w:tcW w:w="4100" w:type="dxa"/>
            <w:tcBorders>
              <w:top w:val="single" w:color="auto" w:sz="4" w:space="0"/>
            </w:tcBorders>
            <w:shd w:val="clear" w:color="auto" w:fill="auto"/>
            <w:vAlign w:val="center"/>
          </w:tcPr>
          <w:p>
            <w:pPr>
              <w:widowControl/>
              <w:jc w:val="left"/>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对接禹州市不动产交易网签合同电子签章，实现网签合同电子化，生成网签电子合同。</w:t>
            </w:r>
          </w:p>
        </w:tc>
        <w:tc>
          <w:tcPr>
            <w:tcW w:w="1216" w:type="dxa"/>
            <w:tcBorders>
              <w:top w:val="single" w:color="auto" w:sz="4" w:space="0"/>
              <w:righ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1项</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68" w:type="dxa"/>
            <w:tcBorders>
              <w:top w:val="single" w:color="auto" w:sz="4" w:space="0"/>
              <w:lef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w:t>
            </w:r>
            <w:r>
              <w:rPr>
                <w:rFonts w:ascii="宋体" w:hAnsi="宋体" w:eastAsia="宋体" w:cs="宋体"/>
                <w:color w:val="0C0C0C" w:themeColor="text1" w:themeTint="F2"/>
                <w:kern w:val="0"/>
                <w:sz w:val="21"/>
                <w:szCs w:val="21"/>
              </w:rPr>
              <w:t>8</w:t>
            </w:r>
          </w:p>
        </w:tc>
        <w:tc>
          <w:tcPr>
            <w:tcW w:w="2716" w:type="dxa"/>
            <w:tcBorders>
              <w:top w:val="single" w:color="auto" w:sz="4" w:space="0"/>
            </w:tcBorders>
            <w:shd w:val="clear" w:color="auto" w:fill="auto"/>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自建一窗受理系统</w:t>
            </w:r>
          </w:p>
        </w:tc>
        <w:tc>
          <w:tcPr>
            <w:tcW w:w="4100" w:type="dxa"/>
            <w:tcBorders>
              <w:top w:val="single" w:color="auto" w:sz="4" w:space="0"/>
            </w:tcBorders>
            <w:shd w:val="clear" w:color="auto" w:fill="auto"/>
            <w:vAlign w:val="center"/>
          </w:tcPr>
          <w:p>
            <w:pPr>
              <w:widowControl/>
              <w:jc w:val="left"/>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开发实现不动产登记、不动产交易、税务核税联办一体的一窗受理系统。</w:t>
            </w:r>
          </w:p>
        </w:tc>
        <w:tc>
          <w:tcPr>
            <w:tcW w:w="1216" w:type="dxa"/>
            <w:tcBorders>
              <w:top w:val="single" w:color="auto" w:sz="4" w:space="0"/>
              <w:righ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1项</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68" w:type="dxa"/>
            <w:tcBorders>
              <w:top w:val="single" w:color="auto" w:sz="4" w:space="0"/>
              <w:lef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w:t>
            </w:r>
            <w:r>
              <w:rPr>
                <w:rFonts w:ascii="宋体" w:hAnsi="宋体" w:eastAsia="宋体" w:cs="宋体"/>
                <w:color w:val="0C0C0C" w:themeColor="text1" w:themeTint="F2"/>
                <w:kern w:val="0"/>
                <w:sz w:val="21"/>
                <w:szCs w:val="21"/>
              </w:rPr>
              <w:t>9</w:t>
            </w:r>
          </w:p>
        </w:tc>
        <w:tc>
          <w:tcPr>
            <w:tcW w:w="2716" w:type="dxa"/>
            <w:tcBorders>
              <w:top w:val="single" w:color="auto" w:sz="4" w:space="0"/>
            </w:tcBorders>
            <w:shd w:val="clear" w:color="auto" w:fill="auto"/>
            <w:vAlign w:val="center"/>
          </w:tcPr>
          <w:p>
            <w:pPr>
              <w:widowControl/>
              <w:jc w:val="center"/>
              <w:rPr>
                <w:rFonts w:hint="eastAsia" w:ascii="宋体" w:hAnsi="宋体" w:eastAsia="宋体" w:cs="宋体"/>
                <w:color w:val="0C0C0C" w:themeColor="text1" w:themeTint="F2"/>
                <w:kern w:val="0"/>
                <w:sz w:val="21"/>
                <w:szCs w:val="21"/>
                <w:lang w:val="en-US" w:eastAsia="zh-CN"/>
              </w:rPr>
            </w:pPr>
            <w:r>
              <w:rPr>
                <w:rFonts w:hint="eastAsia" w:ascii="宋体" w:hAnsi="宋体" w:eastAsia="宋体" w:cs="宋体"/>
                <w:color w:val="0C0C0C" w:themeColor="text1" w:themeTint="F2"/>
                <w:kern w:val="0"/>
                <w:sz w:val="21"/>
                <w:szCs w:val="21"/>
              </w:rPr>
              <w:t>不动产登记测绘系统</w:t>
            </w:r>
            <w:r>
              <w:rPr>
                <w:rFonts w:hint="eastAsia" w:ascii="宋体" w:hAnsi="宋体" w:eastAsia="宋体" w:cs="宋体"/>
                <w:color w:val="0C0C0C" w:themeColor="text1" w:themeTint="F2"/>
                <w:kern w:val="0"/>
                <w:sz w:val="21"/>
                <w:szCs w:val="21"/>
                <w:lang w:eastAsia="zh-CN"/>
              </w:rPr>
              <w:t>升级改造项目</w:t>
            </w:r>
          </w:p>
        </w:tc>
        <w:tc>
          <w:tcPr>
            <w:tcW w:w="4100" w:type="dxa"/>
            <w:tcBorders>
              <w:top w:val="single" w:color="auto" w:sz="4" w:space="0"/>
            </w:tcBorders>
            <w:shd w:val="clear" w:color="auto" w:fill="auto"/>
            <w:vAlign w:val="center"/>
          </w:tcPr>
          <w:p>
            <w:pPr>
              <w:widowControl/>
              <w:jc w:val="left"/>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lang w:eastAsia="zh-CN"/>
              </w:rPr>
              <w:t>基于现有</w:t>
            </w:r>
            <w:r>
              <w:rPr>
                <w:rFonts w:hint="eastAsia" w:ascii="宋体" w:hAnsi="宋体" w:eastAsia="宋体" w:cs="宋体"/>
                <w:color w:val="0C0C0C" w:themeColor="text1" w:themeTint="F2"/>
                <w:kern w:val="0"/>
                <w:sz w:val="21"/>
                <w:szCs w:val="21"/>
              </w:rPr>
              <w:t>不动产登记测绘系统</w:t>
            </w:r>
            <w:r>
              <w:rPr>
                <w:rFonts w:hint="eastAsia" w:ascii="宋体" w:hAnsi="宋体" w:eastAsia="宋体" w:cs="宋体"/>
                <w:color w:val="0C0C0C" w:themeColor="text1" w:themeTint="F2"/>
                <w:kern w:val="0"/>
                <w:sz w:val="21"/>
                <w:szCs w:val="21"/>
                <w:lang w:eastAsia="zh-CN"/>
              </w:rPr>
              <w:t>升级改造项目实现房地一体测绘</w:t>
            </w:r>
          </w:p>
        </w:tc>
        <w:tc>
          <w:tcPr>
            <w:tcW w:w="1216" w:type="dxa"/>
            <w:tcBorders>
              <w:top w:val="single" w:color="auto" w:sz="4" w:space="0"/>
              <w:righ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1项</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68"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2</w:t>
            </w:r>
            <w:r>
              <w:rPr>
                <w:rFonts w:ascii="宋体" w:hAnsi="宋体" w:eastAsia="宋体" w:cs="宋体"/>
                <w:color w:val="0C0C0C" w:themeColor="text1" w:themeTint="F2"/>
                <w:kern w:val="0"/>
                <w:sz w:val="21"/>
                <w:szCs w:val="21"/>
              </w:rPr>
              <w:t>0</w:t>
            </w:r>
          </w:p>
        </w:tc>
        <w:tc>
          <w:tcPr>
            <w:tcW w:w="2716" w:type="dxa"/>
            <w:tcBorders>
              <w:top w:val="single" w:color="auto" w:sz="4" w:space="0"/>
              <w:bottom w:val="single" w:color="auto" w:sz="4" w:space="0"/>
            </w:tcBorders>
            <w:shd w:val="clear" w:color="auto" w:fill="auto"/>
            <w:vAlign w:val="center"/>
          </w:tcPr>
          <w:p>
            <w:pPr>
              <w:widowControl/>
              <w:jc w:val="center"/>
              <w:rPr>
                <w:rFonts w:hint="eastAsia" w:ascii="宋体" w:hAnsi="宋体" w:eastAsia="宋体" w:cs="宋体"/>
                <w:color w:val="0C0C0C" w:themeColor="text1" w:themeTint="F2"/>
                <w:kern w:val="0"/>
                <w:sz w:val="21"/>
                <w:szCs w:val="21"/>
                <w:lang w:eastAsia="zh-CN"/>
              </w:rPr>
            </w:pPr>
            <w:r>
              <w:rPr>
                <w:rFonts w:hint="eastAsia" w:ascii="宋体" w:hAnsi="宋体" w:eastAsia="宋体" w:cs="宋体"/>
                <w:color w:val="0C0C0C" w:themeColor="text1" w:themeTint="F2"/>
                <w:kern w:val="0"/>
                <w:sz w:val="21"/>
                <w:szCs w:val="21"/>
              </w:rPr>
              <w:t>双面屏设备</w:t>
            </w:r>
            <w:r>
              <w:rPr>
                <w:rFonts w:hint="eastAsia" w:ascii="宋体" w:hAnsi="宋体" w:eastAsia="宋体" w:cs="宋体"/>
                <w:color w:val="0C0C0C" w:themeColor="text1" w:themeTint="F2"/>
                <w:kern w:val="0"/>
                <w:sz w:val="21"/>
                <w:szCs w:val="21"/>
                <w:lang w:eastAsia="zh-CN"/>
              </w:rPr>
              <w:t>与现有业务平台无缝对接项目</w:t>
            </w:r>
          </w:p>
        </w:tc>
        <w:tc>
          <w:tcPr>
            <w:tcW w:w="4100" w:type="dxa"/>
            <w:tcBorders>
              <w:top w:val="single" w:color="auto" w:sz="4" w:space="0"/>
              <w:bottom w:val="single" w:color="auto" w:sz="4" w:space="0"/>
            </w:tcBorders>
            <w:shd w:val="clear" w:color="auto" w:fill="auto"/>
            <w:vAlign w:val="center"/>
          </w:tcPr>
          <w:p>
            <w:pPr>
              <w:widowControl/>
              <w:jc w:val="left"/>
              <w:rPr>
                <w:rFonts w:hint="eastAsia" w:ascii="宋体" w:hAnsi="宋体" w:eastAsia="宋体" w:cs="宋体"/>
                <w:color w:val="0C0C0C" w:themeColor="text1" w:themeTint="F2"/>
                <w:kern w:val="0"/>
                <w:sz w:val="21"/>
                <w:szCs w:val="21"/>
                <w:lang w:eastAsia="zh-CN"/>
              </w:rPr>
            </w:pPr>
            <w:r>
              <w:rPr>
                <w:rFonts w:hint="eastAsia" w:ascii="宋体" w:hAnsi="宋体" w:eastAsia="宋体" w:cs="宋体"/>
                <w:color w:val="0C0C0C" w:themeColor="text1" w:themeTint="F2"/>
                <w:kern w:val="0"/>
                <w:sz w:val="21"/>
                <w:szCs w:val="21"/>
              </w:rPr>
              <w:t>智能信息交互终端主机具有身份证阅读器、高拍文件拍摄、指纹仪、单目摄像头功能</w:t>
            </w:r>
            <w:r>
              <w:rPr>
                <w:rFonts w:hint="eastAsia" w:ascii="宋体" w:hAnsi="宋体" w:eastAsia="宋体" w:cs="宋体"/>
                <w:color w:val="0C0C0C" w:themeColor="text1" w:themeTint="F2"/>
                <w:kern w:val="0"/>
                <w:sz w:val="21"/>
                <w:szCs w:val="21"/>
                <w:lang w:eastAsia="zh-CN"/>
              </w:rPr>
              <w:t>，手写签名功能</w:t>
            </w:r>
            <w:r>
              <w:rPr>
                <w:rFonts w:hint="eastAsia" w:ascii="宋体" w:hAnsi="宋体" w:eastAsia="宋体" w:cs="宋体"/>
                <w:color w:val="0C0C0C" w:themeColor="text1" w:themeTint="F2"/>
                <w:kern w:val="0"/>
                <w:sz w:val="21"/>
                <w:szCs w:val="21"/>
              </w:rPr>
              <w:t>。</w:t>
            </w:r>
            <w:r>
              <w:rPr>
                <w:rFonts w:hint="eastAsia" w:ascii="宋体" w:hAnsi="宋体" w:eastAsia="宋体" w:cs="宋体"/>
                <w:color w:val="0C0C0C" w:themeColor="text1" w:themeTint="F2"/>
                <w:kern w:val="0"/>
                <w:sz w:val="21"/>
                <w:szCs w:val="21"/>
                <w:lang w:eastAsia="zh-CN"/>
              </w:rPr>
              <w:t>与现有业务平台无缝对接，提升窗口工作人员办件便利度</w:t>
            </w:r>
          </w:p>
        </w:tc>
        <w:tc>
          <w:tcPr>
            <w:tcW w:w="1216" w:type="dxa"/>
            <w:tcBorders>
              <w:top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2</w:t>
            </w:r>
            <w:r>
              <w:rPr>
                <w:rFonts w:ascii="宋体" w:hAnsi="宋体" w:eastAsia="宋体" w:cs="宋体"/>
                <w:color w:val="0C0C0C" w:themeColor="text1" w:themeTint="F2"/>
                <w:kern w:val="0"/>
                <w:sz w:val="21"/>
                <w:szCs w:val="21"/>
              </w:rPr>
              <w:t>0</w:t>
            </w:r>
            <w:r>
              <w:rPr>
                <w:rFonts w:hint="eastAsia" w:ascii="宋体" w:hAnsi="宋体" w:eastAsia="宋体" w:cs="宋体"/>
                <w:color w:val="0C0C0C" w:themeColor="text1" w:themeTint="F2"/>
                <w:kern w:val="0"/>
                <w:sz w:val="21"/>
                <w:szCs w:val="21"/>
              </w:rPr>
              <w:t>台</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68" w:type="dxa"/>
            <w:tcBorders>
              <w:top w:val="single" w:color="auto" w:sz="4" w:space="0"/>
              <w:left w:val="single" w:color="auto" w:sz="4" w:space="0"/>
              <w:bottom w:val="single" w:color="auto" w:sz="4" w:space="0"/>
            </w:tcBorders>
            <w:shd w:val="clear" w:color="auto" w:fill="auto"/>
            <w:noWrap/>
            <w:vAlign w:val="center"/>
          </w:tcPr>
          <w:p>
            <w:pPr>
              <w:widowControl/>
              <w:jc w:val="center"/>
              <w:rPr>
                <w:rFonts w:hint="eastAsia"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2</w:t>
            </w:r>
            <w:r>
              <w:rPr>
                <w:rFonts w:ascii="宋体" w:hAnsi="宋体" w:eastAsia="宋体" w:cs="宋体"/>
                <w:color w:val="0C0C0C" w:themeColor="text1" w:themeTint="F2"/>
                <w:kern w:val="0"/>
                <w:sz w:val="21"/>
                <w:szCs w:val="21"/>
              </w:rPr>
              <w:t>1</w:t>
            </w:r>
          </w:p>
        </w:tc>
        <w:tc>
          <w:tcPr>
            <w:tcW w:w="2716" w:type="dxa"/>
            <w:tcBorders>
              <w:top w:val="single" w:color="auto" w:sz="4" w:space="0"/>
              <w:bottom w:val="single" w:color="auto" w:sz="4" w:space="0"/>
            </w:tcBorders>
            <w:shd w:val="clear" w:color="auto" w:fill="auto"/>
            <w:vAlign w:val="center"/>
          </w:tcPr>
          <w:p>
            <w:pPr>
              <w:widowControl/>
              <w:jc w:val="center"/>
              <w:rPr>
                <w:rFonts w:hint="eastAsia"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lang w:eastAsia="zh-CN"/>
              </w:rPr>
              <w:t>排号叫号设备</w:t>
            </w:r>
          </w:p>
        </w:tc>
        <w:tc>
          <w:tcPr>
            <w:tcW w:w="4100" w:type="dxa"/>
            <w:tcBorders>
              <w:top w:val="single" w:color="auto" w:sz="4" w:space="0"/>
              <w:bottom w:val="single" w:color="auto" w:sz="4" w:space="0"/>
            </w:tcBorders>
            <w:shd w:val="clear" w:color="auto" w:fill="auto"/>
            <w:vAlign w:val="center"/>
          </w:tcPr>
          <w:p>
            <w:pPr>
              <w:widowControl/>
              <w:jc w:val="left"/>
              <w:rPr>
                <w:rFonts w:hint="eastAsia" w:ascii="宋体" w:hAnsi="宋体" w:eastAsia="宋体" w:cs="宋体"/>
                <w:color w:val="0C0C0C" w:themeColor="text1" w:themeTint="F2"/>
                <w:kern w:val="0"/>
                <w:sz w:val="21"/>
                <w:szCs w:val="21"/>
                <w:lang w:eastAsia="zh-CN"/>
              </w:rPr>
            </w:pPr>
            <w:r>
              <w:rPr>
                <w:rFonts w:hint="eastAsia" w:ascii="宋体" w:hAnsi="宋体" w:eastAsia="宋体" w:cs="宋体"/>
                <w:color w:val="0C0C0C" w:themeColor="text1" w:themeTint="F2"/>
                <w:kern w:val="0"/>
                <w:sz w:val="21"/>
                <w:szCs w:val="21"/>
                <w:lang w:eastAsia="zh-CN"/>
              </w:rPr>
              <w:t>对接现有业务平台，实现网上微信预约线下取号，线上线下实时动态展示大厅业务业务办理热度，方便办事群众及时获取大厅业务办理状况。</w:t>
            </w:r>
          </w:p>
        </w:tc>
        <w:tc>
          <w:tcPr>
            <w:tcW w:w="1216" w:type="dxa"/>
            <w:tcBorders>
              <w:top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2台</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68" w:type="dxa"/>
            <w:tcBorders>
              <w:top w:val="single" w:color="auto" w:sz="4" w:space="0"/>
              <w:left w:val="single" w:color="auto" w:sz="4" w:space="0"/>
            </w:tcBorders>
            <w:shd w:val="clear" w:color="auto" w:fill="auto"/>
            <w:noWrap/>
            <w:vAlign w:val="center"/>
          </w:tcPr>
          <w:p>
            <w:pPr>
              <w:widowControl/>
              <w:jc w:val="center"/>
              <w:rPr>
                <w:rFonts w:hint="eastAsia"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2</w:t>
            </w:r>
            <w:r>
              <w:rPr>
                <w:rFonts w:ascii="宋体" w:hAnsi="宋体" w:eastAsia="宋体" w:cs="宋体"/>
                <w:color w:val="0C0C0C" w:themeColor="text1" w:themeTint="F2"/>
                <w:kern w:val="0"/>
                <w:sz w:val="21"/>
                <w:szCs w:val="21"/>
              </w:rPr>
              <w:t>2</w:t>
            </w:r>
          </w:p>
        </w:tc>
        <w:tc>
          <w:tcPr>
            <w:tcW w:w="2716" w:type="dxa"/>
            <w:tcBorders>
              <w:top w:val="single" w:color="auto" w:sz="4" w:space="0"/>
            </w:tcBorders>
            <w:shd w:val="clear" w:color="auto" w:fill="auto"/>
            <w:vAlign w:val="center"/>
          </w:tcPr>
          <w:p>
            <w:pPr>
              <w:widowControl/>
              <w:jc w:val="center"/>
              <w:rPr>
                <w:rFonts w:hint="eastAsia" w:ascii="宋体" w:hAnsi="宋体" w:eastAsia="宋体" w:cs="宋体"/>
                <w:color w:val="0C0C0C" w:themeColor="text1" w:themeTint="F2"/>
                <w:kern w:val="0"/>
                <w:sz w:val="21"/>
                <w:szCs w:val="21"/>
                <w:lang w:eastAsia="zh-CN"/>
              </w:rPr>
            </w:pPr>
            <w:r>
              <w:rPr>
                <w:rFonts w:hint="eastAsia" w:ascii="宋体" w:hAnsi="宋体" w:eastAsia="宋体" w:cs="宋体"/>
                <w:color w:val="0C0C0C" w:themeColor="text1" w:themeTint="F2"/>
                <w:kern w:val="0"/>
                <w:sz w:val="21"/>
                <w:szCs w:val="21"/>
              </w:rPr>
              <w:t>大屏幕</w:t>
            </w:r>
            <w:r>
              <w:rPr>
                <w:rFonts w:hint="eastAsia" w:ascii="宋体" w:hAnsi="宋体" w:eastAsia="宋体" w:cs="宋体"/>
                <w:color w:val="0C0C0C" w:themeColor="text1" w:themeTint="F2"/>
                <w:kern w:val="0"/>
                <w:sz w:val="21"/>
                <w:szCs w:val="21"/>
                <w:lang w:eastAsia="zh-CN"/>
              </w:rPr>
              <w:t>显示设备</w:t>
            </w:r>
          </w:p>
        </w:tc>
        <w:tc>
          <w:tcPr>
            <w:tcW w:w="4100" w:type="dxa"/>
            <w:tcBorders>
              <w:top w:val="single" w:color="auto" w:sz="4" w:space="0"/>
            </w:tcBorders>
            <w:shd w:val="clear" w:color="auto" w:fill="auto"/>
            <w:vAlign w:val="center"/>
          </w:tcPr>
          <w:p>
            <w:pPr>
              <w:widowControl/>
              <w:jc w:val="left"/>
              <w:rPr>
                <w:rFonts w:hint="eastAsia" w:ascii="宋体" w:hAnsi="宋体" w:eastAsia="宋体" w:cs="宋体"/>
                <w:color w:val="0C0C0C" w:themeColor="text1" w:themeTint="F2"/>
                <w:kern w:val="0"/>
                <w:sz w:val="21"/>
                <w:szCs w:val="21"/>
                <w:lang w:eastAsia="zh-CN"/>
              </w:rPr>
            </w:pPr>
            <w:r>
              <w:rPr>
                <w:rFonts w:hint="eastAsia" w:ascii="宋体" w:hAnsi="宋体" w:eastAsia="宋体" w:cs="宋体"/>
                <w:color w:val="0C0C0C" w:themeColor="text1" w:themeTint="F2"/>
                <w:kern w:val="0"/>
                <w:sz w:val="21"/>
                <w:szCs w:val="21"/>
                <w:lang w:eastAsia="zh-CN"/>
              </w:rPr>
              <w:t>对接现有业务平台动态展示大厅业务办理情况，实现对登记业务实时效能监管接受群众监督。</w:t>
            </w:r>
          </w:p>
        </w:tc>
        <w:tc>
          <w:tcPr>
            <w:tcW w:w="1216" w:type="dxa"/>
            <w:tcBorders>
              <w:top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C0C0C" w:themeColor="text1" w:themeTint="F2"/>
                <w:kern w:val="0"/>
                <w:sz w:val="21"/>
                <w:szCs w:val="21"/>
              </w:rPr>
            </w:pPr>
            <w:r>
              <w:rPr>
                <w:rFonts w:hint="eastAsia" w:ascii="宋体" w:hAnsi="宋体" w:eastAsia="宋体" w:cs="宋体"/>
                <w:color w:val="0C0C0C" w:themeColor="text1" w:themeTint="F2"/>
                <w:kern w:val="0"/>
                <w:sz w:val="21"/>
                <w:szCs w:val="21"/>
              </w:rPr>
              <w:t>2台</w:t>
            </w:r>
          </w:p>
        </w:tc>
      </w:tr>
    </w:tbl>
    <w:p>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lang w:val="en-US" w:eastAsia="zh-CN"/>
        </w:rPr>
        <w:t>2.</w:t>
      </w:r>
      <w:r>
        <w:rPr>
          <w:rFonts w:hint="eastAsia" w:ascii="宋体" w:hAnsi="宋体" w:eastAsia="宋体" w:cs="宋体"/>
          <w:b/>
          <w:bCs/>
          <w:color w:val="auto"/>
          <w:szCs w:val="21"/>
        </w:rPr>
        <w:t>履约要求</w:t>
      </w:r>
    </w:p>
    <w:p>
      <w:pPr>
        <w:spacing w:line="360" w:lineRule="auto"/>
        <w:ind w:firstLine="480"/>
        <w:rPr>
          <w:rFonts w:hAnsi="宋体"/>
          <w:color w:val="auto"/>
          <w:szCs w:val="21"/>
        </w:rPr>
      </w:pPr>
      <w:r>
        <w:rPr>
          <w:rFonts w:hint="eastAsia" w:hAnsi="宋体"/>
          <w:color w:val="auto"/>
          <w:szCs w:val="21"/>
          <w:lang w:val="en-US" w:eastAsia="zh-CN"/>
        </w:rPr>
        <w:t>1）</w:t>
      </w:r>
      <w:r>
        <w:rPr>
          <w:rFonts w:hint="eastAsia" w:hAnsi="宋体"/>
          <w:color w:val="auto"/>
          <w:szCs w:val="21"/>
          <w:lang w:eastAsia="zh-Hans"/>
        </w:rPr>
        <w:t>质保</w:t>
      </w:r>
      <w:r>
        <w:rPr>
          <w:rFonts w:hint="eastAsia" w:hAnsi="宋体"/>
          <w:color w:val="auto"/>
          <w:szCs w:val="21"/>
        </w:rPr>
        <w:t>期：本项目自验收合格之日后须提供为期1年的质保期，质保期内提供应用软件免费维护服务；质保期结束后，相关质保和维护费用在符合政府采购相关规定和</w:t>
      </w:r>
      <w:r>
        <w:rPr>
          <w:rFonts w:hint="eastAsia" w:hAnsi="宋体"/>
          <w:color w:val="auto"/>
          <w:szCs w:val="21"/>
          <w:lang w:eastAsia="zh-Hans"/>
        </w:rPr>
        <w:t>医院</w:t>
      </w:r>
      <w:r>
        <w:rPr>
          <w:rFonts w:hint="eastAsia" w:hAnsi="宋体"/>
          <w:color w:val="auto"/>
          <w:szCs w:val="21"/>
        </w:rPr>
        <w:t>内控制度的前提下，由采购方与投标人另行协商、签订维保协议，具体维护费用另行商定；后续维保期内投标人仍应提供与质保期内相同质量的售后服务。</w:t>
      </w:r>
    </w:p>
    <w:p>
      <w:pPr>
        <w:spacing w:line="360" w:lineRule="auto"/>
        <w:ind w:firstLine="480"/>
        <w:rPr>
          <w:color w:val="auto"/>
          <w:lang w:val="zh-CN"/>
        </w:rPr>
      </w:pPr>
      <w:r>
        <w:rPr>
          <w:rFonts w:hint="eastAsia" w:hAnsi="宋体"/>
          <w:color w:val="auto"/>
          <w:szCs w:val="21"/>
          <w:lang w:val="en-US" w:eastAsia="zh-CN"/>
        </w:rPr>
        <w:t>2）</w:t>
      </w:r>
      <w:r>
        <w:rPr>
          <w:rFonts w:hint="eastAsia" w:hAnsi="宋体"/>
          <w:color w:val="auto"/>
          <w:szCs w:val="21"/>
        </w:rPr>
        <w:t>售后服务：投标人应有良好的服务理念和完善的售后服务体系，提出完整而切实可行的售后服务方案。其中至少应提供7×24小时热线电话、远程网络等服务方式。热线电话和远程网络提供技术咨询和即时服务，1小时内给予明确的响应并解决；现场服务适用于排解重大故障，应在接到医院服务请求后6小时内到达现场解决。</w:t>
      </w:r>
    </w:p>
    <w:p>
      <w:pPr>
        <w:spacing w:line="360" w:lineRule="auto"/>
        <w:ind w:left="420" w:leftChars="200"/>
        <w:contextualSpacing/>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en-US" w:eastAsia="zh-CN"/>
        </w:rPr>
        <w:t>3</w:t>
      </w:r>
      <w:r>
        <w:rPr>
          <w:rFonts w:hint="eastAsia" w:cs="宋体" w:asciiTheme="minorEastAsia" w:hAnsiTheme="minorEastAsia"/>
          <w:b/>
          <w:color w:val="auto"/>
          <w:kern w:val="0"/>
          <w:szCs w:val="21"/>
        </w:rPr>
        <w:t>.</w:t>
      </w:r>
      <w:r>
        <w:rPr>
          <w:rFonts w:hint="eastAsia" w:cs="宋体" w:asciiTheme="minorEastAsia" w:hAnsiTheme="minorEastAsia"/>
          <w:b/>
          <w:color w:val="auto"/>
          <w:kern w:val="0"/>
          <w:szCs w:val="21"/>
          <w:lang w:val="zh-CN"/>
        </w:rPr>
        <w:t>服务标准、期限、效率等要求</w:t>
      </w:r>
    </w:p>
    <w:p>
      <w:pPr>
        <w:spacing w:line="360" w:lineRule="auto"/>
        <w:ind w:left="420" w:leftChars="200"/>
        <w:contextualSpacing/>
        <w:rPr>
          <w:rFonts w:cs="宋体" w:asciiTheme="minorEastAsia" w:hAnsiTheme="minorEastAsia"/>
          <w:bCs/>
          <w:color w:val="auto"/>
          <w:kern w:val="0"/>
          <w:szCs w:val="21"/>
          <w:lang w:val="zh-CN"/>
        </w:rPr>
      </w:pPr>
      <w:r>
        <w:rPr>
          <w:rFonts w:hint="eastAsia" w:cs="宋体" w:asciiTheme="minorEastAsia" w:hAnsiTheme="minorEastAsia"/>
          <w:bCs/>
          <w:color w:val="auto"/>
          <w:kern w:val="0"/>
          <w:szCs w:val="21"/>
          <w:lang w:val="zh-CN"/>
        </w:rPr>
        <w:t>★服务标准：符合国家行业现行质量规范、标准要求（合格）。</w:t>
      </w:r>
    </w:p>
    <w:p>
      <w:pPr>
        <w:spacing w:line="360" w:lineRule="auto"/>
        <w:ind w:left="420" w:leftChars="200"/>
        <w:contextualSpacing/>
        <w:rPr>
          <w:rFonts w:cs="宋体" w:asciiTheme="minorEastAsia" w:hAnsiTheme="minorEastAsia"/>
          <w:bCs/>
          <w:color w:val="auto"/>
          <w:kern w:val="0"/>
          <w:szCs w:val="21"/>
          <w:lang w:val="zh-CN"/>
        </w:rPr>
      </w:pPr>
      <w:r>
        <w:rPr>
          <w:rFonts w:hint="eastAsia" w:cs="宋体" w:asciiTheme="minorEastAsia" w:hAnsiTheme="minorEastAsia"/>
          <w:bCs/>
          <w:color w:val="auto"/>
          <w:kern w:val="0"/>
          <w:szCs w:val="21"/>
          <w:lang w:val="zh-CN"/>
        </w:rPr>
        <w:t>★交付（服务、完工）期限：合同签订后</w:t>
      </w:r>
      <w:r>
        <w:rPr>
          <w:rFonts w:hint="eastAsia" w:cs="宋体" w:asciiTheme="minorEastAsia" w:hAnsiTheme="minorEastAsia"/>
          <w:bCs/>
          <w:color w:val="auto"/>
          <w:kern w:val="0"/>
          <w:szCs w:val="21"/>
          <w:lang w:val="en-US" w:eastAsia="zh-CN"/>
        </w:rPr>
        <w:t>100日历天</w:t>
      </w:r>
      <w:r>
        <w:rPr>
          <w:rFonts w:hint="eastAsia" w:cs="宋体" w:asciiTheme="minorEastAsia" w:hAnsiTheme="minorEastAsia"/>
          <w:bCs/>
          <w:color w:val="auto"/>
          <w:kern w:val="0"/>
          <w:szCs w:val="21"/>
        </w:rPr>
        <w:t>内</w:t>
      </w:r>
      <w:r>
        <w:rPr>
          <w:rFonts w:hint="eastAsia" w:cs="宋体" w:asciiTheme="minorEastAsia" w:hAnsiTheme="minorEastAsia"/>
          <w:bCs/>
          <w:color w:val="auto"/>
          <w:kern w:val="0"/>
          <w:szCs w:val="21"/>
          <w:lang w:val="zh-CN"/>
        </w:rPr>
        <w:t>。</w:t>
      </w:r>
    </w:p>
    <w:p>
      <w:pPr>
        <w:spacing w:line="360" w:lineRule="auto"/>
        <w:ind w:left="420" w:leftChars="200"/>
        <w:contextualSpacing/>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en-US" w:eastAsia="zh-CN"/>
        </w:rPr>
        <w:t>4</w:t>
      </w:r>
      <w:r>
        <w:rPr>
          <w:rFonts w:hint="eastAsia" w:cs="宋体" w:asciiTheme="minorEastAsia" w:hAnsiTheme="minorEastAsia"/>
          <w:b/>
          <w:color w:val="auto"/>
          <w:kern w:val="0"/>
          <w:szCs w:val="21"/>
        </w:rPr>
        <w:t>.</w:t>
      </w:r>
      <w:r>
        <w:rPr>
          <w:rFonts w:hint="eastAsia" w:cs="宋体" w:asciiTheme="minorEastAsia" w:hAnsiTheme="minorEastAsia"/>
          <w:b/>
          <w:color w:val="auto"/>
          <w:kern w:val="0"/>
          <w:szCs w:val="21"/>
          <w:lang w:val="zh-CN"/>
        </w:rPr>
        <w:t>采购标的的其他技术、服务等要求</w:t>
      </w:r>
    </w:p>
    <w:p>
      <w:pPr>
        <w:spacing w:line="48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1）对招标文件中没有列出而对本项目必不可少的其他要求，投标人必须给予实现。</w:t>
      </w:r>
    </w:p>
    <w:p>
      <w:pPr>
        <w:spacing w:line="48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2）本项目最高投标限价，不允许超出，否则将承担其投标被视为非实质性响应投标的风险，投标人根据自身情况进行投标，合同履约过程中因其它未知因素所产生的相关费用，均由投标人自行负责。</w:t>
      </w:r>
    </w:p>
    <w:p>
      <w:pPr>
        <w:spacing w:line="48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3）合同履约期间，因国家、省、市等相关政策调整原因导致合同无法履行的，采购人有权与拟中标人解除合同关系。</w:t>
      </w:r>
    </w:p>
    <w:p>
      <w:pPr>
        <w:spacing w:line="48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4）单位负责人为同一人或者存在直接控股、管理关系的不同供应商，不得参加同一合同项下的政府采购活动。</w:t>
      </w:r>
    </w:p>
    <w:p>
      <w:pPr>
        <w:spacing w:line="48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rPr>
        <w:t>5）</w:t>
      </w:r>
      <w:r>
        <w:rPr>
          <w:rFonts w:hint="eastAsia" w:ascii="宋体" w:hAnsi="宋体" w:eastAsia="宋体" w:cs="宋体"/>
          <w:color w:val="auto"/>
          <w:szCs w:val="21"/>
          <w:lang w:val="zh-CN"/>
        </w:rPr>
        <w:t>投标人应提供专项承诺书，承诺所提交的类似业绩和其他证明材料真实可查，如有伪造、弄虚作假等行为，一经查实，取消本项目投标</w:t>
      </w:r>
      <w:r>
        <w:rPr>
          <w:rFonts w:hint="eastAsia" w:ascii="宋体" w:hAnsi="宋体" w:eastAsia="宋体" w:cs="宋体"/>
          <w:color w:val="auto"/>
          <w:szCs w:val="21"/>
        </w:rPr>
        <w:t>/中标</w:t>
      </w:r>
      <w:r>
        <w:rPr>
          <w:rFonts w:hint="eastAsia" w:ascii="宋体" w:hAnsi="宋体" w:eastAsia="宋体" w:cs="宋体"/>
          <w:color w:val="auto"/>
          <w:szCs w:val="21"/>
          <w:lang w:val="zh-CN"/>
        </w:rPr>
        <w:t>资格。</w:t>
      </w:r>
    </w:p>
    <w:p>
      <w:pPr>
        <w:spacing w:line="48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rPr>
        <w:t>6）</w:t>
      </w:r>
      <w:r>
        <w:rPr>
          <w:rFonts w:hint="eastAsia" w:ascii="宋体" w:hAnsi="宋体" w:eastAsia="宋体" w:cs="宋体"/>
          <w:color w:val="auto"/>
          <w:szCs w:val="21"/>
          <w:lang w:val="zh-CN"/>
        </w:rPr>
        <w:t>投标人应就本项目完整投标，否则为无效投标。</w:t>
      </w:r>
    </w:p>
    <w:p>
      <w:pPr>
        <w:spacing w:line="48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rPr>
        <w:t>7）</w:t>
      </w:r>
      <w:r>
        <w:rPr>
          <w:rFonts w:hint="eastAsia" w:ascii="宋体" w:hAnsi="宋体" w:eastAsia="宋体" w:cs="宋体"/>
          <w:color w:val="auto"/>
          <w:szCs w:val="21"/>
          <w:lang w:val="zh-CN"/>
        </w:rPr>
        <w:t>本项目为交钥匙工程（包括与其它协作单位所产生的费用等）。</w:t>
      </w:r>
    </w:p>
    <w:p>
      <w:pPr>
        <w:spacing w:line="480" w:lineRule="exact"/>
        <w:ind w:firstLine="422" w:firstLineChars="200"/>
        <w:rPr>
          <w:rFonts w:ascii="宋体" w:hAnsi="宋体" w:eastAsia="宋体" w:cs="宋体"/>
          <w:b/>
          <w:bCs/>
          <w:color w:val="auto"/>
          <w:szCs w:val="21"/>
          <w:lang w:val="zh-CN"/>
        </w:rPr>
      </w:pPr>
      <w:r>
        <w:rPr>
          <w:rFonts w:hint="eastAsia" w:ascii="宋体" w:hAnsi="宋体" w:eastAsia="宋体" w:cs="宋体"/>
          <w:b/>
          <w:bCs/>
          <w:color w:val="auto"/>
          <w:szCs w:val="21"/>
          <w:lang w:val="en-US" w:eastAsia="zh-CN"/>
        </w:rPr>
        <w:t>5</w:t>
      </w:r>
      <w:r>
        <w:rPr>
          <w:rFonts w:hint="eastAsia" w:ascii="宋体" w:hAnsi="宋体" w:eastAsia="宋体" w:cs="宋体"/>
          <w:b/>
          <w:bCs/>
          <w:color w:val="auto"/>
          <w:szCs w:val="21"/>
          <w:lang w:val="zh-CN"/>
        </w:rPr>
        <w:t>.其他</w:t>
      </w:r>
    </w:p>
    <w:p>
      <w:pPr>
        <w:spacing w:line="480" w:lineRule="exact"/>
        <w:ind w:firstLine="420" w:firstLineChars="200"/>
        <w:rPr>
          <w:rFonts w:cs="宋体" w:asciiTheme="majorEastAsia" w:hAnsiTheme="majorEastAsia" w:eastAsiaTheme="majorEastAsia"/>
          <w:b/>
          <w:color w:val="auto"/>
          <w:kern w:val="0"/>
          <w:sz w:val="32"/>
          <w:szCs w:val="32"/>
        </w:rPr>
      </w:pPr>
      <w:r>
        <w:rPr>
          <w:rFonts w:hint="eastAsia" w:ascii="宋体" w:hAnsi="宋体" w:eastAsia="宋体" w:cs="宋体"/>
          <w:color w:val="auto"/>
          <w:szCs w:val="21"/>
        </w:rPr>
        <w:t>付款方式：双方合同约定。</w:t>
      </w:r>
    </w:p>
    <w:p>
      <w:pPr>
        <w:pStyle w:val="8"/>
        <w:ind w:firstLine="0"/>
        <w:rPr>
          <w:rFonts w:cs="宋体" w:asciiTheme="majorEastAsia" w:hAnsiTheme="majorEastAsia" w:eastAsiaTheme="majorEastAsia"/>
          <w:b/>
          <w:color w:val="auto"/>
          <w:kern w:val="0"/>
          <w:sz w:val="32"/>
          <w:szCs w:val="32"/>
        </w:rPr>
      </w:pPr>
    </w:p>
    <w:p>
      <w:pPr>
        <w:pStyle w:val="8"/>
        <w:ind w:firstLine="0"/>
        <w:rPr>
          <w:rFonts w:cs="宋体" w:asciiTheme="majorEastAsia" w:hAnsiTheme="majorEastAsia" w:eastAsiaTheme="majorEastAsia"/>
          <w:b/>
          <w:color w:val="auto"/>
          <w:kern w:val="0"/>
          <w:sz w:val="32"/>
          <w:szCs w:val="32"/>
        </w:rPr>
      </w:pPr>
    </w:p>
    <w:p>
      <w:pPr>
        <w:pStyle w:val="8"/>
        <w:ind w:firstLine="0"/>
        <w:rPr>
          <w:rFonts w:cs="宋体" w:asciiTheme="majorEastAsia" w:hAnsiTheme="majorEastAsia" w:eastAsiaTheme="majorEastAsia"/>
          <w:b/>
          <w:color w:val="auto"/>
          <w:kern w:val="0"/>
          <w:sz w:val="32"/>
          <w:szCs w:val="32"/>
        </w:rPr>
      </w:pPr>
    </w:p>
    <w:p>
      <w:pPr>
        <w:pStyle w:val="8"/>
        <w:ind w:firstLine="0"/>
        <w:rPr>
          <w:rFonts w:cs="宋体" w:asciiTheme="majorEastAsia" w:hAnsiTheme="majorEastAsia" w:eastAsiaTheme="majorEastAsia"/>
          <w:b/>
          <w:color w:val="auto"/>
          <w:kern w:val="0"/>
          <w:sz w:val="32"/>
          <w:szCs w:val="32"/>
        </w:rPr>
      </w:pPr>
    </w:p>
    <w:p>
      <w:pPr>
        <w:pStyle w:val="8"/>
        <w:ind w:firstLine="0"/>
        <w:rPr>
          <w:rFonts w:cs="宋体" w:asciiTheme="majorEastAsia" w:hAnsiTheme="majorEastAsia" w:eastAsiaTheme="majorEastAsia"/>
          <w:b/>
          <w:color w:val="auto"/>
          <w:kern w:val="0"/>
          <w:sz w:val="32"/>
          <w:szCs w:val="32"/>
        </w:rPr>
      </w:pPr>
    </w:p>
    <w:p>
      <w:pPr>
        <w:pStyle w:val="8"/>
        <w:ind w:firstLine="0"/>
        <w:rPr>
          <w:rFonts w:cs="宋体" w:asciiTheme="majorEastAsia" w:hAnsiTheme="majorEastAsia" w:eastAsiaTheme="majorEastAsia"/>
          <w:b/>
          <w:color w:val="auto"/>
          <w:kern w:val="0"/>
          <w:sz w:val="32"/>
          <w:szCs w:val="32"/>
        </w:rPr>
      </w:pPr>
    </w:p>
    <w:p>
      <w:pPr>
        <w:pStyle w:val="8"/>
        <w:ind w:firstLine="0"/>
        <w:rPr>
          <w:rFonts w:cs="宋体" w:asciiTheme="majorEastAsia" w:hAnsiTheme="majorEastAsia" w:eastAsiaTheme="majorEastAsia"/>
          <w:b/>
          <w:color w:val="auto"/>
          <w:kern w:val="0"/>
          <w:sz w:val="32"/>
          <w:szCs w:val="32"/>
        </w:rPr>
      </w:pPr>
    </w:p>
    <w:p>
      <w:pPr>
        <w:pStyle w:val="8"/>
        <w:ind w:firstLine="0"/>
        <w:rPr>
          <w:rFonts w:cs="宋体" w:asciiTheme="majorEastAsia" w:hAnsiTheme="majorEastAsia" w:eastAsiaTheme="majorEastAsia"/>
          <w:b/>
          <w:color w:val="auto"/>
          <w:kern w:val="0"/>
          <w:sz w:val="32"/>
          <w:szCs w:val="32"/>
        </w:rPr>
      </w:pPr>
    </w:p>
    <w:p>
      <w:pPr>
        <w:pStyle w:val="8"/>
        <w:ind w:firstLine="0"/>
        <w:rPr>
          <w:rFonts w:cs="宋体" w:asciiTheme="majorEastAsia" w:hAnsiTheme="majorEastAsia" w:eastAsiaTheme="majorEastAsia"/>
          <w:b/>
          <w:color w:val="auto"/>
          <w:kern w:val="0"/>
          <w:sz w:val="32"/>
          <w:szCs w:val="32"/>
        </w:rPr>
      </w:pPr>
    </w:p>
    <w:p>
      <w:pPr>
        <w:pStyle w:val="8"/>
        <w:ind w:firstLine="0"/>
        <w:rPr>
          <w:rFonts w:cs="宋体" w:asciiTheme="majorEastAsia" w:hAnsiTheme="majorEastAsia" w:eastAsiaTheme="majorEastAsia"/>
          <w:b/>
          <w:color w:val="auto"/>
          <w:kern w:val="0"/>
          <w:sz w:val="32"/>
          <w:szCs w:val="32"/>
        </w:rPr>
      </w:pPr>
    </w:p>
    <w:p>
      <w:pPr>
        <w:pStyle w:val="8"/>
        <w:ind w:firstLine="0"/>
        <w:rPr>
          <w:rFonts w:cs="宋体" w:asciiTheme="majorEastAsia" w:hAnsiTheme="majorEastAsia" w:eastAsiaTheme="majorEastAsia"/>
          <w:b/>
          <w:color w:val="auto"/>
          <w:kern w:val="0"/>
          <w:sz w:val="32"/>
          <w:szCs w:val="32"/>
        </w:rPr>
      </w:pPr>
    </w:p>
    <w:p>
      <w:pPr>
        <w:autoSpaceDE w:val="0"/>
        <w:autoSpaceDN w:val="0"/>
        <w:adjustRightInd w:val="0"/>
        <w:ind w:firstLine="2249" w:firstLineChars="7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spacing w:line="440" w:lineRule="exact"/>
              <w:jc w:val="left"/>
              <w:rPr>
                <w:rFonts w:hint="default"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rPr>
              <w:t>项目名称：</w:t>
            </w:r>
            <w:r>
              <w:rPr>
                <w:rFonts w:hint="eastAsia" w:ascii="宋体" w:hAnsi="宋体" w:eastAsia="宋体" w:cs="宋体"/>
                <w:color w:val="auto"/>
                <w:szCs w:val="21"/>
                <w:shd w:val="clear" w:color="auto" w:fill="FFFFFF"/>
              </w:rPr>
              <w:t>禹州市</w:t>
            </w:r>
            <w:r>
              <w:rPr>
                <w:rFonts w:hint="eastAsia" w:ascii="宋体" w:hAnsi="宋体" w:eastAsia="宋体" w:cs="宋体"/>
                <w:color w:val="auto"/>
                <w:szCs w:val="21"/>
                <w:shd w:val="clear" w:color="auto" w:fill="FFFFFF"/>
                <w:lang w:eastAsia="zh-CN"/>
              </w:rPr>
              <w:t>不动产登记交易中心不动产登记优化营商环境信息化建设项目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采购单位：</w:t>
            </w:r>
            <w:r>
              <w:rPr>
                <w:rFonts w:hint="eastAsia" w:ascii="宋体" w:hAnsi="宋体" w:eastAsia="宋体" w:cs="宋体"/>
                <w:color w:val="auto"/>
                <w:szCs w:val="21"/>
                <w:shd w:val="clear" w:color="auto" w:fill="FFFFFF"/>
              </w:rPr>
              <w:t>禹州市</w:t>
            </w:r>
            <w:r>
              <w:rPr>
                <w:rFonts w:hint="eastAsia" w:ascii="宋体" w:hAnsi="宋体" w:eastAsia="宋体" w:cs="宋体"/>
                <w:color w:val="auto"/>
                <w:szCs w:val="21"/>
                <w:shd w:val="clear" w:color="auto" w:fill="FFFFFF"/>
                <w:lang w:eastAsia="zh-CN"/>
              </w:rPr>
              <w:t>不动产登记交易中心</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w:t>
            </w:r>
            <w:r>
              <w:rPr>
                <w:rFonts w:hint="eastAsia" w:ascii="宋体" w:hAnsi="宋体" w:eastAsia="宋体" w:cs="宋体"/>
                <w:color w:val="auto"/>
                <w:szCs w:val="21"/>
                <w:shd w:val="clear" w:color="auto" w:fill="FFFFFF"/>
                <w:lang w:eastAsia="zh-CN"/>
              </w:rPr>
              <w:t>禹州市行政服务大厅</w:t>
            </w:r>
            <w:r>
              <w:rPr>
                <w:rFonts w:hint="eastAsia" w:ascii="宋体" w:hAnsi="宋体" w:eastAsia="宋体" w:cs="宋体"/>
                <w:color w:val="auto"/>
                <w:szCs w:val="21"/>
                <w:shd w:val="clear" w:color="auto" w:fill="FFFFFF"/>
                <w:lang w:val="en-US" w:eastAsia="zh-CN"/>
              </w:rPr>
              <w:t xml:space="preserve">3楼 </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董先生</w:t>
            </w:r>
          </w:p>
          <w:p>
            <w:pPr>
              <w:autoSpaceDE w:val="0"/>
              <w:autoSpaceDN w:val="0"/>
              <w:adjustRightInd w:val="0"/>
              <w:spacing w:line="360" w:lineRule="auto"/>
              <w:jc w:val="left"/>
              <w:rPr>
                <w:rFonts w:hint="default"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rPr>
              <w:t>联系电话：</w:t>
            </w:r>
            <w:r>
              <w:rPr>
                <w:rFonts w:hint="eastAsia" w:cs="仿宋_GB2312" w:asciiTheme="minorEastAsia" w:hAnsiTheme="minorEastAsia"/>
                <w:color w:val="auto"/>
                <w:szCs w:val="21"/>
                <w:lang w:val="en-US" w:eastAsia="zh-CN"/>
              </w:rPr>
              <w:t>18539061136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代理机构：许昌丰元咨询管理有限公司</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地址：禹州市颖北大道6号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 连女士</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联系电话：</w:t>
            </w:r>
            <w:r>
              <w:rPr>
                <w:rFonts w:hint="eastAsia" w:ascii="宋体" w:hAnsi="宋体" w:eastAsia="宋体" w:cs="宋体"/>
                <w:color w:val="auto"/>
                <w:szCs w:val="21"/>
                <w:shd w:val="clear" w:color="auto" w:fill="FFFFFF"/>
              </w:rPr>
              <w:t>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①2020年度经审计的财务报告，包括资产负债表、利润表、现金流量表、所有者权益变动表及其附注；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①2020年度经审计的财务报告，包括资产负债表、利润表、现金流量表、所有者权益变动表及其附注；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参加本次政府采购项目投标截止时间前六个月内任意一个月缴纳税收凭据。（依法免税的供应商，应提供相应文件证明依法免税）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五、履行合同所必须的服务能力的证明材料</w:t>
            </w:r>
          </w:p>
          <w:p>
            <w:pPr>
              <w:autoSpaceDE w:val="0"/>
              <w:autoSpaceDN w:val="0"/>
              <w:adjustRightInd w:val="0"/>
              <w:spacing w:line="360" w:lineRule="auto"/>
              <w:jc w:val="left"/>
              <w:rPr>
                <w:color w:val="auto"/>
                <w:lang w:val="zh-CN"/>
              </w:rPr>
            </w:pPr>
            <w:r>
              <w:rPr>
                <w:rFonts w:hint="eastAsia"/>
                <w:color w:val="auto"/>
                <w:lang w:val="zh-CN"/>
              </w:rPr>
              <w:t>①相关服务专业技术人员职称证书、用工合同等；</w:t>
            </w:r>
          </w:p>
          <w:p>
            <w:pPr>
              <w:spacing w:line="360" w:lineRule="auto"/>
              <w:rPr>
                <w:color w:val="auto"/>
              </w:rPr>
            </w:pPr>
            <w:r>
              <w:rPr>
                <w:rFonts w:hint="eastAsia"/>
                <w:color w:val="auto"/>
              </w:rPr>
              <w:t>②供应商具备履行合同所必须的服务能力承诺函或声明（承诺函或声明格式自拟）。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未被列入“信用中国”网站(www.creditchina.gov.cn)失信被执行人、重大税收违法案件当事人名单的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color w:val="auto"/>
              </w:rPr>
              <w:t xml:space="preserve"> “中国社会组织公共服务平台”网站（</w:t>
            </w:r>
            <w:r>
              <w:rPr>
                <w:color w:val="auto"/>
              </w:rPr>
              <w:t>www.chinanpo.gov.cn</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rFonts w:hint="eastAsia"/>
                <w:color w:val="auto"/>
              </w:rPr>
              <w:t>③“中国社会组织公共服务平台”网站（</w:t>
            </w:r>
            <w:r>
              <w:rPr>
                <w:color w:val="auto"/>
              </w:rPr>
              <w:t>www.chinanpo.gov.cn</w:t>
            </w:r>
            <w:r>
              <w:rPr>
                <w:rFonts w:hint="eastAsia"/>
                <w:color w:val="auto"/>
              </w:rPr>
              <w:t>）（仅查询社会组织）；</w:t>
            </w:r>
          </w:p>
          <w:p>
            <w:pPr>
              <w:autoSpaceDE w:val="0"/>
              <w:autoSpaceDN w:val="0"/>
              <w:spacing w:line="360" w:lineRule="auto"/>
              <w:contextualSpacing/>
              <w:rPr>
                <w:color w:val="auto"/>
              </w:rPr>
            </w:pPr>
            <w:r>
              <w:rPr>
                <w:rFonts w:hint="eastAsia"/>
                <w:color w:val="auto"/>
              </w:rPr>
              <w:t>2、截止时间：同投标截止时间；</w:t>
            </w:r>
          </w:p>
          <w:p>
            <w:pPr>
              <w:autoSpaceDE w:val="0"/>
              <w:autoSpaceDN w:val="0"/>
              <w:spacing w:line="360" w:lineRule="auto"/>
              <w:contextualSpacing/>
              <w:rPr>
                <w:color w:val="auto"/>
              </w:rPr>
            </w:pPr>
            <w:r>
              <w:rPr>
                <w:rFonts w:hint="eastAsia"/>
                <w:color w:val="auto"/>
              </w:rPr>
              <w:t>3、信用信息查询记录和证据留存具体方式：经评标委员会确认的查询结果网页截图作为查询记录和证据，与其他采购文件一并保存；</w:t>
            </w:r>
          </w:p>
          <w:p>
            <w:pPr>
              <w:autoSpaceDE w:val="0"/>
              <w:autoSpaceDN w:val="0"/>
              <w:spacing w:line="360" w:lineRule="auto"/>
              <w:contextualSpacing/>
              <w:rPr>
                <w:color w:val="auto"/>
              </w:rPr>
            </w:pPr>
            <w:r>
              <w:rPr>
                <w:rFonts w:hint="eastAsia"/>
                <w:color w:val="auto"/>
              </w:rPr>
              <w:t>4、信用信息的使用原则：经评标委员会认定的被列入失信被执行人、重大税收违法案件当事人名单、</w:t>
            </w:r>
            <w:r>
              <w:rPr>
                <w:color w:val="auto"/>
              </w:rPr>
              <w:t>政府采购严重违法失信行为记录名单</w:t>
            </w:r>
            <w:r>
              <w:rPr>
                <w:rFonts w:hint="eastAsia"/>
                <w:color w:val="auto"/>
              </w:rPr>
              <w:t>、严重违法失信社会组织名单的供应商，将拒绝其参与本次政府采购活动。</w:t>
            </w:r>
          </w:p>
          <w:p>
            <w:pPr>
              <w:autoSpaceDE w:val="0"/>
              <w:autoSpaceDN w:val="0"/>
              <w:spacing w:line="360" w:lineRule="auto"/>
              <w:contextualSpacing/>
              <w:rPr>
                <w:color w:val="auto"/>
              </w:rPr>
            </w:pPr>
            <w:r>
              <w:rPr>
                <w:rFonts w:hint="eastAsia"/>
                <w:color w:val="auto"/>
              </w:rPr>
              <w:t>5、供应商无须提供信用记录查询结果网页截屏。供应商不良信用记录以评标委员会查询结果为准，评标委员会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b/>
                <w:color w:val="auto"/>
                <w:szCs w:val="21"/>
                <w:lang w:val="en-US" w:eastAsia="zh-CN"/>
              </w:rPr>
              <w:t>225</w:t>
            </w:r>
            <w:r>
              <w:rPr>
                <w:rFonts w:hint="eastAsia" w:cs="宋体" w:asciiTheme="minorEastAsia" w:hAnsiTheme="minorEastAsia"/>
                <w:b/>
                <w:color w:val="auto"/>
                <w:szCs w:val="21"/>
              </w:rPr>
              <w:t>0000.00</w:t>
            </w:r>
            <w:r>
              <w:rPr>
                <w:rFonts w:hint="eastAsia" w:cs="宋体" w:asciiTheme="minorEastAsia" w:hAnsiTheme="minorEastAsia"/>
                <w:bCs/>
                <w:color w:val="auto"/>
                <w:szCs w:val="21"/>
                <w:lang w:val="zh-CN"/>
              </w:rPr>
              <w:t>元，超出预算金额的投标文件无效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开标</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投标文件提交截止</w:t>
            </w:r>
            <w:r>
              <w:rPr>
                <w:rFonts w:hint="eastAsia" w:cs="宋体" w:asciiTheme="minorEastAsia" w:hAnsiTheme="minorEastAsia"/>
                <w:bCs/>
                <w:color w:val="auto"/>
                <w:szCs w:val="21"/>
                <w:lang w:val="zh-CN"/>
              </w:rPr>
              <w:t>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bCs w:val="0"/>
                <w:color w:val="auto"/>
                <w:szCs w:val="21"/>
                <w:lang w:val="zh-CN"/>
              </w:rPr>
              <w:t>2021年</w:t>
            </w:r>
            <w:r>
              <w:rPr>
                <w:rFonts w:hint="eastAsia" w:cs="仿宋_GB2312" w:asciiTheme="minorEastAsia" w:hAnsiTheme="minorEastAsia"/>
                <w:bCs w:val="0"/>
                <w:color w:val="auto"/>
                <w:szCs w:val="21"/>
                <w:lang w:val="en-US" w:eastAsia="zh-CN"/>
              </w:rPr>
              <w:t>9</w:t>
            </w:r>
            <w:r>
              <w:rPr>
                <w:rFonts w:hint="eastAsia" w:cs="仿宋_GB2312" w:asciiTheme="minorEastAsia" w:hAnsiTheme="minorEastAsia"/>
                <w:bCs w:val="0"/>
                <w:color w:val="auto"/>
                <w:szCs w:val="21"/>
                <w:lang w:val="zh-CN"/>
              </w:rPr>
              <w:t>月</w:t>
            </w:r>
            <w:r>
              <w:rPr>
                <w:rFonts w:hint="eastAsia" w:cs="仿宋_GB2312" w:asciiTheme="minorEastAsia" w:hAnsiTheme="minorEastAsia"/>
                <w:bCs w:val="0"/>
                <w:color w:val="auto"/>
                <w:szCs w:val="21"/>
                <w:lang w:val="en-US" w:eastAsia="zh-CN"/>
              </w:rPr>
              <w:t>29</w:t>
            </w:r>
            <w:r>
              <w:rPr>
                <w:rFonts w:hint="eastAsia" w:cs="仿宋_GB2312" w:asciiTheme="minorEastAsia" w:hAnsiTheme="minorEastAsia"/>
                <w:bCs w:val="0"/>
                <w:color w:val="auto"/>
                <w:szCs w:val="21"/>
                <w:lang w:val="zh-CN"/>
              </w:rPr>
              <w:t xml:space="preserve">日 </w:t>
            </w:r>
            <w:r>
              <w:rPr>
                <w:rFonts w:hint="eastAsia" w:cs="仿宋_GB2312" w:asciiTheme="minorEastAsia" w:hAnsiTheme="minorEastAsia"/>
                <w:bCs w:val="0"/>
                <w:color w:val="auto"/>
                <w:szCs w:val="21"/>
                <w:u w:val="none"/>
                <w:lang w:val="zh-CN" w:eastAsia="zh-CN"/>
              </w:rPr>
              <w:t>8</w:t>
            </w:r>
            <w:r>
              <w:rPr>
                <w:rFonts w:hint="eastAsia" w:cs="仿宋_GB2312" w:asciiTheme="minorEastAsia" w:hAnsiTheme="minorEastAsia"/>
                <w:bCs w:val="0"/>
                <w:color w:val="auto"/>
                <w:szCs w:val="21"/>
                <w:lang w:val="zh-CN"/>
              </w:rPr>
              <w:t xml:space="preserve"> ：</w:t>
            </w:r>
            <w:r>
              <w:rPr>
                <w:rFonts w:hint="eastAsia" w:cs="仿宋_GB2312" w:asciiTheme="minorEastAsia" w:hAnsiTheme="minorEastAsia"/>
                <w:bCs w:val="0"/>
                <w:color w:val="auto"/>
                <w:szCs w:val="21"/>
                <w:lang w:val="zh-CN" w:eastAsia="zh-CN"/>
              </w:rPr>
              <w:t>30</w:t>
            </w:r>
            <w:r>
              <w:rPr>
                <w:rFonts w:hint="eastAsia" w:cs="仿宋_GB2312" w:asciiTheme="minorEastAsia" w:hAnsiTheme="minorEastAsia"/>
                <w:bCs w:val="0"/>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禹州市公共资源交易中心开标一室（地址：禹州市行政服务中心楼九楼）（</w:t>
            </w:r>
            <w:r>
              <w:rPr>
                <w:rFonts w:hint="eastAsia" w:cs="Arial" w:asciiTheme="minorEastAsia" w:hAnsiTheme="minorEastAsia"/>
                <w:b/>
                <w:color w:val="auto"/>
                <w:szCs w:val="21"/>
              </w:rPr>
              <w:t>本项目采用远程不见面开标，供应商无须到达现场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w:t>
            </w:r>
            <w:r>
              <w:rPr>
                <w:rFonts w:hint="eastAsia" w:cs="宋体" w:asciiTheme="minorEastAsia" w:hAnsiTheme="minorEastAsia"/>
                <w:bCs/>
                <w:color w:val="auto"/>
                <w:szCs w:val="21"/>
              </w:rPr>
              <w:t>15</w:t>
            </w:r>
            <w:r>
              <w:rPr>
                <w:rFonts w:hint="eastAsia" w:cs="宋体" w:asciiTheme="minorEastAsia" w:hAnsiTheme="minorEastAsia"/>
                <w:bCs/>
                <w:color w:val="auto"/>
                <w:szCs w:val="21"/>
                <w:lang w:val="zh-CN"/>
              </w:rPr>
              <w:t>个工作日前（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供应商对招标文件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采购公告期满之日起七个工作日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w:t>
            </w:r>
            <w:r>
              <w:rPr>
                <w:rFonts w:hint="eastAsia" w:cs="黑体" w:asciiTheme="minorEastAsia" w:hAnsiTheme="minorEastAsia"/>
                <w:color w:val="auto"/>
                <w:szCs w:val="21"/>
              </w:rPr>
              <w:t>投标</w:t>
            </w:r>
            <w:r>
              <w:rPr>
                <w:rFonts w:hint="eastAsia" w:ascii="新宋体" w:hAnsi="新宋体" w:eastAsia="新宋体"/>
                <w:color w:val="auto"/>
                <w:szCs w:val="21"/>
              </w:rPr>
              <w:t>文件：按招标文件要求加盖供应商电子印章和法人电子印章。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w:t>
            </w:r>
            <w:r>
              <w:rPr>
                <w:rFonts w:hint="eastAsia" w:cs="黑体" w:asciiTheme="minorEastAsia" w:hAnsiTheme="minorEastAsia"/>
                <w:color w:val="auto"/>
                <w:szCs w:val="21"/>
              </w:rPr>
              <w:t>投标</w:t>
            </w:r>
            <w:r>
              <w:rPr>
                <w:rFonts w:hint="eastAsia" w:ascii="新宋体" w:hAnsi="新宋体" w:eastAsia="新宋体"/>
                <w:color w:val="auto"/>
                <w:szCs w:val="21"/>
              </w:rPr>
              <w:t>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color w:val="auto"/>
                <w:szCs w:val="21"/>
                <w:lang w:val="zh-CN"/>
              </w:rPr>
            </w:pPr>
            <w:r>
              <w:rPr>
                <w:rFonts w:hint="eastAsia" w:cs="仿宋_GB2312" w:asciiTheme="minorEastAsia" w:hAnsiTheme="minorEastAsia"/>
                <w:b/>
                <w:bCs/>
                <w:color w:val="auto"/>
                <w:szCs w:val="21"/>
                <w:lang w:val="zh-CN"/>
              </w:rPr>
              <w:sym w:font="Wingdings 2" w:char="0052"/>
            </w: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auto"/>
                <w:szCs w:val="21"/>
                <w:lang w:val="zh-CN"/>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color w:val="auto"/>
                <w:kern w:val="0"/>
                <w:szCs w:val="21"/>
                <w:lang w:val="zh-CN"/>
              </w:rPr>
              <w:t xml:space="preserve">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pStyle w:val="35"/>
              <w:spacing w:line="360" w:lineRule="auto"/>
              <w:rPr>
                <w:color w:val="auto"/>
                <w:lang w:val="zh-CN"/>
              </w:rPr>
            </w:pPr>
            <w:r>
              <w:rPr>
                <w:rFonts w:hint="eastAsia" w:cs="仿宋_GB2312" w:asciiTheme="minorEastAsia" w:hAnsiTheme="minorEastAsia"/>
                <w:color w:val="auto"/>
                <w:szCs w:val="21"/>
                <w:lang w:val="zh-CN"/>
              </w:rPr>
              <w:t>采购单位委派代表参加资格审查、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ascii="ˎ̥" w:hAnsi="ˎ̥"/>
                <w:color w:val="auto"/>
              </w:rPr>
            </w:pPr>
            <w:r>
              <w:rPr>
                <w:rFonts w:hint="eastAsia" w:ascii="ˎ̥" w:hAnsi="ˎ̥"/>
                <w:color w:val="auto"/>
              </w:rPr>
              <w:t>2、本次</w:t>
            </w:r>
            <w:r>
              <w:rPr>
                <w:color w:val="auto"/>
              </w:rPr>
              <w:t>采购标的对应的中小企业划分标准所属行业</w:t>
            </w:r>
            <w:r>
              <w:rPr>
                <w:rFonts w:hint="eastAsia"/>
                <w:color w:val="auto"/>
              </w:rPr>
              <w:t>：</w:t>
            </w:r>
          </w:p>
          <w:p>
            <w:pPr>
              <w:autoSpaceDE w:val="0"/>
              <w:autoSpaceDN w:val="0"/>
              <w:adjustRightInd w:val="0"/>
              <w:spacing w:line="360" w:lineRule="auto"/>
              <w:contextualSpacing/>
              <w:rPr>
                <w:rFonts w:ascii="ˎ̥" w:hAnsi="ˎ̥"/>
                <w:color w:val="auto"/>
              </w:rPr>
            </w:pPr>
            <w:r>
              <w:rPr>
                <w:rFonts w:hint="eastAsia" w:ascii="ˎ̥" w:hAnsi="ˎ̥"/>
                <w:color w:val="auto"/>
              </w:rPr>
              <w:t>3、根据财政部、工业和信息化部发布的《政府采购促进中小企业发展管理办法》（财库〔2020〕46号）规定，对小型和微型企业投标价格给予6%-10%（工程3%-5%）的扣除，用扣除后的价格参与评审。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ascii="ˎ̥" w:hAnsi="ˎ̥"/>
                <w:color w:val="auto"/>
                <w:lang w:val="zh-CN"/>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要求提交。履约保证金的数额为合同金额的</w:t>
            </w:r>
            <w:r>
              <w:rPr>
                <w:rFonts w:hint="eastAsia" w:cs="仿宋_GB2312" w:asciiTheme="minorEastAsia" w:hAnsiTheme="minorEastAsia"/>
                <w:color w:val="auto"/>
                <w:szCs w:val="21"/>
              </w:rPr>
              <w:t xml:space="preserve">   </w:t>
            </w:r>
            <w:r>
              <w:rPr>
                <w:rFonts w:hint="eastAsia" w:cs="仿宋_GB2312" w:asciiTheme="minorEastAsia" w:hAnsiTheme="minorEastAsia"/>
                <w:color w:val="auto"/>
                <w:szCs w:val="21"/>
                <w:lang w:val="zh-CN"/>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w:t>
            </w:r>
            <w:r>
              <w:rPr>
                <w:rFonts w:hint="eastAsia" w:ascii="宋体" w:hAnsi="宋体" w:cs="宋体"/>
                <w:color w:val="auto"/>
                <w:szCs w:val="21"/>
              </w:rPr>
              <w:t>招标代理服务费根据《国家计委〈计价格〔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cs="宋体"/>
                <w:color w:val="auto"/>
                <w:szCs w:val="21"/>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lang w:val="zh-CN"/>
              </w:rPr>
              <w:t>联系电话：</w:t>
            </w:r>
            <w:r>
              <w:rPr>
                <w:rFonts w:hint="eastAsia"/>
                <w:color w:val="auto"/>
              </w:rPr>
              <w:t>0374-8281999</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xcfyzxgl@126.com</w:t>
            </w:r>
            <w:r>
              <w:rPr>
                <w:rFonts w:hint="eastAsia" w:ascii="宋体" w:hAnsi="宋体" w:cs="宋体"/>
                <w:color w:val="auto"/>
                <w:szCs w:val="21"/>
                <w:lang w:val="zh-CN"/>
              </w:rPr>
              <w:t>。并配合业主需要提供纸质投标文件。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color w:val="auto"/>
              </w:rPr>
            </w:pPr>
            <w:r>
              <w:rPr>
                <w:rFonts w:hint="eastAsia"/>
                <w:color w:val="auto"/>
              </w:rPr>
              <w:t>1、按照《关于推进全流程电子化交易和在线监管工作有关问题的通知》（许公管办[2019]3号）规定：</w:t>
            </w:r>
          </w:p>
          <w:p>
            <w:pP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投标</w:t>
            </w:r>
            <w:r>
              <w:rPr>
                <w:color w:val="auto"/>
              </w:rPr>
              <w:t>事宜</w:t>
            </w:r>
            <w:r>
              <w:rPr>
                <w:rFonts w:hint="eastAsia"/>
                <w:color w:val="auto"/>
              </w:rPr>
              <w:t>’，其投标无效。</w:t>
            </w:r>
          </w:p>
          <w:p>
            <w:pPr>
              <w:autoSpaceDE w:val="0"/>
              <w:autoSpaceDN w:val="0"/>
              <w:adjustRightInd w:val="0"/>
              <w:spacing w:line="360" w:lineRule="auto"/>
              <w:contextualSpacing/>
              <w:rPr>
                <w:color w:val="auto"/>
              </w:rPr>
            </w:pPr>
            <w:r>
              <w:rPr>
                <w:rFonts w:hint="eastAsia"/>
                <w:color w:val="auto"/>
              </w:rPr>
              <w:t>评审专家应严格按照要求查看“硬件特征码” 相关信息并进行评审，在评审报告中显示“不同投标人电子投标文件制作硬件特征码”是否雷同的分析及判定结果。</w:t>
            </w:r>
          </w:p>
          <w:p>
            <w:pPr>
              <w:pStyle w:val="12"/>
              <w:rPr>
                <w:color w:val="auto"/>
                <w:lang w:val="zh-CN"/>
              </w:rPr>
            </w:pPr>
            <w:r>
              <w:rPr>
                <w:rFonts w:hint="eastAsia"/>
                <w:color w:val="auto"/>
              </w:rPr>
              <w:t>2、</w:t>
            </w:r>
            <w:r>
              <w:rPr>
                <w:rFonts w:hint="eastAsia"/>
                <w:color w:val="auto"/>
                <w:lang w:val="zh-CN"/>
              </w:rPr>
              <w:t>项目编号以本项目招标文件项目编号为准。</w:t>
            </w:r>
          </w:p>
          <w:p>
            <w:pPr>
              <w:pStyle w:val="12"/>
              <w:rPr>
                <w:color w:val="auto"/>
                <w:lang w:val="zh-CN"/>
              </w:rPr>
            </w:pPr>
            <w:r>
              <w:rPr>
                <w:rFonts w:hint="eastAsia"/>
                <w:color w:val="auto"/>
              </w:rPr>
              <w:t>3、</w:t>
            </w:r>
            <w:r>
              <w:rPr>
                <w:rFonts w:hint="eastAsia"/>
                <w:color w:val="auto"/>
                <w:lang w:val="zh-CN"/>
              </w:rPr>
              <w:t>投标文件格式的先后顺序不作为废标项。</w:t>
            </w:r>
          </w:p>
        </w:tc>
      </w:tr>
    </w:tbl>
    <w:p>
      <w:pPr>
        <w:rPr>
          <w:color w:va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pStyle w:val="12"/>
        <w:rPr>
          <w:rFonts w:cs="宋体" w:asciiTheme="majorEastAsia" w:hAnsiTheme="majorEastAsia" w:eastAsiaTheme="majorEastAsia"/>
          <w:b/>
          <w:color w:val="auto"/>
          <w:kern w:val="0"/>
          <w:sz w:val="32"/>
          <w:szCs w:val="32"/>
        </w:rPr>
      </w:pPr>
    </w:p>
    <w:p>
      <w:pPr>
        <w:pStyle w:val="34"/>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6"/>
        <w:numPr>
          <w:ilvl w:val="0"/>
          <w:numId w:val="5"/>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适用范围</w:t>
      </w:r>
    </w:p>
    <w:p>
      <w:pPr>
        <w:pStyle w:val="56"/>
        <w:numPr>
          <w:ilvl w:val="0"/>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本招标文件仅适用于本次“投标邀请”中所述采购项目。</w:t>
      </w:r>
    </w:p>
    <w:p>
      <w:pPr>
        <w:pStyle w:val="56"/>
        <w:numPr>
          <w:ilvl w:val="1"/>
          <w:numId w:val="5"/>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本招标文件解释权属于“投标邀请”所述的采购人。</w:t>
      </w:r>
    </w:p>
    <w:p>
      <w:pPr>
        <w:pStyle w:val="56"/>
        <w:numPr>
          <w:ilvl w:val="0"/>
          <w:numId w:val="5"/>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定义</w:t>
      </w:r>
    </w:p>
    <w:p>
      <w:pPr>
        <w:pStyle w:val="56"/>
        <w:numPr>
          <w:ilvl w:val="0"/>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“采购项目”：“投标人须知前附表”中所述的采购项目。</w:t>
      </w:r>
    </w:p>
    <w:p>
      <w:pPr>
        <w:pStyle w:val="56"/>
        <w:numPr>
          <w:ilvl w:val="1"/>
          <w:numId w:val="5"/>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“招标人”：“投标人须知前附表”中所述的组织本次招标的代理机构和采购人。</w:t>
      </w:r>
    </w:p>
    <w:p>
      <w:pPr>
        <w:pStyle w:val="56"/>
        <w:numPr>
          <w:ilvl w:val="1"/>
          <w:numId w:val="5"/>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“采购人”：是指依法进行政府采购的国家机关、事业单位、团体组织。采购人</w:t>
      </w:r>
    </w:p>
    <w:p>
      <w:pPr>
        <w:pStyle w:val="56"/>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名称、地址、电话、联系人见“投标人须知前附表”。</w:t>
      </w:r>
    </w:p>
    <w:p>
      <w:pPr>
        <w:pStyle w:val="56"/>
        <w:numPr>
          <w:ilvl w:val="1"/>
          <w:numId w:val="5"/>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“代理机构”：接受采购人委托，代理采购项目的采购代理机构。代理机构名称、</w:t>
      </w:r>
    </w:p>
    <w:p>
      <w:pPr>
        <w:pStyle w:val="56"/>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地址、电话、联系人见“投标人须知前附表”。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采购代理机构及其分支机构不得在所代理的采购项目中投标或者代理投标，不得为所代理的采购项目的投标人参加本项目提供投标咨询。</w:t>
      </w:r>
    </w:p>
    <w:p>
      <w:pPr>
        <w:pStyle w:val="56"/>
        <w:numPr>
          <w:ilvl w:val="1"/>
          <w:numId w:val="5"/>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“潜在投标人”指符合《中华人民共和国政府采购法》及相关法律法规和本招标</w:t>
      </w:r>
    </w:p>
    <w:p>
      <w:pPr>
        <w:pStyle w:val="56"/>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文件的各项规定，且按照本项目招标公告及招标文件规定的方式获取招标文件的法人、其他组织或者自然人。</w:t>
      </w:r>
    </w:p>
    <w:p>
      <w:pPr>
        <w:pStyle w:val="56"/>
        <w:numPr>
          <w:ilvl w:val="1"/>
          <w:numId w:val="5"/>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“投标人”：是指符合《中华人民共和国政府采购法》及相关法律法规和本招标</w:t>
      </w:r>
    </w:p>
    <w:p>
      <w:pPr>
        <w:pStyle w:val="56"/>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文件的各项规定，响应招标、参加投标竞争，从招标人处按规定获取招标文件，并按照招标文件要求向招标人提交投标文件的法人、其他组织或者自然人。</w:t>
      </w:r>
    </w:p>
    <w:p>
      <w:pPr>
        <w:pStyle w:val="56"/>
        <w:numPr>
          <w:ilvl w:val="1"/>
          <w:numId w:val="5"/>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“进口产品”：是指通过中国海关报关验放进入中国境内且产自关境外的产品，</w:t>
      </w:r>
    </w:p>
    <w:p>
      <w:pPr>
        <w:pStyle w:val="56"/>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包括已经进入中国境内的进口产品。详见《关于政府采购进口产品管理有关问题的通知》</w:t>
      </w:r>
      <w:r>
        <w:rPr>
          <w:rFonts w:ascii="宋体" w:hAnsi="宋体" w:cs="宋体"/>
          <w:color w:val="auto"/>
          <w:kern w:val="0"/>
          <w:szCs w:val="21"/>
        </w:rPr>
        <w:t>(</w:t>
      </w:r>
      <w:r>
        <w:rPr>
          <w:rFonts w:hint="eastAsia" w:ascii="宋体" w:hAnsi="宋体" w:cs="宋体"/>
          <w:color w:val="auto"/>
          <w:kern w:val="0"/>
          <w:szCs w:val="21"/>
        </w:rPr>
        <w:t>财库</w:t>
      </w:r>
      <w:r>
        <w:rPr>
          <w:rFonts w:ascii="宋体" w:hAnsi="宋体" w:cs="宋体"/>
          <w:color w:val="auto"/>
          <w:kern w:val="0"/>
          <w:szCs w:val="21"/>
        </w:rPr>
        <w:t>[2007]119</w:t>
      </w:r>
      <w:r>
        <w:rPr>
          <w:rFonts w:hint="eastAsia" w:ascii="宋体" w:hAnsi="宋体" w:cs="宋体"/>
          <w:color w:val="auto"/>
          <w:kern w:val="0"/>
          <w:szCs w:val="21"/>
        </w:rPr>
        <w:t>号</w:t>
      </w:r>
      <w:r>
        <w:rPr>
          <w:rFonts w:ascii="宋体" w:hAnsi="宋体" w:cs="宋体"/>
          <w:color w:val="auto"/>
          <w:kern w:val="0"/>
          <w:szCs w:val="21"/>
        </w:rPr>
        <w:t>)</w:t>
      </w:r>
      <w:r>
        <w:rPr>
          <w:rFonts w:hint="eastAsia" w:ascii="宋体" w:hAnsi="宋体" w:cs="宋体"/>
          <w:color w:val="auto"/>
          <w:kern w:val="0"/>
          <w:szCs w:val="21"/>
        </w:rPr>
        <w:t>、《关于政府采购进口产品管理有关问题的通知》（财办库［</w:t>
      </w:r>
      <w:r>
        <w:rPr>
          <w:rFonts w:ascii="宋体" w:hAnsi="宋体" w:cs="宋体"/>
          <w:color w:val="auto"/>
          <w:kern w:val="0"/>
          <w:szCs w:val="21"/>
        </w:rPr>
        <w:t>2008</w:t>
      </w:r>
      <w:r>
        <w:rPr>
          <w:rFonts w:hint="eastAsia" w:ascii="宋体" w:hAnsi="宋体" w:cs="宋体"/>
          <w:color w:val="auto"/>
          <w:kern w:val="0"/>
          <w:szCs w:val="21"/>
        </w:rPr>
        <w:t>］</w:t>
      </w:r>
      <w:r>
        <w:rPr>
          <w:rFonts w:ascii="宋体" w:hAnsi="宋体" w:cs="宋体"/>
          <w:color w:val="auto"/>
          <w:kern w:val="0"/>
          <w:szCs w:val="21"/>
        </w:rPr>
        <w:t xml:space="preserve">248 </w:t>
      </w:r>
      <w:r>
        <w:rPr>
          <w:rFonts w:hint="eastAsia" w:ascii="宋体" w:hAnsi="宋体" w:cs="宋体"/>
          <w:color w:val="auto"/>
          <w:kern w:val="0"/>
          <w:szCs w:val="21"/>
        </w:rPr>
        <w:t>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2.7.1 </w:t>
      </w:r>
      <w:r>
        <w:rPr>
          <w:rFonts w:hint="eastAsia" w:ascii="宋体" w:hAnsi="宋体" w:cs="宋体"/>
          <w:color w:val="auto"/>
          <w:kern w:val="0"/>
          <w:szCs w:val="21"/>
        </w:rPr>
        <w:t>招标文件列明不允许或未列明允许进口产品参加投标的，均视为拒绝进口产品参加投标。</w:t>
      </w:r>
    </w:p>
    <w:p>
      <w:pPr>
        <w:autoSpaceDE w:val="0"/>
        <w:autoSpaceDN w:val="0"/>
        <w:spacing w:line="360" w:lineRule="auto"/>
        <w:ind w:firstLine="420" w:firstLineChars="200"/>
        <w:contextualSpacing/>
        <w:rPr>
          <w:rFonts w:ascii="宋体" w:hAnsi="宋体" w:cs="宋体"/>
          <w:color w:val="auto"/>
          <w:kern w:val="0"/>
          <w:szCs w:val="21"/>
        </w:rPr>
      </w:pPr>
      <w:r>
        <w:rPr>
          <w:rFonts w:ascii="宋体" w:hAnsi="宋体" w:cs="宋体"/>
          <w:color w:val="auto"/>
          <w:kern w:val="0"/>
          <w:szCs w:val="21"/>
        </w:rPr>
        <w:t xml:space="preserve">2.7.2 </w:t>
      </w:r>
      <w:r>
        <w:rPr>
          <w:rFonts w:hint="eastAsia" w:ascii="宋体" w:hAnsi="宋体" w:cs="宋体"/>
          <w:color w:val="auto"/>
          <w:kern w:val="0"/>
          <w:szCs w:val="21"/>
        </w:rPr>
        <w:t>如招标文件中已说明，经财政部门审核同意，允许部分或全部产品采购进口产品，投标人既可提供本国产品，也可以提供进口产品。</w:t>
      </w:r>
    </w:p>
    <w:p>
      <w:pPr>
        <w:pStyle w:val="56"/>
        <w:autoSpaceDE w:val="0"/>
        <w:autoSpaceDN w:val="0"/>
        <w:spacing w:line="360" w:lineRule="auto"/>
        <w:ind w:left="-987" w:leftChars="-470" w:firstLine="1470" w:firstLineChars="700"/>
        <w:contextualSpacing/>
        <w:rPr>
          <w:color w:val="auto"/>
        </w:rPr>
      </w:pPr>
      <w:r>
        <w:rPr>
          <w:rFonts w:hint="eastAsia" w:cs="宋体" w:asciiTheme="minorEastAsia" w:hAnsiTheme="minorEastAsia"/>
          <w:color w:val="auto"/>
          <w:kern w:val="0"/>
          <w:szCs w:val="21"/>
        </w:rPr>
        <w:t>2.8 招标文件中凡标有“★”的条款均系实质性要求条款。</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3.</w:t>
      </w:r>
      <w:r>
        <w:rPr>
          <w:rFonts w:hint="eastAsia" w:ascii="宋体" w:hAnsi="宋体" w:cs="宋体"/>
          <w:b/>
          <w:color w:val="auto"/>
          <w:kern w:val="0"/>
          <w:szCs w:val="21"/>
        </w:rPr>
        <w:t>合格的投标人</w:t>
      </w:r>
    </w:p>
    <w:p>
      <w:pPr>
        <w:pStyle w:val="62"/>
        <w:numPr>
          <w:ilvl w:val="0"/>
          <w:numId w:val="0"/>
        </w:numPr>
        <w:tabs>
          <w:tab w:val="left" w:pos="0"/>
        </w:tabs>
        <w:adjustRightInd/>
        <w:spacing w:line="360" w:lineRule="auto"/>
        <w:ind w:firstLine="420" w:firstLineChars="200"/>
        <w:contextualSpacing/>
        <w:rPr>
          <w:rFonts w:cs="宋体"/>
          <w:color w:val="auto"/>
        </w:rPr>
      </w:pPr>
      <w:r>
        <w:rPr>
          <w:rFonts w:cs="宋体"/>
          <w:color w:val="auto"/>
        </w:rPr>
        <w:t>3.1</w:t>
      </w:r>
      <w:r>
        <w:rPr>
          <w:rFonts w:hint="eastAsia" w:cs="宋体"/>
          <w:color w:val="auto"/>
        </w:rPr>
        <w:t>在中华人民共和国境内注册，具有本项目生产、制造、供应或实施能力，符合、承认并承诺履行本招标文件各项规定的法人、其他组织或者自然人。</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3.2 </w:t>
      </w:r>
      <w:r>
        <w:rPr>
          <w:rFonts w:hint="eastAsia" w:ascii="宋体" w:hAnsi="宋体" w:cs="宋体"/>
          <w:color w:val="auto"/>
          <w:kern w:val="0"/>
          <w:szCs w:val="21"/>
        </w:rPr>
        <w:t>符合本项目“投标邀请”和“投标人须知前附表”中规定的合格投标人所必须具备的条件。</w:t>
      </w:r>
    </w:p>
    <w:p>
      <w:pPr>
        <w:spacing w:line="360" w:lineRule="auto"/>
        <w:ind w:firstLine="420" w:firstLineChars="200"/>
        <w:contextualSpacing/>
        <w:rPr>
          <w:rFonts w:ascii="宋体" w:cs="宋体"/>
          <w:color w:val="auto"/>
          <w:szCs w:val="21"/>
        </w:rPr>
      </w:pPr>
      <w:r>
        <w:rPr>
          <w:rFonts w:ascii="宋体" w:hAnsi="宋体" w:cs="宋体"/>
          <w:color w:val="auto"/>
          <w:szCs w:val="21"/>
        </w:rPr>
        <w:t>3.3</w:t>
      </w:r>
      <w:r>
        <w:rPr>
          <w:rFonts w:hint="eastAsia" w:ascii="宋体" w:hAnsi="宋体" w:cs="宋体"/>
          <w:color w:val="auto"/>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7"/>
        </w:numPr>
        <w:spacing w:line="360" w:lineRule="auto"/>
        <w:ind w:firstLine="420" w:firstLineChars="200"/>
        <w:contextualSpacing/>
        <w:rPr>
          <w:rFonts w:ascii="宋体" w:cs="宋体"/>
          <w:color w:val="auto"/>
          <w:szCs w:val="21"/>
        </w:rPr>
      </w:pPr>
      <w:r>
        <w:rPr>
          <w:rFonts w:hint="eastAsia" w:ascii="宋体" w:hAnsi="宋体" w:cs="宋体"/>
          <w:color w:val="auto"/>
          <w:szCs w:val="21"/>
        </w:rPr>
        <w:t>查询渠道：“信用中国”网站（</w:t>
      </w:r>
      <w:r>
        <w:rPr>
          <w:color w:val="auto"/>
        </w:rPr>
        <w:fldChar w:fldCharType="begin"/>
      </w:r>
      <w:r>
        <w:rPr>
          <w:color w:val="auto"/>
        </w:rPr>
        <w:instrText xml:space="preserve"> HYPERLINK "http://www.creditchina.gov.cn" </w:instrText>
      </w:r>
      <w:r>
        <w:rPr>
          <w:color w:val="auto"/>
        </w:rPr>
        <w:fldChar w:fldCharType="separate"/>
      </w:r>
      <w:r>
        <w:rPr>
          <w:rStyle w:val="32"/>
          <w:rFonts w:cs="宋体"/>
          <w:color w:val="auto"/>
          <w:szCs w:val="21"/>
        </w:rPr>
        <w:t>www.creditchina.gov.cn</w:t>
      </w:r>
      <w:r>
        <w:rPr>
          <w:rStyle w:val="32"/>
          <w:rFonts w:cs="宋体"/>
          <w:color w:val="auto"/>
          <w:szCs w:val="21"/>
        </w:rPr>
        <w:fldChar w:fldCharType="end"/>
      </w:r>
      <w:r>
        <w:rPr>
          <w:rFonts w:hint="eastAsia" w:ascii="宋体" w:hAnsi="宋体" w:cs="宋体"/>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Style w:val="32"/>
          <w:rFonts w:cs="宋体"/>
          <w:color w:val="auto"/>
          <w:szCs w:val="21"/>
        </w:rPr>
        <w:t>www.ccgp.gov.cn</w:t>
      </w:r>
      <w:r>
        <w:rPr>
          <w:rStyle w:val="32"/>
          <w:rFonts w:cs="宋体"/>
          <w:color w:val="auto"/>
          <w:szCs w:val="21"/>
        </w:rPr>
        <w:fldChar w:fldCharType="end"/>
      </w:r>
      <w:r>
        <w:rPr>
          <w:rFonts w:hint="eastAsia" w:ascii="宋体" w:hAnsi="宋体" w:cs="宋体"/>
          <w:color w:val="auto"/>
          <w:szCs w:val="21"/>
        </w:rPr>
        <w:t>）、“国家企业信用公示系统”网站（</w:t>
      </w:r>
      <w:r>
        <w:rPr>
          <w:color w:val="auto"/>
        </w:rPr>
        <w:fldChar w:fldCharType="begin"/>
      </w:r>
      <w:r>
        <w:rPr>
          <w:color w:val="auto"/>
        </w:rPr>
        <w:instrText xml:space="preserve"> HYPERLINK "http://www.gsxt.gov.cn" </w:instrText>
      </w:r>
      <w:r>
        <w:rPr>
          <w:color w:val="auto"/>
        </w:rPr>
        <w:fldChar w:fldCharType="separate"/>
      </w:r>
      <w:r>
        <w:rPr>
          <w:rStyle w:val="32"/>
          <w:rFonts w:cs="宋体"/>
          <w:color w:val="auto"/>
          <w:szCs w:val="21"/>
        </w:rPr>
        <w:t>www.gsxt.gov.cn</w:t>
      </w:r>
      <w:r>
        <w:rPr>
          <w:rStyle w:val="32"/>
          <w:rFonts w:cs="宋体"/>
          <w:color w:val="auto"/>
          <w:szCs w:val="21"/>
        </w:rPr>
        <w:fldChar w:fldCharType="end"/>
      </w:r>
      <w:r>
        <w:rPr>
          <w:rFonts w:hint="eastAsia" w:ascii="宋体" w:hAnsi="宋体" w:cs="宋体"/>
          <w:color w:val="auto"/>
          <w:szCs w:val="21"/>
        </w:rPr>
        <w:t>）、“中国社会组织公共服务平台”网站（</w:t>
      </w:r>
      <w:r>
        <w:rPr>
          <w:color w:val="auto"/>
        </w:rPr>
        <w:fldChar w:fldCharType="begin"/>
      </w:r>
      <w:r>
        <w:rPr>
          <w:color w:val="auto"/>
        </w:rPr>
        <w:instrText xml:space="preserve"> HYPERLINK "http://www.chinanpo.gov.cn" </w:instrText>
      </w:r>
      <w:r>
        <w:rPr>
          <w:color w:val="auto"/>
        </w:rPr>
        <w:fldChar w:fldCharType="separate"/>
      </w:r>
      <w:r>
        <w:rPr>
          <w:rStyle w:val="32"/>
          <w:rFonts w:cs="宋体"/>
          <w:color w:val="auto"/>
          <w:szCs w:val="21"/>
        </w:rPr>
        <w:t>www.chinanpo.gov.cn</w:t>
      </w:r>
      <w:r>
        <w:rPr>
          <w:rStyle w:val="32"/>
          <w:rFonts w:cs="宋体"/>
          <w:color w:val="auto"/>
          <w:szCs w:val="21"/>
        </w:rPr>
        <w:fldChar w:fldCharType="end"/>
      </w:r>
      <w:r>
        <w:rPr>
          <w:rFonts w:hint="eastAsia" w:ascii="宋体" w:hAnsi="宋体" w:cs="宋体"/>
          <w:color w:val="auto"/>
          <w:szCs w:val="21"/>
        </w:rPr>
        <w:t>）；</w:t>
      </w:r>
    </w:p>
    <w:p>
      <w:pPr>
        <w:numPr>
          <w:ilvl w:val="0"/>
          <w:numId w:val="7"/>
        </w:numPr>
        <w:spacing w:line="360" w:lineRule="auto"/>
        <w:ind w:firstLine="420" w:firstLineChars="200"/>
        <w:contextualSpacing/>
        <w:rPr>
          <w:rFonts w:ascii="宋体" w:cs="宋体"/>
          <w:color w:val="auto"/>
          <w:szCs w:val="21"/>
        </w:rPr>
      </w:pPr>
      <w:r>
        <w:rPr>
          <w:rFonts w:hint="eastAsia" w:ascii="宋体" w:hAnsi="宋体" w:cs="宋体"/>
          <w:color w:val="auto"/>
          <w:szCs w:val="21"/>
        </w:rPr>
        <w:t>截止时间：同投标截止时间；</w:t>
      </w:r>
    </w:p>
    <w:p>
      <w:pPr>
        <w:numPr>
          <w:ilvl w:val="0"/>
          <w:numId w:val="7"/>
        </w:numPr>
        <w:spacing w:line="360" w:lineRule="auto"/>
        <w:ind w:firstLine="420" w:firstLineChars="200"/>
        <w:contextualSpacing/>
        <w:rPr>
          <w:rFonts w:ascii="宋体" w:cs="宋体"/>
          <w:color w:val="auto"/>
          <w:szCs w:val="21"/>
        </w:rPr>
      </w:pPr>
      <w:r>
        <w:rPr>
          <w:rFonts w:hint="eastAsia" w:ascii="宋体" w:hAnsi="宋体" w:cs="宋体"/>
          <w:color w:val="auto"/>
          <w:szCs w:val="21"/>
        </w:rPr>
        <w:t>信用信息查询记录和证据留存具体方式：经采购人确认的查询结果网页截图作为查询记录和证据，与其他采购文件一并保存；</w:t>
      </w:r>
    </w:p>
    <w:p>
      <w:pPr>
        <w:spacing w:line="360" w:lineRule="auto"/>
        <w:ind w:firstLine="420" w:firstLineChars="200"/>
        <w:contextualSpacing/>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68"/>
        <w:ind w:firstLine="420"/>
        <w:rPr>
          <w:rFonts w:cs="宋体"/>
          <w:color w:val="auto"/>
          <w:szCs w:val="21"/>
        </w:rPr>
      </w:pPr>
      <w:r>
        <w:rPr>
          <w:rFonts w:hint="eastAsia" w:cs="宋体"/>
          <w:color w:val="auto"/>
          <w:szCs w:val="21"/>
        </w:rPr>
        <w:t>（</w:t>
      </w:r>
      <w:r>
        <w:rPr>
          <w:rFonts w:cs="宋体"/>
          <w:color w:val="auto"/>
          <w:szCs w:val="21"/>
        </w:rPr>
        <w:t>5</w:t>
      </w:r>
      <w:r>
        <w:rPr>
          <w:rFonts w:hint="eastAsia" w:cs="宋体"/>
          <w:color w:val="auto"/>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3.4 </w:t>
      </w:r>
      <w:r>
        <w:rPr>
          <w:rFonts w:hint="eastAsia" w:ascii="宋体" w:hAnsi="宋体" w:cs="宋体"/>
          <w:color w:val="auto"/>
          <w:kern w:val="0"/>
          <w:szCs w:val="21"/>
        </w:rPr>
        <w:t>单位负责人为同一人或者存在直接控股、管理关系的不同供应商，不得参加同一合同项下的政府采购活动；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3.5 </w:t>
      </w:r>
      <w:r>
        <w:rPr>
          <w:rFonts w:hint="eastAsia" w:ascii="宋体" w:hAnsi="宋体" w:cs="宋体"/>
          <w:color w:val="auto"/>
          <w:kern w:val="0"/>
          <w:szCs w:val="21"/>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3.6 </w:t>
      </w:r>
      <w:r>
        <w:rPr>
          <w:rFonts w:hint="eastAsia" w:ascii="宋体" w:hAnsi="宋体" w:cs="宋体"/>
          <w:color w:val="auto"/>
          <w:kern w:val="0"/>
          <w:szCs w:val="21"/>
        </w:rPr>
        <w:t>“投标邀请”和“投标人须知前附表”规定接受联合体投标的，除应符合本章第</w:t>
      </w:r>
      <w:r>
        <w:rPr>
          <w:rFonts w:ascii="宋体" w:hAnsi="宋体" w:cs="宋体"/>
          <w:color w:val="auto"/>
          <w:kern w:val="0"/>
          <w:szCs w:val="21"/>
        </w:rPr>
        <w:t>3.1</w:t>
      </w:r>
      <w:r>
        <w:rPr>
          <w:rFonts w:hint="eastAsia" w:ascii="宋体" w:hAnsi="宋体" w:cs="宋体"/>
          <w:color w:val="auto"/>
          <w:kern w:val="0"/>
          <w:szCs w:val="21"/>
        </w:rPr>
        <w:t>项和</w:t>
      </w:r>
      <w:r>
        <w:rPr>
          <w:rFonts w:ascii="宋体" w:hAnsi="宋体" w:cs="宋体"/>
          <w:color w:val="auto"/>
          <w:kern w:val="0"/>
          <w:szCs w:val="21"/>
        </w:rPr>
        <w:t>3.2</w:t>
      </w:r>
      <w:r>
        <w:rPr>
          <w:rFonts w:hint="eastAsia" w:ascii="宋体" w:hAnsi="宋体" w:cs="宋体"/>
          <w:color w:val="auto"/>
          <w:kern w:val="0"/>
          <w:szCs w:val="21"/>
        </w:rPr>
        <w:t>项要求外，还应遵守以下规定：</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）在投标文件中向采购人提交联合体协议书，明确联合体各方承担的工作和义务；</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Cs w:val="21"/>
        </w:rPr>
        <w:t>承担连带责任</w:t>
      </w:r>
      <w:r>
        <w:rPr>
          <w:rFonts w:hint="eastAsia" w:ascii="宋体" w:hAnsi="宋体" w:cs="宋体"/>
          <w:color w:val="auto"/>
          <w:kern w:val="0"/>
          <w:szCs w:val="21"/>
        </w:rPr>
        <w:fldChar w:fldCharType="end"/>
      </w:r>
      <w:r>
        <w:rPr>
          <w:rFonts w:hint="eastAsia" w:ascii="宋体" w:hAnsi="宋体" w:cs="宋体"/>
          <w:color w:val="auto"/>
          <w:kern w:val="0"/>
          <w:szCs w:val="21"/>
        </w:rPr>
        <w:t>。</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3.7 </w:t>
      </w:r>
      <w:r>
        <w:rPr>
          <w:rFonts w:hint="eastAsia" w:ascii="宋体" w:hAnsi="宋体" w:cs="宋体"/>
          <w:color w:val="auto"/>
          <w:kern w:val="0"/>
          <w:szCs w:val="21"/>
        </w:rPr>
        <w:t>法律、行政法规规定的其他条件。</w:t>
      </w:r>
    </w:p>
    <w:p>
      <w:pPr>
        <w:pStyle w:val="56"/>
        <w:autoSpaceDE w:val="0"/>
        <w:autoSpaceDN w:val="0"/>
        <w:spacing w:line="360" w:lineRule="auto"/>
        <w:ind w:firstLine="0" w:firstLineChars="0"/>
        <w:contextualSpacing/>
        <w:rPr>
          <w:rFonts w:ascii="宋体" w:cs="宋体"/>
          <w:b/>
          <w:color w:val="auto"/>
          <w:kern w:val="0"/>
          <w:szCs w:val="21"/>
        </w:rPr>
      </w:pPr>
      <w:r>
        <w:rPr>
          <w:rFonts w:ascii="宋体" w:hAnsi="宋体" w:cs="宋体"/>
          <w:b/>
          <w:color w:val="auto"/>
          <w:kern w:val="0"/>
          <w:szCs w:val="21"/>
        </w:rPr>
        <w:t>4.</w:t>
      </w:r>
      <w:r>
        <w:rPr>
          <w:rFonts w:hint="eastAsia" w:ascii="宋体" w:hAnsi="宋体" w:cs="宋体"/>
          <w:b/>
          <w:color w:val="auto"/>
          <w:kern w:val="0"/>
          <w:szCs w:val="21"/>
        </w:rPr>
        <w:t>合格的货物和服务</w:t>
      </w:r>
    </w:p>
    <w:p>
      <w:pPr>
        <w:pStyle w:val="56"/>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4.1 </w:t>
      </w:r>
      <w:r>
        <w:rPr>
          <w:rFonts w:hint="eastAsia" w:ascii="宋体" w:hAnsi="宋体" w:cs="宋体"/>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6"/>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 xml:space="preserve">4.2 </w:t>
      </w:r>
      <w:r>
        <w:rPr>
          <w:rFonts w:hint="eastAsia" w:ascii="宋体" w:hAnsi="宋体" w:cs="宋体"/>
          <w:color w:val="auto"/>
          <w:kern w:val="0"/>
          <w:szCs w:val="21"/>
        </w:rPr>
        <w:t>投标人所提供的服务应当没有侵犯任何第三方的知识产权、秘密等合法权利。</w:t>
      </w:r>
    </w:p>
    <w:p>
      <w:pPr>
        <w:pStyle w:val="56"/>
        <w:autoSpaceDE w:val="0"/>
        <w:autoSpaceDN w:val="0"/>
        <w:spacing w:line="360" w:lineRule="auto"/>
        <w:contextualSpacing/>
        <w:rPr>
          <w:rFonts w:ascii="宋体" w:hAnsi="宋体" w:cs="宋体"/>
          <w:color w:val="auto"/>
          <w:kern w:val="0"/>
          <w:szCs w:val="21"/>
        </w:rPr>
      </w:pPr>
      <w:r>
        <w:rPr>
          <w:rFonts w:hint="eastAsia" w:ascii="宋体" w:hAnsi="宋体" w:cs="宋体"/>
          <w:color w:val="auto"/>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6"/>
        <w:autoSpaceDE w:val="0"/>
        <w:autoSpaceDN w:val="0"/>
        <w:spacing w:line="360" w:lineRule="auto"/>
        <w:contextualSpacing/>
        <w:rPr>
          <w:rFonts w:asci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4 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auto"/>
          <w:kern w:val="0"/>
          <w:szCs w:val="21"/>
        </w:rPr>
        <w:t xml:space="preserve">CCC </w:t>
      </w:r>
      <w:r>
        <w:rPr>
          <w:rFonts w:hint="eastAsia" w:ascii="宋体" w:hAnsi="宋体" w:cs="宋体"/>
          <w:color w:val="auto"/>
          <w:kern w:val="0"/>
          <w:szCs w:val="21"/>
        </w:rPr>
        <w:t>认证）。投标人不能提供超出此目录范畴外的替代品。</w:t>
      </w:r>
    </w:p>
    <w:p>
      <w:pPr>
        <w:pStyle w:val="56"/>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5 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Cs w:val="21"/>
        </w:rPr>
        <w:t>中国国家信息安全产品认证证书</w:t>
      </w:r>
      <w:r>
        <w:rPr>
          <w:rFonts w:hint="eastAsia" w:ascii="宋体" w:hAnsi="宋体" w:cs="宋体"/>
          <w:color w:val="auto"/>
          <w:kern w:val="0"/>
          <w:szCs w:val="21"/>
        </w:rPr>
        <w:fldChar w:fldCharType="end"/>
      </w:r>
      <w:r>
        <w:rPr>
          <w:rFonts w:hint="eastAsia" w:ascii="宋体" w:hAnsi="宋体" w:cs="宋体"/>
          <w:color w:val="auto"/>
          <w:kern w:val="0"/>
          <w:szCs w:val="21"/>
        </w:rPr>
        <w:t>》。投标人不能提供超出此目录范畴外的替代品。</w:t>
      </w:r>
    </w:p>
    <w:p>
      <w:pPr>
        <w:pStyle w:val="56"/>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 xml:space="preserve">4.6 </w:t>
      </w:r>
      <w:r>
        <w:rPr>
          <w:rFonts w:hint="eastAsia" w:ascii="宋体" w:hAnsi="宋体" w:cs="宋体"/>
          <w:color w:val="auto"/>
          <w:kern w:val="0"/>
          <w:szCs w:val="21"/>
        </w:rPr>
        <w:t>成交单位由于自身原因造成项目延期交付使用，造成采购人损失由成交单位承担，对此作出承诺，否则按未实质性影响招标文件，无效标处理。</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5</w:t>
      </w:r>
      <w:r>
        <w:rPr>
          <w:rFonts w:hint="eastAsia" w:ascii="宋体" w:hAnsi="宋体" w:cs="宋体"/>
          <w:b/>
          <w:color w:val="auto"/>
          <w:kern w:val="0"/>
          <w:szCs w:val="21"/>
        </w:rPr>
        <w:t>．投标费用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6</w:t>
      </w:r>
      <w:r>
        <w:rPr>
          <w:rFonts w:hint="eastAsia" w:ascii="宋体" w:hAnsi="宋体" w:cs="宋体"/>
          <w:b/>
          <w:color w:val="auto"/>
          <w:kern w:val="0"/>
          <w:szCs w:val="21"/>
        </w:rPr>
        <w:t>．信息发布</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auto"/>
          <w:szCs w:val="21"/>
        </w:rPr>
        <w:t>《河南省政府采购网》、《许昌市政府采购网》、</w:t>
      </w:r>
      <w:r>
        <w:rPr>
          <w:rFonts w:hint="eastAsia" w:ascii="宋体" w:hAnsi="宋体" w:cs="宋体"/>
          <w:color w:val="auto"/>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7.</w:t>
      </w:r>
      <w:r>
        <w:rPr>
          <w:rFonts w:hint="eastAsia" w:ascii="宋体" w:hAnsi="宋体" w:cs="宋体"/>
          <w:b/>
          <w:color w:val="auto"/>
          <w:kern w:val="0"/>
          <w:szCs w:val="21"/>
        </w:rPr>
        <w:t>采购代理机构代理费用收取标准和方式</w:t>
      </w:r>
    </w:p>
    <w:p>
      <w:pPr>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见投标人须知前附表。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8. </w:t>
      </w:r>
      <w:r>
        <w:rPr>
          <w:rFonts w:hint="eastAsia" w:ascii="宋体" w:hAnsi="宋体" w:cs="宋体"/>
          <w:b/>
          <w:color w:val="auto"/>
          <w:kern w:val="0"/>
          <w:szCs w:val="21"/>
        </w:rPr>
        <w:t>其他</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二、招标文件说明</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9</w:t>
      </w:r>
      <w:r>
        <w:rPr>
          <w:rFonts w:hint="eastAsia" w:ascii="宋体" w:hAnsi="宋体" w:cs="宋体"/>
          <w:b/>
          <w:color w:val="auto"/>
          <w:kern w:val="0"/>
          <w:szCs w:val="21"/>
        </w:rPr>
        <w:t>．招标文件构成</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9.1 </w:t>
      </w:r>
      <w:r>
        <w:rPr>
          <w:rFonts w:hint="eastAsia" w:ascii="宋体" w:hAnsi="宋体" w:cs="宋体"/>
          <w:color w:val="auto"/>
          <w:kern w:val="0"/>
          <w:szCs w:val="21"/>
        </w:rPr>
        <w:t>招标文件由以下部分组成：</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）投标邀请（招标公告）</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）项目需求</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）投标人须知前附表</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）投标人须知</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）政府采购政策功能</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）资格审查与评标</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）合同条款及格式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）投标文件有关格式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）本项目招标文件的附件澄清、答复、修改、补充内容（如有的话）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9.2 </w:t>
      </w:r>
      <w:r>
        <w:rPr>
          <w:rFonts w:hint="eastAsia" w:ascii="宋体" w:hAnsi="宋体" w:cs="宋体"/>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9.3 </w:t>
      </w:r>
      <w:r>
        <w:rPr>
          <w:rFonts w:hint="eastAsia" w:ascii="宋体" w:hAnsi="宋体" w:cs="宋体"/>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10.</w:t>
      </w:r>
      <w:r>
        <w:rPr>
          <w:rFonts w:hint="eastAsia" w:ascii="宋体" w:hAnsi="宋体" w:cs="宋体"/>
          <w:b/>
          <w:color w:val="auto"/>
          <w:kern w:val="0"/>
          <w:szCs w:val="21"/>
        </w:rPr>
        <w:t>现场考察、开标前答疑会</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10.1 </w:t>
      </w:r>
      <w:r>
        <w:rPr>
          <w:rFonts w:hint="eastAsia" w:ascii="宋体" w:hAnsi="宋体" w:cs="宋体"/>
          <w:color w:val="auto"/>
          <w:kern w:val="0"/>
          <w:szCs w:val="21"/>
        </w:rPr>
        <w:t>不统一组织，自行考察。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10.</w:t>
      </w:r>
      <w:r>
        <w:rPr>
          <w:rFonts w:hint="eastAsia" w:ascii="宋体" w:hAnsi="宋体" w:cs="宋体"/>
          <w:color w:val="auto"/>
          <w:kern w:val="0"/>
          <w:szCs w:val="21"/>
        </w:rPr>
        <w:t>2</w:t>
      </w:r>
      <w:r>
        <w:rPr>
          <w:rFonts w:ascii="宋体" w:hAnsi="宋体" w:cs="宋体"/>
          <w:color w:val="auto"/>
          <w:kern w:val="0"/>
          <w:szCs w:val="21"/>
        </w:rPr>
        <w:t xml:space="preserve"> </w:t>
      </w:r>
      <w:r>
        <w:rPr>
          <w:rFonts w:hint="eastAsia" w:ascii="宋体" w:hAnsi="宋体" w:cs="宋体"/>
          <w:color w:val="auto"/>
          <w:kern w:val="0"/>
          <w:szCs w:val="21"/>
        </w:rPr>
        <w:t>自行现场考察所发生的费用及一切责任由投标人自行承担。</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11.</w:t>
      </w:r>
      <w:r>
        <w:rPr>
          <w:rFonts w:hint="eastAsia" w:ascii="宋体" w:hAnsi="宋体" w:cs="宋体"/>
          <w:b/>
          <w:color w:val="auto"/>
          <w:kern w:val="0"/>
          <w:szCs w:val="21"/>
        </w:rPr>
        <w:t>招标文件的澄清或修改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11.1 </w:t>
      </w:r>
      <w:r>
        <w:rPr>
          <w:rFonts w:hint="eastAsia" w:ascii="宋体" w:hAnsi="宋体" w:cs="宋体"/>
          <w:color w:val="auto"/>
          <w:kern w:val="0"/>
          <w:szCs w:val="21"/>
        </w:rPr>
        <w:t>在投标截止期前，无论出于何种原因，招标人可主动地或在解答潜在投标人提出的澄清问题时对招标文件进行修改。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11.2 </w:t>
      </w:r>
      <w:r>
        <w:rPr>
          <w:rFonts w:hint="eastAsia" w:ascii="宋体" w:hAnsi="宋体" w:cs="宋体"/>
          <w:color w:val="auto"/>
          <w:kern w:val="0"/>
          <w:szCs w:val="21"/>
        </w:rPr>
        <w:t>招标人可以对已发出的招标文件进行必要的澄清或者修改。澄清或者修改的内容可能影响投标文件编制的，招标人将在投标截止时间</w:t>
      </w:r>
      <w:r>
        <w:rPr>
          <w:rFonts w:ascii="宋体" w:hAnsi="宋体" w:cs="宋体"/>
          <w:color w:val="auto"/>
          <w:kern w:val="0"/>
          <w:szCs w:val="21"/>
        </w:rPr>
        <w:t>15</w:t>
      </w:r>
      <w:r>
        <w:rPr>
          <w:rFonts w:hint="eastAsia" w:ascii="宋体" w:hAnsi="宋体" w:cs="宋体"/>
          <w:color w:val="auto"/>
          <w:kern w:val="0"/>
          <w:szCs w:val="21"/>
        </w:rPr>
        <w:t>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11.3 </w:t>
      </w:r>
      <w:r>
        <w:rPr>
          <w:rFonts w:hint="eastAsia" w:ascii="宋体" w:hAnsi="宋体" w:cs="宋体"/>
          <w:color w:val="auto"/>
          <w:kern w:val="0"/>
          <w:szCs w:val="21"/>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0" w:firstLineChars="200"/>
        <w:contextualSpacing/>
        <w:rPr>
          <w:rFonts w:ascii="宋体" w:cs="宋体"/>
          <w:b/>
          <w:color w:val="auto"/>
          <w:kern w:val="0"/>
          <w:szCs w:val="21"/>
        </w:rPr>
      </w:pPr>
      <w:r>
        <w:rPr>
          <w:rFonts w:ascii="宋体" w:hAnsi="宋体" w:cs="宋体"/>
          <w:color w:val="auto"/>
          <w:kern w:val="0"/>
          <w:szCs w:val="21"/>
        </w:rPr>
        <w:t xml:space="preserve">11.4 </w:t>
      </w:r>
      <w:r>
        <w:rPr>
          <w:rFonts w:hint="eastAsia" w:ascii="宋体" w:hAnsi="宋体" w:cs="宋体"/>
          <w:color w:val="auto"/>
          <w:kern w:val="0"/>
          <w:szCs w:val="21"/>
        </w:rPr>
        <w:t>如果澄清或者修改发出的时间距规定的投标截止时间不足</w:t>
      </w:r>
      <w:r>
        <w:rPr>
          <w:rFonts w:ascii="宋体" w:hAnsi="宋体" w:cs="宋体"/>
          <w:color w:val="auto"/>
          <w:kern w:val="0"/>
          <w:szCs w:val="21"/>
        </w:rPr>
        <w:t>15</w:t>
      </w:r>
      <w:r>
        <w:rPr>
          <w:rFonts w:hint="eastAsia" w:ascii="宋体" w:hAnsi="宋体" w:cs="宋体"/>
          <w:color w:val="auto"/>
          <w:kern w:val="0"/>
          <w:szCs w:val="21"/>
        </w:rPr>
        <w:t>日，招标人将顺延提交投标文件的截止时间。</w:t>
      </w:r>
    </w:p>
    <w:p>
      <w:pPr>
        <w:tabs>
          <w:tab w:val="left" w:pos="1260"/>
        </w:tabs>
        <w:autoSpaceDE w:val="0"/>
        <w:autoSpaceDN w:val="0"/>
        <w:spacing w:line="360" w:lineRule="auto"/>
        <w:contextualSpacing/>
        <w:jc w:val="center"/>
        <w:rPr>
          <w:rFonts w:cs="宋体"/>
          <w:color w:val="auto"/>
          <w:sz w:val="21"/>
          <w:szCs w:val="21"/>
        </w:rPr>
      </w:pPr>
      <w:r>
        <w:rPr>
          <w:rFonts w:hint="eastAsia" w:ascii="宋体" w:hAnsi="宋体" w:cs="宋体"/>
          <w:b/>
          <w:color w:val="auto"/>
          <w:kern w:val="0"/>
          <w:sz w:val="21"/>
          <w:szCs w:val="21"/>
          <w:lang w:eastAsia="zh-CN"/>
        </w:rPr>
        <w:t>三</w:t>
      </w:r>
      <w:r>
        <w:rPr>
          <w:rFonts w:hint="eastAsia" w:ascii="宋体" w:hAnsi="宋体" w:cs="宋体"/>
          <w:b/>
          <w:color w:val="auto"/>
          <w:kern w:val="0"/>
          <w:sz w:val="21"/>
          <w:szCs w:val="21"/>
        </w:rPr>
        <w:t>、投标文件的编制</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12</w:t>
      </w:r>
      <w:r>
        <w:rPr>
          <w:rFonts w:hint="eastAsia" w:ascii="宋体" w:hAnsi="宋体" w:cs="宋体"/>
          <w:b/>
          <w:color w:val="auto"/>
          <w:kern w:val="0"/>
          <w:szCs w:val="21"/>
        </w:rPr>
        <w:t>．投标的语言及计量单位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12</w:t>
      </w:r>
      <w:r>
        <w:rPr>
          <w:rFonts w:hint="eastAsia" w:ascii="宋体" w:hAnsi="宋体" w:cs="宋体"/>
          <w:color w:val="auto"/>
          <w:kern w:val="0"/>
          <w:szCs w:val="21"/>
        </w:rPr>
        <w:t>．</w:t>
      </w:r>
      <w:r>
        <w:rPr>
          <w:rFonts w:ascii="宋体" w:hAnsi="宋体" w:cs="宋体"/>
          <w:color w:val="auto"/>
          <w:kern w:val="0"/>
          <w:szCs w:val="21"/>
        </w:rPr>
        <w:t xml:space="preserve">1 </w:t>
      </w:r>
      <w:r>
        <w:rPr>
          <w:rFonts w:hint="eastAsia" w:ascii="宋体" w:hAnsi="宋体" w:cs="宋体"/>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12.2 </w:t>
      </w:r>
      <w:r>
        <w:rPr>
          <w:rFonts w:hint="eastAsia" w:ascii="宋体" w:hAnsi="宋体" w:cs="宋体"/>
          <w:color w:val="auto"/>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13. </w:t>
      </w:r>
      <w:r>
        <w:rPr>
          <w:rFonts w:hint="eastAsia" w:ascii="宋体" w:hAnsi="宋体" w:cs="宋体"/>
          <w:b/>
          <w:color w:val="auto"/>
          <w:kern w:val="0"/>
          <w:szCs w:val="21"/>
        </w:rPr>
        <w:t>投标报价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13.1 </w:t>
      </w:r>
      <w:r>
        <w:rPr>
          <w:rFonts w:hint="eastAsia" w:ascii="宋体" w:hAnsi="宋体" w:cs="宋体"/>
          <w:color w:val="auto"/>
          <w:kern w:val="0"/>
          <w:szCs w:val="21"/>
        </w:rPr>
        <w:t>本次招标项目的投标均以</w:t>
      </w:r>
      <w:r>
        <w:rPr>
          <w:rFonts w:hint="eastAsia" w:ascii="宋体" w:hAnsi="宋体" w:cs="宋体"/>
          <w:b/>
          <w:color w:val="auto"/>
          <w:kern w:val="0"/>
          <w:szCs w:val="21"/>
        </w:rPr>
        <w:t>人民币</w:t>
      </w:r>
      <w:r>
        <w:rPr>
          <w:rFonts w:hint="eastAsia" w:ascii="宋体" w:hAnsi="宋体" w:cs="宋体"/>
          <w:color w:val="auto"/>
          <w:kern w:val="0"/>
          <w:szCs w:val="21"/>
        </w:rPr>
        <w:t>为计算单位。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13.2 </w:t>
      </w:r>
      <w:r>
        <w:rPr>
          <w:rFonts w:hint="eastAsia" w:ascii="宋体" w:hAnsi="宋体" w:cs="宋体"/>
          <w:color w:val="auto"/>
          <w:kern w:val="0"/>
          <w:szCs w:val="21"/>
        </w:rPr>
        <w:t>采购人不得向投标人索要或者接受其给予的赠品、回扣或者与采购无关的其他商品、服务。</w:t>
      </w:r>
    </w:p>
    <w:p>
      <w:pPr>
        <w:pStyle w:val="35"/>
        <w:spacing w:line="374" w:lineRule="auto"/>
        <w:rPr>
          <w:rFonts w:ascii="宋体" w:cs="宋体"/>
          <w:color w:val="auto"/>
          <w:kern w:val="0"/>
          <w:szCs w:val="21"/>
        </w:rPr>
      </w:pPr>
      <w:r>
        <w:rPr>
          <w:rFonts w:ascii="宋体" w:hAnsi="宋体" w:cs="宋体"/>
          <w:color w:val="auto"/>
          <w:kern w:val="0"/>
          <w:szCs w:val="21"/>
        </w:rPr>
        <w:t xml:space="preserve">13.3 </w:t>
      </w:r>
      <w:r>
        <w:rPr>
          <w:rFonts w:hint="eastAsia" w:ascii="宋体" w:hAnsi="宋体" w:cs="宋体"/>
          <w:color w:val="auto"/>
          <w:kern w:val="0"/>
          <w:szCs w:val="21"/>
        </w:rPr>
        <w:t>投标人应对项目要求的全部内容进行报价，少报漏报将导致其投标</w:t>
      </w:r>
      <w:r>
        <w:rPr>
          <w:rFonts w:hint="eastAsia" w:ascii="宋体" w:hAnsi="宋体" w:cs="宋体"/>
          <w:color w:val="auto"/>
          <w:szCs w:val="21"/>
          <w:lang w:val="en-GB"/>
        </w:rPr>
        <w:t>为非实质性响应予以拒绝。</w:t>
      </w:r>
    </w:p>
    <w:p>
      <w:pPr>
        <w:spacing w:line="360" w:lineRule="auto"/>
        <w:ind w:firstLine="420" w:firstLineChars="200"/>
        <w:outlineLvl w:val="0"/>
        <w:rPr>
          <w:rFonts w:ascii="宋体" w:cs="宋体"/>
          <w:color w:val="auto"/>
          <w:kern w:val="0"/>
          <w:szCs w:val="21"/>
        </w:rPr>
      </w:pPr>
      <w:r>
        <w:rPr>
          <w:rFonts w:ascii="宋体" w:hAnsi="宋体" w:cs="宋体"/>
          <w:color w:val="auto"/>
          <w:kern w:val="0"/>
          <w:szCs w:val="21"/>
        </w:rPr>
        <w:t xml:space="preserve">13.4 </w:t>
      </w:r>
      <w:r>
        <w:rPr>
          <w:rFonts w:hint="eastAsia" w:ascii="宋体" w:hAnsi="宋体" w:cs="宋体"/>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13.5 </w:t>
      </w:r>
      <w:r>
        <w:rPr>
          <w:rFonts w:hint="eastAsia" w:ascii="宋体" w:hAnsi="宋体" w:cs="宋体"/>
          <w:color w:val="auto"/>
          <w:kern w:val="0"/>
          <w:szCs w:val="21"/>
        </w:rPr>
        <w:t>本项目所涉及的运输、施工、安装、集成、调试、验收、备品和工具等费用均包含在投标报价中。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13.6 </w:t>
      </w:r>
      <w:r>
        <w:rPr>
          <w:rFonts w:hint="eastAsia" w:ascii="宋体" w:hAnsi="宋体" w:cs="宋体"/>
          <w:color w:val="auto"/>
          <w:kern w:val="0"/>
          <w:szCs w:val="21"/>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13.7 </w:t>
      </w:r>
      <w:r>
        <w:rPr>
          <w:rFonts w:hint="eastAsia" w:ascii="宋体" w:hAnsi="宋体" w:cs="宋体"/>
          <w:color w:val="auto"/>
          <w:kern w:val="0"/>
          <w:szCs w:val="21"/>
        </w:rPr>
        <w:t>报价不得高于本项目最高限价，且不低于成本价。</w:t>
      </w:r>
      <w:r>
        <w:rPr>
          <w:rFonts w:hint="eastAsia" w:ascii="宋体" w:hAnsi="宋体" w:cs="宋体"/>
          <w:color w:val="auto"/>
          <w:szCs w:val="21"/>
          <w:lang w:val="en-GB"/>
        </w:rPr>
        <w:t>本次招标实行“最高限价（项目控制金额上限）”</w:t>
      </w:r>
      <w:r>
        <w:rPr>
          <w:rFonts w:ascii="宋体" w:cs="宋体"/>
          <w:color w:val="auto"/>
          <w:szCs w:val="21"/>
          <w:lang w:val="en-GB"/>
        </w:rPr>
        <w:t>,</w:t>
      </w:r>
      <w:r>
        <w:rPr>
          <w:rFonts w:hint="eastAsia" w:ascii="宋体" w:hAnsi="宋体" w:cs="宋体"/>
          <w:color w:val="auto"/>
          <w:szCs w:val="21"/>
          <w:lang w:val="en-GB"/>
        </w:rPr>
        <w:t>投标人的投标报价高于最高限价（项目控制金额上限）的，该投标人的投标文件将被视为非实质性响应予以拒绝。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13.8 </w:t>
      </w:r>
      <w:r>
        <w:rPr>
          <w:rFonts w:hint="eastAsia" w:ascii="宋体" w:hAnsi="宋体" w:cs="宋体"/>
          <w:color w:val="auto"/>
          <w:kern w:val="0"/>
          <w:szCs w:val="21"/>
        </w:rPr>
        <w:t>最低报价不能作为中标的保证。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14</w:t>
      </w:r>
      <w:r>
        <w:rPr>
          <w:rFonts w:hint="eastAsia" w:ascii="宋体" w:hAnsi="宋体" w:cs="宋体"/>
          <w:b/>
          <w:color w:val="auto"/>
          <w:kern w:val="0"/>
          <w:szCs w:val="21"/>
        </w:rPr>
        <w:t>．投标有效期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14.1 </w:t>
      </w:r>
      <w:r>
        <w:rPr>
          <w:rFonts w:hint="eastAsia" w:ascii="宋体" w:hAnsi="宋体" w:cs="宋体"/>
          <w:color w:val="auto"/>
          <w:kern w:val="0"/>
          <w:szCs w:val="21"/>
        </w:rPr>
        <w:t>投标有效期从提交投标文件的截止之日起算。本项目投标有效期详</w:t>
      </w:r>
      <w:r>
        <w:rPr>
          <w:rFonts w:hint="eastAsia" w:ascii="宋体" w:hAnsi="宋体" w:cs="宋体"/>
          <w:color w:val="auto"/>
          <w:szCs w:val="21"/>
          <w:lang w:val="zh-CN"/>
        </w:rPr>
        <w:t>见投标人须知前附表。</w:t>
      </w:r>
      <w:r>
        <w:rPr>
          <w:rFonts w:hint="eastAsia" w:ascii="宋体" w:hAnsi="宋体" w:cs="宋体"/>
          <w:color w:val="auto"/>
          <w:kern w:val="0"/>
          <w:szCs w:val="21"/>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14.2 </w:t>
      </w:r>
      <w:r>
        <w:rPr>
          <w:rFonts w:hint="eastAsia" w:ascii="宋体" w:hAnsi="宋体" w:cs="宋体"/>
          <w:color w:val="auto"/>
          <w:kern w:val="0"/>
          <w:szCs w:val="21"/>
        </w:rPr>
        <w:t>投标有效期内投标人撤销投标文件的，招标人将不退还投标保证金。</w:t>
      </w:r>
    </w:p>
    <w:p>
      <w:pPr>
        <w:widowControl/>
        <w:tabs>
          <w:tab w:val="left" w:pos="636"/>
        </w:tabs>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14.3 </w:t>
      </w:r>
      <w:r>
        <w:rPr>
          <w:rFonts w:hint="eastAsia" w:ascii="宋体" w:hAnsi="宋体" w:cs="宋体"/>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14.4 </w:t>
      </w:r>
      <w:r>
        <w:rPr>
          <w:rFonts w:hint="eastAsia" w:ascii="宋体" w:hAnsi="宋体" w:cs="宋体"/>
          <w:color w:val="auto"/>
          <w:kern w:val="0"/>
          <w:szCs w:val="21"/>
        </w:rPr>
        <w:t>中标人的投标文件作为项目合同的附件，其有效期至中标人全部合同义务履行完毕为止。</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15</w:t>
      </w:r>
      <w:r>
        <w:rPr>
          <w:rFonts w:hint="eastAsia" w:ascii="宋体" w:hAnsi="宋体" w:cs="宋体"/>
          <w:b/>
          <w:color w:val="auto"/>
          <w:kern w:val="0"/>
          <w:szCs w:val="21"/>
        </w:rPr>
        <w:t>．投标文件构成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15.1 </w:t>
      </w:r>
      <w:r>
        <w:rPr>
          <w:rFonts w:hint="eastAsia" w:ascii="宋体" w:hAnsi="宋体" w:cs="宋体"/>
          <w:color w:val="auto"/>
          <w:kern w:val="0"/>
          <w:szCs w:val="21"/>
        </w:rPr>
        <w:t>投标文件的构成应符合法律法规及招标文件的要求。</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15.2 </w:t>
      </w:r>
      <w:r>
        <w:rPr>
          <w:rFonts w:hint="eastAsia" w:ascii="宋体" w:hAnsi="宋体" w:cs="宋体"/>
          <w:color w:val="auto"/>
          <w:kern w:val="0"/>
          <w:szCs w:val="21"/>
        </w:rPr>
        <w:t>投标人应当按照招标文件的要求编制投标文件。投标文件应当对招标文件提出的要求和条件作出明确响应。</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15.3 </w:t>
      </w:r>
      <w:r>
        <w:rPr>
          <w:rFonts w:hint="eastAsia" w:ascii="宋体" w:hAnsi="宋体" w:cs="宋体"/>
          <w:color w:val="auto"/>
          <w:kern w:val="0"/>
          <w:szCs w:val="21"/>
        </w:rPr>
        <w:t>投标文件由资格证明材料、符合性证明材料、其它材料等组成。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15.4 </w:t>
      </w:r>
      <w:r>
        <w:rPr>
          <w:rFonts w:hint="eastAsia" w:ascii="宋体" w:hAnsi="宋体" w:cs="宋体"/>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0" w:firstLineChars="200"/>
        <w:contextualSpacing/>
        <w:rPr>
          <w:rFonts w:ascii="宋体" w:hAnsi="宋体" w:cs="宋体"/>
          <w:bCs/>
          <w:color w:val="auto"/>
          <w:kern w:val="0"/>
          <w:szCs w:val="21"/>
        </w:rPr>
      </w:pPr>
      <w:r>
        <w:rPr>
          <w:rFonts w:hint="eastAsia" w:ascii="宋体" w:hAnsi="宋体" w:cs="宋体"/>
          <w:bCs/>
          <w:color w:val="auto"/>
          <w:kern w:val="0"/>
          <w:szCs w:val="21"/>
        </w:rPr>
        <w:t>15.5 投标人登录许昌公共资源交易系统下载“许昌投标文件制作系统SEARUN 最新版本”，按招标文件要求根据所投标段制作电子投标文件。 一个标段对应生成一个文件夹（xxxx项目xx标段）,后缀名为“</w:t>
      </w:r>
      <w:r>
        <w:rPr>
          <w:rFonts w:ascii="宋体" w:hAnsi="宋体" w:cs="宋体"/>
          <w:bCs/>
          <w:color w:val="auto"/>
          <w:kern w:val="0"/>
          <w:szCs w:val="21"/>
        </w:rPr>
        <w:t>.file</w:t>
      </w:r>
      <w:r>
        <w:rPr>
          <w:rFonts w:hint="eastAsia" w:ascii="宋体" w:hAnsi="宋体" w:cs="宋体"/>
          <w:bCs/>
          <w:color w:val="auto"/>
          <w:kern w:val="0"/>
          <w:szCs w:val="21"/>
        </w:rPr>
        <w:t>”的文件用于电子投标使用。</w:t>
      </w:r>
    </w:p>
    <w:p>
      <w:pPr>
        <w:autoSpaceDE w:val="0"/>
        <w:autoSpaceDN w:val="0"/>
        <w:spacing w:line="360" w:lineRule="auto"/>
        <w:contextualSpacing/>
        <w:rPr>
          <w:rFonts w:ascii="宋体" w:hAnsi="宋体" w:cs="宋体"/>
          <w:bCs/>
          <w:color w:val="auto"/>
          <w:kern w:val="0"/>
          <w:szCs w:val="21"/>
        </w:rPr>
      </w:pPr>
      <w:r>
        <w:rPr>
          <w:rFonts w:hint="eastAsia" w:ascii="宋体" w:hAnsi="宋体" w:cs="宋体"/>
          <w:bCs/>
          <w:color w:val="auto"/>
          <w:kern w:val="0"/>
          <w:szCs w:val="21"/>
        </w:rPr>
        <w:t>电子投标文件制作技术咨询：0374-2961598。</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16.</w:t>
      </w:r>
      <w:r>
        <w:rPr>
          <w:rFonts w:hint="eastAsia" w:ascii="宋体" w:hAnsi="宋体" w:cs="宋体"/>
          <w:b/>
          <w:color w:val="auto"/>
          <w:kern w:val="0"/>
          <w:szCs w:val="21"/>
        </w:rPr>
        <w:t>投标文件格式</w:t>
      </w:r>
    </w:p>
    <w:p>
      <w:pPr>
        <w:autoSpaceDE w:val="0"/>
        <w:autoSpaceDN w:val="0"/>
        <w:spacing w:line="360" w:lineRule="auto"/>
        <w:ind w:firstLine="420" w:firstLineChars="200"/>
        <w:contextualSpacing/>
        <w:rPr>
          <w:rFonts w:ascii="宋体" w:hAnsi="宋体" w:cs="宋体"/>
          <w:color w:val="auto"/>
          <w:kern w:val="0"/>
          <w:szCs w:val="21"/>
        </w:rPr>
      </w:pPr>
      <w:r>
        <w:rPr>
          <w:rFonts w:hint="eastAsia" w:ascii="宋体" w:hAnsi="宋体" w:cs="宋体"/>
          <w:color w:val="auto"/>
          <w:kern w:val="0"/>
          <w:szCs w:val="21"/>
        </w:rPr>
        <w:t>投标人应按招标文件提供的格式编写投标文件。招标文件未提供标准格式的投标人可自行拟定。</w:t>
      </w:r>
    </w:p>
    <w:p>
      <w:pPr>
        <w:autoSpaceDE w:val="0"/>
        <w:autoSpaceDN w:val="0"/>
        <w:spacing w:line="360" w:lineRule="auto"/>
        <w:contextualSpacing/>
        <w:rPr>
          <w:rFonts w:ascii="宋体" w:hAnsi="宋体" w:cs="宋体"/>
          <w:b/>
          <w:color w:val="auto"/>
          <w:kern w:val="0"/>
          <w:szCs w:val="21"/>
        </w:rPr>
      </w:pPr>
      <w:r>
        <w:rPr>
          <w:rFonts w:hint="eastAsia" w:ascii="宋体" w:hAnsi="宋体" w:cs="宋体"/>
          <w:b/>
          <w:color w:val="auto"/>
          <w:kern w:val="0"/>
          <w:szCs w:val="21"/>
        </w:rPr>
        <w:t>17.投标保证金</w:t>
      </w:r>
    </w:p>
    <w:p>
      <w:pPr>
        <w:autoSpaceDE w:val="0"/>
        <w:autoSpaceDN w:val="0"/>
        <w:adjustRightInd w:val="0"/>
        <w:spacing w:line="360" w:lineRule="auto"/>
        <w:ind w:firstLine="420" w:firstLineChars="200"/>
        <w:rPr>
          <w:rFonts w:ascii="宋体" w:hAnsi="宋体" w:cs="宋体"/>
          <w:color w:val="auto"/>
          <w:szCs w:val="21"/>
          <w:lang w:val="zh-CN"/>
        </w:rPr>
      </w:pPr>
      <w:r>
        <w:rPr>
          <w:rFonts w:hint="eastAsia" w:ascii="宋体" w:hAnsi="宋体" w:cs="宋体"/>
          <w:color w:val="auto"/>
          <w:szCs w:val="21"/>
        </w:rPr>
        <w:t>17.1</w:t>
      </w:r>
      <w:r>
        <w:rPr>
          <w:rFonts w:hint="eastAsia" w:ascii="宋体" w:hAnsi="宋体" w:cs="宋体"/>
          <w:color w:val="auto"/>
          <w:szCs w:val="21"/>
          <w:lang w:val="zh-CN"/>
        </w:rPr>
        <w:t>本项目不收取投标保证金。</w:t>
      </w:r>
    </w:p>
    <w:p>
      <w:pPr>
        <w:autoSpaceDE w:val="0"/>
        <w:autoSpaceDN w:val="0"/>
        <w:adjustRightInd w:val="0"/>
        <w:spacing w:line="360" w:lineRule="auto"/>
        <w:ind w:firstLine="420" w:firstLineChars="200"/>
        <w:rPr>
          <w:color w:val="auto"/>
        </w:rPr>
      </w:pPr>
      <w:r>
        <w:rPr>
          <w:rFonts w:hint="eastAsia" w:ascii="宋体" w:hAnsi="宋体" w:cs="宋体"/>
          <w:color w:val="auto"/>
          <w:szCs w:val="21"/>
        </w:rPr>
        <w:t>17.2</w:t>
      </w:r>
      <w:r>
        <w:rPr>
          <w:rFonts w:hint="eastAsia" w:ascii="宋体" w:hAnsi="宋体" w:cs="宋体"/>
          <w:color w:val="auto"/>
          <w:szCs w:val="21"/>
          <w:lang w:val="zh-CN"/>
        </w:rPr>
        <w:t>投标人应提供投标承诺函。</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1</w:t>
      </w:r>
      <w:r>
        <w:rPr>
          <w:rFonts w:hint="eastAsia" w:ascii="宋体" w:hAnsi="宋体" w:cs="宋体"/>
          <w:b/>
          <w:color w:val="auto"/>
          <w:szCs w:val="21"/>
        </w:rPr>
        <w:t>8</w:t>
      </w:r>
      <w:r>
        <w:rPr>
          <w:rFonts w:ascii="宋体" w:cs="宋体"/>
          <w:b/>
          <w:color w:val="auto"/>
          <w:szCs w:val="21"/>
          <w:lang w:val="zh-CN"/>
        </w:rPr>
        <w:t>.</w:t>
      </w:r>
      <w:r>
        <w:rPr>
          <w:rFonts w:hint="eastAsia" w:ascii="宋体" w:hAnsi="宋体" w:cs="宋体"/>
          <w:b/>
          <w:color w:val="auto"/>
          <w:szCs w:val="21"/>
          <w:lang w:val="zh-CN"/>
        </w:rPr>
        <w:t>投标文件的数量和签署盖章</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投标人应提交投标文件份数见“投标人须知前附表”。</w:t>
      </w:r>
    </w:p>
    <w:p>
      <w:pPr>
        <w:tabs>
          <w:tab w:val="left" w:pos="1260"/>
        </w:tabs>
        <w:autoSpaceDE w:val="0"/>
        <w:autoSpaceDN w:val="0"/>
        <w:spacing w:line="360" w:lineRule="auto"/>
        <w:ind w:firstLine="420" w:firstLineChars="200"/>
        <w:contextualSpacing/>
        <w:rPr>
          <w:ins w:id="0" w:author="许昌丰元咨询管理有限公司:连丹丹" w:date="2021-06-08T09:27:58Z"/>
          <w:rFonts w:hint="eastAsia" w:ascii="宋体" w:hAnsi="宋体" w:cs="宋体"/>
          <w:b/>
          <w:color w:val="auto"/>
          <w:kern w:val="0"/>
          <w:sz w:val="28"/>
          <w:szCs w:val="28"/>
        </w:rPr>
      </w:pPr>
      <w:r>
        <w:rPr>
          <w:rFonts w:ascii="宋体" w:hAnsi="宋体" w:cs="宋体"/>
          <w:color w:val="auto"/>
          <w:szCs w:val="21"/>
          <w:lang w:val="zh-CN"/>
        </w:rPr>
        <w:t>1</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在招标文件中已明示需盖章及签名之处，</w:t>
      </w:r>
      <w:r>
        <w:rPr>
          <w:rFonts w:hint="eastAsia" w:ascii="宋体" w:hAnsi="宋体" w:cs="宋体"/>
          <w:color w:val="auto"/>
          <w:szCs w:val="21"/>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cs="宋体"/>
          <w:b/>
          <w:color w:val="auto"/>
          <w:kern w:val="0"/>
          <w:sz w:val="21"/>
          <w:szCs w:val="21"/>
        </w:rPr>
      </w:pPr>
      <w:r>
        <w:rPr>
          <w:rFonts w:hint="eastAsia" w:ascii="宋体" w:hAnsi="宋体" w:cs="宋体"/>
          <w:b/>
          <w:color w:val="auto"/>
          <w:kern w:val="0"/>
          <w:sz w:val="21"/>
          <w:szCs w:val="21"/>
        </w:rPr>
        <w:t>四、投标文件的递交</w:t>
      </w:r>
    </w:p>
    <w:p>
      <w:pPr>
        <w:numPr>
          <w:ilvl w:val="0"/>
          <w:numId w:val="8"/>
        </w:numPr>
        <w:tabs>
          <w:tab w:val="left" w:pos="1260"/>
        </w:tabs>
        <w:autoSpaceDE w:val="0"/>
        <w:autoSpaceDN w:val="0"/>
        <w:spacing w:line="360" w:lineRule="auto"/>
        <w:contextualSpacing/>
        <w:rPr>
          <w:rFonts w:ascii="宋体" w:hAnsi="宋体" w:cs="宋体"/>
          <w:b/>
          <w:color w:val="auto"/>
          <w:szCs w:val="21"/>
          <w:lang w:val="zh-CN"/>
        </w:rPr>
      </w:pPr>
      <w:r>
        <w:rPr>
          <w:rFonts w:hint="eastAsia" w:ascii="宋体" w:hAnsi="宋体" w:cs="宋体"/>
          <w:b/>
          <w:color w:val="auto"/>
          <w:szCs w:val="21"/>
          <w:lang w:val="zh-CN"/>
        </w:rPr>
        <w:t>投标文件的递交及投标截止时间</w:t>
      </w:r>
    </w:p>
    <w:p>
      <w:pPr>
        <w:tabs>
          <w:tab w:val="left" w:pos="1260"/>
        </w:tabs>
        <w:autoSpaceDE w:val="0"/>
        <w:autoSpaceDN w:val="0"/>
        <w:spacing w:line="360" w:lineRule="auto"/>
        <w:ind w:firstLine="420" w:firstLineChars="200"/>
        <w:contextualSpacing/>
        <w:rPr>
          <w:color w:val="auto"/>
          <w:lang w:val="zh-CN"/>
        </w:rPr>
      </w:pPr>
      <w:r>
        <w:rPr>
          <w:rFonts w:hint="eastAsia" w:ascii="宋体" w:hAnsi="宋体" w:cs="仿宋_GB2312"/>
          <w:color w:val="auto"/>
          <w:szCs w:val="21"/>
        </w:rPr>
        <w:t>19.1 电子投标文件：成功上传至《全国公共资源交易平台（河南省·许昌市）》公共资源交易系统加密电子投标文件</w:t>
      </w:r>
      <w:r>
        <w:rPr>
          <w:rFonts w:ascii="宋体" w:hAnsi="宋体" w:cs="仿宋_GB2312"/>
          <w:color w:val="auto"/>
          <w:szCs w:val="21"/>
        </w:rPr>
        <w:t>1份（文件格式为： XXX公司XXX项目编号.file）。</w:t>
      </w:r>
    </w:p>
    <w:p>
      <w:pPr>
        <w:pStyle w:val="56"/>
        <w:autoSpaceDE w:val="0"/>
        <w:autoSpaceDN w:val="0"/>
        <w:spacing w:line="360" w:lineRule="auto"/>
        <w:contextualSpacing/>
        <w:rPr>
          <w:rFonts w:ascii="宋体" w:cs="宋体"/>
          <w:bCs/>
          <w:color w:val="auto"/>
          <w:szCs w:val="21"/>
        </w:rPr>
      </w:pPr>
      <w:r>
        <w:rPr>
          <w:rFonts w:hint="eastAsia" w:ascii="宋体" w:hAnsi="宋体" w:cs="宋体"/>
          <w:color w:val="auto"/>
          <w:szCs w:val="21"/>
        </w:rPr>
        <w:t>19</w:t>
      </w:r>
      <w:r>
        <w:rPr>
          <w:rFonts w:hint="eastAsia" w:ascii="宋体" w:hAnsi="宋体" w:cs="宋体"/>
          <w:color w:val="auto"/>
          <w:szCs w:val="21"/>
          <w:lang w:val="zh-CN"/>
        </w:rPr>
        <w:t>．</w:t>
      </w:r>
      <w:r>
        <w:rPr>
          <w:rFonts w:hint="eastAsia" w:ascii="宋体" w:hAnsi="宋体" w:cs="宋体"/>
          <w:color w:val="auto"/>
          <w:szCs w:val="21"/>
        </w:rPr>
        <w:t>2</w:t>
      </w:r>
      <w:r>
        <w:rPr>
          <w:rFonts w:ascii="宋体" w:hAnsi="宋体" w:cs="宋体"/>
          <w:color w:val="auto"/>
          <w:szCs w:val="21"/>
          <w:lang w:val="zh-CN"/>
        </w:rPr>
        <w:t xml:space="preserve"> </w:t>
      </w:r>
      <w:r>
        <w:rPr>
          <w:rFonts w:hint="eastAsia" w:ascii="宋体" w:hAnsi="宋体" w:cs="宋体"/>
          <w:color w:val="auto"/>
          <w:szCs w:val="21"/>
          <w:lang w:val="zh-CN"/>
        </w:rPr>
        <w:t>投标人必须在</w:t>
      </w:r>
      <w:r>
        <w:rPr>
          <w:rFonts w:hint="eastAsia" w:ascii="宋体" w:hAnsi="宋体" w:cs="宋体"/>
          <w:color w:val="auto"/>
          <w:kern w:val="0"/>
          <w:szCs w:val="21"/>
        </w:rPr>
        <w:t>“投标邀请”</w:t>
      </w:r>
      <w:r>
        <w:rPr>
          <w:rFonts w:hint="eastAsia" w:ascii="宋体" w:hAnsi="宋体" w:cs="宋体"/>
          <w:bCs/>
          <w:color w:val="auto"/>
          <w:szCs w:val="21"/>
        </w:rPr>
        <w:t>和“投标人须知前附表”中规定的投标截止时间前，</w:t>
      </w:r>
      <w:r>
        <w:rPr>
          <w:rFonts w:hint="eastAsia" w:ascii="宋体" w:hAnsi="宋体" w:cs="宋体"/>
          <w:color w:val="auto"/>
          <w:kern w:val="0"/>
          <w:szCs w:val="21"/>
        </w:rPr>
        <w:t>将加密电子投标文件（.file格式）通过《全国公共资源交易平台(河南省</w:t>
      </w:r>
      <w:r>
        <w:rPr>
          <w:rFonts w:hint="eastAsia" w:ascii="MS Mincho" w:hAnsi="MS Mincho" w:eastAsia="MS Mincho" w:cs="MS Mincho"/>
          <w:color w:val="auto"/>
          <w:kern w:val="0"/>
          <w:szCs w:val="21"/>
        </w:rPr>
        <w:t>▪</w:t>
      </w:r>
      <w:r>
        <w:rPr>
          <w:rFonts w:hint="eastAsia" w:ascii="宋体" w:hAnsi="宋体" w:eastAsia="宋体" w:cs="宋体"/>
          <w:color w:val="auto"/>
          <w:kern w:val="0"/>
          <w:szCs w:val="21"/>
        </w:rPr>
        <w:t>许昌市</w:t>
      </w:r>
      <w:r>
        <w:rPr>
          <w:rFonts w:hint="eastAsia" w:ascii="宋体" w:hAnsi="宋体" w:cs="宋体"/>
          <w:color w:val="auto"/>
          <w:kern w:val="0"/>
          <w:szCs w:val="21"/>
        </w:rPr>
        <w:t>)》公共资源交易系统成功上传。在提交截止时间以后上传的投标文件，采购人、采购代理机构将予以拒绝</w:t>
      </w:r>
      <w:r>
        <w:rPr>
          <w:rFonts w:hint="eastAsia" w:ascii="宋体" w:hAnsi="宋体" w:cs="宋体"/>
          <w:bCs/>
          <w:color w:val="auto"/>
          <w:szCs w:val="21"/>
        </w:rPr>
        <w:t>。</w:t>
      </w:r>
    </w:p>
    <w:p>
      <w:pPr>
        <w:autoSpaceDE w:val="0"/>
        <w:autoSpaceDN w:val="0"/>
        <w:spacing w:line="360" w:lineRule="auto"/>
        <w:ind w:firstLine="420" w:firstLineChars="200"/>
        <w:contextualSpacing/>
        <w:rPr>
          <w:rFonts w:ascii="宋体" w:cs="宋体"/>
          <w:bCs/>
          <w:color w:val="auto"/>
          <w:szCs w:val="21"/>
        </w:rPr>
      </w:pPr>
      <w:r>
        <w:rPr>
          <w:rFonts w:hint="eastAsia" w:ascii="宋体" w:hAnsi="宋体" w:cs="宋体"/>
          <w:color w:val="auto"/>
          <w:szCs w:val="21"/>
        </w:rPr>
        <w:t>19</w:t>
      </w:r>
      <w:r>
        <w:rPr>
          <w:rFonts w:ascii="宋体" w:hAnsi="宋体" w:cs="宋体"/>
          <w:color w:val="auto"/>
          <w:szCs w:val="21"/>
          <w:lang w:val="zh-CN"/>
        </w:rPr>
        <w:t>.</w:t>
      </w:r>
      <w:r>
        <w:rPr>
          <w:rFonts w:hint="eastAsia" w:ascii="宋体" w:hAnsi="宋体" w:cs="宋体"/>
          <w:color w:val="auto"/>
          <w:szCs w:val="21"/>
        </w:rPr>
        <w:t xml:space="preserve">3 </w:t>
      </w:r>
      <w:r>
        <w:rPr>
          <w:rFonts w:hint="eastAsia" w:ascii="宋体" w:hAnsi="宋体" w:cs="宋体"/>
          <w:bCs/>
          <w:color w:val="auto"/>
          <w:szCs w:val="21"/>
        </w:rPr>
        <w:t>招标人可以按本须知第</w:t>
      </w:r>
      <w:r>
        <w:rPr>
          <w:rFonts w:ascii="宋体" w:hAnsi="宋体" w:cs="宋体"/>
          <w:bCs/>
          <w:color w:val="auto"/>
          <w:szCs w:val="21"/>
        </w:rPr>
        <w:t>1</w:t>
      </w:r>
      <w:r>
        <w:rPr>
          <w:rFonts w:hint="eastAsia" w:ascii="宋体" w:hAnsi="宋体" w:cs="宋体"/>
          <w:bCs/>
          <w:color w:val="auto"/>
          <w:szCs w:val="21"/>
        </w:rPr>
        <w:t>4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20</w:t>
      </w:r>
      <w:r>
        <w:rPr>
          <w:rFonts w:ascii="宋体" w:hAnsi="宋体" w:cs="宋体"/>
          <w:b/>
          <w:color w:val="auto"/>
          <w:szCs w:val="21"/>
          <w:lang w:val="zh-CN"/>
        </w:rPr>
        <w:t xml:space="preserve">. </w:t>
      </w:r>
      <w:r>
        <w:rPr>
          <w:rFonts w:hint="eastAsia" w:ascii="宋体" w:hAnsi="宋体" w:cs="宋体"/>
          <w:b/>
          <w:color w:val="auto"/>
          <w:szCs w:val="21"/>
          <w:lang w:val="zh-CN"/>
        </w:rPr>
        <w:t>迟交的投标文件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投标截止时间之后上传的投标文件，招标人将拒绝接收。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1</w:t>
      </w:r>
      <w:r>
        <w:rPr>
          <w:rFonts w:ascii="宋体" w:hAnsi="宋体" w:cs="宋体"/>
          <w:b/>
          <w:color w:val="auto"/>
          <w:szCs w:val="21"/>
          <w:lang w:val="zh-CN"/>
        </w:rPr>
        <w:t xml:space="preserve">. </w:t>
      </w:r>
      <w:r>
        <w:rPr>
          <w:rFonts w:hint="eastAsia" w:ascii="宋体" w:hAnsi="宋体" w:cs="宋体"/>
          <w:b/>
          <w:color w:val="auto"/>
          <w:szCs w:val="21"/>
          <w:lang w:val="zh-CN"/>
        </w:rPr>
        <w:t>投标文件的修改和撤回</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 xml:space="preserve">.1 </w:t>
      </w:r>
      <w:r>
        <w:rPr>
          <w:rFonts w:hint="eastAsia" w:ascii="宋体" w:hAnsi="宋体" w:cs="宋体"/>
          <w:color w:val="auto"/>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kern w:val="0"/>
          <w:szCs w:val="21"/>
        </w:rPr>
        <w:t>投标人不得在投标有效期内撤销投标文件，否则招标人将不退还其投标保证金。</w:t>
      </w:r>
    </w:p>
    <w:p>
      <w:pPr>
        <w:autoSpaceDE w:val="0"/>
        <w:autoSpaceDN w:val="0"/>
        <w:spacing w:line="360" w:lineRule="auto"/>
        <w:contextualSpacing/>
        <w:rPr>
          <w:rFonts w:ascii="宋体" w:cs="宋体"/>
          <w:color w:val="auto"/>
          <w:kern w:val="0"/>
          <w:szCs w:val="21"/>
        </w:rPr>
      </w:pPr>
      <w:r>
        <w:rPr>
          <w:rFonts w:ascii="宋体" w:hAnsi="宋体" w:cs="宋体"/>
          <w:b/>
          <w:color w:val="auto"/>
          <w:kern w:val="0"/>
          <w:szCs w:val="21"/>
        </w:rPr>
        <w:t>2</w:t>
      </w:r>
      <w:r>
        <w:rPr>
          <w:rFonts w:hint="eastAsia" w:ascii="宋体" w:hAnsi="宋体" w:cs="宋体"/>
          <w:b/>
          <w:color w:val="auto"/>
          <w:kern w:val="0"/>
          <w:szCs w:val="21"/>
        </w:rPr>
        <w:t>2．</w:t>
      </w:r>
      <w:r>
        <w:rPr>
          <w:rFonts w:hint="eastAsia" w:ascii="宋体" w:hAnsi="宋体" w:cs="宋体"/>
          <w:b/>
          <w:color w:val="auto"/>
          <w:szCs w:val="21"/>
        </w:rPr>
        <w:t>除投标人须知前附表另有规定外，投标人所提交的电子投标文件不予退还。</w:t>
      </w:r>
    </w:p>
    <w:p>
      <w:pPr>
        <w:tabs>
          <w:tab w:val="left" w:pos="1260"/>
        </w:tabs>
        <w:autoSpaceDE w:val="0"/>
        <w:autoSpaceDN w:val="0"/>
        <w:spacing w:line="360" w:lineRule="auto"/>
        <w:contextualSpacing/>
        <w:jc w:val="center"/>
        <w:rPr>
          <w:rFonts w:ascii="宋体" w:cs="宋体"/>
          <w:b/>
          <w:color w:val="auto"/>
          <w:kern w:val="0"/>
          <w:sz w:val="21"/>
          <w:szCs w:val="21"/>
        </w:rPr>
      </w:pPr>
      <w:r>
        <w:rPr>
          <w:rFonts w:hint="eastAsia" w:ascii="宋体" w:hAnsi="宋体" w:cs="宋体"/>
          <w:b/>
          <w:color w:val="auto"/>
          <w:kern w:val="0"/>
          <w:sz w:val="21"/>
          <w:szCs w:val="21"/>
        </w:rPr>
        <w:t>五、开标和评标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3</w:t>
      </w:r>
      <w:r>
        <w:rPr>
          <w:rFonts w:ascii="宋体" w:hAnsi="宋体" w:cs="宋体"/>
          <w:b/>
          <w:color w:val="auto"/>
          <w:szCs w:val="21"/>
          <w:lang w:val="zh-CN"/>
        </w:rPr>
        <w:t xml:space="preserve">. </w:t>
      </w:r>
      <w:r>
        <w:rPr>
          <w:rFonts w:hint="eastAsia" w:ascii="宋体" w:hAnsi="宋体" w:cs="宋体"/>
          <w:b/>
          <w:color w:val="auto"/>
          <w:szCs w:val="21"/>
          <w:lang w:val="zh-CN"/>
        </w:rPr>
        <w:t>开标</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23.1招标人将按招标文件规定的时间和地点组织远程不见面开标。开标由代理机构主持，投标人无须到现场。评标委员会成员不得参加开标活动。</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23.2招标人应当对开标、评标现场活动进行全程录音录像。录音录像应当清晰可辨，音像资料作为采购文件一并存档。</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23.4电子投标文件的解密。全流程电子化交易项目电子投标文件采用双重加密。解密需分标段进行两次解密。</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23.5投标人解密：投标人使用本单位CA数字证书远程进行解密。</w:t>
      </w:r>
    </w:p>
    <w:p>
      <w:pPr>
        <w:autoSpaceDE w:val="0"/>
        <w:autoSpaceDN w:val="0"/>
        <w:spacing w:line="360" w:lineRule="auto"/>
        <w:ind w:left="1837" w:leftChars="199" w:hanging="1419" w:hangingChars="676"/>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23.6代理机构解密：代理机构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位CA数字证书进行再次解密。</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23.7因投标人原因电子投标文件解密失败的，其投标将被拒绝。</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23.8投标人不足3家的，不得开标。</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23.9开标过程由采购代理机构负责记录，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23.10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23.11项目远程不见面开标活动结束时，投标人应在《开标记录表》上进行电子签章。投标人未签章的，视同认可开标结果。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24</w:t>
      </w:r>
      <w:r>
        <w:rPr>
          <w:rFonts w:ascii="宋体" w:hAnsi="宋体" w:cs="宋体"/>
          <w:b/>
          <w:color w:val="auto"/>
          <w:szCs w:val="21"/>
          <w:lang w:val="zh-CN"/>
        </w:rPr>
        <w:t xml:space="preserve">. </w:t>
      </w:r>
      <w:r>
        <w:rPr>
          <w:rFonts w:hint="eastAsia" w:ascii="宋体" w:hAnsi="宋体" w:cs="宋体"/>
          <w:b/>
          <w:color w:val="auto"/>
          <w:szCs w:val="21"/>
          <w:lang w:val="zh-CN"/>
        </w:rPr>
        <w:t>资格审查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bCs/>
          <w:color w:val="auto"/>
          <w:szCs w:val="21"/>
        </w:rPr>
        <w:t>开标结束后，采购人依法对投标人的资格进行审查。</w:t>
      </w:r>
      <w:r>
        <w:rPr>
          <w:rFonts w:hint="eastAsia" w:ascii="宋体" w:hAnsi="宋体" w:cs="宋体"/>
          <w:color w:val="auto"/>
          <w:szCs w:val="21"/>
          <w:lang w:val="zh-CN"/>
        </w:rPr>
        <w:t>合格投标人不足</w:t>
      </w:r>
      <w:r>
        <w:rPr>
          <w:rFonts w:ascii="宋体" w:hAnsi="宋体" w:cs="宋体"/>
          <w:color w:val="auto"/>
          <w:szCs w:val="21"/>
          <w:lang w:val="zh-CN"/>
        </w:rPr>
        <w:t>3</w:t>
      </w:r>
      <w:r>
        <w:rPr>
          <w:rFonts w:hint="eastAsia" w:ascii="宋体" w:hAnsi="宋体" w:cs="宋体"/>
          <w:color w:val="auto"/>
          <w:szCs w:val="21"/>
          <w:lang w:val="zh-CN"/>
        </w:rPr>
        <w:t>家的，不得评标。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5</w:t>
      </w:r>
      <w:r>
        <w:rPr>
          <w:rFonts w:ascii="宋体" w:cs="宋体"/>
          <w:b/>
          <w:color w:val="auto"/>
          <w:szCs w:val="21"/>
          <w:lang w:val="zh-CN"/>
        </w:rPr>
        <w:t>.</w:t>
      </w:r>
      <w:r>
        <w:rPr>
          <w:rFonts w:hint="eastAsia" w:ascii="宋体" w:hAnsi="宋体" w:cs="宋体"/>
          <w:b/>
          <w:color w:val="auto"/>
          <w:szCs w:val="21"/>
          <w:lang w:val="zh-CN"/>
        </w:rPr>
        <w:t>评标委员会的组成</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hint="eastAsia" w:ascii="宋体" w:hAnsi="宋体" w:cs="宋体"/>
          <w:color w:val="auto"/>
          <w:szCs w:val="21"/>
          <w:lang w:val="zh-CN"/>
        </w:rPr>
        <w:t>．</w:t>
      </w:r>
      <w:r>
        <w:rPr>
          <w:rFonts w:ascii="宋体" w:hAnsi="宋体" w:cs="宋体"/>
          <w:color w:val="auto"/>
          <w:szCs w:val="21"/>
          <w:lang w:val="zh-CN"/>
        </w:rPr>
        <w:t xml:space="preserve">1 </w:t>
      </w:r>
      <w:r>
        <w:rPr>
          <w:rFonts w:hint="eastAsia" w:ascii="宋体" w:hAnsi="宋体" w:cs="宋体"/>
          <w:color w:val="auto"/>
          <w:szCs w:val="21"/>
          <w:lang w:val="zh-CN"/>
        </w:rPr>
        <w:t>招标人将依法组建评标委员会，评标委员会由采购人代表和评审专家组成，成员人数应当为</w:t>
      </w:r>
      <w:r>
        <w:rPr>
          <w:rFonts w:ascii="宋体" w:hAnsi="宋体" w:cs="宋体"/>
          <w:color w:val="auto"/>
          <w:szCs w:val="21"/>
          <w:lang w:val="zh-CN"/>
        </w:rPr>
        <w:t>5</w:t>
      </w:r>
      <w:r>
        <w:rPr>
          <w:rFonts w:hint="eastAsia" w:ascii="宋体" w:hAnsi="宋体" w:cs="宋体"/>
          <w:color w:val="auto"/>
          <w:szCs w:val="21"/>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.1.1 </w:t>
      </w:r>
      <w:r>
        <w:rPr>
          <w:rFonts w:hint="eastAsia" w:ascii="宋体" w:hAnsi="宋体" w:cs="宋体"/>
          <w:color w:val="auto"/>
          <w:szCs w:val="21"/>
          <w:lang w:val="zh-CN"/>
        </w:rPr>
        <w:t>采购项目符合下列情形之一的，评标委员会成员人数应当为</w:t>
      </w:r>
      <w:r>
        <w:rPr>
          <w:rFonts w:ascii="宋体" w:hAnsi="宋体" w:cs="宋体"/>
          <w:color w:val="auto"/>
          <w:szCs w:val="21"/>
          <w:lang w:val="zh-CN"/>
        </w:rPr>
        <w:t>7</w:t>
      </w:r>
      <w:r>
        <w:rPr>
          <w:rFonts w:hint="eastAsia" w:ascii="宋体" w:hAnsi="宋体" w:cs="宋体"/>
          <w:color w:val="auto"/>
          <w:szCs w:val="21"/>
          <w:lang w:val="zh-CN"/>
        </w:rPr>
        <w:t>人以上单数：</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（一）采购预算金额在</w:t>
      </w:r>
      <w:r>
        <w:rPr>
          <w:rFonts w:ascii="宋体" w:hAnsi="宋体" w:cs="宋体"/>
          <w:color w:val="auto"/>
          <w:szCs w:val="21"/>
          <w:lang w:val="zh-CN"/>
        </w:rPr>
        <w:t>1000</w:t>
      </w:r>
      <w:r>
        <w:rPr>
          <w:rFonts w:hint="eastAsia" w:ascii="宋体" w:hAnsi="宋体" w:cs="宋体"/>
          <w:color w:val="auto"/>
          <w:szCs w:val="21"/>
          <w:lang w:val="zh-CN"/>
        </w:rPr>
        <w:t>万元以上；</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（二）技术复杂；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（三）社会影响较大。</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.3 </w:t>
      </w:r>
      <w:r>
        <w:rPr>
          <w:rFonts w:hint="eastAsia" w:ascii="宋体" w:hAnsi="宋体" w:cs="宋体"/>
          <w:color w:val="auto"/>
          <w:szCs w:val="21"/>
          <w:lang w:val="zh-CN"/>
        </w:rPr>
        <w:t>评审专家与投标人存在下列利害关系之一的</w:t>
      </w:r>
      <w:r>
        <w:rPr>
          <w:rFonts w:ascii="宋体" w:cs="宋体"/>
          <w:color w:val="auto"/>
          <w:szCs w:val="21"/>
          <w:lang w:val="zh-CN"/>
        </w:rPr>
        <w:t>,</w:t>
      </w:r>
      <w:r>
        <w:rPr>
          <w:rFonts w:hint="eastAsia" w:ascii="宋体" w:hAnsi="宋体" w:cs="宋体"/>
          <w:color w:val="auto"/>
          <w:szCs w:val="21"/>
          <w:lang w:val="zh-CN"/>
        </w:rPr>
        <w:t>应当回避</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一</w:t>
      </w:r>
      <w:r>
        <w:rPr>
          <w:rFonts w:ascii="宋体" w:hAnsi="宋体" w:cs="宋体"/>
          <w:color w:val="auto"/>
          <w:szCs w:val="21"/>
          <w:lang w:val="zh-CN"/>
        </w:rPr>
        <w:t>)</w:t>
      </w:r>
      <w:r>
        <w:rPr>
          <w:rFonts w:hint="eastAsia" w:ascii="宋体" w:hAnsi="宋体" w:cs="宋体"/>
          <w:color w:val="auto"/>
          <w:szCs w:val="21"/>
          <w:lang w:val="zh-CN"/>
        </w:rPr>
        <w:t>参加采购活动前三年内</w:t>
      </w:r>
      <w:r>
        <w:rPr>
          <w:rFonts w:ascii="宋体" w:cs="宋体"/>
          <w:color w:val="auto"/>
          <w:szCs w:val="21"/>
          <w:lang w:val="zh-CN"/>
        </w:rPr>
        <w:t>,</w:t>
      </w:r>
      <w:r>
        <w:rPr>
          <w:rFonts w:hint="eastAsia" w:ascii="宋体" w:hAnsi="宋体" w:cs="宋体"/>
          <w:color w:val="auto"/>
          <w:szCs w:val="21"/>
          <w:lang w:val="zh-CN"/>
        </w:rPr>
        <w:t>与供应商存在劳动关系</w:t>
      </w:r>
      <w:r>
        <w:rPr>
          <w:rFonts w:ascii="宋体" w:cs="宋体"/>
          <w:color w:val="auto"/>
          <w:szCs w:val="21"/>
          <w:lang w:val="zh-CN"/>
        </w:rPr>
        <w:t>,</w:t>
      </w:r>
      <w:r>
        <w:rPr>
          <w:rFonts w:hint="eastAsia" w:ascii="宋体" w:hAnsi="宋体" w:cs="宋体"/>
          <w:color w:val="auto"/>
          <w:szCs w:val="21"/>
          <w:lang w:val="zh-CN"/>
        </w:rPr>
        <w:t>或者担任过供应商的董事、监事</w:t>
      </w:r>
      <w:r>
        <w:rPr>
          <w:rFonts w:ascii="宋体" w:cs="宋体"/>
          <w:color w:val="auto"/>
          <w:szCs w:val="21"/>
          <w:lang w:val="zh-CN"/>
        </w:rPr>
        <w:t>,</w:t>
      </w:r>
      <w:r>
        <w:rPr>
          <w:rFonts w:hint="eastAsia" w:ascii="宋体" w:hAnsi="宋体" w:cs="宋体"/>
          <w:color w:val="auto"/>
          <w:szCs w:val="21"/>
          <w:lang w:val="zh-CN"/>
        </w:rPr>
        <w:t>或者是供应商的控股股东或实际控制人；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二</w:t>
      </w:r>
      <w:r>
        <w:rPr>
          <w:rFonts w:ascii="宋体" w:hAnsi="宋体" w:cs="宋体"/>
          <w:color w:val="auto"/>
          <w:szCs w:val="21"/>
          <w:lang w:val="zh-CN"/>
        </w:rPr>
        <w:t>)</w:t>
      </w:r>
      <w:r>
        <w:rPr>
          <w:rFonts w:hint="eastAsia" w:ascii="宋体" w:hAnsi="宋体" w:cs="宋体"/>
          <w:color w:val="auto"/>
          <w:szCs w:val="21"/>
          <w:lang w:val="zh-CN"/>
        </w:rPr>
        <w:t>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三</w:t>
      </w:r>
      <w:r>
        <w:rPr>
          <w:rFonts w:ascii="宋体" w:hAnsi="宋体" w:cs="宋体"/>
          <w:color w:val="auto"/>
          <w:szCs w:val="21"/>
          <w:lang w:val="zh-CN"/>
        </w:rPr>
        <w:t>)</w:t>
      </w:r>
      <w:r>
        <w:rPr>
          <w:rFonts w:hint="eastAsia" w:ascii="宋体" w:hAnsi="宋体" w:cs="宋体"/>
          <w:color w:val="auto"/>
          <w:szCs w:val="21"/>
          <w:lang w:val="zh-CN"/>
        </w:rPr>
        <w:t>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.4 </w:t>
      </w:r>
      <w:r>
        <w:rPr>
          <w:rFonts w:hint="eastAsia" w:ascii="宋体" w:hAnsi="宋体" w:cs="宋体"/>
          <w:color w:val="auto"/>
          <w:szCs w:val="21"/>
          <w:lang w:val="zh-CN"/>
        </w:rPr>
        <w:t>评审专家发现本人与参加采购活动的供应商有利害关系的</w:t>
      </w:r>
      <w:r>
        <w:rPr>
          <w:rFonts w:ascii="宋体" w:cs="宋体"/>
          <w:color w:val="auto"/>
          <w:szCs w:val="21"/>
          <w:lang w:val="zh-CN"/>
        </w:rPr>
        <w:t>,</w:t>
      </w:r>
      <w:r>
        <w:rPr>
          <w:rFonts w:hint="eastAsia" w:ascii="宋体" w:hAnsi="宋体" w:cs="宋体"/>
          <w:color w:val="auto"/>
          <w:szCs w:val="21"/>
          <w:lang w:val="zh-CN"/>
        </w:rPr>
        <w:t>应当主动提出回避。采购人或者代理机构发现评审专家与参加采购活动的供应商有利害关系的</w:t>
      </w:r>
      <w:r>
        <w:rPr>
          <w:rFonts w:ascii="宋体" w:cs="宋体"/>
          <w:color w:val="auto"/>
          <w:szCs w:val="21"/>
          <w:lang w:val="zh-CN"/>
        </w:rPr>
        <w:t>,</w:t>
      </w:r>
      <w:r>
        <w:rPr>
          <w:rFonts w:hint="eastAsia" w:ascii="宋体" w:hAnsi="宋体" w:cs="宋体"/>
          <w:color w:val="auto"/>
          <w:szCs w:val="21"/>
          <w:lang w:val="zh-CN"/>
        </w:rPr>
        <w:t>应当要求其回避。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.5 </w:t>
      </w:r>
      <w:r>
        <w:rPr>
          <w:rFonts w:hint="eastAsia" w:ascii="宋体" w:hAnsi="宋体" w:cs="宋体"/>
          <w:color w:val="auto"/>
          <w:szCs w:val="21"/>
          <w:lang w:val="zh-CN"/>
        </w:rPr>
        <w:t>采购人不得担任评标小组长。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.6 </w:t>
      </w:r>
      <w:r>
        <w:rPr>
          <w:rFonts w:hint="eastAsia" w:ascii="宋体" w:hAnsi="宋体" w:cs="宋体"/>
          <w:color w:val="auto"/>
          <w:szCs w:val="21"/>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.7 </w:t>
      </w:r>
      <w:r>
        <w:rPr>
          <w:rFonts w:hint="eastAsia" w:ascii="宋体" w:hAnsi="宋体" w:cs="宋体"/>
          <w:color w:val="auto"/>
          <w:szCs w:val="21"/>
          <w:lang w:val="zh-CN"/>
        </w:rPr>
        <w:t>评标委员会成员名单在评标结果公告前应当保密。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符合性审查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.3 </w:t>
      </w:r>
      <w:r>
        <w:rPr>
          <w:rFonts w:hint="eastAsia" w:ascii="宋体" w:hAnsi="宋体" w:cs="宋体"/>
          <w:color w:val="auto"/>
          <w:szCs w:val="21"/>
          <w:lang w:val="zh-CN"/>
        </w:rPr>
        <w:t>可要求投标人对投标文件有关事项作出澄清或者说明。</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投标文件的澄清</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27</w:t>
      </w:r>
      <w:r>
        <w:rPr>
          <w:rFonts w:ascii="宋体" w:hAnsi="宋体" w:cs="宋体"/>
          <w:color w:val="auto"/>
          <w:szCs w:val="21"/>
          <w:lang w:val="zh-CN"/>
        </w:rPr>
        <w:t xml:space="preserve">.2 </w:t>
      </w:r>
      <w:r>
        <w:rPr>
          <w:rFonts w:hint="eastAsia" w:ascii="宋体" w:hAnsi="宋体" w:cs="宋体"/>
          <w:color w:val="auto"/>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7</w:t>
      </w:r>
      <w:r>
        <w:rPr>
          <w:rFonts w:ascii="宋体" w:hAnsi="宋体" w:cs="宋体"/>
          <w:color w:val="auto"/>
          <w:szCs w:val="21"/>
          <w:lang w:val="zh-CN"/>
        </w:rPr>
        <w:t xml:space="preserve">.3 </w:t>
      </w:r>
      <w:r>
        <w:rPr>
          <w:rFonts w:hint="eastAsia" w:ascii="宋体" w:hAnsi="宋体" w:cs="宋体"/>
          <w:color w:val="auto"/>
          <w:szCs w:val="21"/>
          <w:lang w:val="zh-CN"/>
        </w:rPr>
        <w:t>投标人的澄清文件是其投标文件的组成部分。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投标文件报价出现前后不一致的修正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投标文件中开标一览表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内容与投标文件中相应内容不一致的，以开标一览表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大写金额和小写金额不一致的，以大写金额为准；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.3 </w:t>
      </w:r>
      <w:r>
        <w:rPr>
          <w:rFonts w:hint="eastAsia" w:ascii="宋体" w:hAnsi="宋体" w:cs="宋体"/>
          <w:color w:val="auto"/>
          <w:szCs w:val="21"/>
          <w:lang w:val="zh-CN"/>
        </w:rPr>
        <w:t>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.4 </w:t>
      </w:r>
      <w:r>
        <w:rPr>
          <w:rFonts w:hint="eastAsia" w:ascii="宋体" w:hAnsi="宋体" w:cs="宋体"/>
          <w:color w:val="auto"/>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.2</w:t>
      </w:r>
      <w:r>
        <w:rPr>
          <w:rFonts w:hint="eastAsia" w:ascii="宋体" w:hAnsi="宋体" w:cs="宋体"/>
          <w:color w:val="auto"/>
          <w:szCs w:val="21"/>
          <w:lang w:val="zh-CN"/>
        </w:rPr>
        <w:t>规定经投标人确认后产生约束力，投标人不确认的，其投标无效。</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29</w:t>
      </w:r>
      <w:r>
        <w:rPr>
          <w:rFonts w:ascii="宋体" w:hAnsi="宋体" w:cs="宋体"/>
          <w:b/>
          <w:color w:val="auto"/>
          <w:szCs w:val="21"/>
          <w:lang w:val="zh-CN"/>
        </w:rPr>
        <w:t>.</w:t>
      </w:r>
      <w:r>
        <w:rPr>
          <w:rFonts w:hint="eastAsia" w:ascii="宋体" w:hAnsi="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 </w:t>
      </w:r>
      <w:r>
        <w:rPr>
          <w:rFonts w:hint="eastAsia" w:ascii="宋体" w:hAnsi="宋体" w:cs="宋体"/>
          <w:color w:val="auto"/>
          <w:szCs w:val="21"/>
          <w:lang w:val="zh-CN"/>
        </w:rPr>
        <w:t>投标文件属下列情况之一的，按照无效投标处理：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.1.1 </w:t>
      </w:r>
      <w:r>
        <w:rPr>
          <w:rFonts w:hint="eastAsia" w:ascii="宋体" w:hAnsi="宋体" w:cs="宋体"/>
          <w:color w:val="auto"/>
          <w:szCs w:val="21"/>
          <w:lang w:val="zh-CN"/>
        </w:rPr>
        <w:t>未按照招标文件的规定提供投标保承诺函的；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.1.2 </w:t>
      </w:r>
      <w:r>
        <w:rPr>
          <w:rFonts w:hint="eastAsia" w:ascii="宋体" w:hAnsi="宋体" w:cs="宋体"/>
          <w:color w:val="auto"/>
          <w:szCs w:val="21"/>
          <w:lang w:val="zh-CN"/>
        </w:rPr>
        <w:t>投标文件未按招标文件要求签署、盖章的；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.1.3 </w:t>
      </w:r>
      <w:r>
        <w:rPr>
          <w:rFonts w:hint="eastAsia" w:ascii="宋体" w:hAnsi="宋体" w:cs="宋体"/>
          <w:color w:val="auto"/>
          <w:szCs w:val="21"/>
          <w:lang w:val="zh-CN"/>
        </w:rPr>
        <w:t>不具备招标文件中规定的资格要求的；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.1.4 </w:t>
      </w:r>
      <w:r>
        <w:rPr>
          <w:rFonts w:hint="eastAsia" w:ascii="宋体" w:hAnsi="宋体" w:cs="宋体"/>
          <w:color w:val="auto"/>
          <w:szCs w:val="21"/>
          <w:lang w:val="zh-CN"/>
        </w:rPr>
        <w:t>报价超过招标文件中规定的预算金额或者最高限价的；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.1.5</w:t>
      </w:r>
      <w:r>
        <w:rPr>
          <w:rFonts w:hint="eastAsia" w:ascii="宋体" w:hAnsi="宋体" w:cs="宋体"/>
          <w:color w:val="auto"/>
          <w:szCs w:val="21"/>
        </w:rPr>
        <w:t xml:space="preserve"> </w:t>
      </w:r>
      <w:r>
        <w:rPr>
          <w:rFonts w:hint="eastAsia" w:ascii="宋体" w:hAnsi="宋体" w:cs="宋体"/>
          <w:color w:val="auto"/>
          <w:szCs w:val="21"/>
          <w:lang w:val="zh-CN"/>
        </w:rPr>
        <w:t>投标文件内容模糊清，无法辨认的；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.1.6 </w:t>
      </w:r>
      <w:r>
        <w:rPr>
          <w:rFonts w:hint="eastAsia" w:ascii="宋体" w:hAnsi="宋体" w:cs="宋体"/>
          <w:color w:val="auto"/>
          <w:szCs w:val="21"/>
          <w:lang w:val="zh-CN"/>
        </w:rPr>
        <w:t>投标文件含有采购人不能接受的附加条件的。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 </w:t>
      </w:r>
      <w:r>
        <w:rPr>
          <w:rFonts w:hint="eastAsia" w:ascii="宋体" w:hAnsi="宋体" w:cs="宋体"/>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.2.1 </w:t>
      </w:r>
      <w:r>
        <w:rPr>
          <w:rFonts w:hint="eastAsia" w:ascii="宋体" w:hAnsi="宋体" w:cs="宋体"/>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.2.2 </w:t>
      </w:r>
      <w:r>
        <w:rPr>
          <w:rFonts w:hint="eastAsia" w:ascii="宋体" w:hAnsi="宋体" w:cs="宋体"/>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.2.3 </w:t>
      </w:r>
      <w:r>
        <w:rPr>
          <w:rFonts w:hint="eastAsia" w:ascii="宋体" w:hAnsi="宋体" w:cs="宋体"/>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.2.4 </w:t>
      </w:r>
      <w:r>
        <w:rPr>
          <w:rFonts w:hint="eastAsia" w:ascii="宋体" w:hAnsi="宋体" w:cs="宋体"/>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.2.5 </w:t>
      </w:r>
      <w:r>
        <w:rPr>
          <w:rFonts w:hint="eastAsia" w:ascii="宋体" w:hAnsi="宋体" w:cs="宋体"/>
          <w:color w:val="auto"/>
          <w:szCs w:val="21"/>
          <w:lang w:val="zh-CN"/>
        </w:rPr>
        <w:t>不同投标人的投标文件相互混装；</w:t>
      </w:r>
    </w:p>
    <w:p>
      <w:pPr>
        <w:pStyle w:val="16"/>
        <w:spacing w:line="360" w:lineRule="auto"/>
        <w:ind w:firstLine="420" w:firstLineChars="200"/>
        <w:rPr>
          <w:rFonts w:ascii="宋体" w:cs="宋体"/>
          <w:color w:val="auto"/>
          <w:sz w:val="21"/>
          <w:szCs w:val="21"/>
        </w:rPr>
      </w:pPr>
      <w:r>
        <w:rPr>
          <w:rFonts w:hint="eastAsia" w:ascii="宋体" w:hAnsi="宋体" w:cs="宋体"/>
          <w:color w:val="auto"/>
          <w:sz w:val="21"/>
          <w:szCs w:val="21"/>
        </w:rPr>
        <w:t>29</w:t>
      </w:r>
      <w:r>
        <w:rPr>
          <w:rFonts w:ascii="宋体" w:hAnsi="宋体" w:cs="宋体"/>
          <w:color w:val="auto"/>
          <w:sz w:val="21"/>
          <w:szCs w:val="21"/>
          <w:lang w:val="zh-CN"/>
        </w:rPr>
        <w:t>.3</w:t>
      </w:r>
      <w:r>
        <w:rPr>
          <w:rFonts w:hint="eastAsia" w:ascii="宋体" w:hAnsi="宋体" w:cs="宋体"/>
          <w:color w:val="auto"/>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spacing w:line="360" w:lineRule="auto"/>
        <w:ind w:firstLine="420" w:firstLineChars="200"/>
        <w:rPr>
          <w:rFonts w:ascii="宋体" w:cs="宋体"/>
          <w:color w:val="auto"/>
          <w:sz w:val="21"/>
          <w:szCs w:val="21"/>
        </w:rPr>
      </w:pPr>
      <w:r>
        <w:rPr>
          <w:rFonts w:hint="eastAsia" w:ascii="宋体" w:hAnsi="宋体" w:cs="宋体"/>
          <w:color w:val="auto"/>
          <w:sz w:val="21"/>
          <w:szCs w:val="21"/>
        </w:rPr>
        <w:t>（一）提供虚假材料谋取中标、成交的；</w:t>
      </w:r>
    </w:p>
    <w:p>
      <w:pPr>
        <w:pStyle w:val="16"/>
        <w:spacing w:line="360" w:lineRule="auto"/>
        <w:ind w:firstLine="420" w:firstLineChars="200"/>
        <w:rPr>
          <w:rFonts w:ascii="宋体" w:cs="宋体"/>
          <w:color w:val="auto"/>
          <w:sz w:val="21"/>
          <w:szCs w:val="21"/>
        </w:rPr>
      </w:pPr>
      <w:r>
        <w:rPr>
          <w:rFonts w:hint="eastAsia" w:ascii="宋体" w:hAnsi="宋体" w:cs="宋体"/>
          <w:color w:val="auto"/>
          <w:sz w:val="21"/>
          <w:szCs w:val="21"/>
        </w:rPr>
        <w:t>（二）采取不正当手段诋毁、排挤其他供应商的；</w:t>
      </w:r>
    </w:p>
    <w:p>
      <w:pPr>
        <w:pStyle w:val="16"/>
        <w:spacing w:line="360" w:lineRule="auto"/>
        <w:ind w:firstLine="420" w:firstLineChars="200"/>
        <w:rPr>
          <w:rFonts w:ascii="宋体" w:cs="宋体"/>
          <w:color w:val="auto"/>
          <w:sz w:val="21"/>
          <w:szCs w:val="21"/>
        </w:rPr>
      </w:pPr>
      <w:r>
        <w:rPr>
          <w:rFonts w:hint="eastAsia" w:ascii="宋体" w:hAnsi="宋体" w:cs="宋体"/>
          <w:color w:val="auto"/>
          <w:sz w:val="21"/>
          <w:szCs w:val="21"/>
        </w:rPr>
        <w:t>（三）与采购人、其他供应商或者采购代理机构恶意串通的；</w:t>
      </w:r>
    </w:p>
    <w:p>
      <w:pPr>
        <w:pStyle w:val="16"/>
        <w:spacing w:line="360" w:lineRule="auto"/>
        <w:ind w:firstLine="420" w:firstLineChars="200"/>
        <w:rPr>
          <w:rFonts w:ascii="宋体" w:cs="宋体"/>
          <w:color w:val="auto"/>
          <w:sz w:val="21"/>
          <w:szCs w:val="21"/>
        </w:rPr>
      </w:pPr>
      <w:r>
        <w:rPr>
          <w:rFonts w:hint="eastAsia" w:ascii="宋体" w:hAnsi="宋体" w:cs="宋体"/>
          <w:color w:val="auto"/>
          <w:sz w:val="21"/>
          <w:szCs w:val="21"/>
        </w:rPr>
        <w:t>（四）向采购人、采购代理机构行贿或者提供其他不正当利益的；</w:t>
      </w:r>
    </w:p>
    <w:p>
      <w:pPr>
        <w:pStyle w:val="16"/>
        <w:spacing w:line="360" w:lineRule="auto"/>
        <w:ind w:firstLine="420" w:firstLineChars="200"/>
        <w:rPr>
          <w:rFonts w:ascii="宋体" w:cs="宋体"/>
          <w:color w:val="auto"/>
          <w:sz w:val="21"/>
          <w:szCs w:val="21"/>
        </w:rPr>
      </w:pPr>
      <w:r>
        <w:rPr>
          <w:rFonts w:hint="eastAsia" w:ascii="宋体" w:hAnsi="宋体" w:cs="宋体"/>
          <w:color w:val="auto"/>
          <w:sz w:val="21"/>
          <w:szCs w:val="21"/>
        </w:rPr>
        <w:t>（五）在招标采购过程中与采购人进行协商谈判的；</w:t>
      </w:r>
    </w:p>
    <w:p>
      <w:pPr>
        <w:pStyle w:val="16"/>
        <w:spacing w:line="360" w:lineRule="auto"/>
        <w:ind w:firstLine="420" w:firstLineChars="200"/>
        <w:rPr>
          <w:rFonts w:ascii="宋体" w:cs="宋体"/>
          <w:color w:val="auto"/>
          <w:sz w:val="21"/>
          <w:szCs w:val="21"/>
        </w:rPr>
      </w:pPr>
      <w:r>
        <w:rPr>
          <w:rFonts w:hint="eastAsia" w:ascii="宋体" w:hAnsi="宋体" w:cs="宋体"/>
          <w:color w:val="auto"/>
          <w:sz w:val="21"/>
          <w:szCs w:val="21"/>
        </w:rPr>
        <w:t>（六）拒绝有关部门监督检查或者提供虚假情况的。</w:t>
      </w:r>
    </w:p>
    <w:p>
      <w:pPr>
        <w:pStyle w:val="16"/>
        <w:spacing w:line="360" w:lineRule="auto"/>
        <w:ind w:firstLine="420" w:firstLineChars="200"/>
        <w:rPr>
          <w:rFonts w:ascii="宋体" w:cs="宋体"/>
          <w:color w:val="auto"/>
          <w:kern w:val="0"/>
          <w:sz w:val="21"/>
          <w:szCs w:val="21"/>
        </w:rPr>
      </w:pPr>
      <w:r>
        <w:rPr>
          <w:rFonts w:hint="eastAsia" w:ascii="宋体" w:hAnsi="宋体" w:cs="宋体"/>
          <w:color w:val="auto"/>
          <w:sz w:val="21"/>
          <w:szCs w:val="21"/>
        </w:rPr>
        <w:t>投标人有前款第（一）至（五）项情形之一的，中标、成交无效。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.4 </w:t>
      </w:r>
      <w:r>
        <w:rPr>
          <w:rFonts w:hint="eastAsia" w:ascii="宋体" w:hAnsi="宋体" w:cs="宋体"/>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.5 </w:t>
      </w:r>
      <w:r>
        <w:rPr>
          <w:rFonts w:hint="eastAsia" w:ascii="宋体" w:hAnsi="宋体" w:cs="宋体"/>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6"/>
        <w:autoSpaceDE w:val="0"/>
        <w:autoSpaceDN w:val="0"/>
        <w:spacing w:line="360" w:lineRule="auto"/>
        <w:contextualSpacing/>
        <w:rPr>
          <w:color w:val="auto"/>
          <w:lang w:val="zh-CN"/>
        </w:rPr>
      </w:pPr>
      <w:r>
        <w:rPr>
          <w:rFonts w:hint="eastAsia" w:ascii="宋体" w:hAnsi="宋体" w:cs="宋体"/>
          <w:color w:val="auto"/>
          <w:szCs w:val="21"/>
        </w:rPr>
        <w:t>29.6 按照</w:t>
      </w:r>
      <w:r>
        <w:rPr>
          <w:rFonts w:hint="eastAsia" w:ascii="ˎ̥" w:hAnsi="ˎ̥"/>
          <w:color w:val="auto"/>
        </w:rPr>
        <w:t>《关于推进全流程电子化交易和在线监管工作有关问题的通知》（许公管办[2019]3号）规定，不同投标人电子投标文件制作硬件特征码（网卡MAC地址、CPU序号、硬盘序列号）均一致时，视为‘</w:t>
      </w:r>
      <w:r>
        <w:rPr>
          <w:rFonts w:ascii="ˎ̥" w:hAnsi="ˎ̥"/>
          <w:color w:val="auto"/>
        </w:rPr>
        <w:t>不同</w:t>
      </w:r>
      <w:r>
        <w:rPr>
          <w:rFonts w:hint="eastAsia" w:ascii="ˎ̥" w:hAnsi="ˎ̥"/>
          <w:color w:val="auto"/>
        </w:rPr>
        <w:t>投标人</w:t>
      </w:r>
      <w:r>
        <w:rPr>
          <w:rFonts w:ascii="ˎ̥" w:hAnsi="ˎ̥"/>
          <w:color w:val="auto"/>
        </w:rPr>
        <w:t>的</w:t>
      </w:r>
      <w:r>
        <w:rPr>
          <w:rFonts w:hint="eastAsia" w:ascii="ˎ̥" w:hAnsi="ˎ̥"/>
          <w:color w:val="auto"/>
        </w:rPr>
        <w:t>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w:t>
      </w:r>
      <w:r>
        <w:rPr>
          <w:rFonts w:hint="eastAsia" w:ascii="宋体" w:hAnsi="宋体" w:cs="宋体"/>
          <w:color w:val="auto"/>
          <w:szCs w:val="21"/>
        </w:rPr>
        <w:t xml:space="preserve">7 </w:t>
      </w:r>
      <w:r>
        <w:rPr>
          <w:rFonts w:hint="eastAsia" w:ascii="宋体" w:hAnsi="宋体" w:cs="宋体"/>
          <w:color w:val="auto"/>
          <w:szCs w:val="21"/>
          <w:lang w:val="zh-CN"/>
        </w:rPr>
        <w:t>法律、法规和招标文件规定的其他无效情形。</w:t>
      </w:r>
    </w:p>
    <w:p>
      <w:pPr>
        <w:tabs>
          <w:tab w:val="left" w:pos="1260"/>
        </w:tabs>
        <w:autoSpaceDE w:val="0"/>
        <w:autoSpaceDN w:val="0"/>
        <w:spacing w:line="360" w:lineRule="auto"/>
        <w:contextualSpacing/>
        <w:rPr>
          <w:rFonts w:ascii="宋体" w:cs="宋体"/>
          <w:b/>
          <w:bCs/>
          <w:color w:val="auto"/>
          <w:szCs w:val="21"/>
          <w:lang w:val="zh-CN"/>
        </w:rPr>
      </w:pPr>
      <w:r>
        <w:rPr>
          <w:rFonts w:hint="eastAsia" w:ascii="宋体" w:hAnsi="宋体" w:cs="宋体"/>
          <w:color w:val="auto"/>
          <w:szCs w:val="21"/>
        </w:rPr>
        <w:t>30</w:t>
      </w:r>
      <w:r>
        <w:rPr>
          <w:rFonts w:ascii="宋体" w:hAnsi="宋体" w:cs="宋体"/>
          <w:color w:val="auto"/>
          <w:szCs w:val="21"/>
          <w:lang w:val="zh-CN"/>
        </w:rPr>
        <w:t>.</w:t>
      </w:r>
      <w:r>
        <w:rPr>
          <w:rFonts w:hint="eastAsia" w:ascii="宋体" w:hAnsi="宋体" w:cs="宋体"/>
          <w:b/>
          <w:bCs/>
          <w:color w:val="auto"/>
          <w:szCs w:val="21"/>
          <w:lang w:val="zh-CN"/>
        </w:rPr>
        <w:t>相同品牌投标人的认定（服务类项目不适用本条款规定）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30</w:t>
      </w:r>
      <w:r>
        <w:rPr>
          <w:rFonts w:ascii="宋体" w:hAnsi="宋体" w:cs="宋体"/>
          <w:color w:val="auto"/>
          <w:szCs w:val="21"/>
          <w:lang w:val="zh-CN"/>
        </w:rPr>
        <w:t xml:space="preserve">.1 </w:t>
      </w:r>
      <w:r>
        <w:rPr>
          <w:rFonts w:hint="eastAsia" w:ascii="宋体" w:hAnsi="宋体" w:cs="宋体"/>
          <w:color w:val="auto"/>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30</w:t>
      </w:r>
      <w:r>
        <w:rPr>
          <w:rFonts w:ascii="宋体" w:hAnsi="宋体" w:cs="宋体"/>
          <w:color w:val="auto"/>
          <w:szCs w:val="21"/>
          <w:lang w:val="zh-CN"/>
        </w:rPr>
        <w:t xml:space="preserve">.2 </w:t>
      </w:r>
      <w:r>
        <w:rPr>
          <w:rFonts w:hint="eastAsia" w:ascii="宋体" w:hAnsi="宋体" w:cs="宋体"/>
          <w:color w:val="auto"/>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auto"/>
          <w:szCs w:val="21"/>
          <w:lang w:val="zh-CN"/>
        </w:rPr>
        <w:t>;</w:t>
      </w:r>
      <w:r>
        <w:rPr>
          <w:rFonts w:hint="eastAsia" w:ascii="宋体" w:hAnsi="宋体" w:cs="宋体"/>
          <w:color w:val="auto"/>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w:t>
      </w:r>
      <w:r>
        <w:rPr>
          <w:rFonts w:hint="eastAsia" w:ascii="宋体" w:hAnsi="宋体" w:cs="宋体"/>
          <w:b/>
          <w:color w:val="auto"/>
          <w:szCs w:val="21"/>
        </w:rPr>
        <w:t>1</w:t>
      </w:r>
      <w:r>
        <w:rPr>
          <w:rFonts w:ascii="宋体" w:hAnsi="宋体" w:cs="宋体"/>
          <w:b/>
          <w:color w:val="auto"/>
          <w:szCs w:val="21"/>
          <w:lang w:val="zh-CN"/>
        </w:rPr>
        <w:t xml:space="preserve">. </w:t>
      </w:r>
      <w:r>
        <w:rPr>
          <w:rFonts w:hint="eastAsia" w:ascii="宋体" w:hAnsi="宋体" w:cs="宋体"/>
          <w:b/>
          <w:color w:val="auto"/>
          <w:szCs w:val="21"/>
          <w:lang w:val="zh-CN"/>
        </w:rPr>
        <w:t>投标文件的比较与评价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2</w:t>
      </w:r>
      <w:r>
        <w:rPr>
          <w:rFonts w:ascii="宋体" w:hAnsi="宋体" w:cs="宋体"/>
          <w:b/>
          <w:color w:val="auto"/>
          <w:szCs w:val="21"/>
          <w:lang w:val="zh-CN"/>
        </w:rPr>
        <w:t>.</w:t>
      </w:r>
      <w:r>
        <w:rPr>
          <w:rFonts w:hint="eastAsia" w:ascii="宋体" w:hAnsi="宋体" w:cs="宋体"/>
          <w:b/>
          <w:color w:val="auto"/>
          <w:szCs w:val="21"/>
          <w:lang w:val="zh-CN"/>
        </w:rPr>
        <w:t>评标方法、评标标准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 </w:t>
      </w:r>
      <w:r>
        <w:rPr>
          <w:rFonts w:hint="eastAsia" w:ascii="宋体" w:hAnsi="宋体" w:cs="宋体"/>
          <w:color w:val="auto"/>
          <w:szCs w:val="21"/>
          <w:lang w:val="zh-CN"/>
        </w:rPr>
        <w:t>评标方法分为最低评标价法和综合评分法。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.1.1 </w:t>
      </w:r>
      <w:r>
        <w:rPr>
          <w:rFonts w:hint="eastAsia" w:ascii="宋体" w:hAnsi="宋体" w:cs="宋体"/>
          <w:color w:val="auto"/>
          <w:szCs w:val="21"/>
          <w:lang w:val="zh-CN"/>
        </w:rPr>
        <w:t>最低评标价法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3</w:t>
      </w:r>
      <w:r>
        <w:rPr>
          <w:rFonts w:hint="eastAsia" w:ascii="宋体" w:hAnsi="宋体" w:cs="宋体"/>
          <w:color w:val="auto"/>
          <w:szCs w:val="21"/>
        </w:rPr>
        <w:t>2</w:t>
      </w:r>
      <w:r>
        <w:rPr>
          <w:rFonts w:ascii="宋体" w:hAnsi="宋体" w:cs="宋体"/>
          <w:color w:val="auto"/>
          <w:szCs w:val="21"/>
          <w:lang w:val="zh-CN"/>
        </w:rPr>
        <w:t xml:space="preserve">.1.1.1 </w:t>
      </w:r>
      <w:r>
        <w:rPr>
          <w:rFonts w:hint="eastAsia" w:ascii="宋体" w:hAnsi="宋体" w:cs="宋体"/>
          <w:color w:val="auto"/>
          <w:szCs w:val="21"/>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.1.1.2 </w:t>
      </w:r>
      <w:r>
        <w:rPr>
          <w:rFonts w:hint="eastAsia" w:ascii="宋体" w:hAnsi="宋体" w:cs="宋体"/>
          <w:color w:val="auto"/>
          <w:szCs w:val="21"/>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.1.2 </w:t>
      </w:r>
      <w:r>
        <w:rPr>
          <w:rFonts w:hint="eastAsia" w:ascii="宋体" w:hAnsi="宋体" w:cs="宋体"/>
          <w:color w:val="auto"/>
          <w:szCs w:val="21"/>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 </w:t>
      </w:r>
      <w:r>
        <w:rPr>
          <w:rFonts w:hint="eastAsia" w:ascii="宋体" w:hAnsi="宋体" w:cs="宋体"/>
          <w:color w:val="auto"/>
          <w:szCs w:val="21"/>
          <w:lang w:val="zh-CN"/>
        </w:rPr>
        <w:t>价格分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.2.1 </w:t>
      </w:r>
      <w:r>
        <w:rPr>
          <w:rFonts w:hint="eastAsia" w:ascii="宋体" w:hAnsi="宋体" w:cs="宋体"/>
          <w:color w:val="auto"/>
          <w:szCs w:val="21"/>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宋体"/>
          <w:color w:val="auto"/>
          <w:szCs w:val="21"/>
          <w:lang w:val="zh-CN"/>
        </w:rPr>
      </w:pPr>
      <w:r>
        <w:rPr>
          <w:rFonts w:hint="eastAsia" w:ascii="宋体" w:hAnsi="宋体" w:cs="宋体"/>
          <w:color w:val="auto"/>
          <w:szCs w:val="21"/>
          <w:lang w:val="zh-CN"/>
        </w:rPr>
        <w:t>投标报价得分</w:t>
      </w:r>
      <w:r>
        <w:rPr>
          <w:rFonts w:ascii="宋体" w:hAnsi="宋体" w:cs="宋体"/>
          <w:color w:val="auto"/>
          <w:szCs w:val="21"/>
          <w:lang w:val="zh-CN"/>
        </w:rPr>
        <w:t>=(</w:t>
      </w: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投标报价</w:t>
      </w:r>
      <w:r>
        <w:rPr>
          <w:rFonts w:ascii="宋体" w:hAnsi="宋体" w:cs="宋体"/>
          <w:color w:val="auto"/>
          <w:szCs w:val="21"/>
          <w:lang w:val="zh-CN"/>
        </w:rPr>
        <w:t>)</w:t>
      </w:r>
      <w:r>
        <w:rPr>
          <w:rFonts w:hint="eastAsia" w:ascii="宋体" w:hAnsi="宋体" w:cs="宋体"/>
          <w:color w:val="auto"/>
          <w:szCs w:val="21"/>
          <w:lang w:val="zh-CN"/>
        </w:rPr>
        <w:t>×</w:t>
      </w:r>
      <w:r>
        <w:rPr>
          <w:rFonts w:ascii="宋体" w:hAnsi="宋体" w:cs="宋体"/>
          <w:color w:val="auto"/>
          <w:szCs w:val="21"/>
          <w:lang w:val="zh-CN"/>
        </w:rPr>
        <w:t>100</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评标总得分</w:t>
      </w: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A1+F2</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w:t>
      </w:r>
      <w:r>
        <w:rPr>
          <w:rFonts w:ascii="宋体" w:hAnsi="宋体" w:cs="宋体"/>
          <w:color w:val="auto"/>
          <w:szCs w:val="21"/>
          <w:lang w:val="zh-CN"/>
        </w:rPr>
        <w:t>An</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F2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分别为各项评审因素的得分</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A1</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 xml:space="preserve">An </w:t>
      </w:r>
      <w:r>
        <w:rPr>
          <w:rFonts w:hint="eastAsia" w:ascii="宋体" w:hAnsi="宋体" w:cs="宋体"/>
          <w:color w:val="auto"/>
          <w:szCs w:val="21"/>
          <w:lang w:val="zh-CN"/>
        </w:rPr>
        <w:t>分别为各项评审因素所占的权重</w:t>
      </w:r>
      <w:r>
        <w:rPr>
          <w:rFonts w:ascii="宋体" w:hAnsi="宋体" w:cs="宋体"/>
          <w:color w:val="auto"/>
          <w:szCs w:val="21"/>
          <w:lang w:val="zh-CN"/>
        </w:rPr>
        <w:t>(A1+A2+</w:t>
      </w:r>
      <w:r>
        <w:rPr>
          <w:rFonts w:hint="eastAsia" w:ascii="宋体" w:hAnsi="宋体" w:cs="宋体"/>
          <w:color w:val="auto"/>
          <w:szCs w:val="21"/>
          <w:lang w:val="zh-CN"/>
        </w:rPr>
        <w:t>……</w:t>
      </w:r>
      <w:r>
        <w:rPr>
          <w:rFonts w:ascii="宋体" w:hAnsi="宋体" w:cs="宋体"/>
          <w:color w:val="auto"/>
          <w:szCs w:val="21"/>
          <w:lang w:val="zh-CN"/>
        </w:rPr>
        <w:t>+An=1)</w:t>
      </w:r>
      <w:r>
        <w:rPr>
          <w:rFonts w:hint="eastAsia"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.2.2 </w:t>
      </w:r>
      <w:r>
        <w:rPr>
          <w:rFonts w:hint="eastAsia" w:ascii="宋体" w:hAnsi="宋体" w:cs="宋体"/>
          <w:color w:val="auto"/>
          <w:szCs w:val="21"/>
          <w:lang w:val="zh-CN"/>
        </w:rPr>
        <w:t>评标过程中，不得去掉报价中的最高报价和最低报价。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.2.3 </w:t>
      </w:r>
      <w:r>
        <w:rPr>
          <w:rFonts w:hint="eastAsia" w:ascii="宋体" w:hAnsi="宋体" w:cs="宋体"/>
          <w:color w:val="auto"/>
          <w:szCs w:val="21"/>
          <w:lang w:val="zh-CN"/>
        </w:rPr>
        <w:t>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cs="宋体"/>
          <w:b/>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.3</w:t>
      </w:r>
      <w:r>
        <w:rPr>
          <w:rFonts w:hint="eastAsia" w:ascii="宋体" w:hAnsi="宋体" w:cs="宋体"/>
          <w:b/>
          <w:color w:val="auto"/>
          <w:szCs w:val="21"/>
          <w:lang w:val="zh-CN"/>
        </w:rPr>
        <w:t>本次评标具体评标方法、评标标准见（第六章资格审查与</w:t>
      </w:r>
      <w:r>
        <w:rPr>
          <w:rFonts w:hint="eastAsia" w:ascii="宋体" w:hAnsi="宋体" w:cs="宋体"/>
          <w:b/>
          <w:color w:val="auto"/>
          <w:kern w:val="0"/>
          <w:szCs w:val="21"/>
        </w:rPr>
        <w:t>评标</w:t>
      </w:r>
      <w:r>
        <w:rPr>
          <w:rFonts w:hint="eastAsia" w:ascii="宋体" w:hAnsi="宋体" w:cs="宋体"/>
          <w:b/>
          <w:color w:val="auto"/>
          <w:szCs w:val="21"/>
          <w:lang w:val="zh-CN"/>
        </w:rPr>
        <w:t>）。</w:t>
      </w:r>
    </w:p>
    <w:p>
      <w:pPr>
        <w:tabs>
          <w:tab w:val="left" w:pos="1260"/>
        </w:tabs>
        <w:autoSpaceDE w:val="0"/>
        <w:autoSpaceDN w:val="0"/>
        <w:spacing w:line="360" w:lineRule="auto"/>
        <w:contextualSpacing/>
        <w:rPr>
          <w:rFonts w:ascii="宋体" w:cs="宋体"/>
          <w:color w:val="auto"/>
          <w:szCs w:val="21"/>
          <w:lang w:val="zh-CN"/>
        </w:rPr>
      </w:pPr>
      <w:r>
        <w:rPr>
          <w:rFonts w:ascii="宋体" w:hAnsi="宋体" w:cs="宋体"/>
          <w:b/>
          <w:bCs/>
          <w:color w:val="auto"/>
          <w:szCs w:val="21"/>
          <w:lang w:val="zh-CN"/>
        </w:rPr>
        <w:t>3</w:t>
      </w:r>
      <w:r>
        <w:rPr>
          <w:rFonts w:hint="eastAsia" w:ascii="宋体" w:hAnsi="宋体" w:cs="宋体"/>
          <w:b/>
          <w:bCs/>
          <w:color w:val="auto"/>
          <w:szCs w:val="21"/>
        </w:rPr>
        <w:t>3</w:t>
      </w:r>
      <w:r>
        <w:rPr>
          <w:rFonts w:ascii="宋体" w:hAnsi="宋体" w:cs="宋体"/>
          <w:b/>
          <w:bCs/>
          <w:color w:val="auto"/>
          <w:szCs w:val="21"/>
          <w:lang w:val="zh-CN"/>
        </w:rPr>
        <w:t xml:space="preserve">. </w:t>
      </w:r>
      <w:r>
        <w:rPr>
          <w:rFonts w:hint="eastAsia" w:ascii="宋体" w:hAnsi="宋体" w:cs="宋体"/>
          <w:b/>
          <w:bCs/>
          <w:color w:val="auto"/>
          <w:szCs w:val="21"/>
          <w:lang w:val="zh-CN"/>
        </w:rPr>
        <w:t>推荐中标候选人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.1 </w:t>
      </w:r>
      <w:r>
        <w:rPr>
          <w:rFonts w:hint="eastAsia" w:ascii="宋体" w:hAnsi="宋体" w:cs="宋体"/>
          <w:color w:val="auto"/>
          <w:szCs w:val="21"/>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.2 </w:t>
      </w:r>
      <w:r>
        <w:rPr>
          <w:rFonts w:hint="eastAsia" w:ascii="宋体" w:hAnsi="宋体" w:cs="宋体"/>
          <w:color w:val="auto"/>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4</w:t>
      </w:r>
      <w:r>
        <w:rPr>
          <w:rFonts w:ascii="宋体" w:cs="宋体"/>
          <w:b/>
          <w:color w:val="auto"/>
          <w:szCs w:val="21"/>
          <w:lang w:val="zh-CN"/>
        </w:rPr>
        <w:t>.</w:t>
      </w:r>
      <w:r>
        <w:rPr>
          <w:rFonts w:hint="eastAsia" w:ascii="宋体" w:hAnsi="宋体" w:cs="宋体"/>
          <w:b/>
          <w:color w:val="auto"/>
          <w:szCs w:val="21"/>
          <w:lang w:val="zh-CN"/>
        </w:rPr>
        <w:t>评审意见无效情形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.1 </w:t>
      </w:r>
      <w:r>
        <w:rPr>
          <w:rFonts w:hint="eastAsia" w:ascii="宋体" w:hAnsi="宋体" w:cs="宋体"/>
          <w:color w:val="auto"/>
          <w:szCs w:val="21"/>
          <w:lang w:val="zh-CN"/>
        </w:rPr>
        <w:t>确定参与评标至评标结束前私自接触投标人；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.2 </w:t>
      </w:r>
      <w:r>
        <w:rPr>
          <w:rFonts w:hint="eastAsia" w:ascii="宋体" w:hAnsi="宋体" w:cs="宋体"/>
          <w:color w:val="auto"/>
          <w:szCs w:val="21"/>
          <w:lang w:val="zh-CN"/>
        </w:rPr>
        <w:t>接受投标人提出的与投标文件不一致的澄清或者说明，《投标人须知》</w:t>
      </w:r>
      <w:r>
        <w:rPr>
          <w:rFonts w:ascii="宋体" w:hAnsi="宋体" w:cs="宋体"/>
          <w:color w:val="auto"/>
          <w:szCs w:val="21"/>
          <w:lang w:val="zh-CN"/>
        </w:rPr>
        <w:t>2</w:t>
      </w:r>
      <w:r>
        <w:rPr>
          <w:rFonts w:ascii="宋体" w:hAnsi="宋体" w:cs="宋体"/>
          <w:color w:val="auto"/>
          <w:szCs w:val="21"/>
        </w:rPr>
        <w:t>6</w:t>
      </w:r>
      <w:r>
        <w:rPr>
          <w:rFonts w:hint="eastAsia" w:ascii="宋体" w:hAnsi="宋体" w:cs="宋体"/>
          <w:color w:val="auto"/>
          <w:szCs w:val="21"/>
          <w:lang w:val="zh-CN"/>
        </w:rPr>
        <w:t>条规定的情形除外；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.3 </w:t>
      </w:r>
      <w:r>
        <w:rPr>
          <w:rFonts w:hint="eastAsia" w:ascii="宋体" w:hAnsi="宋体" w:cs="宋体"/>
          <w:color w:val="auto"/>
          <w:szCs w:val="21"/>
          <w:lang w:val="zh-CN"/>
        </w:rPr>
        <w:t>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.4 </w:t>
      </w:r>
      <w:r>
        <w:rPr>
          <w:rFonts w:hint="eastAsia" w:ascii="宋体" w:hAnsi="宋体" w:cs="宋体"/>
          <w:color w:val="auto"/>
          <w:szCs w:val="21"/>
          <w:lang w:val="zh-CN"/>
        </w:rPr>
        <w:t>对需要专业判断的主观评审因素协商评分；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.5 </w:t>
      </w:r>
      <w:r>
        <w:rPr>
          <w:rFonts w:hint="eastAsia" w:ascii="宋体" w:hAnsi="宋体" w:cs="宋体"/>
          <w:color w:val="auto"/>
          <w:szCs w:val="21"/>
          <w:lang w:val="zh-CN"/>
        </w:rPr>
        <w:t>在评标过程中擅离职守，影响评标程序正常进行的；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.6 </w:t>
      </w:r>
      <w:r>
        <w:rPr>
          <w:rFonts w:hint="eastAsia" w:ascii="宋体" w:hAnsi="宋体" w:cs="宋体"/>
          <w:color w:val="auto"/>
          <w:szCs w:val="21"/>
          <w:lang w:val="zh-CN"/>
        </w:rPr>
        <w:t>记录、复制或者带走任何评标资料；</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.7 </w:t>
      </w:r>
      <w:r>
        <w:rPr>
          <w:rFonts w:hint="eastAsia" w:ascii="宋体" w:hAnsi="宋体" w:cs="宋体"/>
          <w:color w:val="auto"/>
          <w:szCs w:val="21"/>
          <w:lang w:val="zh-CN"/>
        </w:rPr>
        <w:t>其他不遵守评标纪律的行为。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5</w:t>
      </w:r>
      <w:r>
        <w:rPr>
          <w:rFonts w:ascii="宋体" w:hAnsi="宋体" w:cs="宋体"/>
          <w:b/>
          <w:color w:val="auto"/>
          <w:szCs w:val="21"/>
          <w:lang w:val="zh-CN"/>
        </w:rPr>
        <w:t xml:space="preserve">. </w:t>
      </w:r>
      <w:r>
        <w:rPr>
          <w:rFonts w:hint="eastAsia" w:ascii="宋体" w:hAnsi="宋体" w:cs="宋体"/>
          <w:b/>
          <w:color w:val="auto"/>
          <w:szCs w:val="21"/>
          <w:lang w:val="zh-CN"/>
        </w:rPr>
        <w:t>保密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.1 </w:t>
      </w:r>
      <w:r>
        <w:rPr>
          <w:rFonts w:hint="eastAsia" w:ascii="宋体" w:hAnsi="宋体" w:cs="宋体"/>
          <w:color w:val="auto"/>
          <w:szCs w:val="21"/>
          <w:lang w:val="zh-CN"/>
        </w:rPr>
        <w:t>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cs="宋体"/>
          <w:color w:val="auto"/>
          <w:sz w:val="24"/>
          <w:szCs w:val="24"/>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cs="宋体"/>
          <w:b/>
          <w:color w:val="auto"/>
          <w:kern w:val="0"/>
          <w:sz w:val="21"/>
          <w:szCs w:val="21"/>
        </w:rPr>
      </w:pPr>
      <w:r>
        <w:rPr>
          <w:rFonts w:hint="eastAsia" w:ascii="宋体" w:hAnsi="宋体" w:cs="宋体"/>
          <w:b/>
          <w:color w:val="auto"/>
          <w:kern w:val="0"/>
          <w:sz w:val="21"/>
          <w:szCs w:val="21"/>
        </w:rPr>
        <w:t>六、定标和授予合同</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确定中标人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采购人应当自收到评标报告之日起</w:t>
      </w:r>
      <w:r>
        <w:rPr>
          <w:rFonts w:ascii="宋体" w:hAnsi="宋体" w:cs="宋体"/>
          <w:color w:val="auto"/>
          <w:szCs w:val="21"/>
        </w:rPr>
        <w:t>5</w:t>
      </w:r>
      <w:r>
        <w:rPr>
          <w:rFonts w:hint="eastAsia" w:ascii="宋体" w:hAnsi="宋体" w:cs="宋体"/>
          <w:color w:val="auto"/>
          <w:szCs w:val="21"/>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采购人在收到评标报告</w:t>
      </w:r>
      <w:r>
        <w:rPr>
          <w:rFonts w:ascii="宋体" w:hAnsi="宋体" w:cs="宋体"/>
          <w:color w:val="auto"/>
          <w:szCs w:val="21"/>
          <w:lang w:val="zh-CN"/>
        </w:rPr>
        <w:t>5</w:t>
      </w:r>
      <w:r>
        <w:rPr>
          <w:rFonts w:hint="eastAsia" w:ascii="宋体" w:hAnsi="宋体" w:cs="宋体"/>
          <w:color w:val="auto"/>
          <w:szCs w:val="21"/>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中标公告、发出中标通知书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cs="宋体"/>
          <w:bCs/>
          <w:color w:val="auto"/>
          <w:szCs w:val="21"/>
          <w:lang w:val="zh-CN"/>
        </w:rPr>
      </w:pPr>
      <w:r>
        <w:rPr>
          <w:rFonts w:ascii="宋体" w:hAnsi="宋体" w:cs="宋体"/>
          <w:color w:val="auto"/>
          <w:szCs w:val="21"/>
        </w:rPr>
        <w:t>3</w:t>
      </w:r>
      <w:r>
        <w:rPr>
          <w:rFonts w:hint="eastAsia" w:ascii="宋体" w:hAnsi="宋体" w:cs="宋体"/>
          <w:color w:val="auto"/>
          <w:szCs w:val="21"/>
        </w:rPr>
        <w:t>7</w:t>
      </w:r>
      <w:r>
        <w:rPr>
          <w:rFonts w:ascii="宋体" w:hAnsi="宋体" w:cs="宋体"/>
          <w:color w:val="auto"/>
          <w:szCs w:val="21"/>
        </w:rPr>
        <w:t xml:space="preserve">.3 </w:t>
      </w:r>
      <w:r>
        <w:rPr>
          <w:rFonts w:hint="eastAsia" w:ascii="宋体" w:hAnsi="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w:t>
      </w:r>
      <w:r>
        <w:rPr>
          <w:rFonts w:hint="eastAsia" w:ascii="宋体" w:hAnsi="宋体" w:cs="宋体"/>
          <w:b/>
          <w:color w:val="auto"/>
          <w:szCs w:val="21"/>
        </w:rPr>
        <w:t>8</w:t>
      </w:r>
      <w:r>
        <w:rPr>
          <w:rFonts w:ascii="宋体" w:hAnsi="宋体" w:cs="宋体"/>
          <w:b/>
          <w:color w:val="auto"/>
          <w:szCs w:val="21"/>
        </w:rPr>
        <w:t>.</w:t>
      </w:r>
      <w:r>
        <w:rPr>
          <w:rFonts w:hint="eastAsia" w:ascii="宋体" w:hAnsi="宋体" w:cs="宋体"/>
          <w:b/>
          <w:color w:val="auto"/>
          <w:szCs w:val="21"/>
          <w:lang w:val="zh-CN"/>
        </w:rPr>
        <w:t>质疑提出与答复</w:t>
      </w:r>
    </w:p>
    <w:p>
      <w:pPr>
        <w:tabs>
          <w:tab w:val="left" w:pos="1260"/>
        </w:tabs>
        <w:autoSpaceDE w:val="0"/>
        <w:autoSpaceDN w:val="0"/>
        <w:spacing w:line="360" w:lineRule="auto"/>
        <w:ind w:firstLine="420" w:firstLineChars="200"/>
        <w:contextualSpacing/>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.1 </w:t>
      </w:r>
      <w:r>
        <w:rPr>
          <w:rFonts w:hint="eastAsia" w:ascii="宋体" w:hAnsi="宋体" w:cs="宋体"/>
          <w:color w:val="auto"/>
          <w:szCs w:val="21"/>
        </w:rPr>
        <w:t>供应商认为招标文件、采购过程和中标结果使自己的权益受到损害的，可以按照</w:t>
      </w:r>
      <w:r>
        <w:rPr>
          <w:rFonts w:hint="eastAsia" w:ascii="宋体" w:hAnsi="宋体" w:cs="宋体"/>
          <w:bCs/>
          <w:color w:val="auto"/>
          <w:kern w:val="0"/>
          <w:szCs w:val="21"/>
          <w:lang w:val="zh-CN"/>
        </w:rPr>
        <w:t>财政部</w:t>
      </w:r>
      <w:r>
        <w:rPr>
          <w:rFonts w:ascii="宋体" w:hAnsi="宋体" w:cs="宋体"/>
          <w:bCs/>
          <w:color w:val="auto"/>
          <w:kern w:val="0"/>
          <w:szCs w:val="21"/>
          <w:lang w:val="zh-CN"/>
        </w:rPr>
        <w:t>94</w:t>
      </w:r>
      <w:r>
        <w:rPr>
          <w:rFonts w:hint="eastAsia" w:ascii="宋体" w:hAnsi="宋体" w:cs="宋体"/>
          <w:bCs/>
          <w:color w:val="auto"/>
          <w:kern w:val="0"/>
          <w:szCs w:val="21"/>
          <w:lang w:val="zh-CN"/>
        </w:rPr>
        <w:t>号令</w:t>
      </w:r>
      <w:r>
        <w:rPr>
          <w:rFonts w:hint="eastAsia" w:ascii="宋体" w:hAnsi="宋体" w:cs="宋体"/>
          <w:bCs/>
          <w:color w:val="auto"/>
          <w:szCs w:val="21"/>
          <w:lang w:val="zh-CN"/>
        </w:rPr>
        <w:t>提出质</w:t>
      </w:r>
      <w:r>
        <w:rPr>
          <w:rFonts w:hint="eastAsia" w:ascii="宋体" w:hAnsi="宋体" w:cs="宋体"/>
          <w:color w:val="auto"/>
          <w:szCs w:val="21"/>
        </w:rPr>
        <w:t>疑。提出质疑的供应商应当是参与本项目采购活动的供应商。</w:t>
      </w:r>
    </w:p>
    <w:p>
      <w:pPr>
        <w:tabs>
          <w:tab w:val="left" w:pos="1260"/>
        </w:tabs>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38.1.1</w:t>
      </w:r>
      <w:r>
        <w:rPr>
          <w:rFonts w:hint="eastAsia" w:cs="宋体" w:asciiTheme="minorEastAsia" w:hAnsiTheme="minorEastAsia"/>
          <w:color w:val="auto"/>
          <w:kern w:val="0"/>
          <w:szCs w:val="21"/>
        </w:rPr>
        <w:t>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投标人应及时联系招标公告中代理机构联系人查看。如未提出视为全面接受。</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.1.2 </w:t>
      </w:r>
      <w:r>
        <w:rPr>
          <w:rFonts w:hint="eastAsia" w:ascii="宋体" w:hAnsi="宋体" w:cs="宋体"/>
          <w:color w:val="auto"/>
          <w:szCs w:val="21"/>
        </w:rPr>
        <w:t>对采购过程提出质疑的，为各采购程序环节结束之日起七个工作日内，以书面形式向采购人和采购代理机构一次性提出；</w:t>
      </w:r>
      <w:r>
        <w:rPr>
          <w:rFonts w:ascii="宋体" w:cs="宋体"/>
          <w:color w:val="auto"/>
          <w:szCs w:val="21"/>
        </w:rPr>
        <w:br w:type="textWrapping"/>
      </w:r>
      <w:r>
        <w:rPr>
          <w:rFonts w:hint="eastAsia" w:ascii="宋体" w:cs="宋体"/>
          <w:color w:val="auto"/>
          <w:szCs w:val="21"/>
        </w:rPr>
        <w:t xml:space="preserve">    </w:t>
      </w: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.1.3 </w:t>
      </w:r>
      <w:r>
        <w:rPr>
          <w:rFonts w:hint="eastAsia" w:ascii="宋体" w:hAnsi="宋体" w:cs="宋体"/>
          <w:color w:val="auto"/>
          <w:szCs w:val="21"/>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.2 </w:t>
      </w:r>
      <w:r>
        <w:rPr>
          <w:rFonts w:hint="eastAsia" w:ascii="宋体" w:hAnsi="宋体" w:cs="宋体"/>
          <w:color w:val="auto"/>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.2.1 </w:t>
      </w:r>
      <w:r>
        <w:rPr>
          <w:rFonts w:hint="eastAsia" w:ascii="宋体" w:hAnsi="宋体" w:cs="宋体"/>
          <w:color w:val="auto"/>
          <w:szCs w:val="21"/>
        </w:rPr>
        <w:t>对招标文件提出的质疑，依法通过澄清或者修改可以继续开展采购活动的，澄清或者修改招标文件后继续开展采购活动；否则应当修改招标文件后重新开展采购活动。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.2.2 </w:t>
      </w:r>
      <w:r>
        <w:rPr>
          <w:rFonts w:hint="eastAsia" w:ascii="宋体" w:hAnsi="宋体" w:cs="宋体"/>
          <w:color w:val="auto"/>
          <w:szCs w:val="21"/>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 </w:t>
      </w:r>
      <w:r>
        <w:rPr>
          <w:rFonts w:hint="eastAsia" w:ascii="宋体" w:hAnsi="宋体" w:cs="宋体"/>
          <w:color w:val="auto"/>
          <w:szCs w:val="21"/>
        </w:rPr>
        <w:t>答复</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.3.1 </w:t>
      </w:r>
      <w:r>
        <w:rPr>
          <w:rFonts w:hint="eastAsia" w:ascii="宋体" w:hAnsi="宋体" w:cs="宋体"/>
          <w:color w:val="auto"/>
          <w:szCs w:val="21"/>
        </w:rPr>
        <w:t>对招标文件提出质疑的，质疑供应商和其他有关供应商在法定时限内到《全国公共资源交易平台（河南省·许昌市）》自行下载并打印书面质疑回复函，或者联系采购单位领取书面质疑回复函。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.3.2 </w:t>
      </w:r>
      <w:r>
        <w:rPr>
          <w:rFonts w:hint="eastAsia" w:ascii="宋体" w:hAnsi="宋体" w:cs="宋体"/>
          <w:color w:val="auto"/>
          <w:szCs w:val="21"/>
        </w:rPr>
        <w:t>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.3.3 </w:t>
      </w:r>
      <w:r>
        <w:rPr>
          <w:rFonts w:hint="eastAsia" w:ascii="宋体" w:hAnsi="宋体" w:cs="宋体"/>
          <w:color w:val="auto"/>
          <w:szCs w:val="21"/>
        </w:rPr>
        <w:t>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cs="宋体"/>
          <w:b/>
          <w:color w:val="auto"/>
          <w:szCs w:val="21"/>
        </w:rPr>
      </w:pPr>
      <w:r>
        <w:rPr>
          <w:rFonts w:hint="eastAsia" w:ascii="宋体" w:hAnsi="宋体" w:cs="宋体"/>
          <w:b/>
          <w:color w:val="auto"/>
          <w:szCs w:val="21"/>
        </w:rPr>
        <w:t>39</w:t>
      </w:r>
      <w:r>
        <w:rPr>
          <w:rFonts w:ascii="宋体" w:hAnsi="宋体" w:cs="宋体"/>
          <w:b/>
          <w:color w:val="auto"/>
          <w:szCs w:val="21"/>
        </w:rPr>
        <w:t>.</w:t>
      </w:r>
      <w:r>
        <w:rPr>
          <w:rFonts w:hint="eastAsia" w:ascii="宋体" w:hAnsi="宋体" w:cs="宋体"/>
          <w:b/>
          <w:color w:val="auto"/>
          <w:szCs w:val="21"/>
          <w:lang w:val="zh-CN"/>
        </w:rPr>
        <w:t>签订合同</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采购人应当自中标通知书发出之日起</w:t>
      </w:r>
      <w:r>
        <w:rPr>
          <w:rFonts w:ascii="宋体" w:hAnsi="宋体" w:cs="宋体"/>
          <w:color w:val="auto"/>
          <w:szCs w:val="21"/>
          <w:lang w:val="zh-CN"/>
        </w:rPr>
        <w:t>30</w:t>
      </w:r>
      <w:r>
        <w:rPr>
          <w:rFonts w:hint="eastAsia" w:ascii="宋体" w:hAnsi="宋体" w:cs="宋体"/>
          <w:color w:val="auto"/>
          <w:szCs w:val="21"/>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宋体"/>
          <w:b/>
          <w:color w:val="auto"/>
          <w:szCs w:val="21"/>
        </w:rPr>
      </w:pPr>
      <w:r>
        <w:rPr>
          <w:rFonts w:hint="eastAsia" w:ascii="宋体" w:hAnsi="宋体" w:cs="宋体"/>
          <w:b/>
          <w:color w:val="auto"/>
          <w:szCs w:val="21"/>
        </w:rPr>
        <w:t>40</w:t>
      </w:r>
      <w:r>
        <w:rPr>
          <w:rFonts w:ascii="宋体" w:hAnsi="宋体" w:cs="宋体"/>
          <w:b/>
          <w:color w:val="auto"/>
          <w:szCs w:val="21"/>
        </w:rPr>
        <w:t>.</w:t>
      </w:r>
      <w:r>
        <w:rPr>
          <w:rFonts w:hint="eastAsia" w:ascii="宋体" w:hAnsi="宋体" w:cs="宋体"/>
          <w:b/>
          <w:color w:val="auto"/>
          <w:szCs w:val="21"/>
        </w:rPr>
        <w:t>履约保证金</w:t>
      </w:r>
    </w:p>
    <w:p>
      <w:pPr>
        <w:autoSpaceDE w:val="0"/>
        <w:autoSpaceDN w:val="0"/>
        <w:spacing w:line="360" w:lineRule="auto"/>
        <w:ind w:firstLine="420" w:firstLineChars="200"/>
        <w:contextualSpacing/>
        <w:rPr>
          <w:rFonts w:ascii="宋体" w:hAnsi="宋体" w:cs="宋体"/>
          <w:color w:val="auto"/>
          <w:szCs w:val="21"/>
        </w:rPr>
      </w:pPr>
      <w:r>
        <w:rPr>
          <w:rFonts w:hint="eastAsia" w:ascii="宋体" w:hAnsi="宋体" w:cs="宋体"/>
          <w:color w:val="auto"/>
          <w:kern w:val="0"/>
          <w:szCs w:val="21"/>
        </w:rPr>
        <w:t>“投标人须知前附表”中规定</w:t>
      </w:r>
      <w:r>
        <w:rPr>
          <w:rFonts w:hint="eastAsia" w:ascii="宋体" w:hAnsi="宋体" w:cs="宋体"/>
          <w:color w:val="auto"/>
          <w:szCs w:val="21"/>
        </w:rPr>
        <w:t xml:space="preserve">中标人提交履约保证金的，中标人应当以支票、汇票、本票或者金融机构、担保机构出具的保函等非现金形式向采购人提交。履约保证金的数额不得超过政府采购合同金额的   </w:t>
      </w:r>
      <w:r>
        <w:rPr>
          <w:rFonts w:ascii="宋体" w:hAnsi="宋体" w:cs="宋体"/>
          <w:color w:val="auto"/>
          <w:szCs w:val="21"/>
        </w:rPr>
        <w:t>%</w:t>
      </w:r>
      <w:r>
        <w:rPr>
          <w:rFonts w:hint="eastAsia" w:ascii="宋体" w:hAnsi="宋体" w:cs="宋体"/>
          <w:color w:val="auto"/>
          <w:szCs w:val="21"/>
        </w:rPr>
        <w:t>。</w:t>
      </w:r>
    </w:p>
    <w:p>
      <w:pPr>
        <w:pStyle w:val="56"/>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41.政府采购合同融资</w:t>
      </w:r>
    </w:p>
    <w:p>
      <w:pPr>
        <w:pStyle w:val="56"/>
        <w:wordWrap w:val="0"/>
        <w:topLinePunct/>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41.1缓解中小企业融资难题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41.2合作金融机构（排名不分先后）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0374-7313551  18937425515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地址：禹州市禹王大道与府东路交叉口</w:t>
      </w:r>
    </w:p>
    <w:p>
      <w:pPr>
        <w:autoSpaceDE w:val="0"/>
        <w:autoSpaceDN w:val="0"/>
        <w:spacing w:line="360" w:lineRule="auto"/>
        <w:contextualSpacing/>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2</w:t>
      </w:r>
      <w:r>
        <w:rPr>
          <w:rFonts w:ascii="宋体" w:hAnsi="宋体" w:cs="宋体"/>
          <w:b/>
          <w:color w:val="auto"/>
          <w:szCs w:val="21"/>
        </w:rPr>
        <w:t xml:space="preserve">. </w:t>
      </w:r>
      <w:r>
        <w:rPr>
          <w:rFonts w:hint="eastAsia" w:ascii="宋体" w:hAnsi="宋体" w:cs="宋体"/>
          <w:b/>
          <w:color w:val="auto"/>
          <w:szCs w:val="21"/>
        </w:rPr>
        <w:t>其他</w:t>
      </w:r>
    </w:p>
    <w:p>
      <w:pPr>
        <w:tabs>
          <w:tab w:val="left" w:pos="1260"/>
        </w:tabs>
        <w:autoSpaceDE w:val="0"/>
        <w:autoSpaceDN w:val="0"/>
        <w:spacing w:line="360" w:lineRule="auto"/>
        <w:ind w:firstLine="420" w:firstLineChars="200"/>
        <w:contextualSpacing/>
        <w:jc w:val="left"/>
        <w:rPr>
          <w:rFonts w:ascii="宋体" w:cs="宋体"/>
          <w:color w:val="auto"/>
          <w:kern w:val="0"/>
          <w:szCs w:val="21"/>
        </w:rPr>
      </w:pPr>
      <w:r>
        <w:rPr>
          <w:rFonts w:hint="eastAsia" w:ascii="宋体" w:hAnsi="宋体" w:cs="宋体"/>
          <w:color w:val="auto"/>
          <w:kern w:val="0"/>
          <w:szCs w:val="21"/>
        </w:rPr>
        <w:t>本次招标文件未尽事项，以法律法规规定的为准。</w:t>
      </w:r>
    </w:p>
    <w:p>
      <w:pPr>
        <w:autoSpaceDE w:val="0"/>
        <w:autoSpaceDN w:val="0"/>
        <w:spacing w:line="360" w:lineRule="auto"/>
        <w:ind w:firstLine="643" w:firstLineChars="200"/>
        <w:contextualSpacing/>
        <w:rPr>
          <w:rFonts w:cs="宋体" w:asciiTheme="majorEastAsia" w:hAnsiTheme="majorEastAsia"/>
          <w:b/>
          <w:color w:val="auto"/>
          <w:kern w:val="0"/>
          <w:sz w:val="32"/>
          <w:szCs w:val="32"/>
        </w:rPr>
      </w:pPr>
    </w:p>
    <w:p>
      <w:pPr>
        <w:pStyle w:val="8"/>
        <w:ind w:firstLine="0"/>
        <w:rPr>
          <w:rFonts w:cs="宋体" w:asciiTheme="majorEastAsia" w:hAnsiTheme="majorEastAsia" w:eastAsiaTheme="majorEastAsia"/>
          <w:b/>
          <w:color w:val="auto"/>
          <w:kern w:val="0"/>
          <w:sz w:val="32"/>
          <w:szCs w:val="32"/>
        </w:rPr>
      </w:pPr>
    </w:p>
    <w:p>
      <w:pPr>
        <w:pStyle w:val="8"/>
        <w:ind w:firstLine="0"/>
        <w:rPr>
          <w:rFonts w:cs="宋体" w:asciiTheme="majorEastAsia" w:hAnsiTheme="majorEastAsia" w:eastAsiaTheme="majorEastAsia"/>
          <w:b/>
          <w:color w:val="auto"/>
          <w:kern w:val="0"/>
          <w:sz w:val="32"/>
          <w:szCs w:val="32"/>
        </w:rPr>
      </w:pPr>
    </w:p>
    <w:p>
      <w:pPr>
        <w:pStyle w:val="8"/>
        <w:ind w:firstLine="0"/>
        <w:rPr>
          <w:rFonts w:cs="宋体" w:asciiTheme="majorEastAsia" w:hAnsiTheme="majorEastAsia" w:eastAsiaTheme="majorEastAsia"/>
          <w:b/>
          <w:color w:val="auto"/>
          <w:kern w:val="0"/>
          <w:sz w:val="32"/>
          <w:szCs w:val="32"/>
        </w:rPr>
      </w:pPr>
    </w:p>
    <w:p>
      <w:pPr>
        <w:pStyle w:val="8"/>
        <w:ind w:firstLine="0"/>
        <w:rPr>
          <w:rFonts w:cs="宋体" w:asciiTheme="majorEastAsia" w:hAnsiTheme="majorEastAsia" w:eastAsiaTheme="majorEastAsia"/>
          <w:b/>
          <w:color w:val="auto"/>
          <w:kern w:val="0"/>
          <w:sz w:val="32"/>
          <w:szCs w:val="32"/>
        </w:rPr>
      </w:pPr>
    </w:p>
    <w:p>
      <w:pPr>
        <w:pStyle w:val="8"/>
        <w:ind w:firstLine="0"/>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pPr>
        <w:pStyle w:val="16"/>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ascii="ˎ̥" w:hAnsi="ˎ̥"/>
          <w:color w:val="auto"/>
        </w:rPr>
        <w:t>1、本</w:t>
      </w:r>
      <w:r>
        <w:rPr>
          <w:rFonts w:hint="eastAsia" w:cs="仿宋_GB2312" w:asciiTheme="minorEastAsia" w:hAnsiTheme="minorEastAsia"/>
          <w:color w:val="auto"/>
          <w:szCs w:val="21"/>
          <w:lang w:val="zh-CN"/>
        </w:rPr>
        <w:t>项目为非专门面向中小企业采购的项目，根据财政部、工业和信息化部《政府采购促进中小企业发展管理办法》（财库[2020]46号）规定，对符合该办法规定的小型和微型企业报价给予6%-10%</w:t>
      </w:r>
      <w:r>
        <w:rPr>
          <w:rFonts w:hint="eastAsia" w:ascii="ˎ̥" w:hAnsi="ˎ̥"/>
          <w:color w:val="auto"/>
          <w:szCs w:val="21"/>
        </w:rPr>
        <w:t>（工程项目为3%—5%）</w:t>
      </w:r>
      <w:r>
        <w:rPr>
          <w:rFonts w:hint="eastAsia" w:cs="仿宋_GB2312" w:asciiTheme="minorEastAsia" w:hAnsiTheme="minorEastAsia"/>
          <w:color w:val="auto"/>
          <w:szCs w:val="21"/>
          <w:lang w:val="zh-CN"/>
        </w:rPr>
        <w:t>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3、中标人为残疾人福利性单位的，采购人应当随中标结果同时公告其《残疾人福利性单位声明函》，接受社会监督。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6"/>
        <w:spacing w:line="360" w:lineRule="auto"/>
        <w:contextualSpacing/>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pPr>
        <w:pStyle w:val="16"/>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pStyle w:val="16"/>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（一）</w:t>
      </w:r>
      <w:r>
        <w:rPr>
          <w:rFonts w:ascii="宋体" w:hAnsi="宋体" w:cs="仿宋_GB2312"/>
          <w:color w:val="auto"/>
          <w:sz w:val="21"/>
          <w:szCs w:val="21"/>
          <w:lang w:val="zh-CN"/>
        </w:rPr>
        <w:t>开标结束后，</w:t>
      </w:r>
      <w:r>
        <w:rPr>
          <w:rFonts w:hint="eastAsia" w:ascii="宋体" w:hAnsi="宋体" w:cs="仿宋_GB2312"/>
          <w:color w:val="auto"/>
          <w:sz w:val="21"/>
          <w:szCs w:val="21"/>
          <w:lang w:val="zh-CN"/>
        </w:rPr>
        <w:t>采购人依法对投标人资格进行审查</w:t>
      </w:r>
      <w:r>
        <w:rPr>
          <w:rFonts w:ascii="宋体" w:hAnsi="宋体" w:cs="仿宋_GB2312"/>
          <w:color w:val="auto"/>
          <w:sz w:val="21"/>
          <w:szCs w:val="21"/>
          <w:lang w:val="zh-CN"/>
        </w:rPr>
        <w:t>。</w:t>
      </w:r>
    </w:p>
    <w:p>
      <w:pPr>
        <w:spacing w:line="360" w:lineRule="auto"/>
        <w:ind w:right="420" w:rightChars="200" w:firstLine="420" w:firstLineChars="200"/>
        <w:contextualSpacing/>
        <w:rPr>
          <w:rFonts w:ascii="宋体" w:hAnsi="宋体" w:eastAsia="宋体" w:cs="仿宋_GB2312"/>
          <w:color w:val="auto"/>
          <w:sz w:val="21"/>
          <w:szCs w:val="21"/>
          <w:lang w:val="zh-CN"/>
        </w:rPr>
      </w:pPr>
      <w:r>
        <w:rPr>
          <w:rFonts w:hint="eastAsia" w:ascii="宋体" w:hAnsi="宋体" w:eastAsia="宋体" w:cs="仿宋_GB2312"/>
          <w:color w:val="auto"/>
          <w:sz w:val="21"/>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仿宋_GB2312"/>
          <w:color w:val="auto"/>
          <w:sz w:val="21"/>
          <w:szCs w:val="21"/>
          <w:lang w:val="zh-CN"/>
        </w:rPr>
      </w:pPr>
      <w:r>
        <w:rPr>
          <w:rFonts w:hint="eastAsia" w:ascii="宋体" w:hAnsi="宋体" w:eastAsia="宋体" w:cs="仿宋_GB2312"/>
          <w:color w:val="auto"/>
          <w:sz w:val="21"/>
          <w:szCs w:val="21"/>
          <w:lang w:val="zh-CN"/>
        </w:rPr>
        <w:t>（三）资格审查中所涉及到的证书及材料，均须在电子投标文件中提供原件扫描件（或图片）。</w:t>
      </w:r>
    </w:p>
    <w:p>
      <w:pPr>
        <w:spacing w:line="360" w:lineRule="auto"/>
        <w:ind w:right="420" w:rightChars="200" w:firstLine="630" w:firstLineChars="300"/>
        <w:contextualSpacing/>
        <w:rPr>
          <w:rFonts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资格审查中所涉及到的证书及材料，均须在响应投标文件中提供原件扫描件（或图片）。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410" w:type="dxa"/>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资格审查因素</w:t>
            </w:r>
          </w:p>
        </w:tc>
        <w:tc>
          <w:tcPr>
            <w:tcW w:w="5954" w:type="dxa"/>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2410" w:type="dxa"/>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投标函</w:t>
            </w:r>
          </w:p>
        </w:tc>
        <w:tc>
          <w:tcPr>
            <w:tcW w:w="5954"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bCs/>
                <w:color w:val="auto"/>
                <w:sz w:val="21"/>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w:t>
            </w:r>
          </w:p>
        </w:tc>
        <w:tc>
          <w:tcPr>
            <w:tcW w:w="2410"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b/>
                <w:bCs/>
                <w:color w:val="auto"/>
                <w:sz w:val="21"/>
                <w:szCs w:val="21"/>
              </w:rPr>
              <w:t>法人或者其他组织的营业执照等证明文件，自然人的身份证明</w:t>
            </w:r>
          </w:p>
        </w:tc>
        <w:tc>
          <w:tcPr>
            <w:tcW w:w="5954" w:type="dxa"/>
            <w:vAlign w:val="center"/>
          </w:tcPr>
          <w:p>
            <w:p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（1）企业法人营业执照或营业执照。（企业投标提供）</w:t>
            </w:r>
          </w:p>
          <w:p>
            <w:p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（2）事业单位法人证书。（事业单位投标提供）</w:t>
            </w:r>
          </w:p>
          <w:p>
            <w:p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（3）执业许可证。（非企业专业服务机构投标提供）</w:t>
            </w:r>
          </w:p>
          <w:p>
            <w:p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（4）个体工商户营业执照。（个体工商户投标提供）</w:t>
            </w:r>
          </w:p>
          <w:p>
            <w:p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（5）自然人身份证明。（自然人投标提供）</w:t>
            </w:r>
          </w:p>
          <w:p>
            <w:pPr>
              <w:spacing w:line="360" w:lineRule="auto"/>
              <w:jc w:val="left"/>
              <w:rPr>
                <w:rFonts w:hint="eastAsia" w:ascii="宋体" w:hAnsi="宋体" w:eastAsia="宋体" w:cs="宋体"/>
                <w:b/>
                <w:bCs/>
                <w:color w:val="auto"/>
                <w:sz w:val="21"/>
                <w:szCs w:val="21"/>
              </w:rPr>
            </w:pPr>
            <w:r>
              <w:rPr>
                <w:rFonts w:hint="eastAsia" w:ascii="宋体" w:hAnsi="宋体" w:eastAsia="宋体" w:cs="宋体"/>
                <w:bCs/>
                <w:color w:val="auto"/>
                <w:sz w:val="21"/>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p>
        </w:tc>
        <w:tc>
          <w:tcPr>
            <w:tcW w:w="2410"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b/>
                <w:bCs/>
                <w:color w:val="auto"/>
                <w:sz w:val="21"/>
                <w:szCs w:val="21"/>
              </w:rPr>
              <w:t>财务状况报告相关材料</w:t>
            </w:r>
          </w:p>
        </w:tc>
        <w:tc>
          <w:tcPr>
            <w:tcW w:w="5954" w:type="dxa"/>
          </w:tcPr>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（1）投标人是法人（法人包括企业法人、机关法人、事业单位法人和社会团体法人），提供本单位：</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①2020年度经审计的财务报告，包括资产负债表、利润表、现金流量表、所有者权益变动表及其附注；</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②基本开户银行出具的资信证明；</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③财政部门认可的政府采购专业担保机构的证明文件和担保机构出具的投标担保函。</w:t>
            </w:r>
          </w:p>
          <w:p>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lang w:val="zh-CN"/>
              </w:rPr>
              <w:t>注：仅需提供序号</w:t>
            </w:r>
            <w:r>
              <w:rPr>
                <w:rFonts w:hint="eastAsia" w:ascii="宋体" w:hAnsi="宋体" w:eastAsia="宋体" w:cs="宋体"/>
                <w:color w:val="auto"/>
                <w:sz w:val="21"/>
                <w:szCs w:val="21"/>
              </w:rPr>
              <w:t>①～③其中之一即可。</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（2）投标人（其他组织和自然人）提供本单位：</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①2020年度经审计的财务报告，包括资产负债表、利润表、现金流量表、所有者权益变动表及其附注；</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②银行出具的资信证明；</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③财政部门认可的政府采购专业担保机构的证明文件和担保机构出具的投标担保函。</w:t>
            </w:r>
          </w:p>
          <w:p>
            <w:pPr>
              <w:spacing w:line="360" w:lineRule="auto"/>
              <w:rPr>
                <w:rFonts w:hint="eastAsia" w:ascii="宋体" w:hAnsi="宋体" w:eastAsia="宋体" w:cs="宋体"/>
                <w:b/>
                <w:bCs/>
                <w:color w:val="auto"/>
                <w:sz w:val="21"/>
                <w:szCs w:val="21"/>
              </w:rPr>
            </w:pPr>
            <w:r>
              <w:rPr>
                <w:rFonts w:hint="eastAsia" w:ascii="宋体" w:hAnsi="宋体" w:eastAsia="宋体" w:cs="宋体"/>
                <w:color w:val="auto"/>
                <w:sz w:val="21"/>
                <w:szCs w:val="21"/>
                <w:lang w:val="zh-CN"/>
              </w:rPr>
              <w:t>注：仅需提供序号</w:t>
            </w:r>
            <w:r>
              <w:rPr>
                <w:rFonts w:hint="eastAsia" w:ascii="宋体" w:hAnsi="宋体" w:eastAsia="宋体" w:cs="宋体"/>
                <w:color w:val="auto"/>
                <w:sz w:val="21"/>
                <w:szCs w:val="21"/>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p>
        </w:tc>
        <w:tc>
          <w:tcPr>
            <w:tcW w:w="2410"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b/>
                <w:bCs/>
                <w:color w:val="auto"/>
                <w:sz w:val="21"/>
                <w:szCs w:val="21"/>
              </w:rPr>
              <w:t>依法缴纳税收相关材料</w:t>
            </w:r>
          </w:p>
        </w:tc>
        <w:tc>
          <w:tcPr>
            <w:tcW w:w="5954" w:type="dxa"/>
          </w:tcPr>
          <w:p>
            <w:pPr>
              <w:spacing w:line="360" w:lineRule="auto"/>
              <w:rPr>
                <w:rFonts w:hint="eastAsia" w:ascii="宋体" w:hAnsi="宋体" w:eastAsia="宋体" w:cs="宋体"/>
                <w:b/>
                <w:bCs/>
                <w:color w:val="auto"/>
                <w:sz w:val="21"/>
                <w:szCs w:val="21"/>
              </w:rPr>
            </w:pPr>
            <w:r>
              <w:rPr>
                <w:rFonts w:hint="eastAsia" w:ascii="宋体" w:hAnsi="宋体" w:eastAsia="宋体" w:cs="宋体"/>
                <w:bCs/>
                <w:color w:val="auto"/>
                <w:sz w:val="21"/>
                <w:szCs w:val="21"/>
              </w:rPr>
              <w:t>投标人提供参加本次政府采购项目投标截止时间前六个月内任意一个月缴纳税收凭据。（依法免税的投标人，应提供相应文件证明依法免税）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5</w:t>
            </w:r>
          </w:p>
        </w:tc>
        <w:tc>
          <w:tcPr>
            <w:tcW w:w="2410" w:type="dxa"/>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b/>
                <w:bCs/>
                <w:color w:val="auto"/>
                <w:sz w:val="21"/>
                <w:szCs w:val="21"/>
              </w:rPr>
              <w:t>依法缴纳社会保障资金的证明材料</w:t>
            </w:r>
          </w:p>
        </w:tc>
        <w:tc>
          <w:tcPr>
            <w:tcW w:w="5954" w:type="dxa"/>
          </w:tcPr>
          <w:p>
            <w:pPr>
              <w:spacing w:line="360" w:lineRule="auto"/>
              <w:rPr>
                <w:rFonts w:hint="eastAsia" w:ascii="宋体" w:hAnsi="宋体" w:eastAsia="宋体" w:cs="宋体"/>
                <w:b/>
                <w:bCs/>
                <w:color w:val="auto"/>
                <w:sz w:val="21"/>
                <w:szCs w:val="21"/>
              </w:rPr>
            </w:pPr>
            <w:r>
              <w:rPr>
                <w:rFonts w:hint="eastAsia" w:ascii="宋体" w:hAnsi="宋体" w:eastAsia="宋体" w:cs="宋体"/>
                <w:bCs/>
                <w:color w:val="auto"/>
                <w:sz w:val="21"/>
                <w:szCs w:val="21"/>
              </w:rPr>
              <w:t>投标人提供参加本次政府采购项目投标截止时间前六个月内任意一个月缴纳社会保险凭据。（依法不需要缴纳社会保障资金的投标人，应提供相应文件证明依法不需要缴纳社会保障资金）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6</w:t>
            </w:r>
          </w:p>
        </w:tc>
        <w:tc>
          <w:tcPr>
            <w:tcW w:w="2410"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b/>
                <w:bCs/>
                <w:color w:val="auto"/>
                <w:sz w:val="21"/>
                <w:szCs w:val="21"/>
              </w:rPr>
              <w:t>履行合同所必须的设备和专业技术能力的证明材料</w:t>
            </w:r>
          </w:p>
        </w:tc>
        <w:tc>
          <w:tcPr>
            <w:tcW w:w="5954" w:type="dxa"/>
          </w:tcPr>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①与本项目投标相关设备的购置发票、专业技术人员职称证书、用工合同等；</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②投标人具备履行合同所必须的设备和专业技术能力承诺函或声明（承诺函或声明格式自拟）。</w:t>
            </w:r>
          </w:p>
          <w:p>
            <w:pPr>
              <w:spacing w:line="360" w:lineRule="auto"/>
              <w:rPr>
                <w:rFonts w:hint="eastAsia" w:ascii="宋体" w:hAnsi="宋体" w:eastAsia="宋体" w:cs="宋体"/>
                <w:b/>
                <w:bCs/>
                <w:color w:val="auto"/>
                <w:sz w:val="21"/>
                <w:szCs w:val="21"/>
              </w:rPr>
            </w:pPr>
            <w:r>
              <w:rPr>
                <w:rFonts w:hint="eastAsia" w:ascii="宋体" w:hAnsi="宋体" w:eastAsia="宋体" w:cs="宋体"/>
                <w:color w:val="auto"/>
                <w:sz w:val="21"/>
                <w:szCs w:val="21"/>
                <w:lang w:val="zh-CN"/>
              </w:rPr>
              <w:t>注：仅需提供序号</w:t>
            </w:r>
            <w:r>
              <w:rPr>
                <w:rFonts w:hint="eastAsia" w:ascii="宋体" w:hAnsi="宋体" w:eastAsia="宋体" w:cs="宋体"/>
                <w:color w:val="auto"/>
                <w:sz w:val="21"/>
                <w:szCs w:val="21"/>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7</w:t>
            </w:r>
          </w:p>
        </w:tc>
        <w:tc>
          <w:tcPr>
            <w:tcW w:w="2410" w:type="dxa"/>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b/>
                <w:bCs/>
                <w:color w:val="auto"/>
                <w:sz w:val="21"/>
                <w:szCs w:val="21"/>
              </w:rPr>
              <w:t>参加政府采购活动前3年内在经营活动中没有重大违法记录的声明</w:t>
            </w:r>
          </w:p>
        </w:tc>
        <w:tc>
          <w:tcPr>
            <w:tcW w:w="5954" w:type="dxa"/>
            <w:vAlign w:val="center"/>
          </w:tcPr>
          <w:p>
            <w:pPr>
              <w:spacing w:line="360" w:lineRule="auto"/>
              <w:jc w:val="left"/>
              <w:rPr>
                <w:rFonts w:hint="eastAsia" w:ascii="宋体" w:hAnsi="宋体" w:eastAsia="宋体" w:cs="宋体"/>
                <w:b/>
                <w:bCs/>
                <w:color w:val="auto"/>
                <w:sz w:val="21"/>
                <w:szCs w:val="21"/>
              </w:rPr>
            </w:pPr>
            <w:r>
              <w:rPr>
                <w:rFonts w:hint="eastAsia" w:ascii="宋体" w:hAnsi="宋体" w:eastAsia="宋体" w:cs="宋体"/>
                <w:bCs/>
                <w:color w:val="auto"/>
                <w:sz w:val="21"/>
                <w:szCs w:val="21"/>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8</w:t>
            </w:r>
          </w:p>
        </w:tc>
        <w:tc>
          <w:tcPr>
            <w:tcW w:w="2410" w:type="dxa"/>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b/>
                <w:bCs/>
                <w:color w:val="auto"/>
                <w:sz w:val="21"/>
                <w:szCs w:val="21"/>
              </w:rPr>
              <w:t>信用记录查询及使用</w:t>
            </w:r>
          </w:p>
        </w:tc>
        <w:tc>
          <w:tcPr>
            <w:tcW w:w="5954" w:type="dxa"/>
          </w:tcPr>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政府采购活动中查询及使用投标人信用记录的具体要求为：投标人未被列入“信用中国”网站失信被执行人、重大税收违法案件当事人名单的投标人、“中国政府采购网”政府采购严重违法失信行为记录名单的投标人、</w:t>
            </w:r>
            <w:r>
              <w:rPr>
                <w:rFonts w:hint="eastAsia" w:ascii="宋体" w:hAnsi="宋体" w:eastAsia="宋体" w:cs="宋体"/>
                <w:color w:val="auto"/>
                <w:sz w:val="21"/>
                <w:szCs w:val="21"/>
              </w:rPr>
              <w:t>“中国社会组织公共服务平台”网站（www.chinanpo.gov.cn）严重违法失信社会组织</w:t>
            </w:r>
            <w:r>
              <w:rPr>
                <w:rFonts w:hint="eastAsia" w:ascii="宋体" w:hAnsi="宋体" w:eastAsia="宋体" w:cs="宋体"/>
                <w:b/>
                <w:color w:val="auto"/>
                <w:sz w:val="21"/>
                <w:szCs w:val="21"/>
              </w:rPr>
              <w:t>；</w:t>
            </w:r>
            <w:r>
              <w:rPr>
                <w:rFonts w:hint="eastAsia" w:ascii="宋体" w:hAnsi="宋体" w:eastAsia="宋体" w:cs="宋体"/>
                <w:bCs/>
                <w:color w:val="auto"/>
                <w:sz w:val="21"/>
                <w:szCs w:val="21"/>
              </w:rPr>
              <w:t>（联合体形式投标的，联合体成员存在不良信用记录，视同联合体存在不良信用记录）。</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（1）查询渠道：</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①“信用中国”网站（</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"http://www.creditchina.gov.cn" </w:instrText>
            </w:r>
            <w:r>
              <w:rPr>
                <w:rFonts w:hint="eastAsia" w:ascii="宋体" w:hAnsi="宋体" w:eastAsia="宋体" w:cs="宋体"/>
                <w:color w:val="auto"/>
                <w:sz w:val="21"/>
                <w:szCs w:val="21"/>
              </w:rPr>
              <w:fldChar w:fldCharType="separate"/>
            </w:r>
            <w:r>
              <w:rPr>
                <w:rStyle w:val="32"/>
                <w:rFonts w:hint="eastAsia" w:ascii="宋体" w:hAnsi="宋体" w:eastAsia="宋体" w:cs="宋体"/>
                <w:bCs/>
                <w:color w:val="auto"/>
                <w:sz w:val="21"/>
                <w:szCs w:val="21"/>
              </w:rPr>
              <w:t>www.creditchina.gov.cn</w:t>
            </w:r>
            <w:r>
              <w:rPr>
                <w:rStyle w:val="32"/>
                <w:rFonts w:hint="eastAsia" w:ascii="宋体" w:hAnsi="宋体" w:eastAsia="宋体" w:cs="宋体"/>
                <w:bCs/>
                <w:color w:val="auto"/>
                <w:sz w:val="21"/>
                <w:szCs w:val="21"/>
              </w:rPr>
              <w:fldChar w:fldCharType="end"/>
            </w:r>
            <w:r>
              <w:rPr>
                <w:rFonts w:hint="eastAsia" w:ascii="宋体" w:hAnsi="宋体" w:eastAsia="宋体" w:cs="宋体"/>
                <w:bCs/>
                <w:color w:val="auto"/>
                <w:sz w:val="21"/>
                <w:szCs w:val="21"/>
              </w:rPr>
              <w:t>）</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②“中国政府采购网”（www.ccgp.gov.cn）</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③</w:t>
            </w:r>
            <w:r>
              <w:rPr>
                <w:rFonts w:hint="eastAsia" w:ascii="宋体" w:hAnsi="宋体" w:eastAsia="宋体" w:cs="宋体"/>
                <w:color w:val="auto"/>
                <w:sz w:val="21"/>
                <w:szCs w:val="21"/>
              </w:rPr>
              <w:t>“中国社会组织公共服务平台”网站（www.chinanpo.gov.cn）（仅查询社会组织）</w:t>
            </w:r>
            <w:r>
              <w:rPr>
                <w:rFonts w:hint="eastAsia" w:ascii="宋体" w:hAnsi="宋体" w:eastAsia="宋体" w:cs="宋体"/>
                <w:bCs/>
                <w:color w:val="auto"/>
                <w:sz w:val="21"/>
                <w:szCs w:val="21"/>
              </w:rPr>
              <w:t>；</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（2）截止时间：同投标截止时间；</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（3）信用信息查询记录和证据留存具体方式：经采购人确认的查询结果网页截图作为查询记录和证据，与其他采购文件一并保存；</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（4）信用信息的使用原则：经采购人认定的被列入</w:t>
            </w:r>
            <w:r>
              <w:rPr>
                <w:rFonts w:hint="eastAsia" w:ascii="宋体" w:hAnsi="宋体" w:eastAsia="宋体" w:cs="宋体"/>
                <w:color w:val="auto"/>
                <w:kern w:val="0"/>
                <w:sz w:val="21"/>
                <w:szCs w:val="21"/>
              </w:rPr>
              <w:t>失信被执行人、重大税收违法案件当事人名单、</w:t>
            </w:r>
            <w:r>
              <w:rPr>
                <w:rFonts w:hint="eastAsia" w:ascii="宋体" w:hAnsi="宋体" w:eastAsia="宋体" w:cs="宋体"/>
                <w:color w:val="auto"/>
                <w:sz w:val="21"/>
                <w:szCs w:val="21"/>
                <w:shd w:val="clear" w:color="auto" w:fill="FFFFFF"/>
              </w:rPr>
              <w:t>政府采购严重违法失信行为记录名单</w:t>
            </w:r>
            <w:r>
              <w:rPr>
                <w:rFonts w:hint="eastAsia" w:ascii="宋体" w:hAnsi="宋体" w:eastAsia="宋体" w:cs="宋体"/>
                <w:bCs/>
                <w:color w:val="auto"/>
                <w:sz w:val="21"/>
                <w:szCs w:val="21"/>
              </w:rPr>
              <w:t>的投标人</w:t>
            </w:r>
            <w:r>
              <w:rPr>
                <w:rFonts w:hint="eastAsia" w:ascii="宋体" w:hAnsi="宋体" w:eastAsia="宋体" w:cs="宋体"/>
                <w:color w:val="auto"/>
                <w:sz w:val="21"/>
                <w:szCs w:val="21"/>
                <w:shd w:val="clear" w:color="auto" w:fill="FFFFFF"/>
              </w:rPr>
              <w:t>、</w:t>
            </w:r>
            <w:r>
              <w:rPr>
                <w:rFonts w:hint="eastAsia" w:ascii="宋体" w:hAnsi="宋体" w:eastAsia="宋体" w:cs="宋体"/>
                <w:color w:val="auto"/>
                <w:kern w:val="0"/>
                <w:sz w:val="21"/>
                <w:szCs w:val="21"/>
              </w:rPr>
              <w:t>严重违法失信社会组织</w:t>
            </w:r>
            <w:r>
              <w:rPr>
                <w:rFonts w:hint="eastAsia" w:ascii="宋体" w:hAnsi="宋体" w:eastAsia="宋体" w:cs="宋体"/>
                <w:bCs/>
                <w:color w:val="auto"/>
                <w:sz w:val="21"/>
                <w:szCs w:val="21"/>
              </w:rPr>
              <w:t>，将拒绝其参与本次政府采购活动。</w:t>
            </w:r>
          </w:p>
          <w:p>
            <w:pPr>
              <w:spacing w:line="360" w:lineRule="auto"/>
              <w:rPr>
                <w:rFonts w:hint="eastAsia" w:ascii="宋体" w:hAnsi="宋体" w:eastAsia="宋体" w:cs="宋体"/>
                <w:b/>
                <w:bCs/>
                <w:color w:val="auto"/>
                <w:sz w:val="21"/>
                <w:szCs w:val="21"/>
              </w:rPr>
            </w:pPr>
            <w:r>
              <w:rPr>
                <w:rFonts w:hint="eastAsia" w:ascii="宋体" w:hAnsi="宋体" w:eastAsia="宋体" w:cs="宋体"/>
                <w:color w:val="auto"/>
                <w:kern w:val="0"/>
                <w:sz w:val="21"/>
                <w:szCs w:val="21"/>
              </w:rPr>
              <w:t>（5）投标人无须提供</w:t>
            </w:r>
            <w:r>
              <w:rPr>
                <w:rFonts w:hint="eastAsia" w:ascii="宋体" w:hAnsi="宋体" w:eastAsia="宋体" w:cs="宋体"/>
                <w:bCs/>
                <w:color w:val="auto"/>
                <w:sz w:val="21"/>
                <w:szCs w:val="21"/>
              </w:rPr>
              <w:t>信用记录查询结果网页截屏。</w:t>
            </w:r>
            <w:r>
              <w:rPr>
                <w:rFonts w:hint="eastAsia" w:ascii="宋体" w:hAnsi="宋体" w:eastAsia="宋体" w:cs="宋体"/>
                <w:color w:val="auto"/>
                <w:kern w:val="0"/>
                <w:sz w:val="21"/>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9</w:t>
            </w:r>
          </w:p>
        </w:tc>
        <w:tc>
          <w:tcPr>
            <w:tcW w:w="2410"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投标人须具备的特殊</w:t>
            </w:r>
          </w:p>
          <w:p>
            <w:pPr>
              <w:spacing w:line="360" w:lineRule="auto"/>
              <w:rPr>
                <w:rFonts w:hint="eastAsia" w:ascii="宋体" w:hAnsi="宋体" w:eastAsia="宋体" w:cs="宋体"/>
                <w:b/>
                <w:bCs/>
                <w:color w:val="auto"/>
                <w:sz w:val="21"/>
                <w:szCs w:val="21"/>
              </w:rPr>
            </w:pPr>
            <w:r>
              <w:rPr>
                <w:rFonts w:hint="eastAsia" w:ascii="宋体" w:hAnsi="宋体" w:eastAsia="宋体" w:cs="宋体"/>
                <w:b/>
                <w:color w:val="auto"/>
                <w:sz w:val="21"/>
                <w:szCs w:val="21"/>
              </w:rPr>
              <w:t>资质证书</w:t>
            </w:r>
          </w:p>
        </w:tc>
        <w:tc>
          <w:tcPr>
            <w:tcW w:w="5954" w:type="dxa"/>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10</w:t>
            </w:r>
          </w:p>
        </w:tc>
        <w:tc>
          <w:tcPr>
            <w:tcW w:w="2410" w:type="dxa"/>
            <w:vAlign w:val="center"/>
          </w:tcPr>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w:t>
            </w:r>
            <w:r>
              <w:rPr>
                <w:rFonts w:hint="eastAsia" w:ascii="宋体" w:hAnsi="宋体" w:eastAsia="宋体" w:cs="宋体"/>
                <w:b/>
                <w:color w:val="auto"/>
                <w:sz w:val="21"/>
                <w:szCs w:val="21"/>
                <w:lang w:val="zh-CN"/>
              </w:rPr>
              <w:t>报价</w:t>
            </w:r>
          </w:p>
        </w:tc>
        <w:tc>
          <w:tcPr>
            <w:tcW w:w="5954" w:type="dxa"/>
          </w:tcPr>
          <w:p>
            <w:pPr>
              <w:spacing w:line="360" w:lineRule="auto"/>
              <w:rPr>
                <w:rFonts w:hint="eastAsia" w:ascii="宋体" w:hAnsi="宋体" w:eastAsia="宋体" w:cs="宋体"/>
                <w:b/>
                <w:bCs/>
                <w:color w:val="auto"/>
                <w:sz w:val="21"/>
                <w:szCs w:val="21"/>
              </w:rPr>
            </w:pPr>
            <w:r>
              <w:rPr>
                <w:rFonts w:hint="eastAsia" w:ascii="宋体" w:hAnsi="宋体" w:eastAsia="宋体" w:cs="宋体"/>
                <w:color w:val="auto"/>
                <w:sz w:val="21"/>
                <w:szCs w:val="21"/>
                <w:lang w:val="zh-CN"/>
              </w:rPr>
              <w:t>投标报价是否超出招标文件中规定的预算金额，超出预算金额的投标无效。如投标人须知前附表规定最高限价，则</w:t>
            </w:r>
            <w:r>
              <w:rPr>
                <w:rFonts w:hint="eastAsia" w:ascii="宋体" w:hAnsi="宋体" w:eastAsia="宋体" w:cs="宋体"/>
                <w:bCs/>
                <w:color w:val="auto"/>
                <w:sz w:val="21"/>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11</w:t>
            </w:r>
          </w:p>
        </w:tc>
        <w:tc>
          <w:tcPr>
            <w:tcW w:w="2410"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投标承诺函</w:t>
            </w:r>
          </w:p>
        </w:tc>
        <w:tc>
          <w:tcPr>
            <w:tcW w:w="5954"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12</w:t>
            </w:r>
          </w:p>
        </w:tc>
        <w:tc>
          <w:tcPr>
            <w:tcW w:w="2410" w:type="dxa"/>
            <w:vAlign w:val="center"/>
          </w:tcPr>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联合体协议</w:t>
            </w:r>
          </w:p>
        </w:tc>
        <w:tc>
          <w:tcPr>
            <w:tcW w:w="5954" w:type="dxa"/>
          </w:tcPr>
          <w:p>
            <w:pPr>
              <w:spacing w:line="360" w:lineRule="auto"/>
              <w:rPr>
                <w:rFonts w:hint="eastAsia" w:ascii="宋体" w:hAnsi="宋体" w:eastAsia="宋体" w:cs="宋体"/>
                <w:b/>
                <w:bCs/>
                <w:color w:val="auto"/>
                <w:sz w:val="21"/>
                <w:szCs w:val="21"/>
              </w:rPr>
            </w:pPr>
            <w:r>
              <w:rPr>
                <w:rFonts w:hint="eastAsia" w:ascii="宋体" w:hAnsi="宋体" w:eastAsia="宋体" w:cs="宋体"/>
                <w:bCs/>
                <w:color w:val="auto"/>
                <w:sz w:val="21"/>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13</w:t>
            </w:r>
          </w:p>
        </w:tc>
        <w:tc>
          <w:tcPr>
            <w:tcW w:w="2410" w:type="dxa"/>
            <w:vAlign w:val="center"/>
          </w:tcPr>
          <w:p>
            <w:pPr>
              <w:spacing w:line="360" w:lineRule="auto"/>
              <w:contextualSpacing/>
              <w:rPr>
                <w:rFonts w:hint="eastAsia" w:ascii="宋体" w:hAnsi="宋体" w:eastAsia="宋体" w:cs="宋体"/>
                <w:b/>
                <w:color w:val="auto"/>
                <w:sz w:val="21"/>
                <w:szCs w:val="21"/>
              </w:rPr>
            </w:pPr>
            <w:r>
              <w:rPr>
                <w:rFonts w:hint="eastAsia" w:ascii="宋体" w:hAnsi="宋体" w:eastAsia="宋体" w:cs="宋体"/>
                <w:b/>
                <w:color w:val="auto"/>
                <w:sz w:val="21"/>
                <w:szCs w:val="21"/>
              </w:rPr>
              <w:t>投标人身份证明及授权</w:t>
            </w:r>
          </w:p>
        </w:tc>
        <w:tc>
          <w:tcPr>
            <w:tcW w:w="5954" w:type="dxa"/>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（1）法定代表人身份证明或提供法定代表人授权委托书及被授权人身份证明。（法人投标提供）</w:t>
            </w:r>
          </w:p>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（2）单位负责人身份证明或提供单位负责人授权委托书及被授权人身份证明。（非法人投标提供）</w:t>
            </w:r>
          </w:p>
          <w:p>
            <w:pPr>
              <w:spacing w:line="360" w:lineRule="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注：</w:t>
            </w:r>
          </w:p>
          <w:p>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hint="eastAsia" w:ascii="宋体" w:hAnsi="宋体" w:eastAsia="宋体" w:cs="宋体"/>
                <w:b/>
                <w:color w:val="auto"/>
                <w:sz w:val="21"/>
                <w:szCs w:val="21"/>
              </w:rPr>
            </w:pPr>
            <w:r>
              <w:rPr>
                <w:rFonts w:hint="eastAsia" w:ascii="宋体" w:hAnsi="宋体" w:eastAsia="宋体" w:cs="宋体"/>
                <w:color w:val="auto"/>
                <w:sz w:val="21"/>
                <w:szCs w:val="21"/>
              </w:rPr>
              <w:t>③</w:t>
            </w:r>
            <w:r>
              <w:rPr>
                <w:rFonts w:hint="eastAsia" w:ascii="宋体" w:hAnsi="宋体" w:eastAsia="宋体" w:cs="宋体"/>
                <w:color w:val="auto"/>
                <w:kern w:val="0"/>
                <w:sz w:val="21"/>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14</w:t>
            </w:r>
          </w:p>
        </w:tc>
        <w:tc>
          <w:tcPr>
            <w:tcW w:w="2410" w:type="dxa"/>
            <w:vAlign w:val="center"/>
          </w:tcPr>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单位负责人为同一人或者存在直接控股、管理关系的不同供应商，不得参加同一合同项下的政府采购活动</w:t>
            </w:r>
          </w:p>
        </w:tc>
        <w:tc>
          <w:tcPr>
            <w:tcW w:w="5954" w:type="dxa"/>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投标人提供与参加本项目投标的其他供应商之间，单位负责人不为同一人并且不存在直接控股、管理关系承诺函（承诺函格式自拟）。</w:t>
            </w:r>
          </w:p>
          <w:p>
            <w:pPr>
              <w:spacing w:line="360" w:lineRule="auto"/>
              <w:rPr>
                <w:rFonts w:hint="eastAsia" w:ascii="宋体" w:hAnsi="宋体" w:eastAsia="宋体" w:cs="宋体"/>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15</w:t>
            </w:r>
          </w:p>
        </w:tc>
        <w:tc>
          <w:tcPr>
            <w:tcW w:w="2410" w:type="dxa"/>
            <w:vAlign w:val="center"/>
          </w:tcPr>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为本项目提供整体设计、规范编制或者项目管理、监理、检测等服务的供应商不得参加本项目投标</w:t>
            </w:r>
          </w:p>
        </w:tc>
        <w:tc>
          <w:tcPr>
            <w:tcW w:w="5954" w:type="dxa"/>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投标人</w:t>
            </w:r>
            <w:bookmarkStart w:id="1" w:name="baidusnap2"/>
            <w:bookmarkEnd w:id="1"/>
            <w:r>
              <w:rPr>
                <w:rFonts w:hint="eastAsia" w:ascii="宋体" w:hAnsi="宋体" w:eastAsia="宋体" w:cs="宋体"/>
                <w:color w:val="auto"/>
                <w:sz w:val="21"/>
                <w:szCs w:val="21"/>
                <w:lang w:val="zh-CN"/>
              </w:rPr>
              <w:t>提供未为本项目提供整体设计、</w:t>
            </w:r>
            <w:bookmarkStart w:id="2" w:name="baidusnap9"/>
            <w:bookmarkEnd w:id="2"/>
            <w:r>
              <w:rPr>
                <w:rFonts w:hint="eastAsia" w:ascii="宋体" w:hAnsi="宋体" w:eastAsia="宋体" w:cs="宋体"/>
                <w:color w:val="auto"/>
                <w:sz w:val="21"/>
                <w:szCs w:val="21"/>
                <w:lang w:val="zh-CN"/>
              </w:rPr>
              <w:t>规范编制或者项目管理、监理、检测等服务承诺函（承诺函格式自拟）。</w:t>
            </w:r>
          </w:p>
          <w:p>
            <w:pPr>
              <w:spacing w:line="360" w:lineRule="auto"/>
              <w:rPr>
                <w:rFonts w:hint="eastAsia" w:ascii="宋体" w:hAnsi="宋体" w:eastAsia="宋体" w:cs="宋体"/>
                <w:bCs/>
                <w:color w:val="auto"/>
                <w:sz w:val="21"/>
                <w:szCs w:val="21"/>
              </w:rPr>
            </w:pPr>
          </w:p>
        </w:tc>
      </w:tr>
    </w:tbl>
    <w:p>
      <w:pPr>
        <w:pStyle w:val="16"/>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6"/>
        <w:spacing w:line="360" w:lineRule="auto"/>
        <w:ind w:firstLine="420"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6"/>
        <w:spacing w:line="360" w:lineRule="auto"/>
        <w:ind w:firstLine="422" w:firstLineChars="200"/>
        <w:contextualSpacing/>
        <w:jc w:val="left"/>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1、审查、评价投标文件是否符合招标文件的商务、技术等实质性要求；</w:t>
      </w:r>
    </w:p>
    <w:p>
      <w:pPr>
        <w:pStyle w:val="16"/>
        <w:spacing w:line="360" w:lineRule="auto"/>
        <w:ind w:firstLine="420" w:firstLineChars="200"/>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评标委员会对符合资格的投标人的投标文件进行符合性审查，以确定其是否满足招标文件的商务、技术等实质性要求。</w:t>
      </w:r>
    </w:p>
    <w:p>
      <w:pPr>
        <w:pStyle w:val="16"/>
        <w:spacing w:line="360" w:lineRule="auto"/>
        <w:ind w:firstLine="420" w:firstLineChars="200"/>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注：符合性审查中所涉及到的证书及材料，均应在电子投标文件中提供原件扫描件（或图片）。</w:t>
      </w:r>
    </w:p>
    <w:p>
      <w:pPr>
        <w:pStyle w:val="16"/>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2、要求投标人对投标文件有关事项作出澄清或者说明；</w:t>
      </w:r>
    </w:p>
    <w:p>
      <w:pPr>
        <w:pStyle w:val="16"/>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3、对投标文件进行比较和评价；</w:t>
      </w:r>
    </w:p>
    <w:p>
      <w:pPr>
        <w:pStyle w:val="16"/>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6"/>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注：评标标准中所涉及到的证书及材料，均应在电子投标文件中提供原件扫描件（或图片）。</w:t>
      </w:r>
    </w:p>
    <w:p>
      <w:pPr>
        <w:pStyle w:val="16"/>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（1）价格分计算</w:t>
      </w:r>
    </w:p>
    <w:p>
      <w:pPr>
        <w:pStyle w:val="16"/>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rPr>
        <w:t>如果本项目非专门面向中小企业采购，对符合《政府采购促进中小企业发展管理办法》(财库〔2020〕46号规定的小微企业报价给予</w:t>
      </w:r>
      <w:r>
        <w:rPr>
          <w:rFonts w:hint="eastAsia" w:ascii="宋体" w:hAnsi="宋体" w:eastAsia="宋体" w:cs="宋体"/>
          <w:color w:val="auto"/>
          <w:sz w:val="21"/>
          <w:szCs w:val="21"/>
          <w:lang w:val="zh-CN"/>
        </w:rPr>
        <w:t>6%-10%</w:t>
      </w:r>
      <w:r>
        <w:rPr>
          <w:rFonts w:hint="eastAsia" w:ascii="宋体" w:hAnsi="宋体" w:eastAsia="宋体" w:cs="宋体"/>
          <w:color w:val="auto"/>
          <w:sz w:val="21"/>
          <w:szCs w:val="21"/>
        </w:rPr>
        <w:t>（工程项目为3%—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6"/>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小型和微型企业不包含民办非企业单位。</w:t>
      </w:r>
    </w:p>
    <w:p>
      <w:pPr>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2）监狱企业视同小型、微型企业，对监狱企业价格给予6%</w:t>
      </w:r>
      <w:r>
        <w:rPr>
          <w:rFonts w:hint="eastAsia" w:ascii="宋体" w:hAnsi="宋体" w:eastAsia="宋体" w:cs="宋体"/>
          <w:color w:val="auto"/>
          <w:sz w:val="21"/>
          <w:szCs w:val="21"/>
        </w:rPr>
        <w:t>-10%</w:t>
      </w:r>
      <w:r>
        <w:rPr>
          <w:rFonts w:hint="eastAsia" w:ascii="宋体" w:hAnsi="宋体" w:eastAsia="宋体" w:cs="宋体"/>
          <w:color w:val="auto"/>
          <w:sz w:val="21"/>
          <w:szCs w:val="21"/>
          <w:lang w:val="zh-CN"/>
        </w:rPr>
        <w:t>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w:t>
      </w:r>
      <w:r>
        <w:rPr>
          <w:rFonts w:hint="eastAsia" w:ascii="宋体" w:hAnsi="宋体" w:eastAsia="宋体" w:cs="宋体"/>
          <w:color w:val="auto"/>
          <w:sz w:val="21"/>
          <w:szCs w:val="21"/>
        </w:rPr>
        <w:t>-10%</w:t>
      </w:r>
      <w:r>
        <w:rPr>
          <w:rFonts w:hint="eastAsia" w:ascii="宋体" w:hAnsi="宋体" w:eastAsia="宋体" w:cs="宋体"/>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s="宋体"/>
          <w:color w:val="auto"/>
          <w:sz w:val="21"/>
          <w:szCs w:val="21"/>
        </w:rPr>
        <w:t>残疾人福利性单位属于小型、微型企业的，不重复享受政策。</w:t>
      </w:r>
    </w:p>
    <w:p>
      <w:pPr>
        <w:pStyle w:val="16"/>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rPr>
        <w:t>（2）</w:t>
      </w:r>
      <w:r>
        <w:rPr>
          <w:rFonts w:hint="eastAsia" w:ascii="宋体" w:hAnsi="宋体" w:eastAsia="宋体" w:cs="宋体"/>
          <w:b/>
          <w:color w:val="auto"/>
          <w:sz w:val="21"/>
          <w:szCs w:val="21"/>
          <w:lang w:val="zh-CN"/>
        </w:rPr>
        <w:t>关于相同品牌产品</w:t>
      </w:r>
      <w:r>
        <w:rPr>
          <w:rFonts w:hint="eastAsia" w:ascii="宋体" w:hAnsi="宋体" w:eastAsia="宋体" w:cs="宋体"/>
          <w:b/>
          <w:bCs/>
          <w:color w:val="auto"/>
          <w:sz w:val="21"/>
          <w:szCs w:val="21"/>
          <w:lang w:val="zh-CN"/>
        </w:rPr>
        <w:t>（服务类项目不适用本条款规定）</w:t>
      </w:r>
    </w:p>
    <w:p>
      <w:pPr>
        <w:pStyle w:val="16"/>
        <w:spacing w:line="360" w:lineRule="auto"/>
        <w:ind w:firstLine="465"/>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6"/>
        <w:spacing w:line="360" w:lineRule="auto"/>
        <w:ind w:firstLine="465"/>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6"/>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rPr>
        <w:t>（3）强制采购节能产品和优先采购节能产品、优先采购环保产品</w:t>
      </w:r>
    </w:p>
    <w:p>
      <w:pPr>
        <w:pStyle w:val="16"/>
        <w:spacing w:line="360" w:lineRule="auto"/>
        <w:ind w:firstLine="465"/>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1）对《节能产品政府采购品目清单》所列的政府强制采购节能产品</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6"/>
        <w:spacing w:line="360" w:lineRule="auto"/>
        <w:ind w:firstLine="465"/>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6"/>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6"/>
        <w:spacing w:line="360" w:lineRule="auto"/>
        <w:ind w:firstLine="465"/>
        <w:contextualSpacing/>
        <w:jc w:val="left"/>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（4）关于强制性产品认证</w:t>
      </w:r>
    </w:p>
    <w:p>
      <w:pPr>
        <w:spacing w:line="360" w:lineRule="auto"/>
        <w:ind w:firstLine="420" w:firstLineChars="200"/>
        <w:contextualSpacing/>
        <w:rPr>
          <w:rFonts w:hint="eastAsia" w:ascii="宋体" w:hAnsi="宋体" w:eastAsia="宋体" w:cs="宋体"/>
          <w:color w:val="auto"/>
          <w:kern w:val="0"/>
          <w:sz w:val="21"/>
          <w:szCs w:val="21"/>
        </w:rPr>
      </w:pPr>
      <w:r>
        <w:rPr>
          <w:rFonts w:hint="eastAsia" w:ascii="宋体" w:hAnsi="宋体" w:eastAsia="宋体" w:cs="宋体"/>
          <w:color w:val="auto"/>
          <w:sz w:val="21"/>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rPr>
        <w:t>2)投标人所投产品如被列入《信息安全产品强制性认证目录》，</w:t>
      </w:r>
      <w:r>
        <w:rPr>
          <w:rFonts w:hint="eastAsia" w:ascii="宋体" w:hAnsi="宋体" w:eastAsia="宋体" w:cs="宋体"/>
          <w:color w:val="auto"/>
          <w:sz w:val="21"/>
          <w:szCs w:val="21"/>
          <w:lang w:val="zh-CN"/>
        </w:rPr>
        <w:t>则投标文件中应根据本项目招标文件“第二章 项目需求”提供：</w:t>
      </w:r>
    </w:p>
    <w:p>
      <w:pPr>
        <w:wordWrap w:val="0"/>
        <w:autoSpaceDE w:val="0"/>
        <w:autoSpaceDN w:val="0"/>
        <w:spacing w:line="360" w:lineRule="auto"/>
        <w:ind w:firstLine="420" w:firstLineChars="200"/>
        <w:contextualSpacing/>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①中国信息安全认证中心官网（http://www.isccc.gov.cn/index.shtml）产品查询结果截图并加盖投标人公章；</w:t>
      </w:r>
    </w:p>
    <w:p>
      <w:pPr>
        <w:wordWrap w:val="0"/>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rPr>
        <w:t>②中国信息安全认证中心</w:t>
      </w:r>
      <w:r>
        <w:rPr>
          <w:rFonts w:hint="eastAsia" w:ascii="宋体" w:hAnsi="宋体" w:eastAsia="宋体" w:cs="宋体"/>
          <w:color w:val="auto"/>
          <w:sz w:val="21"/>
          <w:szCs w:val="21"/>
          <w:lang w:val="zh-CN"/>
        </w:rPr>
        <w:t>颁发的《中国国家信息安全产品认证证书》加盖投标人公章的原件扫描件（或图片）。</w:t>
      </w:r>
    </w:p>
    <w:p>
      <w:pPr>
        <w:wordWrap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lang w:val="zh-CN"/>
        </w:rPr>
        <w:t>注：仅需提供序号</w:t>
      </w:r>
      <w:r>
        <w:rPr>
          <w:rFonts w:hint="eastAsia" w:ascii="宋体" w:hAnsi="宋体" w:eastAsia="宋体" w:cs="宋体"/>
          <w:color w:val="auto"/>
          <w:sz w:val="21"/>
          <w:szCs w:val="21"/>
        </w:rPr>
        <w:t>①～②其中之一即可。</w:t>
      </w:r>
    </w:p>
    <w:p>
      <w:pPr>
        <w:tabs>
          <w:tab w:val="left" w:pos="1260"/>
        </w:tabs>
        <w:autoSpaceDE w:val="0"/>
        <w:autoSpaceDN w:val="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（5）支持脱贫攻坚（物业服务项目）</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（6）投标无效情形</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e.不同投标人的投标文件相互混装；</w:t>
      </w:r>
    </w:p>
    <w:p>
      <w:pPr>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5）法律、法规和招标文件规定的其他无效情形。</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（7）评标标准</w:t>
      </w:r>
    </w:p>
    <w:tbl>
      <w:tblPr>
        <w:tblStyle w:val="27"/>
        <w:tblW w:w="93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5245"/>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分值构成</w:t>
            </w:r>
          </w:p>
          <w:p>
            <w:pPr>
              <w:tabs>
                <w:tab w:val="left" w:pos="1260"/>
              </w:tabs>
              <w:autoSpaceDE w:val="0"/>
              <w:autoSpaceDN w:val="0"/>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(总分100分)</w:t>
            </w:r>
          </w:p>
        </w:tc>
        <w:tc>
          <w:tcPr>
            <w:tcW w:w="7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价格分值：</w:t>
            </w:r>
            <w:r>
              <w:rPr>
                <w:rFonts w:hint="eastAsia" w:cs="仿宋_GB2312" w:asciiTheme="minorEastAsia" w:hAnsiTheme="minorEastAsia"/>
                <w:color w:val="auto"/>
                <w:sz w:val="21"/>
                <w:szCs w:val="21"/>
              </w:rPr>
              <w:t>2</w:t>
            </w:r>
            <w:r>
              <w:rPr>
                <w:rFonts w:hint="eastAsia" w:cs="仿宋_GB2312" w:asciiTheme="minorEastAsia" w:hAnsiTheme="minorEastAsia"/>
                <w:color w:val="auto"/>
                <w:sz w:val="21"/>
                <w:szCs w:val="21"/>
                <w:lang w:val="zh-CN"/>
              </w:rPr>
              <w:t>0分</w:t>
            </w:r>
          </w:p>
          <w:p>
            <w:pPr>
              <w:tabs>
                <w:tab w:val="left" w:pos="1260"/>
              </w:tabs>
              <w:autoSpaceDE w:val="0"/>
              <w:autoSpaceDN w:val="0"/>
              <w:spacing w:line="360" w:lineRule="auto"/>
              <w:contextualSpacing/>
              <w:jc w:val="center"/>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商务部分：</w:t>
            </w:r>
            <w:r>
              <w:rPr>
                <w:rFonts w:hint="eastAsia" w:cs="仿宋_GB2312" w:asciiTheme="minorEastAsia" w:hAnsiTheme="minorEastAsia"/>
                <w:color w:val="auto"/>
                <w:sz w:val="21"/>
                <w:szCs w:val="21"/>
              </w:rPr>
              <w:t>4</w:t>
            </w:r>
            <w:r>
              <w:rPr>
                <w:rFonts w:hint="eastAsia" w:cs="仿宋_GB2312" w:asciiTheme="minorEastAsia" w:hAnsiTheme="minorEastAsia"/>
                <w:color w:val="auto"/>
                <w:sz w:val="21"/>
                <w:szCs w:val="21"/>
                <w:lang w:val="zh-CN"/>
              </w:rPr>
              <w:t>0分</w:t>
            </w:r>
          </w:p>
          <w:p>
            <w:pPr>
              <w:tabs>
                <w:tab w:val="left" w:pos="1260"/>
              </w:tabs>
              <w:autoSpaceDE w:val="0"/>
              <w:autoSpaceDN w:val="0"/>
              <w:spacing w:line="360" w:lineRule="auto"/>
              <w:contextualSpacing/>
              <w:jc w:val="center"/>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技术部分：</w:t>
            </w:r>
            <w:r>
              <w:rPr>
                <w:rFonts w:hint="eastAsia" w:cs="仿宋_GB2312" w:asciiTheme="minorEastAsia" w:hAnsiTheme="minorEastAsia"/>
                <w:color w:val="auto"/>
                <w:sz w:val="21"/>
                <w:szCs w:val="21"/>
              </w:rPr>
              <w:t>4</w:t>
            </w:r>
            <w:r>
              <w:rPr>
                <w:rFonts w:hint="eastAsia" w:cs="仿宋_GB2312" w:asciiTheme="minorEastAsia" w:hAnsiTheme="minorEastAsia"/>
                <w:color w:val="auto"/>
                <w:sz w:val="21"/>
                <w:szCs w:val="21"/>
                <w:lang w:val="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9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一、价格部分（满分</w:t>
            </w:r>
            <w:r>
              <w:rPr>
                <w:rFonts w:hint="eastAsia" w:cs="仿宋_GB2312" w:asciiTheme="minorEastAsia" w:hAnsiTheme="minorEastAsia"/>
                <w:color w:val="auto"/>
                <w:sz w:val="21"/>
                <w:szCs w:val="21"/>
              </w:rPr>
              <w:t>2</w:t>
            </w:r>
            <w:r>
              <w:rPr>
                <w:rFonts w:hint="eastAsia" w:cs="仿宋_GB2312" w:asciiTheme="minorEastAsia" w:hAnsiTheme="minorEastAsia"/>
                <w:color w:val="auto"/>
                <w:sz w:val="21"/>
                <w:szCs w:val="21"/>
                <w:lang w:val="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评分因素</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评分标准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投标报价</w:t>
            </w:r>
          </w:p>
          <w:p>
            <w:pPr>
              <w:tabs>
                <w:tab w:val="left" w:pos="1260"/>
              </w:tabs>
              <w:autoSpaceDE w:val="0"/>
              <w:autoSpaceDN w:val="0"/>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评分标准</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评标基准价：满足招标文件要求的有效投标报价中，所有有效投标人的最低报价为评标基准价。</w:t>
            </w:r>
          </w:p>
          <w:p>
            <w:pPr>
              <w:tabs>
                <w:tab w:val="left" w:pos="1260"/>
              </w:tabs>
              <w:autoSpaceDE w:val="0"/>
              <w:autoSpaceDN w:val="0"/>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投标报价得分=（评标基准价/投标报价）×</w:t>
            </w:r>
            <w:r>
              <w:rPr>
                <w:rFonts w:hint="eastAsia" w:cs="仿宋_GB2312" w:asciiTheme="minorEastAsia" w:hAnsiTheme="minorEastAsia"/>
                <w:color w:val="auto"/>
                <w:sz w:val="21"/>
                <w:szCs w:val="21"/>
              </w:rPr>
              <w:t>2</w:t>
            </w:r>
            <w:r>
              <w:rPr>
                <w:rFonts w:hint="eastAsia" w:cs="仿宋_GB2312" w:asciiTheme="minorEastAsia" w:hAnsiTheme="minorEastAsia"/>
                <w:color w:val="auto"/>
                <w:sz w:val="21"/>
                <w:szCs w:val="21"/>
                <w:lang w:val="zh-CN"/>
              </w:rPr>
              <w:t>0</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rPr>
              <w:t>2</w:t>
            </w:r>
            <w:r>
              <w:rPr>
                <w:rFonts w:hint="eastAsia" w:cs="仿宋_GB2312" w:asciiTheme="minorEastAsia" w:hAnsiTheme="minorEastAsia"/>
                <w:color w:val="auto"/>
                <w:sz w:val="21"/>
                <w:szCs w:val="21"/>
                <w:lang w:val="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9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二、商务部分（满分</w:t>
            </w:r>
            <w:r>
              <w:rPr>
                <w:rFonts w:hint="eastAsia" w:cs="仿宋_GB2312" w:asciiTheme="minorEastAsia" w:hAnsiTheme="minorEastAsia"/>
                <w:color w:val="auto"/>
                <w:sz w:val="21"/>
                <w:szCs w:val="21"/>
              </w:rPr>
              <w:t>40</w:t>
            </w:r>
            <w:r>
              <w:rPr>
                <w:rFonts w:hint="eastAsia" w:cs="仿宋_GB2312" w:asciiTheme="minorEastAsia" w:hAnsiTheme="minorEastAsia"/>
                <w:color w:val="auto"/>
                <w:sz w:val="21"/>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评分因素</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评分标准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vMerge w:val="restart"/>
            <w:tcBorders>
              <w:top w:val="single" w:color="000000" w:sz="4" w:space="0"/>
              <w:left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int="eastAsia"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企业综合实力</w:t>
            </w:r>
          </w:p>
          <w:p>
            <w:pPr>
              <w:pStyle w:val="69"/>
              <w:framePr w:hSpace="0" w:wrap="auto" w:vAnchor="margin" w:hAnchor="text" w:xAlign="left" w:yAlign="inline"/>
              <w:jc w:val="center"/>
              <w:rPr>
                <w:rFonts w:cs="仿宋_GB2312" w:asciiTheme="minorEastAsia" w:hAnsiTheme="minorEastAsia" w:eastAsiaTheme="minorEastAsia"/>
                <w:color w:val="auto"/>
                <w:sz w:val="21"/>
                <w:szCs w:val="21"/>
                <w:lang w:val="zh-CN"/>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cs="仿宋_GB2312" w:asciiTheme="minorEastAsia" w:hAnsiTheme="minorEastAsia"/>
                <w:color w:val="auto"/>
                <w:sz w:val="21"/>
                <w:szCs w:val="21"/>
                <w:lang w:val="zh-CN"/>
              </w:rPr>
            </w:pPr>
            <w:r>
              <w:rPr>
                <w:rFonts w:hint="eastAsia" w:ascii="宋体" w:hAnsi="宋体" w:cs="宋体"/>
                <w:color w:val="auto"/>
                <w:kern w:val="0"/>
                <w:sz w:val="21"/>
                <w:szCs w:val="21"/>
              </w:rPr>
              <w:t>投标人具有ISO9001质量管理体系认证证书得3分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int="eastAsia" w:eastAsia="宋体"/>
                <w:color w:val="auto"/>
                <w:sz w:val="21"/>
                <w:szCs w:val="21"/>
                <w:lang w:val="en-US" w:eastAsia="zh-CN"/>
              </w:rPr>
            </w:pPr>
            <w:r>
              <w:rPr>
                <w:rFonts w:hint="eastAsia"/>
                <w:color w:val="auto"/>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vMerge w:val="continue"/>
            <w:tcBorders>
              <w:left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cs="仿宋_GB2312" w:asciiTheme="minorEastAsia" w:hAnsiTheme="minorEastAsia" w:eastAsiaTheme="minorEastAsia"/>
                <w:color w:val="auto"/>
                <w:sz w:val="21"/>
                <w:szCs w:val="21"/>
                <w:lang w:val="zh-CN"/>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cs="仿宋_GB2312" w:asciiTheme="minorEastAsia" w:hAnsiTheme="minorEastAsia"/>
                <w:color w:val="auto"/>
                <w:sz w:val="21"/>
                <w:szCs w:val="21"/>
                <w:lang w:val="zh-CN"/>
              </w:rPr>
            </w:pPr>
            <w:r>
              <w:rPr>
                <w:rFonts w:hint="eastAsia" w:ascii="宋体" w:hAnsi="宋体" w:cs="宋体"/>
                <w:color w:val="auto"/>
                <w:kern w:val="0"/>
                <w:sz w:val="21"/>
                <w:szCs w:val="21"/>
              </w:rPr>
              <w:t>投标人具有软件企业证书得3分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int="eastAsia" w:eastAsia="宋体"/>
                <w:color w:val="auto"/>
                <w:sz w:val="21"/>
                <w:szCs w:val="21"/>
                <w:lang w:val="en-US" w:eastAsia="zh-CN"/>
              </w:rPr>
            </w:pPr>
            <w:r>
              <w:rPr>
                <w:rFonts w:hint="eastAsia"/>
                <w:color w:val="auto"/>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vMerge w:val="continue"/>
            <w:tcBorders>
              <w:left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cs="仿宋_GB2312" w:asciiTheme="minorEastAsia" w:hAnsiTheme="minorEastAsia" w:eastAsiaTheme="minorEastAsia"/>
                <w:color w:val="auto"/>
                <w:sz w:val="21"/>
                <w:szCs w:val="21"/>
                <w:lang w:val="zh-CN"/>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cs="仿宋_GB2312" w:asciiTheme="minorEastAsia" w:hAnsiTheme="minorEastAsia"/>
                <w:color w:val="auto"/>
                <w:sz w:val="21"/>
                <w:szCs w:val="21"/>
                <w:lang w:val="zh-CN"/>
              </w:rPr>
            </w:pPr>
            <w:r>
              <w:rPr>
                <w:rFonts w:hint="eastAsia" w:ascii="宋体" w:hAnsi="宋体" w:cs="宋体"/>
                <w:color w:val="auto"/>
                <w:kern w:val="0"/>
                <w:sz w:val="21"/>
                <w:szCs w:val="21"/>
              </w:rPr>
              <w:t>投标人具有重合同守信用企业证书得3分。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int="eastAsia" w:eastAsia="宋体"/>
                <w:color w:val="auto"/>
                <w:sz w:val="21"/>
                <w:szCs w:val="21"/>
                <w:lang w:val="en-US" w:eastAsia="zh-CN"/>
              </w:rPr>
            </w:pPr>
            <w:r>
              <w:rPr>
                <w:rFonts w:hint="eastAsia"/>
                <w:color w:val="auto"/>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vMerge w:val="continue"/>
            <w:tcBorders>
              <w:left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cs="仿宋_GB2312" w:asciiTheme="minorEastAsia" w:hAnsiTheme="minorEastAsia" w:eastAsiaTheme="minorEastAsia"/>
                <w:color w:val="auto"/>
                <w:sz w:val="21"/>
                <w:szCs w:val="21"/>
                <w:lang w:val="zh-CN"/>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cs="仿宋_GB2312" w:asciiTheme="minorEastAsia" w:hAnsiTheme="minorEastAsia"/>
                <w:color w:val="auto"/>
                <w:sz w:val="21"/>
                <w:szCs w:val="21"/>
                <w:lang w:val="zh-CN"/>
              </w:rPr>
            </w:pPr>
            <w:r>
              <w:rPr>
                <w:rFonts w:hint="eastAsia" w:ascii="宋体" w:hAnsi="宋体" w:cs="宋体"/>
                <w:color w:val="auto"/>
                <w:kern w:val="0"/>
                <w:sz w:val="21"/>
                <w:szCs w:val="21"/>
              </w:rPr>
              <w:t>投标人具有信息安全管理体系认证证书得3分。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int="eastAsia" w:eastAsia="宋体"/>
                <w:color w:val="auto"/>
                <w:sz w:val="21"/>
                <w:szCs w:val="21"/>
                <w:lang w:val="en-US" w:eastAsia="zh-CN"/>
              </w:rPr>
            </w:pPr>
            <w:r>
              <w:rPr>
                <w:rFonts w:hint="eastAsia"/>
                <w:color w:val="auto"/>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vMerge w:val="continue"/>
            <w:tcBorders>
              <w:left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cs="仿宋_GB2312" w:asciiTheme="minorEastAsia" w:hAnsiTheme="minorEastAsia" w:eastAsiaTheme="minorEastAsia"/>
                <w:color w:val="auto"/>
                <w:sz w:val="21"/>
                <w:szCs w:val="21"/>
                <w:lang w:val="zh-CN"/>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cs="仿宋_GB2312" w:asciiTheme="minorEastAsia" w:hAnsiTheme="minorEastAsia"/>
                <w:color w:val="auto"/>
                <w:sz w:val="21"/>
                <w:szCs w:val="21"/>
                <w:lang w:val="zh-CN"/>
              </w:rPr>
            </w:pPr>
            <w:r>
              <w:rPr>
                <w:rFonts w:hint="eastAsia" w:ascii="宋体" w:hAnsi="宋体" w:cs="宋体"/>
                <w:color w:val="auto"/>
                <w:kern w:val="0"/>
                <w:sz w:val="21"/>
                <w:szCs w:val="21"/>
              </w:rPr>
              <w:t>投标人具有高新技术企业证书得3分。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int="eastAsia" w:eastAsia="宋体"/>
                <w:color w:val="auto"/>
                <w:sz w:val="21"/>
                <w:szCs w:val="21"/>
                <w:lang w:val="en-US" w:eastAsia="zh-CN"/>
              </w:rPr>
            </w:pPr>
            <w:r>
              <w:rPr>
                <w:rFonts w:hint="eastAsia"/>
                <w:color w:val="auto"/>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vMerge w:val="continue"/>
            <w:tcBorders>
              <w:left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cs="仿宋_GB2312" w:asciiTheme="minorEastAsia" w:hAnsiTheme="minorEastAsia" w:eastAsiaTheme="minorEastAsia"/>
                <w:color w:val="auto"/>
                <w:sz w:val="21"/>
                <w:szCs w:val="21"/>
                <w:lang w:val="zh-CN"/>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 w:val="21"/>
                <w:szCs w:val="21"/>
                <w:lang w:val="zh-CN"/>
              </w:rPr>
            </w:pPr>
            <w:r>
              <w:rPr>
                <w:rFonts w:hint="eastAsia" w:ascii="宋体" w:hAnsi="宋体" w:cs="宋体"/>
                <w:kern w:val="0"/>
                <w:sz w:val="21"/>
                <w:szCs w:val="21"/>
              </w:rPr>
              <w:t>投标人具有中国软件行业协会颁发的AAA企业信用等级证书得3分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int="eastAsia" w:eastAsia="宋体"/>
                <w:color w:val="auto"/>
                <w:sz w:val="21"/>
                <w:szCs w:val="21"/>
                <w:lang w:val="en-US" w:eastAsia="zh-CN"/>
              </w:rPr>
            </w:pPr>
            <w:r>
              <w:rPr>
                <w:rFonts w:hint="eastAsia"/>
                <w:color w:val="auto"/>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vMerge w:val="continue"/>
            <w:tcBorders>
              <w:left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cs="仿宋_GB2312" w:asciiTheme="minorEastAsia" w:hAnsiTheme="minorEastAsia" w:eastAsiaTheme="minorEastAsia"/>
                <w:color w:val="auto"/>
                <w:sz w:val="21"/>
                <w:szCs w:val="21"/>
                <w:lang w:val="zh-CN"/>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 w:val="21"/>
                <w:szCs w:val="21"/>
                <w:lang w:val="zh-CN"/>
              </w:rPr>
            </w:pPr>
            <w:r>
              <w:rPr>
                <w:rFonts w:hint="eastAsia" w:ascii="宋体" w:hAnsi="宋体" w:cs="宋体"/>
                <w:kern w:val="0"/>
                <w:sz w:val="21"/>
                <w:szCs w:val="21"/>
              </w:rPr>
              <w:t>投标人承担过类似项目获得省级以上奖项证书得4分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int="eastAsia" w:eastAsia="宋体"/>
                <w:color w:val="auto"/>
                <w:sz w:val="21"/>
                <w:szCs w:val="21"/>
                <w:lang w:val="en-US" w:eastAsia="zh-CN"/>
              </w:rPr>
            </w:pPr>
            <w:r>
              <w:rPr>
                <w:rFonts w:hint="eastAsia"/>
                <w:color w:val="auto"/>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vMerge w:val="continue"/>
            <w:tcBorders>
              <w:left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cs="仿宋_GB2312" w:asciiTheme="minorEastAsia" w:hAnsiTheme="minorEastAsia" w:eastAsiaTheme="minorEastAsia"/>
                <w:color w:val="auto"/>
                <w:sz w:val="21"/>
                <w:szCs w:val="21"/>
                <w:lang w:val="zh-CN"/>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 w:val="21"/>
                <w:szCs w:val="21"/>
                <w:lang w:val="zh-CN"/>
              </w:rPr>
            </w:pPr>
            <w:r>
              <w:rPr>
                <w:rFonts w:hint="eastAsia" w:ascii="宋体" w:hAnsi="宋体" w:cs="宋体"/>
                <w:kern w:val="0"/>
                <w:sz w:val="21"/>
                <w:szCs w:val="21"/>
              </w:rPr>
              <w:t>投标人项目组成人员中具有高级软件工程师、系统集成项目管理工程师、注册信息安全工程师，每有一项得1分，满分3分。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int="eastAsia" w:eastAsia="宋体"/>
                <w:color w:val="auto"/>
                <w:sz w:val="21"/>
                <w:szCs w:val="21"/>
                <w:lang w:val="en-US" w:eastAsia="zh-CN"/>
              </w:rPr>
            </w:pPr>
            <w:r>
              <w:rPr>
                <w:rFonts w:hint="eastAsia"/>
                <w:color w:val="auto"/>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vMerge w:val="continue"/>
            <w:tcBorders>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cs="仿宋_GB2312" w:asciiTheme="minorEastAsia" w:hAnsiTheme="minorEastAsia" w:eastAsiaTheme="minorEastAsia"/>
                <w:color w:val="auto"/>
                <w:sz w:val="21"/>
                <w:szCs w:val="21"/>
                <w:lang w:val="zh-CN"/>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 w:val="21"/>
                <w:szCs w:val="21"/>
                <w:lang w:val="zh-CN"/>
              </w:rPr>
            </w:pPr>
            <w:r>
              <w:rPr>
                <w:rFonts w:hint="eastAsia" w:ascii="宋体" w:hAnsi="宋体" w:cs="宋体"/>
                <w:kern w:val="0"/>
                <w:sz w:val="21"/>
                <w:szCs w:val="21"/>
              </w:rPr>
              <w:t>投标人承担过类似项目，其中每提供一个省级（含）或省辖市级的，得4分；每提供一个县级的，得3分。满分15分（以合同为准，没有不得分）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int="default" w:eastAsia="宋体"/>
                <w:color w:val="auto"/>
                <w:sz w:val="21"/>
                <w:szCs w:val="21"/>
                <w:lang w:val="en-US" w:eastAsia="zh-CN"/>
              </w:rPr>
            </w:pPr>
            <w:r>
              <w:rPr>
                <w:rFonts w:hint="eastAsia"/>
                <w:color w:val="auto"/>
                <w:sz w:val="21"/>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三、技术部分（满分</w:t>
            </w:r>
            <w:r>
              <w:rPr>
                <w:rFonts w:hint="eastAsia" w:cs="仿宋_GB2312" w:asciiTheme="minorEastAsia" w:hAnsiTheme="minorEastAsia"/>
                <w:color w:val="auto"/>
                <w:sz w:val="21"/>
                <w:szCs w:val="21"/>
              </w:rPr>
              <w:t>40</w:t>
            </w:r>
            <w:r>
              <w:rPr>
                <w:rFonts w:hint="eastAsia" w:cs="仿宋_GB2312" w:asciiTheme="minorEastAsia" w:hAnsiTheme="minorEastAsia"/>
                <w:color w:val="auto"/>
                <w:sz w:val="21"/>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auto"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评分因素</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评分标准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vMerge w:val="restart"/>
            <w:tcBorders>
              <w:top w:val="single" w:color="auto" w:sz="4" w:space="0"/>
              <w:left w:val="single" w:color="auto" w:sz="4" w:space="0"/>
              <w:right w:val="single" w:color="auto" w:sz="4" w:space="0"/>
            </w:tcBorders>
            <w:shd w:val="clear" w:color="auto" w:fill="auto"/>
            <w:vAlign w:val="center"/>
          </w:tcPr>
          <w:p>
            <w:pPr>
              <w:pStyle w:val="69"/>
              <w:framePr w:hSpace="0" w:wrap="auto" w:vAnchor="margin" w:hAnchor="text" w:xAlign="left" w:yAlign="inline"/>
              <w:jc w:val="center"/>
              <w:rPr>
                <w:rFonts w:hint="eastAsia" w:ascii="宋体" w:hAnsi="宋体" w:eastAsia="宋体" w:cs="宋体"/>
                <w:color w:val="auto"/>
                <w:sz w:val="21"/>
                <w:szCs w:val="21"/>
                <w:lang w:val="zh-CN"/>
              </w:rPr>
            </w:pPr>
            <w:r>
              <w:rPr>
                <w:rFonts w:hint="eastAsia" w:ascii="宋体" w:hAnsi="宋体" w:eastAsia="宋体"/>
                <w:sz w:val="21"/>
                <w:szCs w:val="21"/>
              </w:rPr>
              <w:t>技术</w:t>
            </w:r>
            <w:r>
              <w:rPr>
                <w:rFonts w:hint="eastAsia" w:ascii="宋体" w:hAnsi="宋体" w:eastAsia="宋体"/>
                <w:sz w:val="21"/>
                <w:szCs w:val="21"/>
                <w:lang w:val="en-US" w:eastAsia="zh-CN"/>
              </w:rPr>
              <w:t>服务</w:t>
            </w:r>
          </w:p>
        </w:tc>
        <w:tc>
          <w:tcPr>
            <w:tcW w:w="524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12"/>
              <w:spacing w:line="400" w:lineRule="exact"/>
              <w:rPr>
                <w:rFonts w:hint="eastAsia" w:ascii="宋体" w:hAnsi="宋体" w:eastAsia="宋体" w:cs="宋体"/>
                <w:color w:val="auto"/>
                <w:sz w:val="21"/>
                <w:szCs w:val="21"/>
                <w:lang w:val="zh-CN"/>
              </w:rPr>
            </w:pPr>
            <w:r>
              <w:rPr>
                <w:rFonts w:hint="eastAsia" w:ascii="宋体" w:hAnsi="宋体" w:eastAsia="宋体" w:cs="宋体"/>
                <w:sz w:val="21"/>
                <w:szCs w:val="21"/>
              </w:rPr>
              <w:t>1、根据投标人对招标文件采购内容的理解程度，对总体方案设计的完整性、可行性进行横向比较；（优得4分，良得2分、一般得1分）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vMerge w:val="continue"/>
            <w:tcBorders>
              <w:left w:val="single" w:color="auto" w:sz="4" w:space="0"/>
              <w:right w:val="single" w:color="auto" w:sz="4" w:space="0"/>
            </w:tcBorders>
            <w:shd w:val="clear" w:color="auto" w:fill="auto"/>
            <w:vAlign w:val="center"/>
          </w:tcPr>
          <w:p>
            <w:pPr>
              <w:pStyle w:val="69"/>
              <w:framePr w:hSpace="0" w:wrap="auto" w:vAnchor="margin" w:hAnchor="text" w:xAlign="left" w:yAlign="inline"/>
              <w:jc w:val="center"/>
              <w:rPr>
                <w:rFonts w:hint="eastAsia" w:ascii="宋体" w:hAnsi="宋体" w:eastAsia="宋体" w:cs="宋体"/>
                <w:b/>
                <w:color w:val="auto"/>
                <w:sz w:val="21"/>
                <w:szCs w:val="21"/>
                <w:lang w:val="zh-CN"/>
              </w:rPr>
            </w:pPr>
          </w:p>
        </w:tc>
        <w:tc>
          <w:tcPr>
            <w:tcW w:w="524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12"/>
              <w:spacing w:line="400" w:lineRule="exact"/>
              <w:rPr>
                <w:rFonts w:hint="eastAsia" w:ascii="宋体" w:hAnsi="宋体" w:eastAsia="宋体" w:cs="宋体"/>
                <w:color w:val="auto"/>
                <w:sz w:val="21"/>
                <w:szCs w:val="21"/>
                <w:lang w:val="zh-CN"/>
              </w:rPr>
            </w:pPr>
            <w:r>
              <w:rPr>
                <w:rFonts w:hint="eastAsia" w:ascii="宋体" w:hAnsi="宋体" w:eastAsia="宋体" w:cs="宋体"/>
                <w:sz w:val="21"/>
                <w:szCs w:val="21"/>
              </w:rPr>
              <w:t>2、投标文件对照招标文件中技术要求，全部满足招标文件要求的得</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0 分，评审中每发现一项不满足的，经评委认可不影响使用性能的、扣减 2 分，对招标文件中技术要求每出现一处负偏差，扣 </w:t>
            </w:r>
            <w:r>
              <w:rPr>
                <w:rFonts w:hint="eastAsia" w:ascii="宋体" w:hAnsi="宋体" w:eastAsia="宋体" w:cs="宋体"/>
                <w:sz w:val="21"/>
                <w:szCs w:val="21"/>
                <w:lang w:val="en-US" w:eastAsia="zh-CN"/>
              </w:rPr>
              <w:t>4</w:t>
            </w:r>
            <w:r>
              <w:rPr>
                <w:rFonts w:hint="eastAsia" w:ascii="宋体" w:hAnsi="宋体" w:eastAsia="宋体" w:cs="宋体"/>
                <w:sz w:val="21"/>
                <w:szCs w:val="21"/>
              </w:rPr>
              <w:t>分。扣完为止。</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vMerge w:val="continue"/>
            <w:tcBorders>
              <w:left w:val="single" w:color="auto" w:sz="4" w:space="0"/>
              <w:right w:val="single" w:color="auto" w:sz="4" w:space="0"/>
            </w:tcBorders>
            <w:shd w:val="clear" w:color="auto" w:fill="auto"/>
            <w:vAlign w:val="center"/>
          </w:tcPr>
          <w:p>
            <w:pPr>
              <w:pStyle w:val="69"/>
              <w:framePr w:hSpace="0" w:wrap="auto" w:vAnchor="margin" w:hAnchor="text" w:xAlign="left" w:yAlign="inline"/>
              <w:jc w:val="center"/>
              <w:rPr>
                <w:rFonts w:hint="eastAsia" w:ascii="宋体" w:hAnsi="宋体" w:eastAsia="宋体" w:cs="宋体"/>
                <w:color w:val="auto"/>
                <w:sz w:val="21"/>
                <w:szCs w:val="21"/>
                <w:lang w:val="zh-CN"/>
              </w:rPr>
            </w:pPr>
          </w:p>
        </w:tc>
        <w:tc>
          <w:tcPr>
            <w:tcW w:w="524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12"/>
              <w:spacing w:line="400" w:lineRule="exact"/>
              <w:rPr>
                <w:rFonts w:hint="eastAsia" w:ascii="宋体" w:hAnsi="宋体" w:eastAsia="宋体" w:cs="宋体"/>
                <w:color w:val="auto"/>
                <w:sz w:val="21"/>
                <w:szCs w:val="21"/>
                <w:lang w:val="zh-CN"/>
              </w:rPr>
            </w:pPr>
            <w:r>
              <w:rPr>
                <w:rFonts w:hint="eastAsia" w:ascii="宋体" w:hAnsi="宋体" w:eastAsia="宋体" w:cs="宋体"/>
                <w:sz w:val="21"/>
                <w:szCs w:val="21"/>
              </w:rPr>
              <w:t>3、能够提出针对本项目的进度计划及保证措施，依据计划及保证措施的科学性、合理性、可行性进行综合评分。（优得3分，良得2分、一般得1分）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hint="eastAsia" w:ascii="宋体" w:hAnsi="宋体" w:eastAsiaTheme="minorEastAsia" w:cstheme="minorBidi"/>
                <w:kern w:val="2"/>
                <w:sz w:val="21"/>
                <w:szCs w:val="21"/>
                <w:lang w:val="zh-CN" w:eastAsia="zh-CN" w:bidi="ar-SA"/>
              </w:rPr>
            </w:pPr>
          </w:p>
        </w:tc>
        <w:tc>
          <w:tcPr>
            <w:tcW w:w="524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12"/>
              <w:spacing w:line="400" w:lineRule="exact"/>
              <w:rPr>
                <w:rFonts w:hint="eastAsia" w:ascii="宋体" w:hAnsi="宋体" w:eastAsiaTheme="minorEastAsia" w:cstheme="minorBidi"/>
                <w:kern w:val="2"/>
                <w:sz w:val="21"/>
                <w:szCs w:val="21"/>
                <w:lang w:val="zh-CN" w:eastAsia="zh-CN" w:bidi="ar-SA"/>
              </w:rPr>
            </w:pPr>
            <w:r>
              <w:rPr>
                <w:rFonts w:hint="eastAsia" w:ascii="宋体" w:hAnsi="宋体" w:eastAsia="宋体" w:cs="宋体"/>
                <w:sz w:val="21"/>
                <w:szCs w:val="21"/>
              </w:rPr>
              <w:t>4、能够提出针对本项目的质量控制措施，依据质量控制措施的科学性、合理性、可行性进行综合评分。（优得3分，良得2分、一般得1分）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vMerge w:val="restart"/>
            <w:tcBorders>
              <w:top w:val="single" w:color="auto" w:sz="4" w:space="0"/>
              <w:left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宋体" w:hAnsi="宋体" w:eastAsiaTheme="minorEastAsia" w:cstheme="minorBidi"/>
                <w:kern w:val="2"/>
                <w:sz w:val="21"/>
                <w:szCs w:val="21"/>
                <w:lang w:val="zh-CN" w:eastAsia="zh-CN" w:bidi="ar-SA"/>
              </w:rPr>
            </w:pPr>
            <w:r>
              <w:rPr>
                <w:rFonts w:hint="eastAsia" w:ascii="宋体" w:hAnsi="宋体" w:eastAsia="宋体" w:cs="宋体"/>
                <w:sz w:val="21"/>
                <w:szCs w:val="21"/>
              </w:rPr>
              <w:t>售后服务</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ascii="宋体" w:hAnsi="宋体" w:eastAsia="宋体" w:cs="宋体"/>
                <w:sz w:val="21"/>
                <w:szCs w:val="21"/>
              </w:rPr>
            </w:pPr>
            <w:r>
              <w:rPr>
                <w:rFonts w:hint="eastAsia" w:ascii="宋体" w:hAnsi="宋体" w:eastAsia="宋体" w:cs="宋体"/>
                <w:sz w:val="21"/>
                <w:szCs w:val="21"/>
              </w:rPr>
              <w:t>售后服务计划方案详细、完整。根据投标人的售后服务承诺，包括具体的质保期、售后服务内容、维护响应计划、故障响应时间和响应方式等方面进行综合评分。（优得</w:t>
            </w:r>
            <w:r>
              <w:rPr>
                <w:rFonts w:hint="eastAsia" w:ascii="宋体" w:hAnsi="宋体" w:eastAsia="宋体" w:cs="宋体"/>
                <w:sz w:val="21"/>
                <w:szCs w:val="21"/>
                <w:lang w:val="en-US" w:eastAsia="zh-CN"/>
              </w:rPr>
              <w:t>7</w:t>
            </w:r>
            <w:r>
              <w:rPr>
                <w:rFonts w:hint="eastAsia" w:ascii="宋体" w:hAnsi="宋体" w:eastAsia="宋体" w:cs="宋体"/>
                <w:sz w:val="21"/>
                <w:szCs w:val="21"/>
              </w:rPr>
              <w:t>分，良得</w:t>
            </w:r>
            <w:r>
              <w:rPr>
                <w:rFonts w:hint="eastAsia" w:ascii="宋体" w:hAnsi="宋体" w:eastAsia="宋体" w:cs="宋体"/>
                <w:sz w:val="21"/>
                <w:szCs w:val="21"/>
                <w:lang w:val="en-US" w:eastAsia="zh-CN"/>
              </w:rPr>
              <w:t>5</w:t>
            </w:r>
            <w:r>
              <w:rPr>
                <w:rFonts w:hint="eastAsia" w:ascii="宋体" w:hAnsi="宋体" w:eastAsia="宋体" w:cs="宋体"/>
                <w:sz w:val="21"/>
                <w:szCs w:val="21"/>
              </w:rPr>
              <w:t>分、一般得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center"/>
              <w:rPr>
                <w:rFonts w:hint="eastAsia" w:ascii="宋体" w:hAnsi="宋体" w:eastAsia="宋体" w:cs="宋体"/>
                <w:sz w:val="21"/>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ascii="宋体" w:hAnsi="宋体" w:eastAsia="宋体" w:cs="宋体"/>
                <w:sz w:val="21"/>
                <w:szCs w:val="21"/>
              </w:rPr>
            </w:pPr>
            <w:r>
              <w:rPr>
                <w:rFonts w:hint="eastAsia" w:ascii="宋体" w:hAnsi="宋体" w:eastAsia="宋体" w:cs="宋体"/>
                <w:sz w:val="21"/>
                <w:szCs w:val="21"/>
              </w:rPr>
              <w:t>技术培训措施科学，能够提供完善的培训计划、培训方案、培训内容。（优得3分，良得2分、一般得1分）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3</w:t>
            </w:r>
          </w:p>
        </w:tc>
      </w:tr>
    </w:tbl>
    <w:p>
      <w:pPr>
        <w:pStyle w:val="35"/>
        <w:ind w:firstLine="0" w:firstLineChars="0"/>
        <w:rPr>
          <w:rFonts w:hint="eastAsia" w:ascii="宋体" w:hAnsi="宋体" w:eastAsia="宋体" w:cs="宋体"/>
          <w:color w:val="auto"/>
          <w:sz w:val="21"/>
          <w:szCs w:val="21"/>
          <w:lang w:val="zh-CN"/>
        </w:rPr>
      </w:pPr>
    </w:p>
    <w:p>
      <w:pPr>
        <w:spacing w:line="360" w:lineRule="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b/>
                <w:color w:val="auto"/>
                <w:sz w:val="21"/>
                <w:szCs w:val="21"/>
                <w:lang w:val="en-GB"/>
              </w:rPr>
              <w:t>序号</w:t>
            </w:r>
          </w:p>
        </w:tc>
        <w:tc>
          <w:tcPr>
            <w:tcW w:w="2823"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b/>
                <w:color w:val="auto"/>
                <w:sz w:val="21"/>
                <w:szCs w:val="21"/>
                <w:lang w:val="en-GB"/>
              </w:rPr>
              <w:t>情形</w:t>
            </w:r>
          </w:p>
        </w:tc>
        <w:tc>
          <w:tcPr>
            <w:tcW w:w="2552"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b/>
                <w:color w:val="auto"/>
                <w:sz w:val="21"/>
                <w:szCs w:val="21"/>
              </w:rPr>
              <w:t>价格扣除</w:t>
            </w:r>
            <w:r>
              <w:rPr>
                <w:rFonts w:hint="eastAsia" w:ascii="宋体" w:hAnsi="宋体" w:eastAsia="宋体" w:cs="宋体"/>
                <w:b/>
                <w:color w:val="auto"/>
                <w:sz w:val="21"/>
                <w:szCs w:val="21"/>
                <w:lang w:val="en-GB"/>
              </w:rPr>
              <w:t>比例</w:t>
            </w:r>
          </w:p>
        </w:tc>
        <w:tc>
          <w:tcPr>
            <w:tcW w:w="2835"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b/>
                <w:color w:val="auto"/>
                <w:sz w:val="21"/>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b/>
                <w:color w:val="auto"/>
                <w:sz w:val="21"/>
                <w:szCs w:val="21"/>
                <w:lang w:val="en-GB"/>
              </w:rPr>
              <w:t>1</w:t>
            </w:r>
          </w:p>
        </w:tc>
        <w:tc>
          <w:tcPr>
            <w:tcW w:w="2823"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color w:val="auto"/>
                <w:sz w:val="21"/>
                <w:szCs w:val="21"/>
                <w:lang w:val="en-GB"/>
              </w:rPr>
              <w:t>非联合体投标人</w:t>
            </w:r>
          </w:p>
        </w:tc>
        <w:tc>
          <w:tcPr>
            <w:tcW w:w="255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对小型和微型企业报价</w:t>
            </w:r>
          </w:p>
          <w:p>
            <w:pPr>
              <w:jc w:val="center"/>
              <w:rPr>
                <w:rFonts w:hint="eastAsia" w:ascii="宋体" w:hAnsi="宋体" w:eastAsia="宋体" w:cs="宋体"/>
                <w:b/>
                <w:color w:val="auto"/>
                <w:sz w:val="21"/>
                <w:szCs w:val="21"/>
                <w:lang w:val="en-GB"/>
              </w:rPr>
            </w:pPr>
            <w:r>
              <w:rPr>
                <w:rFonts w:hint="eastAsia" w:ascii="宋体" w:hAnsi="宋体" w:eastAsia="宋体" w:cs="宋体"/>
                <w:color w:val="auto"/>
                <w:sz w:val="21"/>
                <w:szCs w:val="21"/>
              </w:rPr>
              <w:t>扣除6%</w:t>
            </w:r>
          </w:p>
        </w:tc>
        <w:tc>
          <w:tcPr>
            <w:tcW w:w="2835" w:type="dxa"/>
            <w:vMerge w:val="restart"/>
            <w:shd w:val="clear" w:color="auto" w:fill="auto"/>
            <w:vAlign w:val="center"/>
          </w:tcPr>
          <w:p>
            <w:pPr>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评标价格＝</w:t>
            </w:r>
            <w:r>
              <w:rPr>
                <w:rFonts w:hint="eastAsia" w:ascii="宋体" w:hAnsi="宋体" w:eastAsia="宋体" w:cs="宋体"/>
                <w:color w:val="auto"/>
                <w:sz w:val="21"/>
                <w:szCs w:val="21"/>
              </w:rPr>
              <w:t>小型和微型企业报价</w:t>
            </w:r>
            <w:r>
              <w:rPr>
                <w:rFonts w:hint="eastAsia" w:ascii="宋体" w:hAnsi="宋体" w:eastAsia="宋体" w:cs="宋体"/>
                <w:color w:val="auto"/>
                <w:sz w:val="21"/>
                <w:szCs w:val="21"/>
                <w:lang w:val="en-GB"/>
              </w:rPr>
              <w:t>×（1-6%）</w:t>
            </w:r>
          </w:p>
          <w:p>
            <w:pPr>
              <w:jc w:val="center"/>
              <w:rPr>
                <w:rFonts w:hint="eastAsia" w:ascii="宋体" w:hAnsi="宋体" w:eastAsia="宋体" w:cs="宋体"/>
                <w:b/>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b/>
                <w:color w:val="auto"/>
                <w:sz w:val="21"/>
                <w:szCs w:val="21"/>
                <w:lang w:val="en-GB"/>
              </w:rPr>
              <w:t>2</w:t>
            </w:r>
          </w:p>
        </w:tc>
        <w:tc>
          <w:tcPr>
            <w:tcW w:w="2823" w:type="dxa"/>
            <w:vAlign w:val="center"/>
          </w:tcPr>
          <w:p>
            <w:pPr>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联合体各方均为</w:t>
            </w:r>
          </w:p>
          <w:p>
            <w:pPr>
              <w:jc w:val="center"/>
              <w:rPr>
                <w:rFonts w:hint="eastAsia" w:ascii="宋体" w:hAnsi="宋体" w:eastAsia="宋体" w:cs="宋体"/>
                <w:b/>
                <w:color w:val="auto"/>
                <w:sz w:val="21"/>
                <w:szCs w:val="21"/>
              </w:rPr>
            </w:pPr>
            <w:r>
              <w:rPr>
                <w:rFonts w:hint="eastAsia" w:ascii="宋体" w:hAnsi="宋体" w:eastAsia="宋体" w:cs="宋体"/>
                <w:color w:val="auto"/>
                <w:sz w:val="21"/>
                <w:szCs w:val="21"/>
                <w:lang w:val="en-GB"/>
              </w:rPr>
              <w:t>小型、微型企业</w:t>
            </w:r>
          </w:p>
        </w:tc>
        <w:tc>
          <w:tcPr>
            <w:tcW w:w="255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对小型和微型企业报价</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扣除6%</w:t>
            </w:r>
          </w:p>
          <w:p>
            <w:pPr>
              <w:jc w:val="center"/>
              <w:rPr>
                <w:rFonts w:hint="eastAsia" w:ascii="宋体" w:hAnsi="宋体" w:eastAsia="宋体" w:cs="宋体"/>
                <w:b/>
                <w:color w:val="auto"/>
                <w:sz w:val="21"/>
                <w:szCs w:val="21"/>
                <w:lang w:val="en-GB"/>
              </w:rPr>
            </w:pPr>
            <w:r>
              <w:rPr>
                <w:rFonts w:hint="eastAsia" w:ascii="宋体" w:hAnsi="宋体" w:eastAsia="宋体" w:cs="宋体"/>
                <w:color w:val="auto"/>
                <w:sz w:val="21"/>
                <w:szCs w:val="21"/>
              </w:rPr>
              <w:t>（不再享受序号3的价格折扣）</w:t>
            </w:r>
          </w:p>
        </w:tc>
        <w:tc>
          <w:tcPr>
            <w:tcW w:w="2835" w:type="dxa"/>
            <w:vMerge w:val="continue"/>
            <w:shd w:val="clear" w:color="auto" w:fill="auto"/>
          </w:tcPr>
          <w:p>
            <w:pPr>
              <w:rPr>
                <w:rFonts w:hint="eastAsia" w:ascii="宋体" w:hAnsi="宋体" w:eastAsia="宋体" w:cs="宋体"/>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b/>
                <w:color w:val="auto"/>
                <w:sz w:val="21"/>
                <w:szCs w:val="21"/>
                <w:lang w:val="en-GB"/>
              </w:rPr>
              <w:t>3</w:t>
            </w:r>
          </w:p>
        </w:tc>
        <w:tc>
          <w:tcPr>
            <w:tcW w:w="2823"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color w:val="auto"/>
                <w:sz w:val="21"/>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color w:val="auto"/>
                <w:sz w:val="21"/>
                <w:szCs w:val="21"/>
              </w:rPr>
              <w:t>对联合体或者大中型企业的报价</w:t>
            </w:r>
            <w:r>
              <w:rPr>
                <w:rFonts w:hint="eastAsia" w:ascii="宋体" w:hAnsi="宋体" w:eastAsia="宋体" w:cs="宋体"/>
                <w:color w:val="auto"/>
                <w:sz w:val="21"/>
                <w:szCs w:val="21"/>
                <w:lang w:val="en-GB"/>
              </w:rPr>
              <w:t>扣除</w:t>
            </w:r>
            <w:r>
              <w:rPr>
                <w:rFonts w:hint="eastAsia" w:ascii="宋体" w:hAnsi="宋体" w:eastAsia="宋体" w:cs="宋体"/>
                <w:color w:val="auto"/>
                <w:sz w:val="21"/>
                <w:szCs w:val="21"/>
              </w:rPr>
              <w:t>2%</w:t>
            </w:r>
          </w:p>
        </w:tc>
        <w:tc>
          <w:tcPr>
            <w:tcW w:w="2835" w:type="dxa"/>
            <w:shd w:val="clear" w:color="auto" w:fill="auto"/>
            <w:vAlign w:val="center"/>
          </w:tcPr>
          <w:p>
            <w:pPr>
              <w:jc w:val="center"/>
              <w:rPr>
                <w:rFonts w:hint="eastAsia" w:ascii="宋体" w:hAnsi="宋体" w:eastAsia="宋体" w:cs="宋体"/>
                <w:b/>
                <w:color w:val="auto"/>
                <w:sz w:val="21"/>
                <w:szCs w:val="21"/>
                <w:lang w:val="en-GB"/>
              </w:rPr>
            </w:pPr>
            <w:r>
              <w:rPr>
                <w:rFonts w:hint="eastAsia" w:ascii="宋体" w:hAnsi="宋体" w:eastAsia="宋体" w:cs="宋体"/>
                <w:color w:val="auto"/>
                <w:sz w:val="21"/>
                <w:szCs w:val="21"/>
                <w:lang w:val="en-GB"/>
              </w:rPr>
              <w:t>评标价格＝投标报价×</w:t>
            </w:r>
            <w:r>
              <w:rPr>
                <w:rFonts w:hint="eastAsia" w:ascii="宋体" w:hAnsi="宋体" w:eastAsia="宋体" w:cs="宋体"/>
                <w:color w:val="auto"/>
                <w:sz w:val="21"/>
                <w:szCs w:val="21"/>
              </w:rPr>
              <w:t>(1-</w:t>
            </w:r>
            <w:r>
              <w:rPr>
                <w:rFonts w:hint="eastAsia" w:ascii="宋体" w:hAnsi="宋体" w:eastAsia="宋体" w:cs="宋体"/>
                <w:color w:val="auto"/>
                <w:sz w:val="21"/>
                <w:szCs w:val="21"/>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b/>
                <w:color w:val="auto"/>
                <w:sz w:val="21"/>
                <w:szCs w:val="21"/>
                <w:lang w:val="en-GB"/>
              </w:rPr>
              <w:t>4</w:t>
            </w:r>
          </w:p>
        </w:tc>
        <w:tc>
          <w:tcPr>
            <w:tcW w:w="2823" w:type="dxa"/>
            <w:vAlign w:val="center"/>
          </w:tcPr>
          <w:p>
            <w:pPr>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监狱企业</w:t>
            </w:r>
          </w:p>
        </w:tc>
        <w:tc>
          <w:tcPr>
            <w:tcW w:w="2552" w:type="dxa"/>
            <w:vAlign w:val="center"/>
          </w:tcPr>
          <w:p>
            <w:pPr>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对监狱企业产品价格扣除</w:t>
            </w:r>
            <w:r>
              <w:rPr>
                <w:rFonts w:hint="eastAsia" w:ascii="宋体" w:hAnsi="宋体" w:eastAsia="宋体" w:cs="宋体"/>
                <w:color w:val="auto"/>
                <w:sz w:val="21"/>
                <w:szCs w:val="21"/>
              </w:rPr>
              <w:t>6%</w:t>
            </w:r>
          </w:p>
        </w:tc>
        <w:tc>
          <w:tcPr>
            <w:tcW w:w="2835" w:type="dxa"/>
            <w:shd w:val="clear" w:color="auto" w:fill="auto"/>
            <w:vAlign w:val="center"/>
          </w:tcPr>
          <w:p>
            <w:pPr>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评标价格＝投标报价—</w:t>
            </w:r>
            <w:r>
              <w:rPr>
                <w:rFonts w:hint="eastAsia" w:ascii="宋体" w:hAnsi="宋体" w:eastAsia="宋体" w:cs="宋体"/>
                <w:color w:val="auto"/>
                <w:sz w:val="21"/>
                <w:szCs w:val="21"/>
              </w:rPr>
              <w:t>监狱企业产品的价格</w:t>
            </w:r>
            <w:r>
              <w:rPr>
                <w:rFonts w:hint="eastAsia" w:ascii="宋体" w:hAnsi="宋体" w:eastAsia="宋体" w:cs="宋体"/>
                <w:color w:val="auto"/>
                <w:sz w:val="2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b/>
                <w:color w:val="auto"/>
                <w:sz w:val="21"/>
                <w:szCs w:val="21"/>
                <w:lang w:val="en-GB"/>
              </w:rPr>
              <w:t>5</w:t>
            </w:r>
          </w:p>
        </w:tc>
        <w:tc>
          <w:tcPr>
            <w:tcW w:w="2823" w:type="dxa"/>
            <w:vAlign w:val="center"/>
          </w:tcPr>
          <w:p>
            <w:pPr>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残疾人福利性单位</w:t>
            </w:r>
          </w:p>
        </w:tc>
        <w:tc>
          <w:tcPr>
            <w:tcW w:w="2552" w:type="dxa"/>
            <w:vAlign w:val="center"/>
          </w:tcPr>
          <w:p>
            <w:pPr>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对残疾人福利性单位产品价格扣除</w:t>
            </w:r>
            <w:r>
              <w:rPr>
                <w:rFonts w:hint="eastAsia" w:ascii="宋体" w:hAnsi="宋体" w:eastAsia="宋体" w:cs="宋体"/>
                <w:color w:val="auto"/>
                <w:sz w:val="21"/>
                <w:szCs w:val="21"/>
                <w:u w:val="single"/>
              </w:rPr>
              <w:t>6</w:t>
            </w:r>
            <w:r>
              <w:rPr>
                <w:rFonts w:hint="eastAsia" w:ascii="宋体" w:hAnsi="宋体" w:eastAsia="宋体" w:cs="宋体"/>
                <w:color w:val="auto"/>
                <w:sz w:val="21"/>
                <w:szCs w:val="21"/>
              </w:rPr>
              <w:t>%</w:t>
            </w:r>
          </w:p>
        </w:tc>
        <w:tc>
          <w:tcPr>
            <w:tcW w:w="2835" w:type="dxa"/>
            <w:shd w:val="clear" w:color="auto" w:fill="auto"/>
            <w:vAlign w:val="center"/>
          </w:tcPr>
          <w:p>
            <w:pPr>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评标价格＝投标报价—</w:t>
            </w:r>
            <w:r>
              <w:rPr>
                <w:rFonts w:hint="eastAsia" w:ascii="宋体" w:hAnsi="宋体" w:eastAsia="宋体" w:cs="宋体"/>
                <w:color w:val="auto"/>
                <w:sz w:val="21"/>
                <w:szCs w:val="21"/>
              </w:rPr>
              <w:t>残疾人福利性单位产品的价格</w:t>
            </w:r>
            <w:r>
              <w:rPr>
                <w:rFonts w:hint="eastAsia" w:ascii="宋体" w:hAnsi="宋体" w:eastAsia="宋体" w:cs="宋体"/>
                <w:color w:val="auto"/>
                <w:sz w:val="2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31" w:type="dxa"/>
            <w:gridSpan w:val="4"/>
            <w:vAlign w:val="center"/>
          </w:tcPr>
          <w:p>
            <w:pPr>
              <w:widowControl/>
              <w:adjustRightInd w:val="0"/>
              <w:spacing w:line="360" w:lineRule="auto"/>
              <w:ind w:left="-2" w:leftChars="-1"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评标基准价=评标价格的最低价</w:t>
            </w:r>
          </w:p>
          <w:p>
            <w:pPr>
              <w:adjustRightInd w:val="0"/>
              <w:spacing w:line="360" w:lineRule="auto"/>
              <w:ind w:left="-88" w:leftChars="-42" w:firstLine="449" w:firstLineChars="214"/>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其他投标报价得分=（评标基准价/评标价格）×评标标准中价格分值</w:t>
            </w:r>
          </w:p>
        </w:tc>
      </w:tr>
    </w:tbl>
    <w:p>
      <w:pPr>
        <w:pStyle w:val="35"/>
        <w:rPr>
          <w:color w:val="auto"/>
          <w:lang w:val="zh-CN"/>
        </w:rPr>
      </w:pPr>
    </w:p>
    <w:p>
      <w:pPr>
        <w:pStyle w:val="35"/>
        <w:rPr>
          <w:color w:val="auto"/>
          <w:lang w:val="zh-CN"/>
        </w:rPr>
      </w:pPr>
      <w:r>
        <w:rPr>
          <w:rFonts w:hint="eastAsia"/>
          <w:color w:val="auto"/>
          <w:lang w:val="zh-CN"/>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spacing w:line="360" w:lineRule="auto"/>
        <w:ind w:firstLine="420" w:firstLineChars="200"/>
        <w:rPr>
          <w:rFonts w:ascii="宋体" w:hAnsi="宋体"/>
          <w:bCs/>
          <w:color w:val="auto"/>
          <w:szCs w:val="21"/>
          <w:lang w:val="en-GB"/>
        </w:rPr>
      </w:pPr>
      <w:r>
        <w:rPr>
          <w:rFonts w:ascii="宋体" w:hAnsi="宋体"/>
          <w:bCs/>
          <w:color w:val="auto"/>
          <w:szCs w:val="21"/>
          <w:lang w:val="en-GB"/>
        </w:rPr>
        <w:t>E</w:t>
      </w:r>
      <w:r>
        <w:rPr>
          <w:rFonts w:hint="eastAsia" w:ascii="宋体" w:hAnsi="宋体"/>
          <w:bCs/>
          <w:color w:val="auto"/>
          <w:szCs w:val="21"/>
          <w:lang w:val="en-GB"/>
        </w:rPr>
        <w:t>、小型和微型企业不包括民办非企业单位。</w:t>
      </w:r>
    </w:p>
    <w:p>
      <w:pPr>
        <w:pStyle w:val="16"/>
        <w:spacing w:line="360" w:lineRule="auto"/>
        <w:ind w:firstLine="422"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（8）</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（10）</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0" w:firstLineChars="200"/>
        <w:contextualSpacing/>
        <w:rPr>
          <w:rFonts w:cs="仿宋_GB2312" w:asciiTheme="minorEastAsia" w:hAnsiTheme="minorEastAsia"/>
          <w:bCs/>
          <w:color w:val="auto"/>
          <w:szCs w:val="21"/>
          <w:lang w:val="zh-CN"/>
        </w:rPr>
      </w:pPr>
      <w:r>
        <w:rPr>
          <w:rFonts w:cs="仿宋_GB2312" w:asciiTheme="minorEastAsia" w:hAnsiTheme="minorEastAsia"/>
          <w:bCs/>
          <w:color w:val="auto"/>
          <w:szCs w:val="21"/>
          <w:lang w:val="zh-CN"/>
        </w:rPr>
        <w:t>确定中标候选人名单，以及根据采购人委托直接确定中标人</w:t>
      </w:r>
      <w:r>
        <w:rPr>
          <w:rFonts w:hint="eastAsia" w:cs="仿宋_GB2312" w:asciiTheme="minorEastAsia" w:hAnsiTheme="minorEastAsia"/>
          <w:bCs/>
          <w:color w:val="auto"/>
          <w:szCs w:val="21"/>
          <w:lang w:val="zh-CN"/>
        </w:rPr>
        <w:t>。</w:t>
      </w:r>
    </w:p>
    <w:p>
      <w:pPr>
        <w:adjustRightInd w:val="0"/>
        <w:snapToGrid w:val="0"/>
        <w:spacing w:line="360" w:lineRule="auto"/>
        <w:ind w:firstLine="420" w:firstLineChars="200"/>
        <w:rPr>
          <w:rFonts w:ascii="宋体" w:hAnsi="宋体" w:cs="Courier New"/>
          <w:color w:val="auto"/>
          <w:szCs w:val="21"/>
        </w:rPr>
      </w:pPr>
    </w:p>
    <w:p>
      <w:pPr>
        <w:rPr>
          <w:color w:val="auto"/>
        </w:rPr>
      </w:pPr>
    </w:p>
    <w:p>
      <w:pPr>
        <w:adjustRightInd w:val="0"/>
        <w:snapToGrid w:val="0"/>
        <w:spacing w:line="360" w:lineRule="auto"/>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合同条款及格式</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eastAsia="微软雅黑"/>
          <w:color w:val="auto"/>
          <w:u w:val="single"/>
        </w:rPr>
      </w:pPr>
      <w:r>
        <w:rPr>
          <w:rFonts w:hint="eastAsia" w:ascii="宋体" w:hAnsi="宋体" w:cs="微软雅黑"/>
          <w:b/>
          <w:bCs/>
          <w:color w:val="auto"/>
          <w:szCs w:val="21"/>
        </w:rPr>
        <w:t>最终签定合同的主要条款不能与谈判文件有冲突）</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r>
        <w:rPr>
          <w:rFonts w:asciiTheme="minorEastAsia" w:hAnsiTheme="minorEastAsia" w:eastAsiaTheme="minorEastAsia"/>
          <w:color w:val="auto"/>
          <w:sz w:val="21"/>
          <w:szCs w:val="21"/>
        </w:rPr>
        <w:t> </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、乙方的投标文件；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、乙方投标文件的规定或约定，具体如下：</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、乙方投标文件的规定或约定进行，具体如下：</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w:t>
      </w:r>
      <w:r>
        <w:rPr>
          <w:rFonts w:hint="eastAsia" w:asciiTheme="minorEastAsia" w:hAnsiTheme="minorEastAsia" w:eastAsiaTheme="minorEastAsia"/>
          <w:color w:val="auto"/>
          <w:sz w:val="21"/>
          <w:szCs w:val="21"/>
        </w:rPr>
        <w:t>供应商</w:t>
      </w:r>
      <w:r>
        <w:rPr>
          <w:rFonts w:asciiTheme="minorEastAsia" w:hAnsiTheme="minorEastAsia" w:eastAsiaTheme="minorEastAsia"/>
          <w:color w:val="auto"/>
          <w:sz w:val="21"/>
          <w:szCs w:val="21"/>
        </w:rPr>
        <w:t>参与验收：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的规定进行，具体如下：</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已有规定的，双方均不得变更或调整；</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未作规定的，双方可通过友好协商进行约定）</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 </w:t>
      </w:r>
    </w:p>
    <w:p>
      <w:pPr>
        <w:pStyle w:val="25"/>
        <w:spacing w:before="75" w:after="75" w:line="360" w:lineRule="auto"/>
        <w:rPr>
          <w:rFonts w:asciiTheme="minorEastAsia" w:hAnsiTheme="minorEastAsia" w:eastAsiaTheme="minorEastAsia"/>
          <w:color w:val="auto"/>
          <w:sz w:val="21"/>
          <w:szCs w:val="21"/>
        </w:rPr>
      </w:pPr>
    </w:p>
    <w:p>
      <w:pPr>
        <w:pStyle w:val="25"/>
        <w:spacing w:before="75" w:after="75" w:line="360" w:lineRule="auto"/>
        <w:rPr>
          <w:rFonts w:asciiTheme="minorEastAsia" w:hAnsiTheme="minorEastAsia" w:eastAsiaTheme="minorEastAsia"/>
          <w:color w:val="auto"/>
          <w:sz w:val="21"/>
          <w:szCs w:val="21"/>
        </w:rPr>
      </w:pP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5"/>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6"/>
        <w:spacing w:line="360" w:lineRule="auto"/>
        <w:contextualSpacing/>
        <w:jc w:val="center"/>
        <w:rPr>
          <w:rFonts w:cs="宋体" w:asciiTheme="minorEastAsia" w:hAnsiTheme="minorEastAsia" w:eastAsiaTheme="minorEastAsia"/>
          <w:b/>
          <w:color w:val="auto"/>
          <w:kern w:val="0"/>
          <w:sz w:val="21"/>
          <w:szCs w:val="21"/>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numPr>
          <w:ilvl w:val="0"/>
          <w:numId w:val="9"/>
        </w:num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响应文件有关格式</w:t>
      </w:r>
    </w:p>
    <w:p>
      <w:pPr>
        <w:pStyle w:val="12"/>
        <w:rPr>
          <w:color w:val="auto"/>
        </w:rPr>
      </w:pPr>
    </w:p>
    <w:p>
      <w:pPr>
        <w:spacing w:line="480" w:lineRule="auto"/>
        <w:ind w:firstLine="1080" w:firstLineChars="300"/>
        <w:rPr>
          <w:rFonts w:ascii="宋体" w:hAnsi="宋体" w:cs="宋体"/>
          <w:color w:val="auto"/>
          <w:sz w:val="24"/>
        </w:rPr>
      </w:pPr>
      <w:r>
        <w:rPr>
          <w:rFonts w:hint="eastAsia" w:ascii="宋体" w:hAnsi="宋体" w:cs="宋体"/>
          <w:color w:val="auto"/>
          <w:sz w:val="36"/>
          <w:szCs w:val="36"/>
          <w:u w:val="single"/>
        </w:rPr>
        <w:t xml:space="preserve">                   （项目名称） </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480" w:lineRule="auto"/>
        <w:jc w:val="center"/>
        <w:rPr>
          <w:rFonts w:ascii="宋体" w:hAnsi="宋体" w:cs="宋体"/>
          <w:b/>
          <w:bCs/>
          <w:color w:val="auto"/>
          <w:sz w:val="48"/>
          <w:szCs w:val="48"/>
        </w:rPr>
      </w:pPr>
      <w:r>
        <w:rPr>
          <w:rFonts w:hint="eastAsia" w:ascii="宋体" w:hAnsi="宋体" w:cs="宋体"/>
          <w:b/>
          <w:bCs/>
          <w:color w:val="auto"/>
          <w:sz w:val="48"/>
          <w:szCs w:val="48"/>
        </w:rPr>
        <w:t>投标文件</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after="120"/>
        <w:ind w:left="63" w:right="63" w:firstLine="340" w:firstLineChars="100"/>
        <w:rPr>
          <w:rFonts w:ascii="宋体" w:hAnsi="Times New Roman" w:eastAsia="宋体" w:cs="Times New Roman"/>
          <w:color w:val="auto"/>
          <w:kern w:val="0"/>
          <w:sz w:val="34"/>
          <w:szCs w:val="20"/>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480" w:lineRule="auto"/>
        <w:ind w:firstLine="1120" w:firstLineChars="400"/>
        <w:rPr>
          <w:rFonts w:ascii="宋体" w:hAnsi="宋体" w:cs="宋体"/>
          <w:color w:val="auto"/>
          <w:sz w:val="24"/>
        </w:rPr>
      </w:pPr>
      <w:bookmarkStart w:id="3" w:name="_Toc27760_WPSOffice_Level1"/>
      <w:bookmarkStart w:id="4" w:name="_Toc7428_WPSOffice_Level1"/>
      <w:r>
        <w:rPr>
          <w:rFonts w:hint="eastAsia" w:ascii="宋体" w:hAnsi="宋体" w:cs="宋体"/>
          <w:color w:val="auto"/>
          <w:sz w:val="28"/>
          <w:szCs w:val="28"/>
        </w:rPr>
        <w:t>供应商：（全称并加盖公章）</w:t>
      </w:r>
      <w:bookmarkEnd w:id="3"/>
      <w:bookmarkEnd w:id="4"/>
    </w:p>
    <w:p>
      <w:pPr>
        <w:spacing w:line="480" w:lineRule="auto"/>
        <w:ind w:firstLine="1120" w:firstLineChars="400"/>
        <w:rPr>
          <w:rFonts w:ascii="宋体" w:hAnsi="宋体" w:cs="宋体"/>
          <w:b/>
          <w:bCs/>
          <w:color w:val="auto"/>
          <w:sz w:val="28"/>
          <w:szCs w:val="28"/>
        </w:rPr>
      </w:pPr>
      <w:bookmarkStart w:id="5" w:name="_Toc28157_WPSOffice_Level1"/>
      <w:bookmarkStart w:id="6" w:name="_Toc4840_WPSOffice_Level1"/>
      <w:r>
        <w:rPr>
          <w:rFonts w:hint="eastAsia" w:ascii="宋体" w:hAnsi="宋体" w:cs="宋体"/>
          <w:color w:val="auto"/>
          <w:sz w:val="28"/>
          <w:szCs w:val="28"/>
        </w:rPr>
        <w:t>法定代表人或委托代理人（签字）：</w:t>
      </w:r>
      <w:bookmarkEnd w:id="5"/>
      <w:bookmarkEnd w:id="6"/>
    </w:p>
    <w:p>
      <w:pPr>
        <w:spacing w:line="480" w:lineRule="auto"/>
        <w:ind w:firstLine="1120" w:firstLineChars="400"/>
        <w:rPr>
          <w:rFonts w:ascii="宋体" w:hAnsi="宋体" w:cs="宋体"/>
          <w:color w:val="auto"/>
          <w:sz w:val="24"/>
        </w:rPr>
      </w:pPr>
      <w:bookmarkStart w:id="7" w:name="_Toc15640_WPSOffice_Level1"/>
      <w:bookmarkStart w:id="8" w:name="_Toc2311_WPSOffice_Level1"/>
      <w:r>
        <w:rPr>
          <w:rFonts w:hint="eastAsia" w:ascii="宋体" w:hAnsi="宋体" w:cs="宋体"/>
          <w:color w:val="auto"/>
          <w:sz w:val="28"/>
          <w:szCs w:val="28"/>
        </w:rPr>
        <w:t>日    期：年 月 日</w:t>
      </w:r>
      <w:bookmarkEnd w:id="7"/>
      <w:bookmarkEnd w:id="8"/>
    </w:p>
    <w:p>
      <w:pPr>
        <w:spacing w:after="120"/>
        <w:ind w:left="63" w:right="63" w:firstLine="240" w:firstLineChars="100"/>
        <w:rPr>
          <w:rFonts w:ascii="宋体" w:hAnsi="宋体" w:eastAsia="宋体" w:cs="宋体"/>
          <w:color w:val="auto"/>
          <w:kern w:val="0"/>
          <w:sz w:val="24"/>
          <w:szCs w:val="20"/>
        </w:rPr>
      </w:pPr>
    </w:p>
    <w:p>
      <w:pPr>
        <w:pStyle w:val="26"/>
        <w:ind w:firstLine="0" w:firstLineChars="0"/>
        <w:rPr>
          <w:color w:val="auto"/>
          <w:lang w:val="zh-CN"/>
        </w:rPr>
      </w:pPr>
    </w:p>
    <w:p>
      <w:pPr>
        <w:pStyle w:val="6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6"/>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4"/>
            <w:vAlign w:val="center"/>
          </w:tcPr>
          <w:p>
            <w:pPr>
              <w:pStyle w:val="16"/>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依法纳税凭据</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6"/>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6"/>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6"/>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6"/>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投标人相关承诺函或声明</w:t>
            </w:r>
          </w:p>
        </w:tc>
        <w:tc>
          <w:tcPr>
            <w:tcW w:w="1559" w:type="dxa"/>
            <w:vAlign w:val="center"/>
          </w:tcPr>
          <w:p>
            <w:pPr>
              <w:pStyle w:val="16"/>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投标人须具备的特殊资质证书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投标人未为本项目提供整体设计、规范编制或者项目管理、监理、检测等服务承诺函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lang w:eastAsia="zh-CN"/>
              </w:rPr>
              <w:t>后期</w:t>
            </w:r>
            <w:r>
              <w:rPr>
                <w:rFonts w:hint="eastAsia" w:hAnsi="宋体" w:cs="微软雅黑"/>
                <w:bCs/>
                <w:color w:val="auto"/>
                <w:kern w:val="0"/>
                <w:sz w:val="21"/>
                <w:szCs w:val="21"/>
              </w:rPr>
              <w:t>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3751" w:type="dxa"/>
            <w:gridSpan w:val="4"/>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1200"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551"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6"/>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29</w:t>
            </w:r>
          </w:p>
        </w:tc>
        <w:tc>
          <w:tcPr>
            <w:tcW w:w="1200"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551"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6"/>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200"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551"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6"/>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30</w:t>
            </w:r>
          </w:p>
        </w:tc>
        <w:tc>
          <w:tcPr>
            <w:tcW w:w="3751" w:type="dxa"/>
            <w:gridSpan w:val="4"/>
            <w:tcBorders>
              <w:bottom w:val="sing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国家级贫困县域注册地证明材料</w:t>
            </w:r>
          </w:p>
        </w:tc>
        <w:tc>
          <w:tcPr>
            <w:tcW w:w="1559" w:type="dxa"/>
            <w:vAlign w:val="center"/>
          </w:tcPr>
          <w:p>
            <w:pPr>
              <w:pStyle w:val="16"/>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31</w:t>
            </w:r>
          </w:p>
        </w:tc>
        <w:tc>
          <w:tcPr>
            <w:tcW w:w="3751" w:type="dxa"/>
            <w:gridSpan w:val="4"/>
            <w:tcBorders>
              <w:top w:val="single" w:color="auto" w:sz="4" w:space="0"/>
              <w:bottom w:val="sing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扶贫部门出具的聘用建档立卡贫困人员身份证明</w:t>
            </w:r>
          </w:p>
        </w:tc>
        <w:tc>
          <w:tcPr>
            <w:tcW w:w="1559" w:type="dxa"/>
            <w:vAlign w:val="center"/>
          </w:tcPr>
          <w:p>
            <w:pPr>
              <w:pStyle w:val="16"/>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32</w:t>
            </w:r>
          </w:p>
        </w:tc>
        <w:tc>
          <w:tcPr>
            <w:tcW w:w="3751" w:type="dxa"/>
            <w:gridSpan w:val="4"/>
            <w:tcBorders>
              <w:top w:val="sing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建档立卡贫困人员社保材料</w:t>
            </w:r>
          </w:p>
        </w:tc>
        <w:tc>
          <w:tcPr>
            <w:tcW w:w="1559" w:type="dxa"/>
            <w:vAlign w:val="center"/>
          </w:tcPr>
          <w:p>
            <w:pPr>
              <w:pStyle w:val="16"/>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33</w:t>
            </w:r>
          </w:p>
        </w:tc>
        <w:tc>
          <w:tcPr>
            <w:tcW w:w="3751" w:type="dxa"/>
            <w:gridSpan w:val="4"/>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6"/>
        <w:spacing w:line="360" w:lineRule="auto"/>
        <w:jc w:val="left"/>
        <w:rPr>
          <w:rFonts w:asciiTheme="majorEastAsia" w:hAnsiTheme="majorEastAsia" w:eastAsiaTheme="majorEastAsia"/>
          <w:bCs/>
          <w:snapToGrid w:val="0"/>
          <w:color w:val="auto"/>
          <w:kern w:val="0"/>
          <w:sz w:val="18"/>
          <w:szCs w:val="18"/>
        </w:rPr>
      </w:pPr>
      <w:r>
        <w:rPr>
          <w:rFonts w:hint="eastAsia" w:asciiTheme="majorEastAsia" w:hAnsiTheme="majorEastAsia" w:eastAsiaTheme="majorEastAsia"/>
          <w:bCs/>
          <w:snapToGrid w:val="0"/>
          <w:color w:val="auto"/>
          <w:kern w:val="0"/>
          <w:sz w:val="18"/>
          <w:szCs w:val="18"/>
        </w:rPr>
        <w:t>注：</w:t>
      </w:r>
    </w:p>
    <w:p>
      <w:pPr>
        <w:pStyle w:val="16"/>
        <w:spacing w:line="360" w:lineRule="auto"/>
        <w:ind w:firstLine="360" w:firstLineChars="200"/>
        <w:jc w:val="left"/>
        <w:rPr>
          <w:rFonts w:asciiTheme="majorEastAsia" w:hAnsiTheme="majorEastAsia" w:eastAsiaTheme="majorEastAsia"/>
          <w:bCs/>
          <w:snapToGrid w:val="0"/>
          <w:color w:val="auto"/>
          <w:kern w:val="0"/>
          <w:sz w:val="18"/>
          <w:szCs w:val="18"/>
        </w:rPr>
      </w:pPr>
      <w:r>
        <w:rPr>
          <w:rFonts w:hint="eastAsia" w:asciiTheme="majorEastAsia" w:hAnsiTheme="majorEastAsia" w:eastAsiaTheme="majorEastAsia"/>
          <w:bCs/>
          <w:snapToGrid w:val="0"/>
          <w:color w:val="auto"/>
          <w:kern w:val="0"/>
          <w:sz w:val="18"/>
          <w:szCs w:val="18"/>
        </w:rPr>
        <w:t>①本表序号8请按照本招标文件“第六章资格审查与评标”资格审查表中序号3要求，根据所提供经审计财务报告、基本开户银行资信证明、银行资信证明、政府采购投标担保函情况填写其中一项即可。</w:t>
      </w:r>
    </w:p>
    <w:p>
      <w:pPr>
        <w:pStyle w:val="16"/>
        <w:spacing w:line="360" w:lineRule="auto"/>
        <w:ind w:firstLine="360" w:firstLineChars="200"/>
        <w:jc w:val="left"/>
        <w:rPr>
          <w:rFonts w:asciiTheme="majorEastAsia" w:hAnsiTheme="majorEastAsia" w:eastAsiaTheme="majorEastAsia"/>
          <w:bCs/>
          <w:snapToGrid w:val="0"/>
          <w:color w:val="auto"/>
          <w:kern w:val="0"/>
          <w:sz w:val="18"/>
          <w:szCs w:val="18"/>
        </w:rPr>
      </w:pPr>
      <w:r>
        <w:rPr>
          <w:rFonts w:hint="eastAsia" w:asciiTheme="majorEastAsia" w:hAnsiTheme="majorEastAsia" w:eastAsiaTheme="majorEastAsia"/>
          <w:bCs/>
          <w:snapToGrid w:val="0"/>
          <w:color w:val="auto"/>
          <w:kern w:val="0"/>
          <w:sz w:val="18"/>
          <w:szCs w:val="18"/>
        </w:rPr>
        <w:t>②本表序号10请按照本招标文件 “第六章资格审查与评标”资格审查表中序号6要求提供，根据所提供证明材料或承诺函（声明）情况填写其中一项即可。</w:t>
      </w:r>
    </w:p>
    <w:p>
      <w:pPr>
        <w:pStyle w:val="16"/>
        <w:spacing w:line="360" w:lineRule="auto"/>
        <w:ind w:firstLine="360" w:firstLineChars="200"/>
        <w:jc w:val="left"/>
        <w:rPr>
          <w:rFonts w:asciiTheme="majorEastAsia" w:hAnsiTheme="majorEastAsia" w:eastAsiaTheme="majorEastAsia"/>
          <w:bCs/>
          <w:snapToGrid w:val="0"/>
          <w:color w:val="auto"/>
          <w:kern w:val="0"/>
          <w:sz w:val="18"/>
          <w:szCs w:val="18"/>
        </w:rPr>
      </w:pPr>
      <w:r>
        <w:rPr>
          <w:rFonts w:hint="eastAsia" w:asciiTheme="majorEastAsia" w:hAnsiTheme="majorEastAsia" w:eastAsiaTheme="majorEastAsia"/>
          <w:bCs/>
          <w:snapToGrid w:val="0"/>
          <w:color w:val="auto"/>
          <w:kern w:val="0"/>
          <w:sz w:val="18"/>
          <w:szCs w:val="18"/>
        </w:rPr>
        <w:t>③本表序号29请根据所投产品提供证书或截图情况填写其中一项即可。</w:t>
      </w:r>
    </w:p>
    <w:p>
      <w:pPr>
        <w:pStyle w:val="16"/>
        <w:spacing w:line="360" w:lineRule="auto"/>
        <w:ind w:firstLine="360" w:firstLineChars="200"/>
        <w:jc w:val="left"/>
        <w:rPr>
          <w:rFonts w:asciiTheme="majorEastAsia" w:hAnsiTheme="majorEastAsia" w:eastAsiaTheme="majorEastAsia"/>
          <w:bCs/>
          <w:snapToGrid w:val="0"/>
          <w:color w:val="auto"/>
          <w:kern w:val="0"/>
          <w:sz w:val="18"/>
          <w:szCs w:val="18"/>
        </w:rPr>
      </w:pPr>
      <w:r>
        <w:rPr>
          <w:rFonts w:asciiTheme="majorEastAsia" w:hAnsiTheme="majorEastAsia" w:eastAsiaTheme="majorEastAsia"/>
          <w:bCs/>
          <w:snapToGrid w:val="0"/>
          <w:color w:val="auto"/>
          <w:kern w:val="0"/>
          <w:sz w:val="18"/>
          <w:szCs w:val="18"/>
        </w:rPr>
        <w:fldChar w:fldCharType="begin"/>
      </w:r>
      <w:r>
        <w:rPr>
          <w:rFonts w:hint="eastAsia" w:asciiTheme="majorEastAsia" w:hAnsiTheme="majorEastAsia" w:eastAsiaTheme="majorEastAsia"/>
          <w:bCs/>
          <w:snapToGrid w:val="0"/>
          <w:color w:val="auto"/>
          <w:kern w:val="0"/>
          <w:sz w:val="18"/>
          <w:szCs w:val="18"/>
        </w:rPr>
        <w:instrText xml:space="preserve">= 4 \* GB3</w:instrText>
      </w:r>
      <w:r>
        <w:rPr>
          <w:rFonts w:asciiTheme="majorEastAsia" w:hAnsiTheme="majorEastAsia" w:eastAsiaTheme="majorEastAsia"/>
          <w:bCs/>
          <w:snapToGrid w:val="0"/>
          <w:color w:val="auto"/>
          <w:kern w:val="0"/>
          <w:sz w:val="18"/>
          <w:szCs w:val="18"/>
        </w:rPr>
        <w:fldChar w:fldCharType="separate"/>
      </w:r>
      <w:r>
        <w:rPr>
          <w:rFonts w:hint="eastAsia" w:asciiTheme="majorEastAsia" w:hAnsiTheme="majorEastAsia" w:eastAsiaTheme="majorEastAsia"/>
          <w:bCs/>
          <w:snapToGrid w:val="0"/>
          <w:color w:val="auto"/>
          <w:kern w:val="0"/>
          <w:sz w:val="18"/>
          <w:szCs w:val="18"/>
        </w:rPr>
        <w:t>④</w:t>
      </w:r>
      <w:r>
        <w:rPr>
          <w:rFonts w:asciiTheme="majorEastAsia" w:hAnsiTheme="majorEastAsia" w:eastAsiaTheme="majorEastAsia"/>
          <w:bCs/>
          <w:snapToGrid w:val="0"/>
          <w:color w:val="auto"/>
          <w:kern w:val="0"/>
          <w:sz w:val="18"/>
          <w:szCs w:val="18"/>
        </w:rPr>
        <w:fldChar w:fldCharType="end"/>
      </w:r>
      <w:r>
        <w:rPr>
          <w:rFonts w:hint="eastAsia" w:asciiTheme="majorEastAsia" w:hAnsiTheme="majorEastAsia" w:eastAsiaTheme="majorEastAsia"/>
          <w:bCs/>
          <w:snapToGrid w:val="0"/>
          <w:color w:val="auto"/>
          <w:kern w:val="0"/>
          <w:sz w:val="18"/>
          <w:szCs w:val="18"/>
        </w:rPr>
        <w:t>本表序号30～32仅适用于物业项目。</w:t>
      </w: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rPr>
          <w:rFonts w:asciiTheme="majorEastAsia" w:hAnsiTheme="majorEastAsia" w:eastAsiaTheme="majorEastAsia"/>
          <w:b/>
          <w:snapToGrid w:val="0"/>
          <w:color w:val="auto"/>
          <w:kern w:val="0"/>
          <w:sz w:val="28"/>
          <w:szCs w:val="28"/>
        </w:rPr>
      </w:pPr>
    </w:p>
    <w:p>
      <w:pPr>
        <w:pStyle w:val="16"/>
        <w:spacing w:line="360" w:lineRule="auto"/>
        <w:jc w:val="center"/>
        <w:rPr>
          <w:rFonts w:hint="default" w:asciiTheme="majorEastAsia" w:hAnsiTheme="majorEastAsia" w:eastAsiaTheme="majorEastAsia"/>
          <w:b/>
          <w:snapToGrid w:val="0"/>
          <w:color w:val="auto"/>
          <w:kern w:val="0"/>
          <w:sz w:val="28"/>
          <w:szCs w:val="28"/>
          <w:lang w:val="en-US" w:eastAsia="zh-CN"/>
        </w:rPr>
      </w:pPr>
      <w:r>
        <w:rPr>
          <w:rFonts w:hint="eastAsia" w:asciiTheme="majorEastAsia" w:hAnsiTheme="majorEastAsia" w:eastAsiaTheme="majorEastAsia"/>
          <w:b/>
          <w:snapToGrid w:val="0"/>
          <w:color w:val="auto"/>
          <w:kern w:val="0"/>
          <w:sz w:val="28"/>
          <w:szCs w:val="28"/>
        </w:rPr>
        <w:t>二、</w:t>
      </w:r>
      <w:r>
        <w:rPr>
          <w:rFonts w:hint="eastAsia" w:asciiTheme="majorEastAsia" w:hAnsiTheme="majorEastAsia" w:eastAsiaTheme="majorEastAsia"/>
          <w:b/>
          <w:snapToGrid w:val="0"/>
          <w:color w:val="auto"/>
          <w:kern w:val="0"/>
          <w:sz w:val="28"/>
          <w:szCs w:val="28"/>
          <w:lang w:eastAsia="zh-CN"/>
        </w:rPr>
        <w:t>开标</w:t>
      </w:r>
      <w:r>
        <w:rPr>
          <w:rFonts w:hint="eastAsia" w:asciiTheme="majorEastAsia" w:hAnsiTheme="majorEastAsia" w:eastAsiaTheme="majorEastAsia"/>
          <w:b/>
          <w:snapToGrid w:val="0"/>
          <w:color w:val="auto"/>
          <w:kern w:val="0"/>
          <w:sz w:val="28"/>
          <w:szCs w:val="28"/>
        </w:rPr>
        <w:t>一览表</w:t>
      </w:r>
      <w:bookmarkStart w:id="9" w:name="_GoBack"/>
      <w:bookmarkEnd w:id="9"/>
    </w:p>
    <w:p>
      <w:pPr>
        <w:pStyle w:val="16"/>
        <w:spacing w:line="360" w:lineRule="auto"/>
        <w:jc w:val="center"/>
        <w:rPr>
          <w:rFonts w:asciiTheme="majorEastAsia" w:hAnsiTheme="majorEastAsia" w:eastAsiaTheme="majorEastAsia"/>
          <w:b/>
          <w:snapToGrid w:val="0"/>
          <w:color w:val="auto"/>
          <w:kern w:val="0"/>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r>
        <w:rPr>
          <w:rFonts w:hint="eastAsia" w:ascii="宋体" w:hAnsi="宋体" w:eastAsia="宋体" w:cs="宋体"/>
          <w:color w:val="auto"/>
          <w:szCs w:val="21"/>
          <w:shd w:val="clear" w:color="auto" w:fill="FFFFFF"/>
        </w:rPr>
        <w:t xml:space="preserve"> </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top"/>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top"/>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top"/>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top"/>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auto"/>
            <w:vAlign w:val="top"/>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6"/>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报 价 函</w:t>
      </w:r>
    </w:p>
    <w:p>
      <w:pPr>
        <w:pStyle w:val="16"/>
        <w:spacing w:line="360" w:lineRule="auto"/>
        <w:jc w:val="center"/>
        <w:rPr>
          <w:rFonts w:asciiTheme="majorEastAsia" w:hAnsiTheme="majorEastAsia" w:eastAsiaTheme="majorEastAsia"/>
          <w:b/>
          <w:snapToGrid w:val="0"/>
          <w:color w:val="auto"/>
          <w:kern w:val="0"/>
          <w:sz w:val="28"/>
          <w:szCs w:val="28"/>
        </w:rPr>
      </w:pP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宋体" w:hAnsi="宋体" w:cs="宋体"/>
          <w:b/>
          <w:snapToGrid w:val="0"/>
          <w:color w:val="auto"/>
          <w:kern w:val="0"/>
          <w:szCs w:val="21"/>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（项目名称、招标编号）采购的招标公告及投标邀请，_______（姓名和职务）被正式授权并代表投标人</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（投标人名称、地址）提交。</w:t>
      </w:r>
    </w:p>
    <w:p>
      <w:pPr>
        <w:pStyle w:val="16"/>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pStyle w:val="16"/>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r>
        <w:rPr>
          <w:rFonts w:hint="eastAsia" w:ascii="宋体" w:hAnsi="宋体"/>
          <w:color w:val="auto"/>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color w:val="auto"/>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三、我方明白并同意，在规定的开标日之后，投标有效期之内撤销投标的，则我方承担违背投标承诺的责任追究。</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6"/>
        <w:adjustRightInd w:val="0"/>
        <w:snapToGrid w:val="0"/>
        <w:spacing w:line="360" w:lineRule="auto"/>
        <w:rPr>
          <w:rFonts w:asciiTheme="minorEastAsia" w:hAnsiTheme="minorEastAsia" w:eastAsiaTheme="minorEastAsia"/>
          <w:color w:val="auto"/>
          <w:sz w:val="21"/>
          <w:szCs w:val="21"/>
        </w:rPr>
      </w:pPr>
    </w:p>
    <w:p>
      <w:pPr>
        <w:pStyle w:val="16"/>
        <w:adjustRightInd w:val="0"/>
        <w:snapToGrid w:val="0"/>
        <w:spacing w:line="360" w:lineRule="auto"/>
        <w:rPr>
          <w:rFonts w:asciiTheme="minorEastAsia" w:hAnsiTheme="minorEastAsia" w:eastAsiaTheme="minorEastAsia"/>
          <w:color w:val="auto"/>
          <w:sz w:val="21"/>
          <w:szCs w:val="21"/>
        </w:rPr>
      </w:pPr>
    </w:p>
    <w:p>
      <w:pPr>
        <w:pStyle w:val="16"/>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4095" w:firstLineChars="19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rPr>
          <w:color w:val="auto"/>
        </w:rPr>
      </w:pPr>
    </w:p>
    <w:p>
      <w:pPr>
        <w:pStyle w:val="26"/>
        <w:ind w:firstLine="340"/>
        <w:rPr>
          <w:color w:val="auto"/>
        </w:rPr>
      </w:pPr>
    </w:p>
    <w:p>
      <w:pPr>
        <w:spacing w:line="480" w:lineRule="exact"/>
        <w:jc w:val="center"/>
        <w:rPr>
          <w:rFonts w:ascii="宋体" w:hAnsi="宋体"/>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pStyle w:val="58"/>
        <w:spacing w:line="480" w:lineRule="auto"/>
        <w:ind w:firstLine="472" w:firstLineChars="225"/>
        <w:jc w:val="left"/>
        <w:rPr>
          <w:rFonts w:asciiTheme="minorEastAsia" w:hAnsiTheme="minorEastAsia"/>
          <w:color w:val="auto"/>
          <w:sz w:val="21"/>
          <w:szCs w:val="21"/>
          <w:u w:val="single"/>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8"/>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地址：</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8"/>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法定代表人（单位负责人）联系电话（手机）：</w:t>
      </w:r>
    </w:p>
    <w:p>
      <w:pPr>
        <w:pStyle w:val="58"/>
        <w:spacing w:line="480" w:lineRule="auto"/>
        <w:ind w:firstLine="472" w:firstLineChars="225"/>
        <w:jc w:val="left"/>
        <w:rPr>
          <w:rFonts w:asciiTheme="minorEastAsia" w:hAnsiTheme="minorEastAsia"/>
          <w:color w:val="auto"/>
          <w:sz w:val="21"/>
          <w:szCs w:val="21"/>
        </w:rPr>
      </w:pPr>
    </w:p>
    <w:p>
      <w:pPr>
        <w:pStyle w:val="58"/>
        <w:spacing w:line="480" w:lineRule="auto"/>
        <w:ind w:firstLine="472" w:firstLineChars="225"/>
        <w:jc w:val="left"/>
        <w:rPr>
          <w:rFonts w:asciiTheme="minorEastAsia" w:hAnsiTheme="minorEastAsia"/>
          <w:color w:val="auto"/>
          <w:sz w:val="21"/>
          <w:szCs w:val="21"/>
        </w:rPr>
      </w:pPr>
    </w:p>
    <w:p>
      <w:pPr>
        <w:pStyle w:val="58"/>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8"/>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61"/>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60"/>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rPr>
          <w:rFonts w:ascii="宋体" w:hAnsi="宋体"/>
          <w:b/>
          <w:bCs/>
          <w:color w:val="auto"/>
          <w:sz w:val="24"/>
          <w:szCs w:val="24"/>
        </w:rPr>
      </w:pPr>
    </w:p>
    <w:p>
      <w:pPr>
        <w:pStyle w:val="26"/>
        <w:ind w:firstLine="340"/>
        <w:rPr>
          <w:color w:val="auto"/>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w:t>
      </w:r>
      <w:r>
        <w:rPr>
          <w:rFonts w:asciiTheme="minorEastAsia" w:hAnsiTheme="minorEastAsia"/>
          <w:i/>
          <w:color w:val="auto"/>
          <w:szCs w:val="21"/>
          <w:u w:val="single"/>
        </w:rPr>
        <w:t>项目编号</w:t>
      </w:r>
      <w:r>
        <w:rPr>
          <w:rFonts w:hint="eastAsia" w:asciiTheme="minorEastAsia" w:hAnsiTheme="minorEastAsia"/>
          <w:color w:val="auto"/>
          <w:szCs w:val="21"/>
        </w:rPr>
        <w:t>的</w:t>
      </w:r>
      <w:r>
        <w:rPr>
          <w:rFonts w:asciiTheme="minorEastAsia" w:hAnsiTheme="minorEastAsia"/>
          <w:i/>
          <w:color w:val="auto"/>
          <w:szCs w:val="21"/>
          <w:u w:val="single"/>
        </w:rPr>
        <w:t>项目</w:t>
      </w:r>
      <w:r>
        <w:rPr>
          <w:rFonts w:hint="eastAsia" w:asciiTheme="minorEastAsia" w:hAnsiTheme="minorEastAsia"/>
          <w:i/>
          <w:color w:val="auto"/>
          <w:szCs w:val="21"/>
          <w:u w:val="single"/>
        </w:rPr>
        <w:t>名</w:t>
      </w:r>
      <w:r>
        <w:rPr>
          <w:rFonts w:asciiTheme="minorEastAsia" w:hAnsiTheme="minorEastAsia"/>
          <w:i/>
          <w:color w:val="auto"/>
          <w:szCs w:val="21"/>
          <w:u w:val="single"/>
        </w:rPr>
        <w:t>称</w:t>
      </w:r>
      <w:r>
        <w:rPr>
          <w:rFonts w:hint="eastAsia" w:cs="Arial" w:asciiTheme="minorEastAsia" w:hAnsiTheme="minorEastAsia"/>
          <w:color w:val="auto"/>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 （签名或加盖名章）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  （</w:t>
      </w:r>
      <w:r>
        <w:rPr>
          <w:rFonts w:hint="eastAsia" w:cs="Arial" w:asciiTheme="minorEastAsia" w:hAnsiTheme="minorEastAsia"/>
          <w:color w:val="auto"/>
          <w:szCs w:val="21"/>
        </w:rPr>
        <w:t>签名或加盖名章</w:t>
      </w:r>
      <w:r>
        <w:rPr>
          <w:rFonts w:hint="eastAsia" w:asciiTheme="minorEastAsia" w:hAnsiTheme="minorEastAsia"/>
          <w:color w:val="auto"/>
          <w:szCs w:val="21"/>
        </w:rPr>
        <w:t>）</w:t>
      </w:r>
    </w:p>
    <w:p>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7"/>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c>
          <w:tcPr>
            <w:tcW w:w="447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c>
          <w:tcPr>
            <w:tcW w:w="448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r>
    </w:tbl>
    <w:p>
      <w:pPr>
        <w:widowControl/>
        <w:spacing w:before="100" w:beforeAutospacing="1" w:after="100" w:afterAutospacing="1" w:line="360" w:lineRule="auto"/>
        <w:jc w:val="center"/>
        <w:rPr>
          <w:rFonts w:ascii="宋体" w:hAnsi="宋体"/>
          <w:b/>
          <w:bCs/>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156" w:beforeLines="50" w:after="156"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color w:val="auto"/>
          <w:szCs w:val="21"/>
          <w:lang w:val="zh-CN"/>
        </w:rPr>
      </w:pPr>
    </w:p>
    <w:p>
      <w:pPr>
        <w:spacing w:before="156" w:beforeLines="50" w:after="156" w:afterLines="50" w:line="360" w:lineRule="auto"/>
        <w:ind w:right="420" w:firstLine="4800" w:firstLineChars="2286"/>
        <w:rPr>
          <w:rFonts w:cs="宋体" w:asciiTheme="minorEastAsia" w:hAnsiTheme="minorEastAsia"/>
          <w:color w:val="auto"/>
          <w:szCs w:val="21"/>
          <w:u w:val="single"/>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pacing w:before="156" w:beforeLines="50" w:after="156"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autoSpaceDE w:val="0"/>
        <w:autoSpaceDN w:val="0"/>
        <w:snapToGrid w:val="0"/>
        <w:spacing w:line="360" w:lineRule="auto"/>
        <w:jc w:val="center"/>
        <w:rPr>
          <w:rFonts w:ascii="宋体" w:hAnsi="宋体"/>
          <w:b/>
          <w:bCs/>
          <w:color w:val="auto"/>
          <w:sz w:val="24"/>
          <w:szCs w:val="24"/>
        </w:rPr>
      </w:pPr>
    </w:p>
    <w:p>
      <w:pPr>
        <w:spacing w:before="156" w:beforeLines="50" w:after="156"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本企业郑重承诺：</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cs="宋体" w:asciiTheme="minorEastAsia" w:hAnsiTheme="minorEastAsia"/>
          <w:color w:val="auto"/>
          <w:szCs w:val="21"/>
          <w:u w:val="single"/>
          <w:lang w:val="en-US" w:eastAsia="zh-CN"/>
        </w:rPr>
        <w:t xml:space="preserve">    </w:t>
      </w:r>
      <w:r>
        <w:rPr>
          <w:rFonts w:ascii="宋体" w:hAnsi="宋体" w:eastAsia="宋体" w:cs="宋体"/>
          <w:color w:val="auto"/>
          <w:szCs w:val="21"/>
          <w:lang w:val="zh-CN"/>
        </w:rPr>
        <w:t>年____月</w:t>
      </w:r>
      <w:r>
        <w:rPr>
          <w:rFonts w:hint="eastAsia" w:ascii="宋体" w:hAnsi="宋体" w:eastAsia="宋体" w:cs="宋体"/>
          <w:color w:val="auto"/>
          <w:szCs w:val="21"/>
          <w:u w:val="single"/>
          <w:lang w:val="en-US" w:eastAsia="zh-CN"/>
        </w:rPr>
        <w:t xml:space="preserve">    </w:t>
      </w:r>
      <w:r>
        <w:rPr>
          <w:rFonts w:ascii="宋体" w:hAnsi="宋体" w:eastAsia="宋体" w:cs="宋体"/>
          <w:color w:val="auto"/>
          <w:szCs w:val="21"/>
          <w:lang w:val="zh-CN"/>
        </w:rPr>
        <w:t>日</w:t>
      </w:r>
      <w:r>
        <w:rPr>
          <w:rFonts w:ascii="宋体" w:hAnsi="宋体" w:eastAsia="宋体" w:cs="宋体"/>
          <w:color w:val="auto"/>
          <w:szCs w:val="21"/>
          <w:u w:val="single"/>
          <w:lang w:val="zh-CN"/>
        </w:rPr>
        <w:t>_</w:t>
      </w:r>
      <w:r>
        <w:rPr>
          <w:rFonts w:hint="eastAsia" w:ascii="宋体" w:hAnsi="宋体" w:eastAsia="宋体" w:cs="宋体"/>
          <w:color w:val="auto"/>
          <w:szCs w:val="21"/>
          <w:u w:val="single"/>
          <w:lang w:val="en-US" w:eastAsia="zh-CN"/>
        </w:rPr>
        <w:t xml:space="preserve">   </w:t>
      </w:r>
      <w:r>
        <w:rPr>
          <w:rFonts w:hint="eastAsia" w:cs="宋体" w:asciiTheme="minorEastAsia" w:hAnsiTheme="minorEastAsia"/>
          <w:color w:val="auto"/>
          <w:szCs w:val="21"/>
          <w:lang w:val="zh-CN"/>
        </w:rPr>
        <w:t>（招标编号、项目名称）</w:t>
      </w:r>
      <w:r>
        <w:rPr>
          <w:rFonts w:hint="eastAsia" w:cs="宋体" w:asciiTheme="minorEastAsia" w:hAnsiTheme="minorEastAsia"/>
          <w:color w:val="auto"/>
          <w:szCs w:val="21"/>
          <w:u w:val="single"/>
          <w:lang w:val="en-US" w:eastAsia="zh-CN"/>
        </w:rPr>
        <w:t xml:space="preserve">          </w:t>
      </w:r>
      <w:r>
        <w:rPr>
          <w:rFonts w:hint="eastAsia" w:cs="宋体" w:asciiTheme="minorEastAsia" w:hAnsiTheme="minorEastAsia"/>
          <w:color w:val="auto"/>
          <w:szCs w:val="21"/>
          <w:lang w:val="zh-CN"/>
        </w:rPr>
        <w:t>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三、除因不可抗力或招标文件认可的情形以外，中标后不与采购人签订合同；</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五、法律法规及本招标文件规定的其他严重违法行为。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pStyle w:val="12"/>
        <w:rPr>
          <w:color w:val="auto"/>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pStyle w:val="12"/>
        <w:rPr>
          <w:rFonts w:ascii="宋体" w:cs="宋体"/>
          <w:color w:val="auto"/>
          <w:sz w:val="24"/>
          <w:lang w:val="zh-CN"/>
        </w:rPr>
      </w:pPr>
    </w:p>
    <w:p>
      <w:pPr>
        <w:pStyle w:val="12"/>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3.6</w:t>
      </w:r>
      <w:r>
        <w:rPr>
          <w:rFonts w:hint="eastAsia" w:ascii="宋体" w:hAnsi="宋体"/>
          <w:b/>
          <w:bCs/>
          <w:color w:val="auto"/>
          <w:sz w:val="24"/>
          <w:szCs w:val="24"/>
          <w:lang w:val="en-US" w:eastAsia="zh-CN"/>
        </w:rPr>
        <w:t xml:space="preserve"> </w:t>
      </w:r>
      <w:r>
        <w:rPr>
          <w:rFonts w:hint="eastAsia" w:ascii="宋体" w:hAnsi="宋体"/>
          <w:b/>
          <w:bCs/>
          <w:color w:val="auto"/>
          <w:sz w:val="24"/>
          <w:szCs w:val="24"/>
        </w:rPr>
        <w:t xml:space="preserve">其他资格证书或材料 </w:t>
      </w:r>
    </w:p>
    <w:p>
      <w:pPr>
        <w:autoSpaceDE w:val="0"/>
        <w:autoSpaceDN w:val="0"/>
        <w:adjustRightInd w:val="0"/>
        <w:spacing w:line="360" w:lineRule="auto"/>
        <w:rPr>
          <w:rFonts w:cs="黑体" w:asciiTheme="minorEastAsia" w:hAnsiTheme="minorEastAsia"/>
          <w:b/>
          <w:bCs/>
          <w:color w:val="auto"/>
          <w:sz w:val="28"/>
          <w:szCs w:val="28"/>
          <w:lang w:val="zh-CN"/>
        </w:rPr>
      </w:pPr>
    </w:p>
    <w:p>
      <w:pPr>
        <w:pStyle w:val="12"/>
        <w:rPr>
          <w:color w:val="auto"/>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color w:val="auto"/>
          <w:lang w:val="zh-CN"/>
        </w:rPr>
      </w:pPr>
      <w:r>
        <w:rPr>
          <w:rFonts w:hint="eastAsia" w:ascii="宋体" w:hAnsi="宋体"/>
          <w:b/>
          <w:bCs/>
          <w:color w:val="auto"/>
          <w:sz w:val="24"/>
          <w:szCs w:val="24"/>
        </w:rPr>
        <w:t>4.1</w:t>
      </w:r>
      <w:r>
        <w:rPr>
          <w:rFonts w:hint="eastAsia" w:ascii="宋体" w:hAnsi="宋体"/>
          <w:b/>
          <w:bCs/>
          <w:color w:val="auto"/>
          <w:sz w:val="24"/>
          <w:szCs w:val="24"/>
          <w:lang w:val="en-US" w:eastAsia="zh-CN"/>
        </w:rPr>
        <w:t xml:space="preserve"> </w:t>
      </w:r>
      <w:r>
        <w:rPr>
          <w:rFonts w:hint="eastAsia" w:ascii="宋体" w:hAnsi="宋体"/>
          <w:b/>
          <w:bCs/>
          <w:color w:val="auto"/>
          <w:sz w:val="24"/>
          <w:szCs w:val="24"/>
        </w:rPr>
        <w:t>分项报价表（格式自拟）</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tbl>
      <w:tblPr>
        <w:tblStyle w:val="27"/>
        <w:tblpPr w:leftFromText="180" w:rightFromText="180" w:vertAnchor="text" w:horzAnchor="page" w:tblpXSpec="center" w:tblpY="1118"/>
        <w:tblOverlap w:val="never"/>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349"/>
        <w:gridCol w:w="2050"/>
        <w:gridCol w:w="1590"/>
        <w:gridCol w:w="1664"/>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65"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ascii="宋体" w:hAnsi="宋体" w:eastAsia="宋体" w:cs="Arial"/>
                <w:color w:val="auto"/>
                <w:szCs w:val="21"/>
              </w:rPr>
              <w:t>序号</w:t>
            </w:r>
          </w:p>
        </w:tc>
        <w:tc>
          <w:tcPr>
            <w:tcW w:w="1349"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hint="eastAsia" w:ascii="宋体" w:hAnsi="宋体" w:eastAsia="宋体" w:cs="Arial"/>
                <w:color w:val="auto"/>
                <w:szCs w:val="21"/>
              </w:rPr>
              <w:t>分项名称</w:t>
            </w:r>
          </w:p>
        </w:tc>
        <w:tc>
          <w:tcPr>
            <w:tcW w:w="2050"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hint="eastAsia" w:ascii="宋体" w:hAnsi="宋体" w:eastAsia="宋体" w:cs="Arial"/>
                <w:color w:val="auto"/>
                <w:szCs w:val="21"/>
              </w:rPr>
              <w:t>招</w:t>
            </w:r>
            <w:r>
              <w:rPr>
                <w:rFonts w:ascii="宋体" w:hAnsi="宋体" w:eastAsia="宋体" w:cs="Arial"/>
                <w:color w:val="auto"/>
                <w:szCs w:val="21"/>
              </w:rPr>
              <w:t>标</w:t>
            </w:r>
            <w:r>
              <w:rPr>
                <w:rFonts w:hint="eastAsia" w:ascii="宋体" w:hAnsi="宋体" w:eastAsia="宋体" w:cs="Arial"/>
                <w:color w:val="auto"/>
                <w:szCs w:val="21"/>
              </w:rPr>
              <w:t>文件的技</w:t>
            </w:r>
            <w:r>
              <w:rPr>
                <w:rFonts w:ascii="宋体" w:hAnsi="宋体" w:eastAsia="宋体" w:cs="Arial"/>
                <w:color w:val="auto"/>
                <w:szCs w:val="21"/>
              </w:rPr>
              <w:t>术</w:t>
            </w:r>
            <w:r>
              <w:rPr>
                <w:rFonts w:hint="eastAsia" w:ascii="宋体" w:hAnsi="宋体" w:eastAsia="宋体" w:cs="Arial"/>
                <w:color w:val="auto"/>
                <w:szCs w:val="21"/>
              </w:rPr>
              <w:t>指标</w:t>
            </w:r>
          </w:p>
        </w:tc>
        <w:tc>
          <w:tcPr>
            <w:tcW w:w="1590"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hint="eastAsia" w:ascii="宋体" w:hAnsi="宋体" w:eastAsia="宋体" w:cs="Arial"/>
                <w:color w:val="auto"/>
                <w:szCs w:val="21"/>
              </w:rPr>
              <w:t>投</w:t>
            </w:r>
            <w:r>
              <w:rPr>
                <w:rFonts w:ascii="宋体" w:hAnsi="宋体" w:eastAsia="宋体" w:cs="Arial"/>
                <w:color w:val="auto"/>
                <w:szCs w:val="21"/>
              </w:rPr>
              <w:t>标</w:t>
            </w:r>
            <w:r>
              <w:rPr>
                <w:rFonts w:hint="eastAsia" w:ascii="宋体" w:hAnsi="宋体" w:eastAsia="宋体" w:cs="Arial"/>
                <w:color w:val="auto"/>
                <w:szCs w:val="21"/>
              </w:rPr>
              <w:t>文件的技</w:t>
            </w:r>
            <w:r>
              <w:rPr>
                <w:rFonts w:ascii="宋体" w:hAnsi="宋体" w:eastAsia="宋体" w:cs="Arial"/>
                <w:color w:val="auto"/>
                <w:szCs w:val="21"/>
              </w:rPr>
              <w:t>术</w:t>
            </w:r>
            <w:r>
              <w:rPr>
                <w:rFonts w:hint="eastAsia" w:ascii="宋体" w:hAnsi="宋体" w:eastAsia="宋体" w:cs="Arial"/>
                <w:color w:val="auto"/>
                <w:szCs w:val="21"/>
              </w:rPr>
              <w:t>指标</w:t>
            </w:r>
          </w:p>
        </w:tc>
        <w:tc>
          <w:tcPr>
            <w:tcW w:w="1664"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hint="eastAsia" w:ascii="宋体" w:hAnsi="宋体" w:eastAsia="宋体" w:cs="Arial"/>
                <w:color w:val="auto"/>
                <w:szCs w:val="21"/>
              </w:rPr>
              <w:t>偏离</w:t>
            </w:r>
          </w:p>
          <w:p>
            <w:pPr>
              <w:autoSpaceDE w:val="0"/>
              <w:autoSpaceDN w:val="0"/>
              <w:adjustRightInd w:val="0"/>
              <w:jc w:val="center"/>
              <w:rPr>
                <w:rFonts w:ascii="宋体" w:hAnsi="宋体" w:eastAsia="宋体" w:cs="Arial"/>
                <w:color w:val="auto"/>
                <w:szCs w:val="21"/>
              </w:rPr>
            </w:pPr>
            <w:r>
              <w:rPr>
                <w:rFonts w:hint="eastAsia" w:ascii="宋体" w:hAnsi="宋体" w:eastAsia="宋体" w:cs="Arial"/>
                <w:color w:val="auto"/>
                <w:szCs w:val="21"/>
              </w:rPr>
              <w:t>（无偏离</w:t>
            </w:r>
            <w:r>
              <w:rPr>
                <w:rFonts w:ascii="宋体" w:hAnsi="宋体" w:eastAsia="宋体" w:cs="Arial"/>
                <w:color w:val="auto"/>
                <w:szCs w:val="21"/>
              </w:rPr>
              <w:t>/正偏离/负偏离）</w:t>
            </w:r>
          </w:p>
        </w:tc>
        <w:tc>
          <w:tcPr>
            <w:tcW w:w="1019" w:type="dxa"/>
            <w:tcBorders>
              <w:tl2br w:val="nil"/>
              <w:tr2bl w:val="nil"/>
            </w:tcBorders>
            <w:vAlign w:val="center"/>
          </w:tcPr>
          <w:p>
            <w:pPr>
              <w:jc w:val="center"/>
              <w:rPr>
                <w:rFonts w:ascii="宋体" w:hAnsi="宋体" w:eastAsia="宋体" w:cs="Arial"/>
                <w:color w:val="auto"/>
                <w:szCs w:val="21"/>
              </w:rPr>
            </w:pPr>
            <w:r>
              <w:rPr>
                <w:rFonts w:hint="eastAsia" w:ascii="宋体" w:hAnsi="宋体" w:eastAsia="宋体" w:cs="Arial"/>
                <w:color w:val="auto"/>
                <w:szCs w:val="21"/>
              </w:rPr>
              <w:t>偏离内容说明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ascii="宋体" w:hAnsi="宋体" w:eastAsia="宋体" w:cs="Arial"/>
                <w:color w:val="auto"/>
                <w:szCs w:val="21"/>
              </w:rPr>
              <w:t>1</w:t>
            </w:r>
          </w:p>
        </w:tc>
        <w:tc>
          <w:tcPr>
            <w:tcW w:w="1349" w:type="dxa"/>
            <w:tcBorders>
              <w:tl2br w:val="nil"/>
              <w:tr2bl w:val="nil"/>
            </w:tcBorders>
            <w:vAlign w:val="center"/>
          </w:tcPr>
          <w:p>
            <w:pPr>
              <w:autoSpaceDE w:val="0"/>
              <w:autoSpaceDN w:val="0"/>
              <w:adjustRightInd w:val="0"/>
              <w:jc w:val="center"/>
              <w:rPr>
                <w:rFonts w:ascii="宋体" w:hAnsi="宋体" w:eastAsia="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eastAsia="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eastAsia="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eastAsia="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eastAsia="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ascii="宋体" w:hAnsi="宋体" w:cs="Arial"/>
                <w:color w:val="auto"/>
                <w:szCs w:val="21"/>
              </w:rPr>
              <w:t>2</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ascii="宋体" w:hAnsi="宋体" w:cs="Arial"/>
                <w:color w:val="auto"/>
                <w:szCs w:val="21"/>
              </w:rPr>
              <w:t>3</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ascii="宋体" w:hAnsi="宋体" w:cs="Arial"/>
                <w:color w:val="auto"/>
                <w:szCs w:val="21"/>
              </w:rPr>
              <w:t>4</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ascii="宋体" w:hAnsi="宋体" w:cs="Arial"/>
                <w:color w:val="auto"/>
                <w:szCs w:val="21"/>
              </w:rPr>
              <w:t>5</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hint="eastAsia" w:ascii="宋体" w:hAnsi="宋体" w:cs="Arial"/>
                <w:color w:val="auto"/>
                <w:szCs w:val="21"/>
              </w:rPr>
              <w:t>6</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hint="eastAsia" w:ascii="宋体" w:hAnsi="宋体" w:cs="Arial"/>
                <w:color w:val="auto"/>
                <w:szCs w:val="21"/>
              </w:rPr>
              <w:t>……</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bl>
    <w:p>
      <w:pPr>
        <w:autoSpaceDE w:val="0"/>
        <w:autoSpaceDN w:val="0"/>
        <w:adjustRightInd w:val="0"/>
        <w:spacing w:line="360" w:lineRule="auto"/>
        <w:outlineLvl w:val="0"/>
        <w:rPr>
          <w:rFonts w:asciiTheme="minorEastAsia" w:hAnsiTheme="minorEastAsia"/>
          <w:color w:val="auto"/>
          <w:szCs w:val="21"/>
        </w:rPr>
      </w:pPr>
      <w:r>
        <w:rPr>
          <w:rFonts w:hint="eastAsia" w:asciiTheme="minorEastAsia" w:hAnsiTheme="minorEastAsia"/>
          <w:color w:val="auto"/>
          <w:szCs w:val="21"/>
        </w:rPr>
        <w:t xml:space="preserve">项目名称：   </w:t>
      </w:r>
    </w:p>
    <w:p>
      <w:pPr>
        <w:autoSpaceDE w:val="0"/>
        <w:autoSpaceDN w:val="0"/>
        <w:adjustRightInd w:val="0"/>
        <w:spacing w:line="480" w:lineRule="auto"/>
        <w:rPr>
          <w:rFonts w:cs="宋体" w:asciiTheme="minorEastAsia" w:hAnsiTheme="minorEastAsia"/>
          <w:color w:val="auto"/>
          <w:szCs w:val="21"/>
          <w:lang w:val="zh-CN"/>
        </w:rPr>
      </w:pPr>
    </w:p>
    <w:p>
      <w:pPr>
        <w:spacing w:line="440" w:lineRule="exact"/>
        <w:ind w:firstLine="420" w:firstLineChars="200"/>
        <w:rPr>
          <w:color w:val="auto"/>
          <w:szCs w:val="21"/>
          <w:lang w:val="zh-CN"/>
        </w:rPr>
      </w:pPr>
      <w:r>
        <w:rPr>
          <w:rFonts w:ascii="宋体" w:hAnsi="宋体" w:cs="Arial"/>
          <w:color w:val="auto"/>
          <w:szCs w:val="21"/>
        </w:rPr>
        <w:t>我们</w:t>
      </w:r>
      <w:r>
        <w:rPr>
          <w:rFonts w:hint="eastAsia" w:ascii="宋体" w:hAnsi="宋体" w:cs="Arial"/>
          <w:color w:val="auto"/>
          <w:szCs w:val="21"/>
        </w:rPr>
        <w:t>承</w:t>
      </w:r>
      <w:r>
        <w:rPr>
          <w:rFonts w:ascii="宋体" w:hAnsi="宋体" w:cs="Arial"/>
          <w:color w:val="auto"/>
          <w:szCs w:val="21"/>
        </w:rPr>
        <w:t>诺</w:t>
      </w:r>
      <w:r>
        <w:rPr>
          <w:rFonts w:hint="eastAsia" w:ascii="宋体" w:hAnsi="宋体" w:cs="Arial"/>
          <w:color w:val="auto"/>
          <w:szCs w:val="21"/>
        </w:rPr>
        <w:t>本技</w:t>
      </w:r>
      <w:r>
        <w:rPr>
          <w:rFonts w:ascii="宋体" w:hAnsi="宋体" w:cs="Arial"/>
          <w:color w:val="auto"/>
          <w:szCs w:val="21"/>
        </w:rPr>
        <w:t>术</w:t>
      </w:r>
      <w:r>
        <w:rPr>
          <w:rFonts w:hint="eastAsia" w:ascii="宋体" w:hAnsi="宋体" w:cs="Arial"/>
          <w:color w:val="auto"/>
          <w:szCs w:val="21"/>
        </w:rPr>
        <w:t>指标响应表的</w:t>
      </w:r>
      <w:r>
        <w:rPr>
          <w:rFonts w:ascii="宋体" w:hAnsi="宋体" w:cs="Arial"/>
          <w:color w:val="auto"/>
          <w:szCs w:val="21"/>
        </w:rPr>
        <w:t>内</w:t>
      </w:r>
      <w:r>
        <w:rPr>
          <w:rFonts w:hint="eastAsia" w:ascii="宋体" w:hAnsi="宋体" w:cs="Arial"/>
          <w:color w:val="auto"/>
          <w:szCs w:val="21"/>
        </w:rPr>
        <w:t>容真</w:t>
      </w:r>
      <w:r>
        <w:rPr>
          <w:rFonts w:ascii="宋体" w:hAnsi="宋体" w:cs="Arial"/>
          <w:color w:val="auto"/>
          <w:szCs w:val="21"/>
        </w:rPr>
        <w:t>实</w:t>
      </w:r>
      <w:r>
        <w:rPr>
          <w:rFonts w:hint="eastAsia" w:ascii="宋体" w:hAnsi="宋体" w:cs="Arial"/>
          <w:color w:val="auto"/>
          <w:szCs w:val="21"/>
        </w:rPr>
        <w:t>有效，</w:t>
      </w:r>
      <w:r>
        <w:rPr>
          <w:rFonts w:ascii="宋体" w:hAnsi="宋体" w:cs="Arial"/>
          <w:color w:val="auto"/>
          <w:szCs w:val="21"/>
        </w:rPr>
        <w:t>无</w:t>
      </w:r>
      <w:r>
        <w:rPr>
          <w:rFonts w:hint="eastAsia" w:ascii="宋体" w:hAnsi="宋体" w:cs="Arial"/>
          <w:color w:val="auto"/>
          <w:szCs w:val="21"/>
        </w:rPr>
        <w:t>任何</w:t>
      </w:r>
      <w:r>
        <w:rPr>
          <w:rFonts w:ascii="宋体" w:hAnsi="宋体" w:cs="Arial"/>
          <w:color w:val="auto"/>
          <w:szCs w:val="21"/>
        </w:rPr>
        <w:t>虚</w:t>
      </w:r>
      <w:r>
        <w:rPr>
          <w:rFonts w:hint="eastAsia" w:ascii="宋体" w:hAnsi="宋体" w:cs="Arial"/>
          <w:color w:val="auto"/>
          <w:szCs w:val="21"/>
        </w:rPr>
        <w:t>假之</w:t>
      </w:r>
      <w:r>
        <w:rPr>
          <w:rFonts w:ascii="宋体" w:hAnsi="宋体" w:cs="Arial"/>
          <w:color w:val="auto"/>
          <w:szCs w:val="21"/>
        </w:rPr>
        <w:t>处</w:t>
      </w:r>
      <w:r>
        <w:rPr>
          <w:rFonts w:hint="eastAsia" w:ascii="宋体" w:hAnsi="宋体" w:cs="Arial"/>
          <w:color w:val="auto"/>
          <w:szCs w:val="21"/>
        </w:rPr>
        <w:t>，并且愿意承</w:t>
      </w:r>
      <w:r>
        <w:rPr>
          <w:rFonts w:ascii="宋体" w:hAnsi="宋体" w:cs="Arial"/>
          <w:color w:val="auto"/>
          <w:szCs w:val="21"/>
        </w:rPr>
        <w:t>担</w:t>
      </w:r>
      <w:r>
        <w:rPr>
          <w:rFonts w:hint="eastAsia" w:ascii="宋体" w:hAnsi="宋体" w:cs="Arial"/>
          <w:color w:val="auto"/>
          <w:szCs w:val="21"/>
        </w:rPr>
        <w:t>因不</w:t>
      </w:r>
      <w:r>
        <w:rPr>
          <w:rFonts w:ascii="宋体" w:hAnsi="宋体" w:cs="Arial"/>
          <w:color w:val="auto"/>
          <w:szCs w:val="21"/>
        </w:rPr>
        <w:t>满</w:t>
      </w:r>
      <w:r>
        <w:rPr>
          <w:rFonts w:hint="eastAsia" w:ascii="宋体" w:hAnsi="宋体" w:cs="Arial"/>
          <w:color w:val="auto"/>
          <w:szCs w:val="21"/>
        </w:rPr>
        <w:t>足此承</w:t>
      </w:r>
      <w:r>
        <w:rPr>
          <w:rFonts w:ascii="宋体" w:hAnsi="宋体" w:cs="Arial"/>
          <w:color w:val="auto"/>
          <w:szCs w:val="21"/>
        </w:rPr>
        <w:t>诺</w:t>
      </w:r>
      <w:r>
        <w:rPr>
          <w:rFonts w:hint="eastAsia" w:ascii="宋体" w:hAnsi="宋体" w:cs="Arial"/>
          <w:color w:val="auto"/>
          <w:szCs w:val="21"/>
        </w:rPr>
        <w:t>而引起的相</w:t>
      </w:r>
      <w:r>
        <w:rPr>
          <w:rFonts w:ascii="宋体" w:hAnsi="宋体" w:cs="Arial"/>
          <w:color w:val="auto"/>
          <w:szCs w:val="21"/>
        </w:rPr>
        <w:t>应</w:t>
      </w:r>
      <w:r>
        <w:rPr>
          <w:rFonts w:hint="eastAsia" w:ascii="宋体" w:hAnsi="宋体" w:cs="Arial"/>
          <w:color w:val="auto"/>
          <w:szCs w:val="21"/>
        </w:rPr>
        <w:t>的法律</w:t>
      </w:r>
      <w:r>
        <w:rPr>
          <w:rFonts w:ascii="宋体" w:hAnsi="宋体" w:cs="Arial"/>
          <w:color w:val="auto"/>
          <w:szCs w:val="21"/>
        </w:rPr>
        <w:t>责</w:t>
      </w:r>
      <w:r>
        <w:rPr>
          <w:rFonts w:hint="eastAsia" w:ascii="宋体" w:hAnsi="宋体" w:cs="Arial"/>
          <w:color w:val="auto"/>
          <w:szCs w:val="21"/>
        </w:rPr>
        <w:t>任并接受相</w:t>
      </w:r>
      <w:r>
        <w:rPr>
          <w:rFonts w:ascii="宋体" w:hAnsi="宋体" w:cs="Arial"/>
          <w:color w:val="auto"/>
          <w:szCs w:val="21"/>
        </w:rPr>
        <w:t>关部门</w:t>
      </w:r>
      <w:r>
        <w:rPr>
          <w:rFonts w:hint="eastAsia" w:ascii="宋体" w:hAnsi="宋体" w:cs="Arial"/>
          <w:color w:val="auto"/>
          <w:szCs w:val="21"/>
        </w:rPr>
        <w:t>的</w:t>
      </w:r>
      <w:r>
        <w:rPr>
          <w:rFonts w:ascii="宋体" w:hAnsi="宋体" w:cs="Arial"/>
          <w:color w:val="auto"/>
          <w:szCs w:val="21"/>
        </w:rPr>
        <w:t>处罚</w:t>
      </w:r>
      <w:r>
        <w:rPr>
          <w:rFonts w:hint="eastAsia" w:ascii="宋体" w:hAnsi="宋体" w:cs="Arial"/>
          <w:color w:val="auto"/>
          <w:szCs w:val="21"/>
        </w:rPr>
        <w:t>。</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rPr>
        <w:t>投标人名称（并加盖公章）：</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r>
        <w:rPr>
          <w:rFonts w:hint="eastAsia" w:ascii="宋体" w:hAnsi="宋体" w:eastAsia="宋体" w:cs="宋体"/>
          <w:color w:val="auto"/>
          <w:szCs w:val="21"/>
          <w:shd w:val="clear" w:color="auto" w:fill="FFFFFF"/>
        </w:rPr>
        <w:t xml:space="preserve"> </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auto"/>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auto"/>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auto"/>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auto"/>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pStyle w:val="12"/>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eastAsia="zh-CN"/>
        </w:rPr>
        <w:t>后期</w:t>
      </w:r>
      <w:r>
        <w:rPr>
          <w:rFonts w:hint="eastAsia" w:ascii="宋体" w:hAnsi="宋体"/>
          <w:b/>
          <w:bCs/>
          <w:color w:val="auto"/>
          <w:sz w:val="24"/>
          <w:szCs w:val="24"/>
        </w:rPr>
        <w:t>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ascii="宋体" w:hAnsi="宋体"/>
          <w:b/>
          <w:bCs/>
          <w:color w:val="auto"/>
          <w:sz w:val="24"/>
          <w:szCs w:val="24"/>
        </w:rPr>
      </w:pPr>
      <w:r>
        <w:rPr>
          <w:rFonts w:hint="eastAsia" w:cs="宋体" w:asciiTheme="minorEastAsia" w:hAnsiTheme="minorEastAsia"/>
          <w:color w:val="auto"/>
          <w:szCs w:val="21"/>
          <w:lang w:val="zh-CN"/>
        </w:rPr>
        <w:t>（供应商根据招标文件要求自行编制）</w:t>
      </w:r>
    </w:p>
    <w:p>
      <w:pPr>
        <w:autoSpaceDE w:val="0"/>
        <w:autoSpaceDN w:val="0"/>
        <w:adjustRightInd w:val="0"/>
        <w:spacing w:line="360" w:lineRule="auto"/>
        <w:jc w:val="center"/>
        <w:outlineLvl w:val="0"/>
        <w:rPr>
          <w:rFonts w:ascii="宋体" w:hAnsi="宋体"/>
          <w:b/>
          <w:bCs/>
          <w:color w:val="auto"/>
          <w:sz w:val="24"/>
          <w:szCs w:val="24"/>
        </w:rPr>
      </w:pPr>
    </w:p>
    <w:p>
      <w:pPr>
        <w:jc w:val="center"/>
        <w:rPr>
          <w:rFonts w:ascii="宋体" w:hAnsi="宋体"/>
          <w:b/>
          <w:bCs/>
          <w:color w:val="auto"/>
          <w:sz w:val="24"/>
          <w:szCs w:val="24"/>
        </w:rPr>
      </w:pPr>
      <w:r>
        <w:rPr>
          <w:rFonts w:hint="eastAsia" w:ascii="宋体" w:hAnsi="宋体"/>
          <w:b/>
          <w:bCs/>
          <w:color w:val="auto"/>
          <w:sz w:val="24"/>
          <w:szCs w:val="24"/>
        </w:rPr>
        <w:t>4.6 中小企业声明函</w:t>
      </w:r>
    </w:p>
    <w:p>
      <w:pPr>
        <w:spacing w:line="360" w:lineRule="auto"/>
        <w:jc w:val="center"/>
        <w:rPr>
          <w:rFonts w:ascii="宋体" w:hAnsi="宋体"/>
          <w:b/>
          <w:bCs/>
          <w:color w:val="auto"/>
          <w:szCs w:val="21"/>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w:t>
      </w:r>
      <w:r>
        <w:rPr>
          <w:rFonts w:hint="eastAsia"/>
          <w:color w:val="auto"/>
        </w:rPr>
        <w:t>服务</w:t>
      </w:r>
      <w:r>
        <w:rPr>
          <w:color w:val="auto"/>
        </w:rPr>
        <w:t>全部由符合政策要求的中小企业</w:t>
      </w:r>
      <w:r>
        <w:rPr>
          <w:rFonts w:hint="eastAsia"/>
          <w:color w:val="auto"/>
        </w:rPr>
        <w:t>承接</w:t>
      </w:r>
      <w:r>
        <w:rPr>
          <w:color w:val="auto"/>
        </w:rPr>
        <w:t>。相关企业（含联合体中的中小企业、签订分包意向协议的中小企业）的具体情况如下：</w:t>
      </w:r>
    </w:p>
    <w:p>
      <w:pPr>
        <w:spacing w:line="360" w:lineRule="auto"/>
        <w:ind w:firstLine="420" w:firstLineChars="200"/>
        <w:jc w:val="left"/>
        <w:rPr>
          <w:color w:val="auto"/>
        </w:rPr>
      </w:pPr>
      <w:r>
        <w:rPr>
          <w:i/>
          <w:color w:val="auto"/>
          <w:u w:val="single"/>
        </w:rPr>
        <w:t>（标的名称）</w:t>
      </w:r>
      <w:r>
        <w:rPr>
          <w:color w:val="auto"/>
        </w:rPr>
        <w:t>，属于</w:t>
      </w:r>
      <w:r>
        <w:rPr>
          <w:i/>
          <w:color w:val="auto"/>
          <w:u w:val="single"/>
        </w:rPr>
        <w:t>（采购文件中明确的所属行业）</w:t>
      </w:r>
      <w:r>
        <w:rPr>
          <w:color w:val="auto"/>
        </w:rPr>
        <w:t>行业；</w:t>
      </w:r>
      <w:r>
        <w:rPr>
          <w:rFonts w:hint="eastAsia"/>
          <w:color w:val="auto"/>
        </w:rPr>
        <w:t>承接企业</w:t>
      </w:r>
      <w:r>
        <w:rPr>
          <w:color w:val="auto"/>
        </w:rPr>
        <w:t>为</w:t>
      </w:r>
      <w:r>
        <w:rPr>
          <w:i/>
          <w:color w:val="auto"/>
          <w:u w:val="single"/>
        </w:rPr>
        <w:t>（企业名称）</w:t>
      </w:r>
      <w:r>
        <w:rPr>
          <w:color w:val="auto"/>
        </w:rPr>
        <w:t>，从业人员</w:t>
      </w:r>
      <w:r>
        <w:rPr>
          <w:rFonts w:hint="eastAsia"/>
          <w:color w:val="auto"/>
          <w:u w:val="single"/>
        </w:rPr>
        <w:t xml:space="preserve">     </w:t>
      </w:r>
      <w:r>
        <w:rPr>
          <w:color w:val="auto"/>
        </w:rPr>
        <w:t>人，营业收入为</w:t>
      </w:r>
      <w:r>
        <w:rPr>
          <w:rFonts w:hint="eastAsia"/>
          <w:color w:val="auto"/>
          <w:u w:val="single"/>
        </w:rPr>
        <w:t xml:space="preserve">     </w:t>
      </w:r>
      <w:r>
        <w:rPr>
          <w:color w:val="auto"/>
        </w:rPr>
        <w:t>万元，资产总额为</w:t>
      </w:r>
      <w:r>
        <w:rPr>
          <w:rFonts w:hint="eastAsia"/>
          <w:color w:val="auto"/>
          <w:u w:val="single"/>
        </w:rPr>
        <w:t xml:space="preserve">     </w:t>
      </w:r>
      <w:r>
        <w:rPr>
          <w:color w:val="auto"/>
        </w:rPr>
        <w:t>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jc w:val="left"/>
        <w:rPr>
          <w:color w:val="auto"/>
        </w:rPr>
      </w:pPr>
    </w:p>
    <w:p>
      <w:pPr>
        <w:spacing w:line="480" w:lineRule="auto"/>
        <w:ind w:firstLine="5957" w:firstLineChars="2837"/>
        <w:jc w:val="left"/>
        <w:rPr>
          <w:color w:val="auto"/>
        </w:rPr>
      </w:pPr>
      <w:r>
        <w:rPr>
          <w:color w:val="auto"/>
        </w:rPr>
        <w:t>企业名称（盖章）：</w:t>
      </w:r>
    </w:p>
    <w:p>
      <w:pPr>
        <w:spacing w:line="480" w:lineRule="auto"/>
        <w:ind w:firstLine="5957" w:firstLineChars="2837"/>
        <w:jc w:val="left"/>
        <w:rPr>
          <w:rFonts w:cs="Arial" w:asciiTheme="minorEastAsia" w:hAnsiTheme="minorEastAsia"/>
          <w:color w:val="auto"/>
          <w:szCs w:val="21"/>
        </w:rPr>
      </w:pPr>
      <w:r>
        <w:rPr>
          <w:color w:val="auto"/>
        </w:rPr>
        <w:t>日期：</w:t>
      </w: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7</w:t>
      </w:r>
      <w:r>
        <w:rPr>
          <w:rFonts w:hint="eastAsia" w:ascii="宋体" w:hAnsi="宋体"/>
          <w:b/>
          <w:bCs/>
          <w:color w:val="auto"/>
          <w:sz w:val="24"/>
          <w:szCs w:val="24"/>
        </w:rPr>
        <w:t xml:space="preserve">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ind w:firstLine="4410" w:firstLineChars="2100"/>
        <w:contextualSpacing/>
        <w:rPr>
          <w:rFonts w:ascii="宋体" w:hAnsi="宋体"/>
          <w:color w:val="auto"/>
          <w:szCs w:val="21"/>
        </w:rPr>
      </w:pPr>
      <w:r>
        <w:rPr>
          <w:rFonts w:hint="eastAsia" w:cs="宋体" w:asciiTheme="minorEastAsia" w:hAnsiTheme="minorEastAsia"/>
          <w:color w:val="auto"/>
          <w:szCs w:val="21"/>
          <w:lang w:val="zh-CN"/>
        </w:rPr>
        <w:t>单位名称（盖章）：</w:t>
      </w:r>
    </w:p>
    <w:p>
      <w:pPr>
        <w:spacing w:line="360" w:lineRule="auto"/>
        <w:contextualSpacing/>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Cs w:val="21"/>
        </w:rPr>
      </w:pPr>
      <w:r>
        <w:rPr>
          <w:rFonts w:ascii="宋体" w:hAnsi="宋体"/>
          <w:b/>
          <w:bCs/>
          <w:color w:val="auto"/>
          <w:szCs w:val="21"/>
        </w:rPr>
        <w:t>除</w:t>
      </w:r>
      <w:r>
        <w:rPr>
          <w:rFonts w:hint="eastAsia" w:ascii="宋体" w:hAnsi="宋体"/>
          <w:b/>
          <w:bCs/>
          <w:color w:val="auto"/>
          <w:szCs w:val="21"/>
        </w:rPr>
        <w:t>谈判</w:t>
      </w:r>
      <w:r>
        <w:rPr>
          <w:rFonts w:ascii="宋体" w:hAnsi="宋体"/>
          <w:b/>
          <w:bCs/>
          <w:color w:val="auto"/>
          <w:szCs w:val="21"/>
        </w:rPr>
        <w:t>文件另有规定外，</w:t>
      </w:r>
      <w:r>
        <w:rPr>
          <w:rFonts w:hint="eastAsia" w:ascii="宋体" w:hAnsi="宋体"/>
          <w:b/>
          <w:bCs/>
          <w:color w:val="auto"/>
          <w:szCs w:val="21"/>
        </w:rPr>
        <w:t>供应商</w:t>
      </w:r>
      <w:r>
        <w:rPr>
          <w:rFonts w:ascii="宋体" w:hAnsi="宋体"/>
          <w:b/>
          <w:bCs/>
          <w:color w:val="auto"/>
          <w:szCs w:val="21"/>
        </w:rPr>
        <w:t>认为需要提交的其他证明材料或资料加盖</w:t>
      </w:r>
      <w:r>
        <w:rPr>
          <w:rFonts w:hint="eastAsia" w:ascii="宋体" w:hAnsi="宋体"/>
          <w:b/>
          <w:bCs/>
          <w:color w:val="auto"/>
          <w:szCs w:val="21"/>
        </w:rPr>
        <w:t>供应商</w:t>
      </w:r>
      <w:r>
        <w:rPr>
          <w:rFonts w:ascii="宋体" w:hAnsi="宋体"/>
          <w:b/>
          <w:bCs/>
          <w:color w:val="auto"/>
          <w:szCs w:val="21"/>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29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44A70"/>
    <w:multiLevelType w:val="singleLevel"/>
    <w:tmpl w:val="84C44A70"/>
    <w:lvl w:ilvl="0" w:tentative="0">
      <w:start w:val="19"/>
      <w:numFmt w:val="decimal"/>
      <w:suff w:val="nothing"/>
      <w:lvlText w:val="%1．"/>
      <w:lvlJc w:val="left"/>
    </w:lvl>
  </w:abstractNum>
  <w:abstractNum w:abstractNumId="1">
    <w:nsid w:val="88E39436"/>
    <w:multiLevelType w:val="singleLevel"/>
    <w:tmpl w:val="88E39436"/>
    <w:lvl w:ilvl="0" w:tentative="0">
      <w:start w:val="1"/>
      <w:numFmt w:val="decimal"/>
      <w:suff w:val="nothing"/>
      <w:lvlText w:val="（%1）"/>
      <w:lvlJc w:val="left"/>
      <w:rPr>
        <w:rFonts w:cs="Times New Roman"/>
      </w:rPr>
    </w:lvl>
  </w:abstractNum>
  <w:abstractNum w:abstractNumId="2">
    <w:nsid w:val="E3B8859C"/>
    <w:multiLevelType w:val="singleLevel"/>
    <w:tmpl w:val="E3B8859C"/>
    <w:lvl w:ilvl="0" w:tentative="0">
      <w:start w:val="2"/>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6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674801F"/>
    <w:multiLevelType w:val="singleLevel"/>
    <w:tmpl w:val="2674801F"/>
    <w:lvl w:ilvl="0" w:tentative="0">
      <w:start w:val="8"/>
      <w:numFmt w:val="chineseCounting"/>
      <w:suff w:val="space"/>
      <w:lvlText w:val="第%1章"/>
      <w:lvlJc w:val="left"/>
      <w:rPr>
        <w:rFonts w:hint="eastAsia"/>
      </w:rPr>
    </w:lvl>
  </w:abstractNum>
  <w:abstractNum w:abstractNumId="8">
    <w:nsid w:val="59F817E8"/>
    <w:multiLevelType w:val="singleLevel"/>
    <w:tmpl w:val="59F817E8"/>
    <w:lvl w:ilvl="0" w:tentative="0">
      <w:start w:val="1"/>
      <w:numFmt w:val="chineseCounting"/>
      <w:pStyle w:val="66"/>
      <w:suff w:val="nothing"/>
      <w:lvlText w:val="%1、"/>
      <w:lvlJc w:val="left"/>
    </w:lvl>
  </w:abstractNum>
  <w:abstractNum w:abstractNumId="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8"/>
  </w:num>
  <w:num w:numId="4">
    <w:abstractNumId w:val="2"/>
  </w:num>
  <w:num w:numId="5">
    <w:abstractNumId w:val="6"/>
  </w:num>
  <w:num w:numId="6">
    <w:abstractNumId w:val="9"/>
  </w:num>
  <w:num w:numId="7">
    <w:abstractNumId w:val="1"/>
  </w:num>
  <w:num w:numId="8">
    <w:abstractNumId w:val="0"/>
  </w:num>
  <w:num w:numId="9">
    <w:abstractNumId w:val="7"/>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昌丰元咨询管理有限公司:连丹丹">
    <w15:presenceInfo w15:providerId="None" w15:userId="许昌丰元咨询管理有限公司:连丹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1569"/>
    <w:rsid w:val="000069EC"/>
    <w:rsid w:val="00007470"/>
    <w:rsid w:val="000112AC"/>
    <w:rsid w:val="0001195E"/>
    <w:rsid w:val="00013211"/>
    <w:rsid w:val="0001598A"/>
    <w:rsid w:val="000173D4"/>
    <w:rsid w:val="000227BF"/>
    <w:rsid w:val="00030B34"/>
    <w:rsid w:val="00031CF4"/>
    <w:rsid w:val="000418F9"/>
    <w:rsid w:val="00046E42"/>
    <w:rsid w:val="000516FF"/>
    <w:rsid w:val="0005557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3912"/>
    <w:rsid w:val="00113BAE"/>
    <w:rsid w:val="001145D4"/>
    <w:rsid w:val="001223EF"/>
    <w:rsid w:val="001236A3"/>
    <w:rsid w:val="001415B4"/>
    <w:rsid w:val="00152541"/>
    <w:rsid w:val="00154EA8"/>
    <w:rsid w:val="0016405F"/>
    <w:rsid w:val="00165E49"/>
    <w:rsid w:val="00165F8E"/>
    <w:rsid w:val="0016779A"/>
    <w:rsid w:val="00167F93"/>
    <w:rsid w:val="00170DCF"/>
    <w:rsid w:val="0017129C"/>
    <w:rsid w:val="0017154C"/>
    <w:rsid w:val="001749D2"/>
    <w:rsid w:val="00174C63"/>
    <w:rsid w:val="00175281"/>
    <w:rsid w:val="0017584B"/>
    <w:rsid w:val="00177319"/>
    <w:rsid w:val="00177379"/>
    <w:rsid w:val="00181C6A"/>
    <w:rsid w:val="00183B7D"/>
    <w:rsid w:val="00191A00"/>
    <w:rsid w:val="00193679"/>
    <w:rsid w:val="001957E3"/>
    <w:rsid w:val="0019757C"/>
    <w:rsid w:val="001A2714"/>
    <w:rsid w:val="001A2E65"/>
    <w:rsid w:val="001B0DF5"/>
    <w:rsid w:val="001C0A13"/>
    <w:rsid w:val="001C26CD"/>
    <w:rsid w:val="001C2B6A"/>
    <w:rsid w:val="001C761E"/>
    <w:rsid w:val="001D06FF"/>
    <w:rsid w:val="001D1CBB"/>
    <w:rsid w:val="001D33AD"/>
    <w:rsid w:val="001D33DA"/>
    <w:rsid w:val="001D4C00"/>
    <w:rsid w:val="001D5BB5"/>
    <w:rsid w:val="001E1078"/>
    <w:rsid w:val="001E25D9"/>
    <w:rsid w:val="001E592F"/>
    <w:rsid w:val="001F7199"/>
    <w:rsid w:val="002078AE"/>
    <w:rsid w:val="00210B90"/>
    <w:rsid w:val="00213F11"/>
    <w:rsid w:val="00214892"/>
    <w:rsid w:val="00224D01"/>
    <w:rsid w:val="00227BF9"/>
    <w:rsid w:val="00231307"/>
    <w:rsid w:val="00234627"/>
    <w:rsid w:val="002426C4"/>
    <w:rsid w:val="002436B4"/>
    <w:rsid w:val="00246A17"/>
    <w:rsid w:val="00252623"/>
    <w:rsid w:val="002532B5"/>
    <w:rsid w:val="00255732"/>
    <w:rsid w:val="002615C0"/>
    <w:rsid w:val="00264B74"/>
    <w:rsid w:val="002659C7"/>
    <w:rsid w:val="00266F45"/>
    <w:rsid w:val="00267EE6"/>
    <w:rsid w:val="002709BD"/>
    <w:rsid w:val="002732E0"/>
    <w:rsid w:val="002847E1"/>
    <w:rsid w:val="00286CD2"/>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6A6C"/>
    <w:rsid w:val="002E0D3B"/>
    <w:rsid w:val="002E18BD"/>
    <w:rsid w:val="002E3D0E"/>
    <w:rsid w:val="002E5209"/>
    <w:rsid w:val="002E6378"/>
    <w:rsid w:val="002E7DF3"/>
    <w:rsid w:val="002F11CE"/>
    <w:rsid w:val="002F23BC"/>
    <w:rsid w:val="002F2D13"/>
    <w:rsid w:val="002F3BDA"/>
    <w:rsid w:val="002F4580"/>
    <w:rsid w:val="003011BE"/>
    <w:rsid w:val="00303F10"/>
    <w:rsid w:val="0030443F"/>
    <w:rsid w:val="00307D84"/>
    <w:rsid w:val="0031002E"/>
    <w:rsid w:val="003158D3"/>
    <w:rsid w:val="00315CA6"/>
    <w:rsid w:val="003169BF"/>
    <w:rsid w:val="003269A1"/>
    <w:rsid w:val="00326A7C"/>
    <w:rsid w:val="0032784A"/>
    <w:rsid w:val="00330D3D"/>
    <w:rsid w:val="0033421C"/>
    <w:rsid w:val="003347F9"/>
    <w:rsid w:val="00335BCD"/>
    <w:rsid w:val="00336F5A"/>
    <w:rsid w:val="00342AB1"/>
    <w:rsid w:val="00346BEF"/>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67153"/>
    <w:rsid w:val="0047231A"/>
    <w:rsid w:val="0047378F"/>
    <w:rsid w:val="00480C9E"/>
    <w:rsid w:val="00482B1A"/>
    <w:rsid w:val="00484F80"/>
    <w:rsid w:val="00485967"/>
    <w:rsid w:val="004941B6"/>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357"/>
    <w:rsid w:val="005A49BE"/>
    <w:rsid w:val="005A7E7E"/>
    <w:rsid w:val="005B1144"/>
    <w:rsid w:val="005B1214"/>
    <w:rsid w:val="005B14F6"/>
    <w:rsid w:val="005B180E"/>
    <w:rsid w:val="005B4048"/>
    <w:rsid w:val="005C09F8"/>
    <w:rsid w:val="005D00D7"/>
    <w:rsid w:val="005D1597"/>
    <w:rsid w:val="005D4EBE"/>
    <w:rsid w:val="005D51C3"/>
    <w:rsid w:val="005D6674"/>
    <w:rsid w:val="005F375D"/>
    <w:rsid w:val="00600324"/>
    <w:rsid w:val="00605FD5"/>
    <w:rsid w:val="00614999"/>
    <w:rsid w:val="00622142"/>
    <w:rsid w:val="00630932"/>
    <w:rsid w:val="00631795"/>
    <w:rsid w:val="00636AAD"/>
    <w:rsid w:val="00637A19"/>
    <w:rsid w:val="0064175E"/>
    <w:rsid w:val="00644025"/>
    <w:rsid w:val="00651710"/>
    <w:rsid w:val="00652F79"/>
    <w:rsid w:val="006533B0"/>
    <w:rsid w:val="00654154"/>
    <w:rsid w:val="006560E7"/>
    <w:rsid w:val="0065614C"/>
    <w:rsid w:val="006616D3"/>
    <w:rsid w:val="0066238D"/>
    <w:rsid w:val="00662ECB"/>
    <w:rsid w:val="0066706E"/>
    <w:rsid w:val="00667D06"/>
    <w:rsid w:val="0067327E"/>
    <w:rsid w:val="00675A3C"/>
    <w:rsid w:val="006778F4"/>
    <w:rsid w:val="00685277"/>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1E93"/>
    <w:rsid w:val="00752DA3"/>
    <w:rsid w:val="00763CD2"/>
    <w:rsid w:val="0076522A"/>
    <w:rsid w:val="007707E3"/>
    <w:rsid w:val="00772353"/>
    <w:rsid w:val="0077399E"/>
    <w:rsid w:val="0078009F"/>
    <w:rsid w:val="0078097A"/>
    <w:rsid w:val="0078321F"/>
    <w:rsid w:val="00783715"/>
    <w:rsid w:val="007873DE"/>
    <w:rsid w:val="0078798E"/>
    <w:rsid w:val="00791B7A"/>
    <w:rsid w:val="007A1051"/>
    <w:rsid w:val="007C0625"/>
    <w:rsid w:val="007C74CE"/>
    <w:rsid w:val="007E5B97"/>
    <w:rsid w:val="007E6BFA"/>
    <w:rsid w:val="007E6FAA"/>
    <w:rsid w:val="007F042C"/>
    <w:rsid w:val="007F216A"/>
    <w:rsid w:val="007F4688"/>
    <w:rsid w:val="00801CB9"/>
    <w:rsid w:val="00810ED7"/>
    <w:rsid w:val="00813D6C"/>
    <w:rsid w:val="00814BC6"/>
    <w:rsid w:val="00815958"/>
    <w:rsid w:val="0081674C"/>
    <w:rsid w:val="008167A4"/>
    <w:rsid w:val="008169E7"/>
    <w:rsid w:val="0081722A"/>
    <w:rsid w:val="008235E7"/>
    <w:rsid w:val="00824331"/>
    <w:rsid w:val="00826634"/>
    <w:rsid w:val="008268B3"/>
    <w:rsid w:val="0082696D"/>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4F27"/>
    <w:rsid w:val="008953C5"/>
    <w:rsid w:val="008A6416"/>
    <w:rsid w:val="008B110D"/>
    <w:rsid w:val="008B618F"/>
    <w:rsid w:val="008B6DDF"/>
    <w:rsid w:val="008C64CC"/>
    <w:rsid w:val="008D05C1"/>
    <w:rsid w:val="008D2E1A"/>
    <w:rsid w:val="008E16F1"/>
    <w:rsid w:val="008E7FBF"/>
    <w:rsid w:val="008F2C11"/>
    <w:rsid w:val="008F4729"/>
    <w:rsid w:val="008F52FA"/>
    <w:rsid w:val="008F67AC"/>
    <w:rsid w:val="008F7EDB"/>
    <w:rsid w:val="00900F1C"/>
    <w:rsid w:val="00906200"/>
    <w:rsid w:val="00910752"/>
    <w:rsid w:val="00914A10"/>
    <w:rsid w:val="00915766"/>
    <w:rsid w:val="0091778B"/>
    <w:rsid w:val="00923781"/>
    <w:rsid w:val="0093043A"/>
    <w:rsid w:val="009316AE"/>
    <w:rsid w:val="0093555D"/>
    <w:rsid w:val="009378B5"/>
    <w:rsid w:val="009420C2"/>
    <w:rsid w:val="00946F0D"/>
    <w:rsid w:val="00951D5E"/>
    <w:rsid w:val="00955972"/>
    <w:rsid w:val="009564F5"/>
    <w:rsid w:val="0096341B"/>
    <w:rsid w:val="00965EE4"/>
    <w:rsid w:val="009703B2"/>
    <w:rsid w:val="00971959"/>
    <w:rsid w:val="00971CF1"/>
    <w:rsid w:val="00971DF8"/>
    <w:rsid w:val="009748D7"/>
    <w:rsid w:val="009757E6"/>
    <w:rsid w:val="00982496"/>
    <w:rsid w:val="00983B30"/>
    <w:rsid w:val="009853BF"/>
    <w:rsid w:val="0098663F"/>
    <w:rsid w:val="00987AC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9F6417"/>
    <w:rsid w:val="00A02881"/>
    <w:rsid w:val="00A04DD5"/>
    <w:rsid w:val="00A10F0B"/>
    <w:rsid w:val="00A1438F"/>
    <w:rsid w:val="00A153DA"/>
    <w:rsid w:val="00A21CF5"/>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2C35"/>
    <w:rsid w:val="00AB37ED"/>
    <w:rsid w:val="00AC081D"/>
    <w:rsid w:val="00AC199B"/>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073B1"/>
    <w:rsid w:val="00B12972"/>
    <w:rsid w:val="00B17A0C"/>
    <w:rsid w:val="00B22360"/>
    <w:rsid w:val="00B22DAC"/>
    <w:rsid w:val="00B26927"/>
    <w:rsid w:val="00B351F8"/>
    <w:rsid w:val="00B3576D"/>
    <w:rsid w:val="00B3585D"/>
    <w:rsid w:val="00B35F15"/>
    <w:rsid w:val="00B3774D"/>
    <w:rsid w:val="00B44C64"/>
    <w:rsid w:val="00B51CBD"/>
    <w:rsid w:val="00B52793"/>
    <w:rsid w:val="00B5412E"/>
    <w:rsid w:val="00B6230B"/>
    <w:rsid w:val="00B62649"/>
    <w:rsid w:val="00B62715"/>
    <w:rsid w:val="00B72ABF"/>
    <w:rsid w:val="00B7472A"/>
    <w:rsid w:val="00B75D93"/>
    <w:rsid w:val="00B80BDE"/>
    <w:rsid w:val="00B81DDB"/>
    <w:rsid w:val="00B83570"/>
    <w:rsid w:val="00B87403"/>
    <w:rsid w:val="00B94DFB"/>
    <w:rsid w:val="00BA6F2D"/>
    <w:rsid w:val="00BA703E"/>
    <w:rsid w:val="00BB0837"/>
    <w:rsid w:val="00BB0BAC"/>
    <w:rsid w:val="00BB1626"/>
    <w:rsid w:val="00BB60EF"/>
    <w:rsid w:val="00BB6478"/>
    <w:rsid w:val="00BB6D0A"/>
    <w:rsid w:val="00BC2D95"/>
    <w:rsid w:val="00BC348F"/>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4AE"/>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36C4"/>
    <w:rsid w:val="00C968BF"/>
    <w:rsid w:val="00CA3DC9"/>
    <w:rsid w:val="00CB501F"/>
    <w:rsid w:val="00CC1F2F"/>
    <w:rsid w:val="00CD0441"/>
    <w:rsid w:val="00CD4B44"/>
    <w:rsid w:val="00CE67CF"/>
    <w:rsid w:val="00CF1B6F"/>
    <w:rsid w:val="00CF35E8"/>
    <w:rsid w:val="00D02114"/>
    <w:rsid w:val="00D03A94"/>
    <w:rsid w:val="00D16DEC"/>
    <w:rsid w:val="00D17F85"/>
    <w:rsid w:val="00D23C5E"/>
    <w:rsid w:val="00D26CF5"/>
    <w:rsid w:val="00D26DE5"/>
    <w:rsid w:val="00D30AC2"/>
    <w:rsid w:val="00D30CA6"/>
    <w:rsid w:val="00D31AF4"/>
    <w:rsid w:val="00D36DAD"/>
    <w:rsid w:val="00D47B48"/>
    <w:rsid w:val="00D51569"/>
    <w:rsid w:val="00D51C46"/>
    <w:rsid w:val="00D62770"/>
    <w:rsid w:val="00D70A72"/>
    <w:rsid w:val="00D75B1F"/>
    <w:rsid w:val="00D75FD1"/>
    <w:rsid w:val="00D82300"/>
    <w:rsid w:val="00D82E65"/>
    <w:rsid w:val="00D955CB"/>
    <w:rsid w:val="00D97209"/>
    <w:rsid w:val="00DA2DBB"/>
    <w:rsid w:val="00DB0E94"/>
    <w:rsid w:val="00DB1009"/>
    <w:rsid w:val="00DB123B"/>
    <w:rsid w:val="00DB3D3C"/>
    <w:rsid w:val="00DB6873"/>
    <w:rsid w:val="00DC1A17"/>
    <w:rsid w:val="00DC2D6F"/>
    <w:rsid w:val="00DD3761"/>
    <w:rsid w:val="00DD3EB1"/>
    <w:rsid w:val="00DD5E68"/>
    <w:rsid w:val="00DE518C"/>
    <w:rsid w:val="00DE5717"/>
    <w:rsid w:val="00DE7EB2"/>
    <w:rsid w:val="00E05B7E"/>
    <w:rsid w:val="00E07755"/>
    <w:rsid w:val="00E13097"/>
    <w:rsid w:val="00E218F5"/>
    <w:rsid w:val="00E225D8"/>
    <w:rsid w:val="00E33652"/>
    <w:rsid w:val="00E410FF"/>
    <w:rsid w:val="00E45DDF"/>
    <w:rsid w:val="00E52555"/>
    <w:rsid w:val="00E52CC2"/>
    <w:rsid w:val="00E5529D"/>
    <w:rsid w:val="00E635CF"/>
    <w:rsid w:val="00E7064E"/>
    <w:rsid w:val="00E73C1D"/>
    <w:rsid w:val="00E770B1"/>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05DE"/>
    <w:rsid w:val="00F31E10"/>
    <w:rsid w:val="00F363B0"/>
    <w:rsid w:val="00F37ED1"/>
    <w:rsid w:val="00F42763"/>
    <w:rsid w:val="00F44C16"/>
    <w:rsid w:val="00F45E08"/>
    <w:rsid w:val="00F475D5"/>
    <w:rsid w:val="00F509A1"/>
    <w:rsid w:val="00F55770"/>
    <w:rsid w:val="00F64A3F"/>
    <w:rsid w:val="00F67C47"/>
    <w:rsid w:val="00F718E3"/>
    <w:rsid w:val="00F77BE2"/>
    <w:rsid w:val="00F80181"/>
    <w:rsid w:val="00F80C67"/>
    <w:rsid w:val="00F82BA2"/>
    <w:rsid w:val="00FA44E8"/>
    <w:rsid w:val="00FA6EDD"/>
    <w:rsid w:val="00FB0A39"/>
    <w:rsid w:val="00FB2E22"/>
    <w:rsid w:val="00FB5348"/>
    <w:rsid w:val="00FB5796"/>
    <w:rsid w:val="00FB6F1A"/>
    <w:rsid w:val="00FC04EC"/>
    <w:rsid w:val="00FC302B"/>
    <w:rsid w:val="00FC5DCD"/>
    <w:rsid w:val="00FE5AD6"/>
    <w:rsid w:val="00FF04A6"/>
    <w:rsid w:val="01032CB0"/>
    <w:rsid w:val="01C16070"/>
    <w:rsid w:val="01CD2E9D"/>
    <w:rsid w:val="025A6967"/>
    <w:rsid w:val="02627A03"/>
    <w:rsid w:val="02B70804"/>
    <w:rsid w:val="02E80E0B"/>
    <w:rsid w:val="035D5A48"/>
    <w:rsid w:val="03810BC8"/>
    <w:rsid w:val="03E948A6"/>
    <w:rsid w:val="040658D5"/>
    <w:rsid w:val="04D74B21"/>
    <w:rsid w:val="0545527A"/>
    <w:rsid w:val="058B5529"/>
    <w:rsid w:val="069F204B"/>
    <w:rsid w:val="06C6248C"/>
    <w:rsid w:val="06CC61D3"/>
    <w:rsid w:val="070E46A7"/>
    <w:rsid w:val="07733ED3"/>
    <w:rsid w:val="079A26F9"/>
    <w:rsid w:val="07BC752A"/>
    <w:rsid w:val="07DB6498"/>
    <w:rsid w:val="08083865"/>
    <w:rsid w:val="09927F15"/>
    <w:rsid w:val="09AB11AC"/>
    <w:rsid w:val="0A081459"/>
    <w:rsid w:val="0A635F4B"/>
    <w:rsid w:val="0A973EE9"/>
    <w:rsid w:val="0AD16BED"/>
    <w:rsid w:val="0B505A69"/>
    <w:rsid w:val="0B534700"/>
    <w:rsid w:val="0BDD1B5C"/>
    <w:rsid w:val="0C207465"/>
    <w:rsid w:val="0C3633F3"/>
    <w:rsid w:val="0CA856BF"/>
    <w:rsid w:val="0D773E61"/>
    <w:rsid w:val="0DB97859"/>
    <w:rsid w:val="0DD64262"/>
    <w:rsid w:val="0E5B405D"/>
    <w:rsid w:val="0EE97B8E"/>
    <w:rsid w:val="0F0F0F63"/>
    <w:rsid w:val="0F32366B"/>
    <w:rsid w:val="0FEB546A"/>
    <w:rsid w:val="0FEC3293"/>
    <w:rsid w:val="105D1DBB"/>
    <w:rsid w:val="107931DF"/>
    <w:rsid w:val="120E4F53"/>
    <w:rsid w:val="122E6D2D"/>
    <w:rsid w:val="124156C4"/>
    <w:rsid w:val="124235BD"/>
    <w:rsid w:val="12AB5973"/>
    <w:rsid w:val="13046389"/>
    <w:rsid w:val="13706DBD"/>
    <w:rsid w:val="143A0FC9"/>
    <w:rsid w:val="14BD0BCC"/>
    <w:rsid w:val="14D561AF"/>
    <w:rsid w:val="14FC1368"/>
    <w:rsid w:val="15285CB1"/>
    <w:rsid w:val="158E54EF"/>
    <w:rsid w:val="159A2A9E"/>
    <w:rsid w:val="160434BC"/>
    <w:rsid w:val="172D7CCE"/>
    <w:rsid w:val="17B30CC5"/>
    <w:rsid w:val="17B8106A"/>
    <w:rsid w:val="17F77804"/>
    <w:rsid w:val="18DE6304"/>
    <w:rsid w:val="18E41ED8"/>
    <w:rsid w:val="1A183821"/>
    <w:rsid w:val="1A737B8C"/>
    <w:rsid w:val="1BFD3750"/>
    <w:rsid w:val="1C7A243A"/>
    <w:rsid w:val="1C9D5143"/>
    <w:rsid w:val="1D2908C1"/>
    <w:rsid w:val="1D3D2567"/>
    <w:rsid w:val="1DD057B2"/>
    <w:rsid w:val="1DE978C4"/>
    <w:rsid w:val="1E7874CB"/>
    <w:rsid w:val="1ED878F4"/>
    <w:rsid w:val="1FAC462E"/>
    <w:rsid w:val="21CF534E"/>
    <w:rsid w:val="21DB7273"/>
    <w:rsid w:val="225F4AB8"/>
    <w:rsid w:val="22D36EAB"/>
    <w:rsid w:val="238147AE"/>
    <w:rsid w:val="238242BD"/>
    <w:rsid w:val="24506BB2"/>
    <w:rsid w:val="24947709"/>
    <w:rsid w:val="24AF3AB1"/>
    <w:rsid w:val="24E915BF"/>
    <w:rsid w:val="255F4A9B"/>
    <w:rsid w:val="263B734F"/>
    <w:rsid w:val="265D3E18"/>
    <w:rsid w:val="269353D2"/>
    <w:rsid w:val="26AE7F5A"/>
    <w:rsid w:val="26FF20C4"/>
    <w:rsid w:val="274C3FCA"/>
    <w:rsid w:val="2750205B"/>
    <w:rsid w:val="277334B8"/>
    <w:rsid w:val="27821D05"/>
    <w:rsid w:val="27984DD3"/>
    <w:rsid w:val="27A37FBA"/>
    <w:rsid w:val="28212744"/>
    <w:rsid w:val="284941DC"/>
    <w:rsid w:val="292F703A"/>
    <w:rsid w:val="299D1B7F"/>
    <w:rsid w:val="29D01E7C"/>
    <w:rsid w:val="29DF0256"/>
    <w:rsid w:val="29F54480"/>
    <w:rsid w:val="2A126E9B"/>
    <w:rsid w:val="2A876D21"/>
    <w:rsid w:val="2A9B65A1"/>
    <w:rsid w:val="2AA71F8F"/>
    <w:rsid w:val="2B071285"/>
    <w:rsid w:val="2B3B25A7"/>
    <w:rsid w:val="2B431031"/>
    <w:rsid w:val="2B71330F"/>
    <w:rsid w:val="2BAD17F5"/>
    <w:rsid w:val="2BE71E7D"/>
    <w:rsid w:val="2D123A9F"/>
    <w:rsid w:val="2D2877B9"/>
    <w:rsid w:val="2D2C3753"/>
    <w:rsid w:val="2D9F12C1"/>
    <w:rsid w:val="2DA91BDB"/>
    <w:rsid w:val="2DE01A36"/>
    <w:rsid w:val="2DEA71AE"/>
    <w:rsid w:val="2E330B3F"/>
    <w:rsid w:val="2E331215"/>
    <w:rsid w:val="2EBA26F8"/>
    <w:rsid w:val="2EC36428"/>
    <w:rsid w:val="2EDE558F"/>
    <w:rsid w:val="2F553E54"/>
    <w:rsid w:val="2FCE0D44"/>
    <w:rsid w:val="2FDF7099"/>
    <w:rsid w:val="301A7EDF"/>
    <w:rsid w:val="30292DEB"/>
    <w:rsid w:val="307668EC"/>
    <w:rsid w:val="30A11B2E"/>
    <w:rsid w:val="30B90E12"/>
    <w:rsid w:val="31306024"/>
    <w:rsid w:val="31454C16"/>
    <w:rsid w:val="31B347D4"/>
    <w:rsid w:val="31F46CAC"/>
    <w:rsid w:val="32493792"/>
    <w:rsid w:val="32DC5400"/>
    <w:rsid w:val="334C3C6E"/>
    <w:rsid w:val="33E55BB9"/>
    <w:rsid w:val="34011EE2"/>
    <w:rsid w:val="346E1993"/>
    <w:rsid w:val="348A4B70"/>
    <w:rsid w:val="34AE374B"/>
    <w:rsid w:val="34B90BA2"/>
    <w:rsid w:val="35081201"/>
    <w:rsid w:val="35204D7F"/>
    <w:rsid w:val="3553798F"/>
    <w:rsid w:val="35AD3EF5"/>
    <w:rsid w:val="35B01F13"/>
    <w:rsid w:val="35B07A97"/>
    <w:rsid w:val="35B53B02"/>
    <w:rsid w:val="35D14635"/>
    <w:rsid w:val="36714FE8"/>
    <w:rsid w:val="36975214"/>
    <w:rsid w:val="371619FA"/>
    <w:rsid w:val="373C5526"/>
    <w:rsid w:val="37713A2D"/>
    <w:rsid w:val="37842204"/>
    <w:rsid w:val="37D268C3"/>
    <w:rsid w:val="37D95464"/>
    <w:rsid w:val="386D59C9"/>
    <w:rsid w:val="38EC05E0"/>
    <w:rsid w:val="39514A69"/>
    <w:rsid w:val="39A5464D"/>
    <w:rsid w:val="39F318FC"/>
    <w:rsid w:val="3A814CE7"/>
    <w:rsid w:val="3A8E2FD1"/>
    <w:rsid w:val="3AB0548E"/>
    <w:rsid w:val="3ACF70F6"/>
    <w:rsid w:val="3BC87466"/>
    <w:rsid w:val="3D0F15DD"/>
    <w:rsid w:val="3DAF7400"/>
    <w:rsid w:val="3DE40001"/>
    <w:rsid w:val="3E421737"/>
    <w:rsid w:val="3ED4389D"/>
    <w:rsid w:val="3EFB0E15"/>
    <w:rsid w:val="3F6A0E3E"/>
    <w:rsid w:val="401235A2"/>
    <w:rsid w:val="401A5C05"/>
    <w:rsid w:val="40305DE9"/>
    <w:rsid w:val="405B2F81"/>
    <w:rsid w:val="41365678"/>
    <w:rsid w:val="417325FA"/>
    <w:rsid w:val="41973319"/>
    <w:rsid w:val="41B3237C"/>
    <w:rsid w:val="41C55586"/>
    <w:rsid w:val="41E424CB"/>
    <w:rsid w:val="41F0088E"/>
    <w:rsid w:val="42745016"/>
    <w:rsid w:val="433441F5"/>
    <w:rsid w:val="434A2E43"/>
    <w:rsid w:val="43A40672"/>
    <w:rsid w:val="43B84D02"/>
    <w:rsid w:val="4513605A"/>
    <w:rsid w:val="454D157F"/>
    <w:rsid w:val="45B03EB7"/>
    <w:rsid w:val="45BC3925"/>
    <w:rsid w:val="45EC1356"/>
    <w:rsid w:val="46DD36B0"/>
    <w:rsid w:val="472D73FF"/>
    <w:rsid w:val="47443E67"/>
    <w:rsid w:val="481102EC"/>
    <w:rsid w:val="4844455D"/>
    <w:rsid w:val="48561B05"/>
    <w:rsid w:val="485D2A1D"/>
    <w:rsid w:val="48C65BBD"/>
    <w:rsid w:val="49AC1650"/>
    <w:rsid w:val="4A801B89"/>
    <w:rsid w:val="4A8B215B"/>
    <w:rsid w:val="4BA80997"/>
    <w:rsid w:val="4C480FC0"/>
    <w:rsid w:val="4CAA30EC"/>
    <w:rsid w:val="4D0F1E57"/>
    <w:rsid w:val="4D6F2CBC"/>
    <w:rsid w:val="4EA0023D"/>
    <w:rsid w:val="4EC04089"/>
    <w:rsid w:val="50562F56"/>
    <w:rsid w:val="505F79DB"/>
    <w:rsid w:val="507B4249"/>
    <w:rsid w:val="50A55003"/>
    <w:rsid w:val="50B4234B"/>
    <w:rsid w:val="50EF0631"/>
    <w:rsid w:val="517B553D"/>
    <w:rsid w:val="5271432D"/>
    <w:rsid w:val="52895E25"/>
    <w:rsid w:val="53672256"/>
    <w:rsid w:val="539114A7"/>
    <w:rsid w:val="53AE131D"/>
    <w:rsid w:val="53B607BB"/>
    <w:rsid w:val="540D4963"/>
    <w:rsid w:val="541B38DD"/>
    <w:rsid w:val="547D39E4"/>
    <w:rsid w:val="548D1853"/>
    <w:rsid w:val="548F677C"/>
    <w:rsid w:val="54CB09CC"/>
    <w:rsid w:val="54D46A7D"/>
    <w:rsid w:val="55266A8D"/>
    <w:rsid w:val="55333061"/>
    <w:rsid w:val="55383A98"/>
    <w:rsid w:val="55664CBF"/>
    <w:rsid w:val="55765394"/>
    <w:rsid w:val="55857916"/>
    <w:rsid w:val="559346D9"/>
    <w:rsid w:val="55CD5ACF"/>
    <w:rsid w:val="55E7676A"/>
    <w:rsid w:val="55F2324D"/>
    <w:rsid w:val="56304F01"/>
    <w:rsid w:val="563D4E84"/>
    <w:rsid w:val="56667E72"/>
    <w:rsid w:val="568421D1"/>
    <w:rsid w:val="56BB3A79"/>
    <w:rsid w:val="56F928BE"/>
    <w:rsid w:val="571F0F2C"/>
    <w:rsid w:val="575813E7"/>
    <w:rsid w:val="580B0EAB"/>
    <w:rsid w:val="5829793B"/>
    <w:rsid w:val="583A29FB"/>
    <w:rsid w:val="58CC166E"/>
    <w:rsid w:val="5927426C"/>
    <w:rsid w:val="59481412"/>
    <w:rsid w:val="59562C77"/>
    <w:rsid w:val="595D7221"/>
    <w:rsid w:val="597948E4"/>
    <w:rsid w:val="5A4D7DAF"/>
    <w:rsid w:val="5AB43A17"/>
    <w:rsid w:val="5B4D2EC1"/>
    <w:rsid w:val="5B501B3A"/>
    <w:rsid w:val="5B571F8E"/>
    <w:rsid w:val="5BDF5215"/>
    <w:rsid w:val="5CBE2543"/>
    <w:rsid w:val="5CC13ECF"/>
    <w:rsid w:val="5CEB4B61"/>
    <w:rsid w:val="5D090EEA"/>
    <w:rsid w:val="5D0E5901"/>
    <w:rsid w:val="5D720CED"/>
    <w:rsid w:val="5DA27EEB"/>
    <w:rsid w:val="5DB43C38"/>
    <w:rsid w:val="5DB53F06"/>
    <w:rsid w:val="5DB8605A"/>
    <w:rsid w:val="5DFB2CE6"/>
    <w:rsid w:val="5E4D1784"/>
    <w:rsid w:val="5EAA0B3D"/>
    <w:rsid w:val="5EDB47BE"/>
    <w:rsid w:val="5F0B6E44"/>
    <w:rsid w:val="5FA447DA"/>
    <w:rsid w:val="5FCA2E7D"/>
    <w:rsid w:val="60755A9B"/>
    <w:rsid w:val="61606F07"/>
    <w:rsid w:val="61BC1D0D"/>
    <w:rsid w:val="61E96DB8"/>
    <w:rsid w:val="62121232"/>
    <w:rsid w:val="6331783B"/>
    <w:rsid w:val="63367FF0"/>
    <w:rsid w:val="635A5D45"/>
    <w:rsid w:val="63EF4F8A"/>
    <w:rsid w:val="63FA25AE"/>
    <w:rsid w:val="64660DE2"/>
    <w:rsid w:val="64995609"/>
    <w:rsid w:val="64AE3D29"/>
    <w:rsid w:val="64BA7ECF"/>
    <w:rsid w:val="65181BD5"/>
    <w:rsid w:val="661577FC"/>
    <w:rsid w:val="66A36C22"/>
    <w:rsid w:val="66D40875"/>
    <w:rsid w:val="67901342"/>
    <w:rsid w:val="67E863C8"/>
    <w:rsid w:val="682A7219"/>
    <w:rsid w:val="68AC32D7"/>
    <w:rsid w:val="68B50CC9"/>
    <w:rsid w:val="690E39BB"/>
    <w:rsid w:val="695A4FEC"/>
    <w:rsid w:val="6967008A"/>
    <w:rsid w:val="6AA36162"/>
    <w:rsid w:val="6B13267C"/>
    <w:rsid w:val="6B160FA9"/>
    <w:rsid w:val="6B5B6CFE"/>
    <w:rsid w:val="6B945283"/>
    <w:rsid w:val="6C4050F1"/>
    <w:rsid w:val="6C9E0DB3"/>
    <w:rsid w:val="6CB54907"/>
    <w:rsid w:val="6DA7180D"/>
    <w:rsid w:val="6DD449ED"/>
    <w:rsid w:val="6ED63281"/>
    <w:rsid w:val="6F2431DF"/>
    <w:rsid w:val="6F7A525E"/>
    <w:rsid w:val="6F8E6C1A"/>
    <w:rsid w:val="70412229"/>
    <w:rsid w:val="70A46938"/>
    <w:rsid w:val="71E010FD"/>
    <w:rsid w:val="721C6DB2"/>
    <w:rsid w:val="725310CC"/>
    <w:rsid w:val="72827E86"/>
    <w:rsid w:val="728F706D"/>
    <w:rsid w:val="730B275B"/>
    <w:rsid w:val="732763F5"/>
    <w:rsid w:val="73556694"/>
    <w:rsid w:val="739B64E9"/>
    <w:rsid w:val="741E1EA8"/>
    <w:rsid w:val="748A0524"/>
    <w:rsid w:val="748D76CC"/>
    <w:rsid w:val="75F01C92"/>
    <w:rsid w:val="76612994"/>
    <w:rsid w:val="774F13C6"/>
    <w:rsid w:val="78620798"/>
    <w:rsid w:val="789467A1"/>
    <w:rsid w:val="78CF789F"/>
    <w:rsid w:val="790B487C"/>
    <w:rsid w:val="797D5CF8"/>
    <w:rsid w:val="79D13BE6"/>
    <w:rsid w:val="7A5C53A7"/>
    <w:rsid w:val="7AC05D23"/>
    <w:rsid w:val="7ACF0C29"/>
    <w:rsid w:val="7B4D2C6C"/>
    <w:rsid w:val="7BBB62EC"/>
    <w:rsid w:val="7C433F8A"/>
    <w:rsid w:val="7C7B758C"/>
    <w:rsid w:val="7D1F0C5F"/>
    <w:rsid w:val="7D95270E"/>
    <w:rsid w:val="7DA36220"/>
    <w:rsid w:val="7DE66169"/>
    <w:rsid w:val="7DF5150A"/>
    <w:rsid w:val="7E526CD3"/>
    <w:rsid w:val="7E76666C"/>
    <w:rsid w:val="7ED17EAA"/>
    <w:rsid w:val="7F075501"/>
    <w:rsid w:val="7F3B4C8F"/>
    <w:rsid w:val="7F9B4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945"/>
        <w:tab w:val="left" w:pos="1155"/>
      </w:tabs>
      <w:ind w:firstLine="420" w:firstLineChars="200"/>
    </w:pPr>
  </w:style>
  <w:style w:type="paragraph" w:styleId="3">
    <w:name w:val="Body Text Indent"/>
    <w:basedOn w:val="1"/>
    <w:next w:val="2"/>
    <w:link w:val="45"/>
    <w:qFormat/>
    <w:uiPriority w:val="0"/>
    <w:pPr>
      <w:adjustRightInd w:val="0"/>
      <w:spacing w:after="120" w:line="360" w:lineRule="atLeast"/>
      <w:ind w:left="420" w:leftChars="200"/>
      <w:jc w:val="left"/>
      <w:textAlignment w:val="baseline"/>
    </w:pPr>
    <w:rPr>
      <w:kern w:val="0"/>
      <w:sz w:val="24"/>
      <w:szCs w:val="20"/>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annotation text"/>
    <w:basedOn w:val="1"/>
    <w:link w:val="72"/>
    <w:semiHidden/>
    <w:qFormat/>
    <w:uiPriority w:val="0"/>
    <w:pPr>
      <w:jc w:val="left"/>
    </w:pPr>
    <w:rPr>
      <w:rFonts w:ascii="Times New Roman" w:hAnsi="Times New Roman" w:eastAsia="宋体" w:cs="Times New Roman"/>
      <w:kern w:val="0"/>
      <w:sz w:val="20"/>
      <w:szCs w:val="24"/>
    </w:rPr>
  </w:style>
  <w:style w:type="paragraph" w:styleId="11">
    <w:name w:val="Body Text 3"/>
    <w:basedOn w:val="1"/>
    <w:link w:val="42"/>
    <w:qFormat/>
    <w:uiPriority w:val="0"/>
    <w:rPr>
      <w:rFonts w:ascii="Times New Roman" w:hAnsi="Times New Roman" w:eastAsia="宋体" w:cs="Times New Roman"/>
      <w:color w:val="FF0000"/>
      <w:sz w:val="24"/>
      <w:szCs w:val="24"/>
    </w:rPr>
  </w:style>
  <w:style w:type="paragraph" w:styleId="12">
    <w:name w:val="Body Text"/>
    <w:basedOn w:val="1"/>
    <w:next w:val="13"/>
    <w:link w:val="43"/>
    <w:semiHidden/>
    <w:unhideWhenUsed/>
    <w:qFormat/>
    <w:uiPriority w:val="99"/>
    <w:pPr>
      <w:spacing w:after="120"/>
    </w:pPr>
  </w:style>
  <w:style w:type="paragraph" w:styleId="13">
    <w:name w:val="toc 2"/>
    <w:basedOn w:val="1"/>
    <w:next w:val="1"/>
    <w:semiHidden/>
    <w:unhideWhenUsed/>
    <w:qFormat/>
    <w:uiPriority w:val="39"/>
    <w:pPr>
      <w:ind w:left="420" w:leftChars="200"/>
    </w:p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6"/>
    <w:qFormat/>
    <w:uiPriority w:val="0"/>
    <w:rPr>
      <w:rFonts w:eastAsia="宋体"/>
      <w:sz w:val="24"/>
    </w:rPr>
  </w:style>
  <w:style w:type="paragraph" w:styleId="17">
    <w:name w:val="Date"/>
    <w:basedOn w:val="1"/>
    <w:next w:val="1"/>
    <w:link w:val="47"/>
    <w:unhideWhenUsed/>
    <w:qFormat/>
    <w:uiPriority w:val="99"/>
    <w:pPr>
      <w:ind w:left="100" w:leftChars="2500"/>
    </w:pPr>
  </w:style>
  <w:style w:type="paragraph" w:styleId="18">
    <w:name w:val="Balloon Text"/>
    <w:basedOn w:val="1"/>
    <w:link w:val="49"/>
    <w:semiHidden/>
    <w:unhideWhenUsed/>
    <w:qFormat/>
    <w:uiPriority w:val="99"/>
    <w:rPr>
      <w:sz w:val="18"/>
      <w:szCs w:val="18"/>
    </w:rPr>
  </w:style>
  <w:style w:type="paragraph" w:styleId="19">
    <w:name w:val="footer"/>
    <w:basedOn w:val="1"/>
    <w:link w:val="50"/>
    <w:unhideWhenUsed/>
    <w:qFormat/>
    <w:uiPriority w:val="99"/>
    <w:pPr>
      <w:tabs>
        <w:tab w:val="center" w:pos="4153"/>
        <w:tab w:val="right" w:pos="8306"/>
      </w:tabs>
      <w:snapToGrid w:val="0"/>
      <w:jc w:val="left"/>
    </w:pPr>
    <w:rPr>
      <w:sz w:val="18"/>
      <w:szCs w:val="18"/>
    </w:rPr>
  </w:style>
  <w:style w:type="paragraph" w:styleId="20">
    <w:name w:val="envelope return"/>
    <w:basedOn w:val="1"/>
    <w:unhideWhenUsed/>
    <w:qFormat/>
    <w:uiPriority w:val="99"/>
    <w:pPr>
      <w:snapToGrid w:val="0"/>
    </w:pPr>
    <w:rPr>
      <w:rFonts w:ascii="Arial" w:hAnsi="Arial"/>
    </w:rPr>
  </w:style>
  <w:style w:type="paragraph" w:styleId="21">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Body Text 2"/>
    <w:basedOn w:val="1"/>
    <w:qFormat/>
    <w:uiPriority w:val="0"/>
    <w:pPr>
      <w:spacing w:after="120" w:line="480" w:lineRule="auto"/>
    </w:pPr>
  </w:style>
  <w:style w:type="paragraph" w:styleId="24">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2"/>
    <w:next w:val="2"/>
    <w:link w:val="54"/>
    <w:qFormat/>
    <w:uiPriority w:val="0"/>
    <w:pPr>
      <w:ind w:firstLine="420" w:firstLineChars="100"/>
    </w:pPr>
    <w:rPr>
      <w:rFonts w:ascii="宋体" w:hAnsi="Times New Roman" w:eastAsia="宋体" w:cs="Times New Roman"/>
      <w:kern w:val="0"/>
      <w:sz w:val="34"/>
      <w:szCs w:val="20"/>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Emphasis"/>
    <w:basedOn w:val="29"/>
    <w:qFormat/>
    <w:uiPriority w:val="20"/>
    <w:rPr>
      <w:i/>
      <w:iCs/>
    </w:rPr>
  </w:style>
  <w:style w:type="character" w:styleId="32">
    <w:name w:val="Hyperlink"/>
    <w:basedOn w:val="29"/>
    <w:unhideWhenUsed/>
    <w:qFormat/>
    <w:uiPriority w:val="99"/>
    <w:rPr>
      <w:color w:val="0000FF"/>
      <w:u w:val="single"/>
    </w:rPr>
  </w:style>
  <w:style w:type="character" w:styleId="33">
    <w:name w:val="annotation reference"/>
    <w:qFormat/>
    <w:uiPriority w:val="0"/>
    <w:rPr>
      <w:sz w:val="21"/>
      <w:szCs w:val="21"/>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5">
    <w:name w:val="列出段落1"/>
    <w:basedOn w:val="1"/>
    <w:qFormat/>
    <w:uiPriority w:val="34"/>
    <w:pPr>
      <w:ind w:firstLine="420" w:firstLineChars="200"/>
    </w:pPr>
  </w:style>
  <w:style w:type="paragraph" w:customStyle="1" w:styleId="36">
    <w:name w:val="style4"/>
    <w:basedOn w:val="1"/>
    <w:next w:val="37"/>
    <w:qFormat/>
    <w:uiPriority w:val="0"/>
    <w:pPr>
      <w:widowControl/>
      <w:spacing w:before="280" w:after="280"/>
    </w:pPr>
    <w:rPr>
      <w:rFonts w:ascii="宋体" w:hAnsi="Times New Roman" w:eastAsia="宋体" w:cs="Times New Roman"/>
      <w:sz w:val="18"/>
    </w:rPr>
  </w:style>
  <w:style w:type="paragraph" w:customStyle="1" w:styleId="37">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8">
    <w:name w:val="标题 1 字符"/>
    <w:basedOn w:val="29"/>
    <w:link w:val="4"/>
    <w:qFormat/>
    <w:uiPriority w:val="0"/>
    <w:rPr>
      <w:rFonts w:ascii="Calibri" w:hAnsi="Calibri" w:eastAsia="宋体" w:cs="Times New Roman"/>
      <w:b/>
      <w:bCs/>
      <w:kern w:val="44"/>
      <w:sz w:val="44"/>
      <w:szCs w:val="44"/>
    </w:rPr>
  </w:style>
  <w:style w:type="character" w:customStyle="1" w:styleId="39">
    <w:name w:val="标题 2 字符"/>
    <w:basedOn w:val="29"/>
    <w:link w:val="5"/>
    <w:qFormat/>
    <w:uiPriority w:val="0"/>
    <w:rPr>
      <w:rFonts w:ascii="Arial" w:hAnsi="Arial" w:eastAsia="黑体" w:cs="Times New Roman"/>
      <w:b/>
      <w:bCs/>
      <w:kern w:val="0"/>
      <w:sz w:val="32"/>
      <w:szCs w:val="32"/>
    </w:rPr>
  </w:style>
  <w:style w:type="character" w:customStyle="1" w:styleId="40">
    <w:name w:val="标题 3 字符"/>
    <w:basedOn w:val="29"/>
    <w:link w:val="6"/>
    <w:qFormat/>
    <w:uiPriority w:val="0"/>
    <w:rPr>
      <w:rFonts w:ascii="宋体" w:hAnsi="宋体" w:eastAsia="宋体" w:cs="Times New Roman"/>
      <w:b/>
      <w:color w:val="000000"/>
      <w:kern w:val="0"/>
      <w:sz w:val="24"/>
      <w:szCs w:val="20"/>
      <w:lang w:val="en-GB"/>
    </w:rPr>
  </w:style>
  <w:style w:type="character" w:customStyle="1" w:styleId="41">
    <w:name w:val="标题 4 字符"/>
    <w:basedOn w:val="29"/>
    <w:link w:val="7"/>
    <w:qFormat/>
    <w:uiPriority w:val="0"/>
    <w:rPr>
      <w:rFonts w:ascii="Arial" w:hAnsi="Arial" w:eastAsia="黑体" w:cs="Times New Roman"/>
      <w:b/>
      <w:bCs/>
      <w:kern w:val="0"/>
      <w:sz w:val="28"/>
      <w:szCs w:val="28"/>
    </w:rPr>
  </w:style>
  <w:style w:type="character" w:customStyle="1" w:styleId="42">
    <w:name w:val="正文文本 3 字符"/>
    <w:basedOn w:val="29"/>
    <w:link w:val="11"/>
    <w:qFormat/>
    <w:uiPriority w:val="0"/>
    <w:rPr>
      <w:rFonts w:ascii="Times New Roman" w:hAnsi="Times New Roman" w:eastAsia="宋体" w:cs="Times New Roman"/>
      <w:color w:val="FF0000"/>
      <w:sz w:val="24"/>
      <w:szCs w:val="24"/>
    </w:rPr>
  </w:style>
  <w:style w:type="character" w:customStyle="1" w:styleId="43">
    <w:name w:val="正文文本 字符"/>
    <w:basedOn w:val="29"/>
    <w:link w:val="12"/>
    <w:semiHidden/>
    <w:qFormat/>
    <w:uiPriority w:val="99"/>
  </w:style>
  <w:style w:type="character" w:customStyle="1" w:styleId="44">
    <w:name w:val="正文文本缩进 Char"/>
    <w:basedOn w:val="29"/>
    <w:qFormat/>
    <w:uiPriority w:val="0"/>
  </w:style>
  <w:style w:type="character" w:customStyle="1" w:styleId="45">
    <w:name w:val="正文文本缩进 字符"/>
    <w:basedOn w:val="29"/>
    <w:link w:val="3"/>
    <w:qFormat/>
    <w:uiPriority w:val="0"/>
    <w:rPr>
      <w:kern w:val="0"/>
      <w:sz w:val="24"/>
      <w:szCs w:val="20"/>
    </w:rPr>
  </w:style>
  <w:style w:type="character" w:customStyle="1" w:styleId="46">
    <w:name w:val="纯文本 字符"/>
    <w:basedOn w:val="29"/>
    <w:link w:val="16"/>
    <w:qFormat/>
    <w:uiPriority w:val="0"/>
    <w:rPr>
      <w:rFonts w:eastAsia="宋体"/>
      <w:sz w:val="24"/>
    </w:rPr>
  </w:style>
  <w:style w:type="character" w:customStyle="1" w:styleId="47">
    <w:name w:val="日期 字符"/>
    <w:basedOn w:val="29"/>
    <w:link w:val="17"/>
    <w:qFormat/>
    <w:uiPriority w:val="99"/>
  </w:style>
  <w:style w:type="character" w:customStyle="1" w:styleId="48">
    <w:name w:val="批注框文本 Char"/>
    <w:basedOn w:val="29"/>
    <w:semiHidden/>
    <w:qFormat/>
    <w:uiPriority w:val="99"/>
    <w:rPr>
      <w:sz w:val="18"/>
      <w:szCs w:val="18"/>
    </w:rPr>
  </w:style>
  <w:style w:type="character" w:customStyle="1" w:styleId="49">
    <w:name w:val="批注框文本 字符"/>
    <w:basedOn w:val="29"/>
    <w:link w:val="18"/>
    <w:semiHidden/>
    <w:qFormat/>
    <w:uiPriority w:val="99"/>
    <w:rPr>
      <w:sz w:val="18"/>
      <w:szCs w:val="18"/>
    </w:rPr>
  </w:style>
  <w:style w:type="character" w:customStyle="1" w:styleId="50">
    <w:name w:val="页脚 字符"/>
    <w:basedOn w:val="29"/>
    <w:link w:val="19"/>
    <w:qFormat/>
    <w:uiPriority w:val="99"/>
    <w:rPr>
      <w:sz w:val="18"/>
      <w:szCs w:val="18"/>
    </w:rPr>
  </w:style>
  <w:style w:type="character" w:customStyle="1" w:styleId="51">
    <w:name w:val="页眉 字符"/>
    <w:basedOn w:val="29"/>
    <w:link w:val="21"/>
    <w:qFormat/>
    <w:uiPriority w:val="99"/>
    <w:rPr>
      <w:sz w:val="18"/>
      <w:szCs w:val="18"/>
    </w:rPr>
  </w:style>
  <w:style w:type="character" w:customStyle="1" w:styleId="52">
    <w:name w:val="HTML 预设格式 Char"/>
    <w:basedOn w:val="29"/>
    <w:semiHidden/>
    <w:qFormat/>
    <w:uiPriority w:val="99"/>
    <w:rPr>
      <w:rFonts w:ascii="宋体" w:hAnsi="宋体" w:eastAsia="宋体" w:cs="宋体"/>
      <w:kern w:val="0"/>
      <w:sz w:val="24"/>
      <w:szCs w:val="24"/>
    </w:rPr>
  </w:style>
  <w:style w:type="character" w:customStyle="1" w:styleId="53">
    <w:name w:val="HTML 预设格式 字符"/>
    <w:basedOn w:val="29"/>
    <w:link w:val="24"/>
    <w:semiHidden/>
    <w:qFormat/>
    <w:uiPriority w:val="99"/>
    <w:rPr>
      <w:rFonts w:ascii="Courier New" w:hAnsi="Courier New" w:cs="Courier New"/>
      <w:sz w:val="20"/>
      <w:szCs w:val="20"/>
    </w:rPr>
  </w:style>
  <w:style w:type="character" w:customStyle="1" w:styleId="54">
    <w:name w:val="正文文本首行缩进 字符"/>
    <w:basedOn w:val="43"/>
    <w:link w:val="26"/>
    <w:qFormat/>
    <w:uiPriority w:val="0"/>
    <w:rPr>
      <w:rFonts w:ascii="宋体" w:hAnsi="Times New Roman" w:eastAsia="宋体" w:cs="Times New Roman"/>
      <w:kern w:val="0"/>
      <w:sz w:val="34"/>
      <w:szCs w:val="20"/>
    </w:rPr>
  </w:style>
  <w:style w:type="character" w:customStyle="1" w:styleId="55">
    <w:name w:val="纯文本 Char1"/>
    <w:qFormat/>
    <w:uiPriority w:val="0"/>
    <w:rPr>
      <w:rFonts w:eastAsia="宋体"/>
      <w:sz w:val="24"/>
    </w:rPr>
  </w:style>
  <w:style w:type="paragraph" w:styleId="56">
    <w:name w:val="List Paragraph"/>
    <w:basedOn w:val="1"/>
    <w:unhideWhenUsed/>
    <w:qFormat/>
    <w:uiPriority w:val="99"/>
    <w:pPr>
      <w:ind w:firstLine="420" w:firstLineChars="200"/>
    </w:pPr>
  </w:style>
  <w:style w:type="character" w:customStyle="1" w:styleId="57">
    <w:name w:val="正文文本缩进 Char Char"/>
    <w:link w:val="58"/>
    <w:qFormat/>
    <w:uiPriority w:val="0"/>
    <w:rPr>
      <w:rFonts w:ascii="宋体"/>
      <w:sz w:val="24"/>
    </w:rPr>
  </w:style>
  <w:style w:type="paragraph" w:customStyle="1" w:styleId="58">
    <w:name w:val="正文文本缩进1"/>
    <w:basedOn w:val="1"/>
    <w:link w:val="57"/>
    <w:qFormat/>
    <w:uiPriority w:val="0"/>
    <w:pPr>
      <w:spacing w:line="360" w:lineRule="auto"/>
      <w:ind w:firstLine="480" w:firstLineChars="200"/>
    </w:pPr>
    <w:rPr>
      <w:rFonts w:ascii="宋体"/>
      <w:sz w:val="24"/>
    </w:rPr>
  </w:style>
  <w:style w:type="character" w:customStyle="1" w:styleId="59">
    <w:name w:val="日期 Char Char"/>
    <w:link w:val="60"/>
    <w:qFormat/>
    <w:uiPriority w:val="0"/>
    <w:rPr>
      <w:sz w:val="24"/>
    </w:rPr>
  </w:style>
  <w:style w:type="paragraph" w:customStyle="1" w:styleId="60">
    <w:name w:val="日期1"/>
    <w:basedOn w:val="1"/>
    <w:next w:val="1"/>
    <w:link w:val="59"/>
    <w:qFormat/>
    <w:uiPriority w:val="0"/>
    <w:rPr>
      <w:sz w:val="24"/>
    </w:rPr>
  </w:style>
  <w:style w:type="paragraph" w:customStyle="1" w:styleId="6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4">
    <w:name w:val="edittexttarea"/>
    <w:basedOn w:val="29"/>
    <w:qFormat/>
    <w:uiPriority w:val="0"/>
  </w:style>
  <w:style w:type="paragraph" w:customStyle="1" w:styleId="65">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7">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68">
    <w:name w:val="*正文"/>
    <w:basedOn w:val="1"/>
    <w:qFormat/>
    <w:uiPriority w:val="0"/>
    <w:pPr>
      <w:keepNext/>
      <w:keepLines/>
      <w:spacing w:line="360" w:lineRule="auto"/>
      <w:ind w:firstLine="200" w:firstLineChars="200"/>
    </w:pPr>
    <w:rPr>
      <w:rFonts w:ascii="宋体" w:hAnsi="宋体"/>
    </w:rPr>
  </w:style>
  <w:style w:type="paragraph" w:customStyle="1" w:styleId="69">
    <w:name w:val="表格样式"/>
    <w:qFormat/>
    <w:uiPriority w:val="0"/>
    <w:pPr>
      <w:framePr w:hSpace="180" w:wrap="around" w:vAnchor="text" w:hAnchor="page" w:x="1582" w:y="302"/>
      <w:contextualSpacing/>
    </w:pPr>
    <w:rPr>
      <w:rFonts w:ascii="宋体" w:hAnsi="微软雅黑" w:eastAsia="宋体" w:cs="Times New Roman"/>
      <w:kern w:val="2"/>
      <w:sz w:val="24"/>
      <w:szCs w:val="28"/>
      <w:lang w:val="en-US" w:eastAsia="zh-CN" w:bidi="ar-SA"/>
    </w:rPr>
  </w:style>
  <w:style w:type="paragraph" w:styleId="70">
    <w:name w:val="No Spacing"/>
    <w:qFormat/>
    <w:uiPriority w:val="1"/>
    <w:pPr>
      <w:widowControl w:val="0"/>
      <w:spacing w:line="360" w:lineRule="auto"/>
      <w:jc w:val="both"/>
    </w:pPr>
    <w:rPr>
      <w:rFonts w:ascii="宋体" w:eastAsia="宋体" w:hAnsiTheme="minorHAnsi" w:cstheme="minorBidi"/>
      <w:kern w:val="2"/>
      <w:sz w:val="24"/>
      <w:szCs w:val="22"/>
      <w:lang w:val="en-US" w:eastAsia="zh-CN" w:bidi="ar-SA"/>
    </w:rPr>
  </w:style>
  <w:style w:type="paragraph" w:customStyle="1" w:styleId="71">
    <w:name w:val="列表段落1"/>
    <w:basedOn w:val="1"/>
    <w:qFormat/>
    <w:uiPriority w:val="1"/>
    <w:pPr>
      <w:ind w:firstLine="420"/>
    </w:pPr>
  </w:style>
  <w:style w:type="character" w:customStyle="1" w:styleId="72">
    <w:name w:val="批注文字 字符1"/>
    <w:link w:val="10"/>
    <w:semiHidden/>
    <w:qFormat/>
    <w:uiPriority w:val="0"/>
    <w:rPr>
      <w:szCs w:val="24"/>
    </w:rPr>
  </w:style>
  <w:style w:type="character" w:customStyle="1" w:styleId="73">
    <w:name w:val="批注文字 字符"/>
    <w:basedOn w:val="29"/>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107</Pages>
  <Words>10711</Words>
  <Characters>61056</Characters>
  <Lines>508</Lines>
  <Paragraphs>143</Paragraphs>
  <TotalTime>8</TotalTime>
  <ScaleCrop>false</ScaleCrop>
  <LinksUpToDate>false</LinksUpToDate>
  <CharactersWithSpaces>71624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中科高盛咨询集团有限公司:宋晓敏</cp:lastModifiedBy>
  <cp:lastPrinted>2021-06-08T06:24:00Z</cp:lastPrinted>
  <dcterms:modified xsi:type="dcterms:W3CDTF">2021-09-08T01:30:25Z</dcterms:modified>
  <cp:revision>648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154CEA885CCA416795107758FAC2E672</vt:lpwstr>
  </property>
</Properties>
</file>