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禹州市教育体育局计算机及教学一体机等采购项目</w:t>
      </w:r>
    </w:p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标 公 告</w:t>
      </w:r>
    </w:p>
    <w:p>
      <w:pPr>
        <w:widowControl/>
        <w:shd w:val="clear" w:color="auto" w:fill="FFFFFF"/>
        <w:tabs>
          <w:tab w:val="left" w:pos="5113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禹州市政府采购中心受禹州市教育体育局的委托，就“禹州市教育体育局计算机及教学一体机等采购项目（不见面开标）”进行公开招标，欢迎合格的投标人前来投标。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采购人：禹州市教育体育局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禹州市教育体育局计算机及教学一体机等采购项目（不见面开标）</w:t>
      </w:r>
    </w:p>
    <w:p>
      <w:pPr>
        <w:pStyle w:val="16"/>
        <w:widowControl/>
        <w:shd w:val="clear" w:color="auto" w:fill="FFFFFF"/>
        <w:spacing w:line="440" w:lineRule="exact"/>
        <w:ind w:left="120" w:leftChars="57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YZCG-G2021022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sz w:val="28"/>
          <w:szCs w:val="28"/>
        </w:rPr>
        <w:t>计算机及教学一体机等设备一批（详见招标文件）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5、合同履行期限：以签订合同为准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6、采购预算：第一标段170万元，第二标段100万元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7、最高限价：第一标段170万元，第二标段100万元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1、投标文件提交截止时间及开标时间：2021年 7 月 26 日8:30（北京时间），逾期送达或不符合规定的响应文件恕不接受。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禹州市教育体育局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禹州市禹王大道东段111号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 代先生         联系电话：0374-8880023</w:t>
      </w:r>
    </w:p>
    <w:p>
      <w:pPr>
        <w:spacing w:line="440" w:lineRule="exact"/>
        <w:ind w:firstLine="7280" w:firstLineChars="2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7280" w:firstLineChars="2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2021年7月6日</w:t>
      </w: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3F6B"/>
    <w:rsid w:val="000D0072"/>
    <w:rsid w:val="000F2EC1"/>
    <w:rsid w:val="0017002A"/>
    <w:rsid w:val="00196AF0"/>
    <w:rsid w:val="00212677"/>
    <w:rsid w:val="002306A4"/>
    <w:rsid w:val="00236A91"/>
    <w:rsid w:val="002E45F3"/>
    <w:rsid w:val="002F176D"/>
    <w:rsid w:val="00313026"/>
    <w:rsid w:val="00326937"/>
    <w:rsid w:val="00345091"/>
    <w:rsid w:val="0034592D"/>
    <w:rsid w:val="00374774"/>
    <w:rsid w:val="00382852"/>
    <w:rsid w:val="003E3EF8"/>
    <w:rsid w:val="004551B4"/>
    <w:rsid w:val="00485D96"/>
    <w:rsid w:val="00495AF6"/>
    <w:rsid w:val="004D5C65"/>
    <w:rsid w:val="0050228F"/>
    <w:rsid w:val="00510575"/>
    <w:rsid w:val="00546928"/>
    <w:rsid w:val="00566E9F"/>
    <w:rsid w:val="005774BD"/>
    <w:rsid w:val="005868E3"/>
    <w:rsid w:val="005B1AAE"/>
    <w:rsid w:val="005E44F1"/>
    <w:rsid w:val="005F16C5"/>
    <w:rsid w:val="005F5C3D"/>
    <w:rsid w:val="00616344"/>
    <w:rsid w:val="00655CB5"/>
    <w:rsid w:val="00690FBF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711D6"/>
    <w:rsid w:val="009B6754"/>
    <w:rsid w:val="009E5AA1"/>
    <w:rsid w:val="00A1157C"/>
    <w:rsid w:val="00A258EF"/>
    <w:rsid w:val="00A412F1"/>
    <w:rsid w:val="00A97F5A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C4798"/>
    <w:rsid w:val="00DD2B6C"/>
    <w:rsid w:val="00E10F32"/>
    <w:rsid w:val="00E37531"/>
    <w:rsid w:val="00E508CC"/>
    <w:rsid w:val="00E5426F"/>
    <w:rsid w:val="00E64A46"/>
    <w:rsid w:val="00E90378"/>
    <w:rsid w:val="00EA7B4F"/>
    <w:rsid w:val="00EB16F1"/>
    <w:rsid w:val="00EF30D0"/>
    <w:rsid w:val="00EF4AEF"/>
    <w:rsid w:val="00F754DC"/>
    <w:rsid w:val="00FD4E4F"/>
    <w:rsid w:val="027A2480"/>
    <w:rsid w:val="02EF0384"/>
    <w:rsid w:val="02F36046"/>
    <w:rsid w:val="032F0E9D"/>
    <w:rsid w:val="04424333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119E5632"/>
    <w:rsid w:val="11C24C39"/>
    <w:rsid w:val="14F4131F"/>
    <w:rsid w:val="15340FC1"/>
    <w:rsid w:val="16332BA2"/>
    <w:rsid w:val="17B24FD1"/>
    <w:rsid w:val="181E3F6B"/>
    <w:rsid w:val="184C4E5A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07C0461"/>
    <w:rsid w:val="309732EA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0377E1"/>
    <w:rsid w:val="45144C23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5A55E2B"/>
    <w:rsid w:val="56586855"/>
    <w:rsid w:val="56674F32"/>
    <w:rsid w:val="56E77718"/>
    <w:rsid w:val="593E3D35"/>
    <w:rsid w:val="594E33A3"/>
    <w:rsid w:val="5A2357AE"/>
    <w:rsid w:val="5B845906"/>
    <w:rsid w:val="609A6809"/>
    <w:rsid w:val="62C2153A"/>
    <w:rsid w:val="63916776"/>
    <w:rsid w:val="65520ED6"/>
    <w:rsid w:val="65A460A0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60F0B11"/>
    <w:rsid w:val="76A26C26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Vast Liu</cp:lastModifiedBy>
  <cp:lastPrinted>2021-06-09T01:13:00Z</cp:lastPrinted>
  <dcterms:modified xsi:type="dcterms:W3CDTF">2021-07-06T08:26:13Z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2DF2D1B4596847D6A6A58B449E8B2BE3</vt:lpwstr>
  </property>
</Properties>
</file>