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宋体"/>
          <w:b/>
          <w:bCs/>
          <w:color w:val="000000"/>
          <w:sz w:val="52"/>
          <w:szCs w:val="52"/>
        </w:rPr>
      </w:pPr>
    </w:p>
    <w:p>
      <w:pPr>
        <w:jc w:val="center"/>
        <w:rPr>
          <w:rFonts w:ascii="微软简隶书" w:eastAsia="微软简隶书"/>
          <w:color w:val="000000"/>
          <w:sz w:val="40"/>
          <w:szCs w:val="36"/>
        </w:rPr>
      </w:pPr>
      <w:r>
        <w:rPr>
          <w:rFonts w:hint="eastAsia" w:ascii="宋体" w:hAnsi="宋体" w:eastAsia="宋体" w:cs="宋体"/>
          <w:b/>
          <w:kern w:val="0"/>
          <w:sz w:val="44"/>
          <w:szCs w:val="36"/>
        </w:rPr>
        <w:t>禹州市农业农村局2021年烟叶烤房电代煤变压器建设项目</w:t>
      </w:r>
      <w:r>
        <w:rPr>
          <w:rFonts w:hint="eastAsia" w:ascii="宋体" w:hAnsi="宋体" w:eastAsia="宋体"/>
          <w:b/>
          <w:bCs/>
          <w:sz w:val="44"/>
          <w:szCs w:val="36"/>
        </w:rPr>
        <w:t>（不见面开标）</w:t>
      </w:r>
    </w:p>
    <w:p>
      <w:pPr>
        <w:ind w:right="523" w:rightChars="218"/>
        <w:jc w:val="center"/>
        <w:rPr>
          <w:rFonts w:ascii="宋体" w:hAnsi="宋体" w:eastAsia="宋体" w:cs="楷体"/>
          <w:b/>
          <w:bCs/>
          <w:sz w:val="36"/>
          <w:szCs w:val="36"/>
        </w:rPr>
      </w:pPr>
    </w:p>
    <w:p>
      <w:pPr>
        <w:rPr>
          <w:rFonts w:ascii="微软简隶书" w:eastAsia="微软简隶书"/>
          <w:color w:val="000000"/>
        </w:rPr>
      </w:pPr>
    </w:p>
    <w:p>
      <w:pPr>
        <w:rPr>
          <w:rFonts w:ascii="微软简隶书" w:eastAsia="微软简隶书"/>
          <w:color w:val="000000"/>
        </w:rPr>
      </w:pPr>
    </w:p>
    <w:p>
      <w:pPr>
        <w:pStyle w:val="3"/>
      </w:pPr>
    </w:p>
    <w:p>
      <w:pPr>
        <w:pStyle w:val="3"/>
      </w:pPr>
    </w:p>
    <w:p>
      <w:pPr>
        <w:pStyle w:val="3"/>
      </w:pPr>
    </w:p>
    <w:p>
      <w:pPr>
        <w:rPr>
          <w:rFonts w:ascii="微软简隶书" w:eastAsia="微软简隶书"/>
          <w:color w:val="000000"/>
        </w:rPr>
      </w:pPr>
    </w:p>
    <w:p>
      <w:pPr>
        <w:jc w:val="center"/>
        <w:rPr>
          <w:rFonts w:ascii="宋体" w:hAnsi="宋体" w:eastAsia="宋体" w:cs="黑体"/>
          <w:b/>
          <w:color w:val="000000"/>
          <w:w w:val="90"/>
          <w:sz w:val="144"/>
          <w:szCs w:val="144"/>
        </w:rPr>
      </w:pPr>
      <w:r>
        <w:rPr>
          <w:rFonts w:hint="eastAsia" w:ascii="宋体" w:hAnsi="宋体" w:eastAsia="宋体" w:cs="黑体"/>
          <w:b/>
          <w:color w:val="000000"/>
          <w:w w:val="90"/>
          <w:sz w:val="96"/>
          <w:szCs w:val="144"/>
        </w:rPr>
        <w:t>招标文件</w:t>
      </w:r>
    </w:p>
    <w:p>
      <w:pPr>
        <w:rPr>
          <w:rFonts w:ascii="微软简隶书" w:eastAsia="微软简隶书"/>
          <w:color w:val="000000"/>
        </w:rPr>
      </w:pPr>
    </w:p>
    <w:p>
      <w:pPr>
        <w:rPr>
          <w:rFonts w:ascii="微软简隶书" w:eastAsia="微软简隶书"/>
          <w:color w:val="000000"/>
        </w:rPr>
      </w:pPr>
    </w:p>
    <w:p>
      <w:pPr>
        <w:pStyle w:val="3"/>
      </w:pPr>
    </w:p>
    <w:p>
      <w:pPr>
        <w:rPr>
          <w:rFonts w:ascii="微软简隶书" w:eastAsia="微软简隶书"/>
          <w:color w:val="000000"/>
        </w:rPr>
      </w:pPr>
    </w:p>
    <w:p>
      <w:pPr>
        <w:rPr>
          <w:rFonts w:ascii="微软简隶书" w:eastAsia="微软简隶书"/>
          <w:color w:val="000000"/>
        </w:rPr>
      </w:pPr>
    </w:p>
    <w:p>
      <w:pPr>
        <w:ind w:left="646" w:leftChars="269"/>
        <w:jc w:val="left"/>
        <w:rPr>
          <w:rFonts w:ascii="微软简隶书" w:eastAsia="微软简隶书"/>
          <w:color w:val="000000"/>
        </w:rPr>
      </w:pPr>
    </w:p>
    <w:p>
      <w:pPr>
        <w:adjustRightInd w:val="0"/>
        <w:snapToGrid w:val="0"/>
        <w:spacing w:line="600" w:lineRule="auto"/>
        <w:ind w:left="1623" w:leftChars="300" w:hanging="903" w:hangingChars="281"/>
        <w:jc w:val="left"/>
        <w:rPr>
          <w:rFonts w:hint="default" w:ascii="宋体" w:hAnsi="宋体" w:eastAsia="宋体" w:cs="宋体"/>
          <w:sz w:val="32"/>
          <w:szCs w:val="32"/>
          <w:lang w:val="en-US" w:eastAsia="zh-CN"/>
        </w:rPr>
      </w:pPr>
      <w:r>
        <w:rPr>
          <w:rFonts w:hint="eastAsia" w:ascii="宋体" w:hAnsi="宋体" w:eastAsia="宋体" w:cs="宋体"/>
          <w:b/>
          <w:bCs/>
          <w:sz w:val="32"/>
          <w:szCs w:val="32"/>
          <w:highlight w:val="none"/>
        </w:rPr>
        <w:t>项目编号：</w:t>
      </w:r>
      <w:r>
        <w:rPr>
          <w:rFonts w:hint="eastAsia" w:ascii="宋体" w:hAnsi="宋体" w:eastAsia="宋体" w:cs="宋体"/>
          <w:b/>
          <w:bCs/>
          <w:color w:val="000000"/>
          <w:kern w:val="0"/>
          <w:sz w:val="32"/>
          <w:szCs w:val="32"/>
          <w:highlight w:val="none"/>
        </w:rPr>
        <w:t>YZCG</w:t>
      </w:r>
      <w:r>
        <w:rPr>
          <w:rFonts w:hint="eastAsia" w:ascii="宋体" w:hAnsi="宋体" w:eastAsia="宋体" w:cs="宋体"/>
          <w:b/>
          <w:bCs/>
          <w:color w:val="000000"/>
          <w:kern w:val="0"/>
          <w:sz w:val="32"/>
          <w:szCs w:val="32"/>
        </w:rPr>
        <w:t>-DL</w:t>
      </w:r>
      <w:r>
        <w:rPr>
          <w:rFonts w:ascii="宋体" w:hAnsi="宋体" w:eastAsia="宋体" w:cs="宋体"/>
          <w:b/>
          <w:bCs/>
          <w:color w:val="000000"/>
          <w:kern w:val="0"/>
          <w:sz w:val="32"/>
          <w:szCs w:val="32"/>
        </w:rPr>
        <w:t>G</w:t>
      </w:r>
      <w:r>
        <w:rPr>
          <w:rFonts w:hint="eastAsia" w:ascii="宋体" w:hAnsi="宋体" w:eastAsia="宋体" w:cs="宋体"/>
          <w:b/>
          <w:bCs/>
          <w:color w:val="000000"/>
          <w:kern w:val="0"/>
          <w:sz w:val="32"/>
          <w:szCs w:val="32"/>
          <w:lang w:val="en-US" w:eastAsia="zh-CN"/>
        </w:rPr>
        <w:t>2021045</w:t>
      </w:r>
    </w:p>
    <w:p>
      <w:pPr>
        <w:adjustRightInd w:val="0"/>
        <w:snapToGrid w:val="0"/>
        <w:spacing w:line="600" w:lineRule="auto"/>
        <w:ind w:left="1623" w:leftChars="300" w:hanging="903" w:hangingChars="281"/>
        <w:jc w:val="left"/>
        <w:rPr>
          <w:rFonts w:ascii="宋体" w:hAnsi="宋体" w:eastAsia="宋体" w:cs="宋体"/>
          <w:color w:val="000000"/>
          <w:sz w:val="32"/>
          <w:szCs w:val="32"/>
        </w:rPr>
      </w:pPr>
      <w:r>
        <w:rPr>
          <w:rFonts w:hint="eastAsia" w:ascii="宋体" w:hAnsi="宋体" w:eastAsia="宋体" w:cs="宋体"/>
          <w:b/>
          <w:bCs/>
          <w:color w:val="000000"/>
          <w:sz w:val="32"/>
          <w:szCs w:val="32"/>
        </w:rPr>
        <w:t>采购单位：</w:t>
      </w:r>
      <w:r>
        <w:rPr>
          <w:rFonts w:hint="eastAsia" w:ascii="宋体" w:hAnsi="宋体" w:eastAsia="宋体" w:cs="宋体"/>
          <w:b/>
          <w:color w:val="000000"/>
          <w:sz w:val="32"/>
          <w:szCs w:val="32"/>
        </w:rPr>
        <w:t>禹州市农业农村局</w:t>
      </w:r>
    </w:p>
    <w:p>
      <w:pPr>
        <w:adjustRightInd w:val="0"/>
        <w:snapToGrid w:val="0"/>
        <w:spacing w:line="600" w:lineRule="auto"/>
        <w:ind w:left="1623" w:leftChars="300" w:hanging="903" w:hangingChars="281"/>
        <w:jc w:val="left"/>
        <w:rPr>
          <w:rFonts w:ascii="宋体" w:hAnsi="宋体" w:eastAsia="宋体" w:cs="宋体"/>
          <w:b/>
          <w:bCs/>
          <w:color w:val="000000"/>
          <w:sz w:val="32"/>
          <w:szCs w:val="32"/>
        </w:rPr>
      </w:pPr>
      <w:r>
        <w:rPr>
          <w:rFonts w:hint="eastAsia" w:ascii="宋体" w:hAnsi="宋体" w:eastAsia="宋体" w:cs="宋体"/>
          <w:b/>
          <w:bCs/>
          <w:color w:val="000000"/>
          <w:sz w:val="32"/>
          <w:szCs w:val="32"/>
        </w:rPr>
        <w:t>采购代理机构：陕西瑞珂工程咨询有限责任公司</w:t>
      </w:r>
    </w:p>
    <w:p>
      <w:pPr>
        <w:adjustRightInd w:val="0"/>
        <w:snapToGrid w:val="0"/>
        <w:spacing w:line="600" w:lineRule="auto"/>
        <w:jc w:val="center"/>
      </w:pPr>
      <w:r>
        <w:rPr>
          <w:rFonts w:hint="eastAsia" w:ascii="宋体" w:hAnsi="宋体" w:eastAsia="宋体" w:cs="宋体"/>
          <w:b/>
          <w:bCs/>
          <w:color w:val="000000"/>
          <w:sz w:val="32"/>
          <w:szCs w:val="32"/>
        </w:rPr>
        <w:t>二〇二一年七月</w:t>
      </w:r>
    </w:p>
    <w:p>
      <w:pPr>
        <w:jc w:val="center"/>
        <w:rPr>
          <w:b/>
          <w:bCs/>
          <w:sz w:val="44"/>
          <w:szCs w:val="32"/>
        </w:rPr>
      </w:pPr>
      <w:r>
        <w:rPr>
          <w:rFonts w:hint="eastAsia"/>
        </w:rPr>
        <w:br w:type="page"/>
      </w:r>
      <w:r>
        <w:rPr>
          <w:rFonts w:hint="eastAsia"/>
          <w:b/>
          <w:bCs/>
          <w:sz w:val="52"/>
          <w:szCs w:val="32"/>
        </w:rPr>
        <w:t>招标文件目录</w:t>
      </w:r>
    </w:p>
    <w:p>
      <w:pPr>
        <w:pStyle w:val="2"/>
      </w:pPr>
    </w:p>
    <w:p>
      <w:pPr>
        <w:jc w:val="left"/>
        <w:rPr>
          <w:sz w:val="36"/>
        </w:rPr>
      </w:pPr>
      <w:r>
        <w:rPr>
          <w:rFonts w:hint="eastAsia"/>
          <w:sz w:val="36"/>
        </w:rPr>
        <w:t>第一章 投标邀请</w:t>
      </w:r>
    </w:p>
    <w:p>
      <w:pPr>
        <w:wordWrap w:val="0"/>
        <w:jc w:val="left"/>
        <w:rPr>
          <w:sz w:val="36"/>
        </w:rPr>
      </w:pPr>
      <w:r>
        <w:rPr>
          <w:rFonts w:hint="eastAsia"/>
          <w:sz w:val="36"/>
        </w:rPr>
        <w:t>第二章 项目需求</w:t>
      </w:r>
    </w:p>
    <w:p>
      <w:pPr>
        <w:wordWrap w:val="0"/>
        <w:jc w:val="left"/>
        <w:rPr>
          <w:sz w:val="36"/>
        </w:rPr>
      </w:pPr>
      <w:r>
        <w:rPr>
          <w:rFonts w:hint="eastAsia"/>
          <w:sz w:val="36"/>
        </w:rPr>
        <w:t>第三章 投标人须知前附表</w:t>
      </w:r>
    </w:p>
    <w:p>
      <w:pPr>
        <w:wordWrap w:val="0"/>
        <w:jc w:val="left"/>
        <w:rPr>
          <w:sz w:val="36"/>
        </w:rPr>
      </w:pPr>
      <w:r>
        <w:rPr>
          <w:rFonts w:hint="eastAsia"/>
          <w:sz w:val="36"/>
        </w:rPr>
        <w:t>第四章 投标人须知</w:t>
      </w:r>
    </w:p>
    <w:p>
      <w:pPr>
        <w:wordWrap w:val="0"/>
        <w:jc w:val="left"/>
        <w:rPr>
          <w:sz w:val="36"/>
        </w:rPr>
      </w:pPr>
      <w:r>
        <w:rPr>
          <w:rFonts w:hint="eastAsia"/>
          <w:sz w:val="36"/>
        </w:rPr>
        <w:t>第五章 政府采购政策功能</w:t>
      </w:r>
    </w:p>
    <w:p>
      <w:pPr>
        <w:wordWrap w:val="0"/>
        <w:jc w:val="left"/>
        <w:rPr>
          <w:sz w:val="36"/>
        </w:rPr>
      </w:pPr>
      <w:r>
        <w:rPr>
          <w:rFonts w:hint="eastAsia"/>
          <w:sz w:val="36"/>
        </w:rPr>
        <w:t>第六章 资格审查与评标</w:t>
      </w:r>
    </w:p>
    <w:p>
      <w:pPr>
        <w:wordWrap w:val="0"/>
        <w:jc w:val="left"/>
        <w:rPr>
          <w:sz w:val="36"/>
        </w:rPr>
      </w:pPr>
      <w:r>
        <w:rPr>
          <w:rFonts w:hint="eastAsia"/>
          <w:sz w:val="36"/>
        </w:rPr>
        <w:t>第七章 合同条款及格式</w:t>
      </w:r>
    </w:p>
    <w:p>
      <w:pPr>
        <w:wordWrap w:val="0"/>
        <w:jc w:val="left"/>
        <w:rPr>
          <w:sz w:val="36"/>
        </w:rPr>
      </w:pPr>
      <w:r>
        <w:rPr>
          <w:rFonts w:hint="eastAsia"/>
          <w:sz w:val="36"/>
        </w:rPr>
        <w:t>第八章 投标文件有关格式</w:t>
      </w:r>
    </w:p>
    <w:p>
      <w:pPr>
        <w:wordWrap w:val="0"/>
        <w:jc w:val="left"/>
        <w:rPr>
          <w:sz w:val="36"/>
        </w:rPr>
      </w:pPr>
    </w:p>
    <w:p>
      <w:pPr>
        <w:wordWrap w:val="0"/>
        <w:ind w:firstLine="1558" w:firstLineChars="433"/>
        <w:jc w:val="center"/>
      </w:pPr>
      <w:r>
        <w:rPr>
          <w:rFonts w:hint="eastAsia"/>
          <w:sz w:val="36"/>
        </w:rPr>
        <w:br w:type="page"/>
      </w:r>
    </w:p>
    <w:p>
      <w:pPr>
        <w:pStyle w:val="5"/>
        <w:wordWrap w:val="0"/>
      </w:pPr>
      <w:r>
        <w:rPr>
          <w:rFonts w:hint="eastAsia"/>
        </w:rPr>
        <w:t>第一部分投标邀请</w:t>
      </w:r>
    </w:p>
    <w:p>
      <w:pPr>
        <w:wordWrap w:val="0"/>
        <w:jc w:val="center"/>
        <w:rPr>
          <w:b/>
          <w:bCs/>
          <w:sz w:val="28"/>
          <w:szCs w:val="28"/>
        </w:rPr>
      </w:pPr>
      <w:r>
        <w:rPr>
          <w:rFonts w:hint="eastAsia"/>
          <w:b/>
          <w:bCs/>
          <w:sz w:val="28"/>
          <w:szCs w:val="28"/>
        </w:rPr>
        <w:t>禹州市农业农村局2021年烟叶烤房电代煤变压器建设项目（不见面开标）-公开招标公告</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wordWrap w:val="0"/>
            </w:pPr>
            <w:r>
              <w:rPr>
                <w:rFonts w:hint="eastAsia"/>
              </w:rPr>
              <w:t>项目概况</w:t>
            </w:r>
          </w:p>
          <w:p>
            <w:pPr>
              <w:wordWrap w:val="0"/>
            </w:pPr>
            <w:r>
              <w:rPr>
                <w:rFonts w:hint="eastAsia"/>
                <w:u w:val="single"/>
              </w:rPr>
              <w:t>禹州市农业农村局2021年烟叶烤房电代煤变压器建设项目</w:t>
            </w:r>
            <w:r>
              <w:rPr>
                <w:rFonts w:hint="eastAsia"/>
              </w:rPr>
              <w:t>招标项目的潜在投标人应在</w:t>
            </w:r>
            <w:r>
              <w:rPr>
                <w:rFonts w:hint="eastAsia"/>
                <w:u w:val="single"/>
              </w:rPr>
              <w:t>《全国公共资源交易平台（河南省·许昌市）》（http://ggzy.xuchang.gov.cn/）</w:t>
            </w:r>
            <w:r>
              <w:rPr>
                <w:rFonts w:hint="eastAsia"/>
              </w:rPr>
              <w:t>获取招标文件，并</w:t>
            </w:r>
            <w:r>
              <w:rPr>
                <w:rFonts w:hint="eastAsia"/>
                <w:highlight w:val="none"/>
              </w:rPr>
              <w:t>于</w:t>
            </w:r>
            <w:r>
              <w:rPr>
                <w:rFonts w:hint="eastAsia"/>
                <w:highlight w:val="none"/>
                <w:u w:val="single"/>
                <w:lang w:val="en-US" w:eastAsia="zh-CN"/>
              </w:rPr>
              <w:t>2021</w:t>
            </w:r>
            <w:r>
              <w:rPr>
                <w:rFonts w:hint="eastAsia"/>
                <w:highlight w:val="none"/>
                <w:u w:val="single"/>
              </w:rPr>
              <w:t>年</w:t>
            </w:r>
            <w:r>
              <w:rPr>
                <w:rFonts w:hint="eastAsia"/>
                <w:highlight w:val="none"/>
                <w:u w:val="single"/>
                <w:lang w:val="en-US" w:eastAsia="zh-CN"/>
              </w:rPr>
              <w:t>7</w:t>
            </w:r>
            <w:r>
              <w:rPr>
                <w:rFonts w:hint="eastAsia"/>
                <w:highlight w:val="none"/>
                <w:u w:val="single"/>
              </w:rPr>
              <w:t>月</w:t>
            </w:r>
            <w:r>
              <w:rPr>
                <w:rFonts w:hint="eastAsia"/>
                <w:highlight w:val="none"/>
                <w:u w:val="single"/>
                <w:lang w:val="en-US" w:eastAsia="zh-CN"/>
              </w:rPr>
              <w:t>26</w:t>
            </w:r>
            <w:r>
              <w:rPr>
                <w:rFonts w:hint="eastAsia"/>
                <w:highlight w:val="none"/>
                <w:u w:val="single"/>
              </w:rPr>
              <w:t>日</w:t>
            </w:r>
            <w:r>
              <w:rPr>
                <w:rFonts w:hint="eastAsia"/>
                <w:highlight w:val="none"/>
                <w:u w:val="single"/>
                <w:lang w:val="en-US" w:eastAsia="zh-CN"/>
              </w:rPr>
              <w:t>10</w:t>
            </w:r>
            <w:r>
              <w:rPr>
                <w:rFonts w:hint="eastAsia"/>
                <w:highlight w:val="none"/>
                <w:u w:val="single"/>
              </w:rPr>
              <w:t>时</w:t>
            </w:r>
            <w:r>
              <w:rPr>
                <w:rFonts w:hint="eastAsia"/>
                <w:highlight w:val="none"/>
                <w:u w:val="single"/>
                <w:lang w:val="en-US" w:eastAsia="zh-CN"/>
              </w:rPr>
              <w:t>30</w:t>
            </w:r>
            <w:r>
              <w:rPr>
                <w:rFonts w:hint="eastAsia"/>
                <w:highlight w:val="none"/>
                <w:u w:val="single"/>
              </w:rPr>
              <w:t>分</w:t>
            </w:r>
            <w:r>
              <w:rPr>
                <w:rFonts w:hint="eastAsia"/>
              </w:rPr>
              <w:t>（北京时间）前递交投标文件。</w:t>
            </w:r>
          </w:p>
        </w:tc>
      </w:tr>
    </w:tbl>
    <w:p>
      <w:pPr>
        <w:pStyle w:val="6"/>
        <w:wordWrap w:val="0"/>
        <w:jc w:val="both"/>
      </w:pPr>
      <w:r>
        <w:rPr>
          <w:rFonts w:hint="eastAsia"/>
        </w:rPr>
        <w:t>一、项目基本情况</w:t>
      </w:r>
    </w:p>
    <w:p>
      <w:pPr>
        <w:wordWrap w:val="0"/>
        <w:ind w:firstLine="480" w:firstLineChars="200"/>
      </w:pPr>
      <w:r>
        <w:rPr>
          <w:rFonts w:hint="eastAsia"/>
        </w:rPr>
        <w:t>1、</w:t>
      </w:r>
      <w:r>
        <w:rPr>
          <w:rFonts w:hint="eastAsia"/>
          <w:highlight w:val="none"/>
        </w:rPr>
        <w:t>项目编号：</w:t>
      </w:r>
      <w:r>
        <w:rPr>
          <w:highlight w:val="none"/>
        </w:rPr>
        <w:t xml:space="preserve"> </w:t>
      </w:r>
      <w:r>
        <w:rPr>
          <w:rFonts w:hint="eastAsia"/>
          <w:highlight w:val="none"/>
        </w:rPr>
        <w:t>YZCG-DL</w:t>
      </w:r>
      <w:r>
        <w:rPr>
          <w:highlight w:val="none"/>
        </w:rPr>
        <w:t>G</w:t>
      </w:r>
      <w:r>
        <w:rPr>
          <w:rFonts w:hint="eastAsia"/>
          <w:highlight w:val="none"/>
          <w:lang w:val="en-US" w:eastAsia="zh-CN"/>
        </w:rPr>
        <w:t>2021045</w:t>
      </w:r>
    </w:p>
    <w:p>
      <w:pPr>
        <w:wordWrap w:val="0"/>
        <w:ind w:firstLine="480" w:firstLineChars="200"/>
      </w:pPr>
      <w:r>
        <w:rPr>
          <w:rFonts w:hint="eastAsia"/>
        </w:rPr>
        <w:t>2、项目名称：禹州市农业农村局2021年烟叶烤房电代煤变压器建设项目</w:t>
      </w:r>
    </w:p>
    <w:p>
      <w:pPr>
        <w:wordWrap w:val="0"/>
        <w:ind w:firstLine="480" w:firstLineChars="200"/>
      </w:pPr>
      <w:r>
        <w:rPr>
          <w:rFonts w:hint="eastAsia"/>
        </w:rPr>
        <w:t>3、采购方式：公开招标</w:t>
      </w:r>
    </w:p>
    <w:p>
      <w:pPr>
        <w:wordWrap w:val="0"/>
        <w:ind w:firstLine="480" w:firstLineChars="200"/>
      </w:pPr>
      <w:r>
        <w:rPr>
          <w:rFonts w:hint="eastAsia"/>
        </w:rPr>
        <w:t>4、预算金额：5,840,000.00元</w:t>
      </w:r>
    </w:p>
    <w:p>
      <w:pPr>
        <w:wordWrap w:val="0"/>
        <w:ind w:firstLine="480" w:firstLineChars="200"/>
      </w:pPr>
      <w:r>
        <w:rPr>
          <w:rFonts w:hint="eastAsia"/>
        </w:rPr>
        <w:t>最高限价：5,840,000.00元</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3"/>
        <w:gridCol w:w="2435"/>
        <w:gridCol w:w="2134"/>
        <w:gridCol w:w="1582"/>
        <w:gridCol w:w="15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3" w:type="dxa"/>
            <w:vAlign w:val="center"/>
          </w:tcPr>
          <w:p>
            <w:pPr>
              <w:wordWrap w:val="0"/>
              <w:jc w:val="center"/>
            </w:pPr>
            <w:r>
              <w:rPr>
                <w:rFonts w:hint="eastAsia"/>
              </w:rPr>
              <w:t>序号</w:t>
            </w:r>
          </w:p>
        </w:tc>
        <w:tc>
          <w:tcPr>
            <w:tcW w:w="2435" w:type="dxa"/>
            <w:vAlign w:val="center"/>
          </w:tcPr>
          <w:p>
            <w:pPr>
              <w:wordWrap w:val="0"/>
              <w:jc w:val="center"/>
            </w:pPr>
            <w:r>
              <w:rPr>
                <w:rFonts w:hint="eastAsia"/>
              </w:rPr>
              <w:t>包号</w:t>
            </w:r>
          </w:p>
        </w:tc>
        <w:tc>
          <w:tcPr>
            <w:tcW w:w="2134" w:type="dxa"/>
            <w:vAlign w:val="center"/>
          </w:tcPr>
          <w:p>
            <w:pPr>
              <w:wordWrap w:val="0"/>
              <w:jc w:val="center"/>
            </w:pPr>
            <w:r>
              <w:rPr>
                <w:rFonts w:hint="eastAsia"/>
              </w:rPr>
              <w:t>包名称</w:t>
            </w:r>
          </w:p>
        </w:tc>
        <w:tc>
          <w:tcPr>
            <w:tcW w:w="1582" w:type="dxa"/>
            <w:vAlign w:val="center"/>
          </w:tcPr>
          <w:p>
            <w:pPr>
              <w:wordWrap w:val="0"/>
              <w:jc w:val="center"/>
            </w:pPr>
            <w:r>
              <w:rPr>
                <w:rFonts w:hint="eastAsia"/>
              </w:rPr>
              <w:t>包预算（元）</w:t>
            </w:r>
          </w:p>
        </w:tc>
        <w:tc>
          <w:tcPr>
            <w:tcW w:w="1588" w:type="dxa"/>
            <w:vAlign w:val="center"/>
          </w:tcPr>
          <w:p>
            <w:pPr>
              <w:wordWrap w:val="0"/>
              <w:jc w:val="center"/>
            </w:pPr>
            <w:r>
              <w:rPr>
                <w:rFonts w:hint="eastAsia"/>
              </w:rPr>
              <w:t>包最高限价（元）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3" w:type="dxa"/>
            <w:vAlign w:val="center"/>
          </w:tcPr>
          <w:p>
            <w:pPr>
              <w:wordWrap w:val="0"/>
              <w:jc w:val="center"/>
              <w:rPr>
                <w:sz w:val="24"/>
                <w:szCs w:val="24"/>
              </w:rPr>
            </w:pPr>
            <w:r>
              <w:rPr>
                <w:rFonts w:hint="eastAsia"/>
                <w:sz w:val="24"/>
                <w:szCs w:val="24"/>
              </w:rPr>
              <w:t>1</w:t>
            </w:r>
          </w:p>
        </w:tc>
        <w:tc>
          <w:tcPr>
            <w:tcW w:w="2435" w:type="dxa"/>
            <w:vAlign w:val="center"/>
          </w:tcPr>
          <w:p>
            <w:pPr>
              <w:wordWrap w:val="0"/>
              <w:jc w:val="center"/>
              <w:rPr>
                <w:sz w:val="24"/>
                <w:szCs w:val="24"/>
                <w:highlight w:val="yellow"/>
              </w:rPr>
            </w:pPr>
            <w:r>
              <w:rPr>
                <w:rFonts w:hint="eastAsia" w:ascii="宋体" w:hAnsi="宋体" w:eastAsia="宋体" w:cs="宋体"/>
                <w:b w:val="0"/>
                <w:bCs w:val="0"/>
                <w:color w:val="000000"/>
                <w:kern w:val="0"/>
                <w:sz w:val="24"/>
                <w:szCs w:val="24"/>
              </w:rPr>
              <w:t>YZCG-DL</w:t>
            </w:r>
            <w:r>
              <w:rPr>
                <w:rFonts w:ascii="宋体" w:hAnsi="宋体" w:eastAsia="宋体" w:cs="宋体"/>
                <w:b w:val="0"/>
                <w:bCs w:val="0"/>
                <w:color w:val="000000"/>
                <w:kern w:val="0"/>
                <w:sz w:val="24"/>
                <w:szCs w:val="24"/>
              </w:rPr>
              <w:t>G</w:t>
            </w:r>
            <w:r>
              <w:rPr>
                <w:rFonts w:hint="eastAsia" w:ascii="宋体" w:hAnsi="宋体" w:eastAsia="宋体" w:cs="宋体"/>
                <w:b w:val="0"/>
                <w:bCs w:val="0"/>
                <w:color w:val="000000"/>
                <w:kern w:val="0"/>
                <w:sz w:val="24"/>
                <w:szCs w:val="24"/>
                <w:lang w:val="en-US" w:eastAsia="zh-CN"/>
              </w:rPr>
              <w:t>2021045</w:t>
            </w:r>
          </w:p>
        </w:tc>
        <w:tc>
          <w:tcPr>
            <w:tcW w:w="2134" w:type="dxa"/>
            <w:vAlign w:val="center"/>
          </w:tcPr>
          <w:p>
            <w:pPr>
              <w:wordWrap w:val="0"/>
              <w:jc w:val="center"/>
            </w:pPr>
            <w:r>
              <w:rPr>
                <w:rFonts w:hint="eastAsia"/>
              </w:rPr>
              <w:t>第一标段</w:t>
            </w:r>
          </w:p>
        </w:tc>
        <w:tc>
          <w:tcPr>
            <w:tcW w:w="1582" w:type="dxa"/>
            <w:vAlign w:val="center"/>
          </w:tcPr>
          <w:p>
            <w:pPr>
              <w:wordWrap w:val="0"/>
              <w:jc w:val="center"/>
              <w:rPr>
                <w:rFonts w:hint="default" w:eastAsiaTheme="minorEastAsia"/>
                <w:lang w:val="en-US" w:eastAsia="zh-CN"/>
              </w:rPr>
            </w:pPr>
            <w:r>
              <w:rPr>
                <w:rFonts w:hint="eastAsia"/>
              </w:rPr>
              <w:t>2925</w:t>
            </w:r>
            <w:r>
              <w:rPr>
                <w:rFonts w:hint="eastAsia"/>
                <w:lang w:val="en-US" w:eastAsia="zh-CN"/>
              </w:rPr>
              <w:t>000</w:t>
            </w:r>
          </w:p>
        </w:tc>
        <w:tc>
          <w:tcPr>
            <w:tcW w:w="1588" w:type="dxa"/>
            <w:vAlign w:val="center"/>
          </w:tcPr>
          <w:p>
            <w:pPr>
              <w:wordWrap w:val="0"/>
              <w:jc w:val="center"/>
            </w:pPr>
            <w:r>
              <w:rPr>
                <w:rFonts w:hint="eastAsia"/>
              </w:rPr>
              <w:t>2925</w:t>
            </w:r>
            <w:r>
              <w:rPr>
                <w:rFonts w:hint="eastAsia"/>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3" w:type="dxa"/>
            <w:vAlign w:val="center"/>
          </w:tcPr>
          <w:p>
            <w:pPr>
              <w:wordWrap w:val="0"/>
              <w:jc w:val="center"/>
              <w:rPr>
                <w:sz w:val="24"/>
                <w:szCs w:val="24"/>
              </w:rPr>
            </w:pPr>
            <w:r>
              <w:rPr>
                <w:rFonts w:hint="eastAsia"/>
                <w:sz w:val="24"/>
                <w:szCs w:val="24"/>
              </w:rPr>
              <w:t>2</w:t>
            </w:r>
          </w:p>
        </w:tc>
        <w:tc>
          <w:tcPr>
            <w:tcW w:w="2435" w:type="dxa"/>
            <w:vAlign w:val="center"/>
          </w:tcPr>
          <w:p>
            <w:pPr>
              <w:wordWrap w:val="0"/>
              <w:jc w:val="center"/>
              <w:rPr>
                <w:rFonts w:hint="default"/>
                <w:sz w:val="24"/>
                <w:szCs w:val="24"/>
                <w:highlight w:val="yellow"/>
                <w:lang w:val="en-US"/>
              </w:rPr>
            </w:pPr>
            <w:r>
              <w:rPr>
                <w:rFonts w:hint="eastAsia" w:ascii="宋体" w:hAnsi="宋体" w:eastAsia="宋体" w:cs="宋体"/>
                <w:b w:val="0"/>
                <w:bCs w:val="0"/>
                <w:color w:val="000000"/>
                <w:kern w:val="0"/>
                <w:sz w:val="24"/>
                <w:szCs w:val="24"/>
              </w:rPr>
              <w:t>YZCG-DL</w:t>
            </w:r>
            <w:r>
              <w:rPr>
                <w:rFonts w:ascii="宋体" w:hAnsi="宋体" w:eastAsia="宋体" w:cs="宋体"/>
                <w:b w:val="0"/>
                <w:bCs w:val="0"/>
                <w:color w:val="000000"/>
                <w:kern w:val="0"/>
                <w:sz w:val="24"/>
                <w:szCs w:val="24"/>
              </w:rPr>
              <w:t>G</w:t>
            </w:r>
            <w:r>
              <w:rPr>
                <w:rFonts w:hint="eastAsia" w:ascii="宋体" w:hAnsi="宋体" w:eastAsia="宋体" w:cs="宋体"/>
                <w:b w:val="0"/>
                <w:bCs w:val="0"/>
                <w:color w:val="000000"/>
                <w:kern w:val="0"/>
                <w:sz w:val="24"/>
                <w:szCs w:val="24"/>
                <w:lang w:val="en-US" w:eastAsia="zh-CN"/>
              </w:rPr>
              <w:t>2021045</w:t>
            </w:r>
            <w:bookmarkStart w:id="4" w:name="_GoBack"/>
            <w:bookmarkEnd w:id="4"/>
          </w:p>
        </w:tc>
        <w:tc>
          <w:tcPr>
            <w:tcW w:w="2134" w:type="dxa"/>
            <w:vAlign w:val="center"/>
          </w:tcPr>
          <w:p>
            <w:pPr>
              <w:wordWrap w:val="0"/>
              <w:jc w:val="center"/>
            </w:pPr>
            <w:r>
              <w:rPr>
                <w:rFonts w:hint="eastAsia"/>
              </w:rPr>
              <w:t>第二标段</w:t>
            </w:r>
          </w:p>
        </w:tc>
        <w:tc>
          <w:tcPr>
            <w:tcW w:w="1582" w:type="dxa"/>
            <w:vAlign w:val="center"/>
          </w:tcPr>
          <w:p>
            <w:pPr>
              <w:wordWrap w:val="0"/>
              <w:jc w:val="center"/>
              <w:rPr>
                <w:rFonts w:hint="default" w:eastAsiaTheme="minorEastAsia"/>
                <w:lang w:val="en-US" w:eastAsia="zh-CN"/>
              </w:rPr>
            </w:pPr>
            <w:r>
              <w:rPr>
                <w:rFonts w:hint="eastAsia"/>
              </w:rPr>
              <w:t>2915</w:t>
            </w:r>
            <w:r>
              <w:rPr>
                <w:rFonts w:hint="eastAsia"/>
                <w:lang w:val="en-US" w:eastAsia="zh-CN"/>
              </w:rPr>
              <w:t>000</w:t>
            </w:r>
          </w:p>
        </w:tc>
        <w:tc>
          <w:tcPr>
            <w:tcW w:w="1588" w:type="dxa"/>
            <w:vAlign w:val="center"/>
          </w:tcPr>
          <w:p>
            <w:pPr>
              <w:wordWrap w:val="0"/>
              <w:jc w:val="center"/>
            </w:pPr>
            <w:r>
              <w:rPr>
                <w:rFonts w:hint="eastAsia"/>
              </w:rPr>
              <w:t>2915</w:t>
            </w:r>
            <w:r>
              <w:rPr>
                <w:rFonts w:hint="eastAsia"/>
                <w:lang w:val="en-US" w:eastAsia="zh-CN"/>
              </w:rPr>
              <w:t>000</w:t>
            </w:r>
          </w:p>
        </w:tc>
      </w:tr>
    </w:tbl>
    <w:p>
      <w:pPr>
        <w:wordWrap w:val="0"/>
        <w:ind w:firstLine="480" w:firstLineChars="200"/>
      </w:pPr>
      <w:r>
        <w:rPr>
          <w:rFonts w:hint="eastAsia"/>
        </w:rPr>
        <w:t>5、采购需求（包括但不限于标的的名称、数量、简要技术需求或服务要求等）</w:t>
      </w:r>
    </w:p>
    <w:p>
      <w:pPr>
        <w:wordWrap w:val="0"/>
        <w:ind w:firstLine="480" w:firstLineChars="200"/>
        <w:rPr>
          <w:sz w:val="32"/>
        </w:rPr>
      </w:pPr>
      <w:r>
        <w:rPr>
          <w:rFonts w:hint="eastAsia" w:ascii="宋体" w:hAnsi="宋体" w:eastAsia="宋体" w:cs="宋体"/>
          <w:color w:val="000000"/>
          <w:kern w:val="0"/>
          <w:szCs w:val="21"/>
        </w:rPr>
        <w:t>招标内容为禹州市农业农村局2021年烟叶烤房电代煤变压器建设项目</w:t>
      </w:r>
      <w:r>
        <w:rPr>
          <w:rFonts w:ascii="宋体" w:hAnsi="宋体" w:eastAsia="宋体" w:cs="宋体"/>
          <w:color w:val="000000"/>
          <w:kern w:val="0"/>
          <w:szCs w:val="21"/>
        </w:rPr>
        <w:t>,</w:t>
      </w:r>
      <w:r>
        <w:rPr>
          <w:rFonts w:hint="eastAsia" w:ascii="宋体" w:hAnsi="宋体" w:eastAsia="宋体" w:cs="宋体"/>
          <w:color w:val="000000"/>
          <w:kern w:val="0"/>
          <w:szCs w:val="21"/>
        </w:rPr>
        <w:t>采购变压器5</w:t>
      </w:r>
      <w:r>
        <w:rPr>
          <w:rFonts w:ascii="宋体" w:hAnsi="宋体" w:eastAsia="宋体" w:cs="宋体"/>
          <w:color w:val="000000"/>
          <w:kern w:val="0"/>
          <w:szCs w:val="21"/>
        </w:rPr>
        <w:t>5</w:t>
      </w:r>
      <w:r>
        <w:rPr>
          <w:rFonts w:hint="eastAsia" w:ascii="宋体" w:hAnsi="宋体" w:eastAsia="宋体" w:cs="宋体"/>
          <w:color w:val="000000"/>
          <w:kern w:val="0"/>
          <w:szCs w:val="21"/>
        </w:rPr>
        <w:t>台套。范坡、小吕200KVA 7台套、250KVA 8台套、315KVA 13台套。张得、朱阁、古城、文殊、苌庄200KVA 3台套、250KVA 9台套、315KVA 13台套、400KVA 2台套。主要包括变压器及附件采购及安装、调试。投资资金概算5</w:t>
      </w:r>
      <w:r>
        <w:rPr>
          <w:rFonts w:ascii="宋体" w:hAnsi="宋体" w:eastAsia="宋体" w:cs="宋体"/>
          <w:color w:val="000000"/>
          <w:kern w:val="0"/>
          <w:szCs w:val="21"/>
        </w:rPr>
        <w:t>84</w:t>
      </w:r>
      <w:r>
        <w:rPr>
          <w:rFonts w:hint="eastAsia" w:ascii="宋体" w:hAnsi="宋体" w:eastAsia="宋体" w:cs="宋体"/>
          <w:color w:val="000000"/>
          <w:kern w:val="0"/>
          <w:szCs w:val="21"/>
        </w:rPr>
        <w:t>万元（按照豫环攻坚办{</w:t>
      </w:r>
      <w:r>
        <w:rPr>
          <w:rFonts w:ascii="宋体" w:hAnsi="宋体" w:eastAsia="宋体" w:cs="宋体"/>
          <w:color w:val="000000"/>
          <w:kern w:val="0"/>
          <w:szCs w:val="21"/>
        </w:rPr>
        <w:t>2021</w:t>
      </w:r>
      <w:r>
        <w:rPr>
          <w:rFonts w:hint="eastAsia" w:ascii="宋体" w:hAnsi="宋体" w:eastAsia="宋体" w:cs="宋体"/>
          <w:color w:val="000000"/>
          <w:kern w:val="0"/>
          <w:szCs w:val="21"/>
        </w:rPr>
        <w:t>}</w:t>
      </w:r>
      <w:r>
        <w:rPr>
          <w:rFonts w:ascii="宋体" w:hAnsi="宋体" w:eastAsia="宋体" w:cs="宋体"/>
          <w:color w:val="000000"/>
          <w:kern w:val="0"/>
          <w:szCs w:val="21"/>
        </w:rPr>
        <w:t>22</w:t>
      </w:r>
      <w:r>
        <w:rPr>
          <w:rFonts w:hint="eastAsia" w:ascii="宋体" w:hAnsi="宋体" w:eastAsia="宋体" w:cs="宋体"/>
          <w:color w:val="000000"/>
          <w:kern w:val="0"/>
          <w:szCs w:val="21"/>
        </w:rPr>
        <w:t>号文件精神，新建及改造烤房项目涉及的变压器建设资金由各级政府承担，其中省级财政承担5</w:t>
      </w:r>
      <w:r>
        <w:rPr>
          <w:rFonts w:ascii="宋体" w:hAnsi="宋体" w:eastAsia="宋体" w:cs="宋体"/>
          <w:color w:val="000000"/>
          <w:kern w:val="0"/>
          <w:szCs w:val="21"/>
        </w:rPr>
        <w:t>0</w:t>
      </w:r>
      <w:r>
        <w:rPr>
          <w:rFonts w:hint="eastAsia" w:ascii="宋体" w:hAnsi="宋体" w:eastAsia="宋体" w:cs="宋体"/>
          <w:color w:val="000000"/>
          <w:kern w:val="0"/>
          <w:szCs w:val="21"/>
        </w:rPr>
        <w:t>%，许昌和禹州财政共同承担5</w:t>
      </w:r>
      <w:r>
        <w:rPr>
          <w:rFonts w:ascii="宋体" w:hAnsi="宋体" w:eastAsia="宋体" w:cs="宋体"/>
          <w:color w:val="000000"/>
          <w:kern w:val="0"/>
          <w:szCs w:val="21"/>
        </w:rPr>
        <w:t>0</w:t>
      </w:r>
      <w:r>
        <w:rPr>
          <w:rFonts w:hint="eastAsia" w:ascii="宋体" w:hAnsi="宋体" w:eastAsia="宋体" w:cs="宋体"/>
          <w:color w:val="000000"/>
          <w:kern w:val="0"/>
          <w:szCs w:val="21"/>
        </w:rPr>
        <w:t>%，许昌市和禹州市各自承担的比例待许昌市最终批复。</w:t>
      </w:r>
      <w:r>
        <w:rPr>
          <w:rFonts w:hint="eastAsia"/>
        </w:rPr>
        <w:t>高压线路铺设及高压计量安装资金由市电力部门承担。</w:t>
      </w:r>
      <w:r>
        <w:rPr>
          <w:rFonts w:hint="eastAsia" w:ascii="宋体" w:hAnsi="宋体" w:eastAsia="宋体" w:cs="宋体"/>
          <w:color w:val="000000"/>
          <w:kern w:val="0"/>
          <w:szCs w:val="21"/>
        </w:rPr>
        <w:t>）</w:t>
      </w:r>
    </w:p>
    <w:p>
      <w:pPr>
        <w:wordWrap w:val="0"/>
        <w:ind w:firstLine="480" w:firstLineChars="200"/>
      </w:pPr>
      <w:r>
        <w:rPr>
          <w:rFonts w:hint="eastAsia"/>
        </w:rPr>
        <w:t>6、合同履行期限：</w:t>
      </w:r>
      <w:r>
        <w:rPr>
          <w:rFonts w:hint="eastAsia" w:ascii="宋体" w:hAnsi="宋体" w:eastAsia="宋体" w:cs="宋体"/>
          <w:color w:val="000000"/>
          <w:kern w:val="0"/>
          <w:szCs w:val="21"/>
        </w:rPr>
        <w:t>收到发包人开工通知起</w:t>
      </w:r>
      <w:r>
        <w:rPr>
          <w:rFonts w:ascii="宋体" w:hAnsi="宋体" w:eastAsia="宋体" w:cs="宋体"/>
          <w:color w:val="000000"/>
          <w:kern w:val="0"/>
          <w:szCs w:val="21"/>
        </w:rPr>
        <w:t>30</w:t>
      </w:r>
      <w:r>
        <w:rPr>
          <w:rFonts w:hint="eastAsia" w:ascii="宋体" w:hAnsi="宋体" w:eastAsia="宋体" w:cs="宋体"/>
          <w:color w:val="000000"/>
          <w:kern w:val="0"/>
          <w:szCs w:val="21"/>
        </w:rPr>
        <w:t>日历天内完工</w:t>
      </w:r>
    </w:p>
    <w:p>
      <w:pPr>
        <w:wordWrap w:val="0"/>
        <w:ind w:firstLine="480" w:firstLineChars="200"/>
      </w:pPr>
      <w:r>
        <w:rPr>
          <w:rFonts w:hint="eastAsia"/>
        </w:rPr>
        <w:t>7、本项目是否接受联合体投标：否</w:t>
      </w:r>
    </w:p>
    <w:p>
      <w:pPr>
        <w:wordWrap w:val="0"/>
        <w:ind w:firstLine="480" w:firstLineChars="200"/>
      </w:pPr>
      <w:r>
        <w:rPr>
          <w:rFonts w:hint="eastAsia"/>
        </w:rPr>
        <w:t>8、是否接受进口产品：否</w:t>
      </w:r>
    </w:p>
    <w:p>
      <w:pPr>
        <w:pStyle w:val="6"/>
        <w:wordWrap w:val="0"/>
        <w:jc w:val="both"/>
      </w:pPr>
      <w:r>
        <w:rPr>
          <w:rFonts w:hint="eastAsia"/>
        </w:rPr>
        <w:t>二、申请人资格要求</w:t>
      </w:r>
    </w:p>
    <w:p>
      <w:pPr>
        <w:wordWrap w:val="0"/>
        <w:ind w:firstLine="480" w:firstLineChars="200"/>
      </w:pPr>
      <w:r>
        <w:rPr>
          <w:rFonts w:hint="eastAsia"/>
        </w:rPr>
        <w:t>1、满足《中华人民共和国政府采购法》第二十二条规定；</w:t>
      </w:r>
    </w:p>
    <w:p>
      <w:pPr>
        <w:wordWrap w:val="0"/>
        <w:ind w:firstLine="480" w:firstLineChars="200"/>
      </w:pPr>
      <w:r>
        <w:rPr>
          <w:rFonts w:hint="eastAsia"/>
        </w:rPr>
        <w:t>2、落实政府采购政策满足的资格要求：无</w:t>
      </w:r>
    </w:p>
    <w:p>
      <w:pPr>
        <w:pStyle w:val="12"/>
        <w:widowControl/>
        <w:spacing w:line="360" w:lineRule="auto"/>
        <w:ind w:firstLine="480" w:firstLineChars="200"/>
        <w:rPr>
          <w:rFonts w:ascii="宋体" w:hAnsi="宋体" w:eastAsia="宋体" w:cs="宋体"/>
          <w:shd w:val="clear" w:color="auto" w:fill="FFFFFF"/>
        </w:rPr>
      </w:pPr>
      <w:r>
        <w:rPr>
          <w:rFonts w:hint="eastAsia"/>
        </w:rPr>
        <w:t xml:space="preserve">3、本项目的特定资格要求                                          </w:t>
      </w:r>
    </w:p>
    <w:p>
      <w:pPr>
        <w:pStyle w:val="12"/>
        <w:widowControl/>
        <w:spacing w:line="360" w:lineRule="auto"/>
        <w:ind w:firstLine="480" w:firstLineChars="200"/>
        <w:rPr>
          <w:rFonts w:ascii="宋体" w:hAnsi="宋体" w:eastAsia="宋体" w:cs="宋体"/>
          <w:shd w:val="clear" w:color="auto" w:fill="FFFFFF"/>
        </w:rPr>
      </w:pPr>
      <w:r>
        <w:rPr>
          <w:rFonts w:hint="eastAsia" w:ascii="宋体" w:hAnsi="宋体" w:cs="宋体"/>
          <w:shd w:val="clear" w:color="auto" w:fill="FFFFFF"/>
        </w:rPr>
        <w:t>3.1</w:t>
      </w:r>
      <w:r>
        <w:rPr>
          <w:rFonts w:hint="eastAsia" w:ascii="宋体" w:hAnsi="宋体" w:eastAsia="宋体" w:cs="宋体"/>
          <w:shd w:val="clear" w:color="auto" w:fill="FFFFFF"/>
        </w:rPr>
        <w:t>投标人须为具备独立承担民事责任</w:t>
      </w:r>
      <w:r>
        <w:rPr>
          <w:rFonts w:hint="eastAsia" w:ascii="宋体" w:hAnsi="宋体" w:cs="宋体"/>
          <w:shd w:val="clear" w:color="auto" w:fill="FFFFFF"/>
        </w:rPr>
        <w:t>的</w:t>
      </w:r>
      <w:r>
        <w:rPr>
          <w:rFonts w:hint="eastAsia" w:ascii="宋体" w:hAnsi="宋体" w:eastAsia="宋体" w:cs="宋体"/>
          <w:shd w:val="clear" w:color="auto" w:fill="FFFFFF"/>
        </w:rPr>
        <w:t>能力，具有有效营业执照或其他证明材料；</w:t>
      </w:r>
    </w:p>
    <w:p>
      <w:pPr>
        <w:pStyle w:val="12"/>
        <w:widowControl/>
        <w:spacing w:line="360" w:lineRule="auto"/>
        <w:ind w:firstLine="480" w:firstLineChars="200"/>
        <w:rPr>
          <w:rFonts w:ascii="宋体" w:hAnsi="宋体" w:eastAsia="宋体" w:cs="宋体"/>
          <w:shd w:val="clear" w:color="auto" w:fill="FFFFFF"/>
        </w:rPr>
      </w:pPr>
      <w:r>
        <w:rPr>
          <w:rFonts w:hint="eastAsia" w:ascii="宋体" w:hAnsi="宋体" w:eastAsia="宋体" w:cs="宋体"/>
          <w:shd w:val="clear" w:color="auto" w:fill="FFFFFF"/>
        </w:rPr>
        <w:t>3.2根据《关于在政府采购活动中查询及使用信用记录有关问题的通知》(财库[2016]125号)的规定，采购代理机构将通过“信用中国”网站（www.creditchina.gov.cn）、中国政府采购网（www.ccgp.gov.cn）等渠道在资格审查环节查询供应商信用记录，被列入失信被执行人、重大税收违法案件当事人名单、政府采购严重违法失信行为记录名单的单位将被拒绝参与本项目政府采购活动；信用信息查询记录和证据将同采购文件等资料一同归档保存。</w:t>
      </w:r>
    </w:p>
    <w:p>
      <w:pPr>
        <w:wordWrap w:val="0"/>
        <w:rPr>
          <w:sz w:val="21"/>
          <w:szCs w:val="22"/>
        </w:rPr>
      </w:pPr>
      <w:r>
        <w:rPr>
          <w:rFonts w:hint="eastAsia"/>
        </w:rPr>
        <w:t xml:space="preserve">  </w:t>
      </w:r>
      <w:r>
        <w:rPr>
          <w:rFonts w:hint="eastAsia" w:ascii="宋体" w:hAnsi="宋体" w:cs="宋体"/>
          <w:shd w:val="clear" w:color="auto" w:fill="FFFFFF"/>
        </w:rPr>
        <w:t>3.3投标人须提供通过“中国裁判文书网”网站（http://wenshu.court.gov.cn）查询的单位行贿及个人行贿情况，存在行贿情况的，不得参与本项目投标（查询结果网页截图须显示查询时间，查询时间为公告发布之日起，查询对象包含投标人、法定代表人、授权委托人）；</w:t>
      </w:r>
    </w:p>
    <w:p>
      <w:pPr>
        <w:pStyle w:val="12"/>
        <w:widowControl/>
        <w:spacing w:line="360" w:lineRule="auto"/>
        <w:ind w:firstLine="480" w:firstLineChars="200"/>
        <w:rPr>
          <w:rFonts w:ascii="宋体" w:hAnsi="宋体" w:cs="宋体"/>
          <w:shd w:val="clear" w:color="auto" w:fill="FFFFFF"/>
        </w:rPr>
      </w:pPr>
      <w:r>
        <w:rPr>
          <w:rFonts w:hint="eastAsia" w:ascii="宋体" w:hAnsi="宋体" w:cs="宋体"/>
          <w:shd w:val="clear" w:color="auto" w:fill="FFFFFF"/>
        </w:rPr>
        <w:t>3.4投标人法定代表人或单位负责人为同一人或者存在控股、管理关系的不同单位，不得参加同一标段投标或者未划分标段的同一招标项目的投标（提供“国家企业信用信息公示系统”网站（http://www.gsxt.gov.cn/index.html）查询结果截图，查询结果应包含公司基本信息、股东及出资信息）；</w:t>
      </w:r>
    </w:p>
    <w:p>
      <w:pPr>
        <w:pStyle w:val="12"/>
        <w:widowControl/>
        <w:spacing w:line="360" w:lineRule="auto"/>
        <w:ind w:firstLine="480" w:firstLineChars="200"/>
        <w:rPr>
          <w:rFonts w:ascii="宋体" w:hAnsi="宋体" w:eastAsia="宋体" w:cs="宋体"/>
          <w:shd w:val="clear" w:color="auto" w:fill="FFFFFF"/>
        </w:rPr>
      </w:pPr>
      <w:r>
        <w:rPr>
          <w:rFonts w:hint="eastAsia" w:ascii="宋体" w:hAnsi="宋体" w:cs="宋体"/>
          <w:shd w:val="clear" w:color="auto" w:fill="FFFFFF"/>
        </w:rPr>
        <w:t>3.5</w:t>
      </w:r>
      <w:r>
        <w:rPr>
          <w:rFonts w:hint="eastAsia" w:ascii="宋体" w:hAnsi="宋体" w:eastAsia="宋体" w:cs="宋体"/>
          <w:shd w:val="clear" w:color="auto" w:fill="FFFFFF"/>
        </w:rPr>
        <w:t>投标人须</w:t>
      </w:r>
      <w:r>
        <w:rPr>
          <w:rFonts w:hint="eastAsia" w:ascii="宋体" w:hAnsi="宋体" w:cs="宋体"/>
          <w:shd w:val="clear" w:color="auto" w:fill="FFFFFF"/>
        </w:rPr>
        <w:t>出具</w:t>
      </w:r>
      <w:r>
        <w:rPr>
          <w:rFonts w:hint="eastAsia" w:ascii="宋体" w:hAnsi="宋体" w:eastAsia="宋体" w:cs="宋体"/>
          <w:shd w:val="clear" w:color="auto" w:fill="FFFFFF"/>
        </w:rPr>
        <w:t>履行合同所须的资金、设备及能力，具有健全的财务会计制度，没有处于被责令停业、无法清偿到期债务或破产状态，且企业或企业资产未被重组、接管和冻结</w:t>
      </w:r>
      <w:r>
        <w:rPr>
          <w:rFonts w:hint="eastAsia" w:ascii="宋体" w:hAnsi="宋体" w:cs="宋体"/>
          <w:shd w:val="clear" w:color="auto" w:fill="FFFFFF"/>
        </w:rPr>
        <w:t>的</w:t>
      </w:r>
      <w:r>
        <w:rPr>
          <w:rFonts w:hint="eastAsia" w:ascii="宋体" w:hAnsi="宋体" w:eastAsia="宋体" w:cs="宋体"/>
          <w:shd w:val="clear" w:color="auto" w:fill="FFFFFF"/>
        </w:rPr>
        <w:t>书面声明</w:t>
      </w:r>
      <w:r>
        <w:rPr>
          <w:rFonts w:hint="eastAsia" w:ascii="宋体" w:hAnsi="宋体" w:cs="宋体"/>
          <w:shd w:val="clear" w:color="auto" w:fill="FFFFFF"/>
        </w:rPr>
        <w:t>（格式详见附件）</w:t>
      </w:r>
      <w:r>
        <w:rPr>
          <w:rFonts w:hint="eastAsia" w:ascii="宋体" w:hAnsi="宋体" w:eastAsia="宋体" w:cs="宋体"/>
          <w:shd w:val="clear" w:color="auto" w:fill="FFFFFF"/>
        </w:rPr>
        <w:t>；</w:t>
      </w:r>
    </w:p>
    <w:p>
      <w:pPr>
        <w:pStyle w:val="12"/>
        <w:widowControl/>
        <w:spacing w:line="360" w:lineRule="auto"/>
        <w:ind w:firstLine="480" w:firstLineChars="200"/>
        <w:rPr>
          <w:rFonts w:ascii="宋体" w:hAnsi="宋体" w:eastAsia="宋体" w:cs="宋体"/>
          <w:shd w:val="clear" w:color="auto" w:fill="FFFFFF"/>
        </w:rPr>
      </w:pPr>
      <w:r>
        <w:rPr>
          <w:rFonts w:hint="eastAsia" w:ascii="宋体" w:hAnsi="宋体" w:cs="宋体"/>
          <w:shd w:val="clear" w:color="auto" w:fill="FFFFFF"/>
        </w:rPr>
        <w:t>3.6</w:t>
      </w:r>
      <w:r>
        <w:rPr>
          <w:rFonts w:hint="eastAsia" w:ascii="宋体" w:hAnsi="宋体" w:eastAsia="宋体" w:cs="宋体"/>
          <w:shd w:val="clear" w:color="auto" w:fill="FFFFFF"/>
        </w:rPr>
        <w:t>本项目实行资格后审；</w:t>
      </w:r>
    </w:p>
    <w:p>
      <w:pPr>
        <w:pStyle w:val="12"/>
        <w:widowControl/>
        <w:spacing w:line="360" w:lineRule="auto"/>
        <w:ind w:firstLine="480" w:firstLineChars="200"/>
        <w:rPr>
          <w:rFonts w:ascii="宋体" w:hAnsi="宋体" w:eastAsia="宋体" w:cs="宋体"/>
          <w:shd w:val="clear" w:color="auto" w:fill="FFFFFF"/>
        </w:rPr>
      </w:pPr>
      <w:r>
        <w:rPr>
          <w:rFonts w:hint="eastAsia" w:ascii="宋体" w:hAnsi="宋体" w:cs="宋体"/>
          <w:shd w:val="clear" w:color="auto" w:fill="FFFFFF"/>
        </w:rPr>
        <w:t>3.7</w:t>
      </w:r>
      <w:r>
        <w:rPr>
          <w:rFonts w:hint="eastAsia" w:ascii="宋体" w:hAnsi="宋体" w:eastAsia="宋体" w:cs="宋体"/>
          <w:shd w:val="clear" w:color="auto" w:fill="FFFFFF"/>
        </w:rPr>
        <w:t>本次招标不接受联合体投标。</w:t>
      </w:r>
    </w:p>
    <w:p>
      <w:pPr>
        <w:wordWrap w:val="0"/>
        <w:ind w:firstLine="480" w:firstLineChars="200"/>
      </w:pPr>
      <w:r>
        <w:rPr>
          <w:rFonts w:hint="eastAsia"/>
        </w:rPr>
        <w:t>3.8投标人可对本项目多个标段进行投标，但只能中取一个标段。如投标人同时多标段中标时，根据所投标段顺序靠前的确定为第一中标候选人。</w:t>
      </w:r>
    </w:p>
    <w:p>
      <w:pPr>
        <w:pStyle w:val="6"/>
        <w:wordWrap w:val="0"/>
        <w:jc w:val="both"/>
      </w:pPr>
      <w:r>
        <w:rPr>
          <w:rFonts w:hint="eastAsia"/>
        </w:rPr>
        <w:t>三、获取招标文件</w:t>
      </w:r>
    </w:p>
    <w:p>
      <w:pPr>
        <w:wordWrap w:val="0"/>
        <w:ind w:firstLine="480" w:firstLineChars="200"/>
        <w:rPr>
          <w:highlight w:val="none"/>
        </w:rPr>
      </w:pPr>
      <w:r>
        <w:rPr>
          <w:rFonts w:hint="eastAsia"/>
        </w:rPr>
        <w:t>1、时</w:t>
      </w:r>
      <w:r>
        <w:rPr>
          <w:rFonts w:hint="eastAsia"/>
          <w:highlight w:val="none"/>
        </w:rPr>
        <w:t>间：</w:t>
      </w:r>
      <w:r>
        <w:rPr>
          <w:rFonts w:hint="eastAsia"/>
          <w:highlight w:val="none"/>
          <w:lang w:val="en-US" w:eastAsia="zh-CN"/>
        </w:rPr>
        <w:t>2021</w:t>
      </w:r>
      <w:r>
        <w:rPr>
          <w:rFonts w:hint="eastAsia"/>
          <w:highlight w:val="none"/>
        </w:rPr>
        <w:t>年</w:t>
      </w:r>
      <w:r>
        <w:rPr>
          <w:rFonts w:hint="eastAsia"/>
          <w:highlight w:val="none"/>
          <w:lang w:val="en-US" w:eastAsia="zh-CN"/>
        </w:rPr>
        <w:t>7</w:t>
      </w:r>
      <w:r>
        <w:rPr>
          <w:rFonts w:hint="eastAsia"/>
          <w:highlight w:val="none"/>
        </w:rPr>
        <w:t>月</w:t>
      </w:r>
      <w:r>
        <w:rPr>
          <w:rFonts w:hint="eastAsia"/>
          <w:highlight w:val="none"/>
          <w:lang w:val="en-US" w:eastAsia="zh-CN"/>
        </w:rPr>
        <w:t>5</w:t>
      </w:r>
      <w:r>
        <w:rPr>
          <w:rFonts w:hint="eastAsia"/>
          <w:highlight w:val="none"/>
        </w:rPr>
        <w:t>日至</w:t>
      </w:r>
      <w:r>
        <w:rPr>
          <w:rFonts w:hint="eastAsia"/>
          <w:highlight w:val="none"/>
          <w:lang w:val="en-US" w:eastAsia="zh-CN"/>
        </w:rPr>
        <w:t>2021</w:t>
      </w:r>
      <w:r>
        <w:rPr>
          <w:rFonts w:hint="eastAsia"/>
          <w:highlight w:val="none"/>
        </w:rPr>
        <w:t>年</w:t>
      </w:r>
      <w:r>
        <w:rPr>
          <w:rFonts w:hint="eastAsia"/>
          <w:highlight w:val="none"/>
          <w:lang w:val="en-US" w:eastAsia="zh-CN"/>
        </w:rPr>
        <w:t>7</w:t>
      </w:r>
      <w:r>
        <w:rPr>
          <w:rFonts w:hint="eastAsia"/>
          <w:highlight w:val="none"/>
        </w:rPr>
        <w:t>月</w:t>
      </w:r>
      <w:r>
        <w:rPr>
          <w:rFonts w:hint="eastAsia"/>
          <w:highlight w:val="none"/>
          <w:lang w:val="en-US" w:eastAsia="zh-CN"/>
        </w:rPr>
        <w:t>25</w:t>
      </w:r>
      <w:r>
        <w:rPr>
          <w:rFonts w:hint="eastAsia"/>
          <w:highlight w:val="none"/>
        </w:rPr>
        <w:t>日，每天上午00:00至12:00，下午12:00至23:59（北京时间，法定节假日除外。）</w:t>
      </w:r>
    </w:p>
    <w:p>
      <w:pPr>
        <w:wordWrap w:val="0"/>
        <w:ind w:firstLine="480" w:firstLineChars="200"/>
        <w:rPr>
          <w:highlight w:val="none"/>
        </w:rPr>
      </w:pPr>
      <w:r>
        <w:rPr>
          <w:rFonts w:hint="eastAsia"/>
          <w:highlight w:val="none"/>
        </w:rPr>
        <w:t>2、地点：《全国公共资源交易平台（河南省·许昌市）》（http://ggzy.xuchang.gov.cn/）</w:t>
      </w:r>
    </w:p>
    <w:p>
      <w:pPr>
        <w:wordWrap w:val="0"/>
        <w:ind w:firstLine="480" w:firstLineChars="200"/>
        <w:rPr>
          <w:highlight w:val="none"/>
        </w:rPr>
      </w:pPr>
      <w:r>
        <w:rPr>
          <w:rFonts w:hint="eastAsia"/>
          <w:highlight w:val="none"/>
        </w:rPr>
        <w:t>3、方式：在线下载</w:t>
      </w:r>
    </w:p>
    <w:p>
      <w:pPr>
        <w:wordWrap w:val="0"/>
        <w:ind w:firstLine="480" w:firstLineChars="200"/>
        <w:rPr>
          <w:highlight w:val="none"/>
        </w:rPr>
      </w:pPr>
      <w:r>
        <w:rPr>
          <w:rFonts w:hint="eastAsia"/>
          <w:highlight w:val="none"/>
        </w:rPr>
        <w:t>4、售价：0元</w:t>
      </w:r>
    </w:p>
    <w:p>
      <w:pPr>
        <w:pStyle w:val="6"/>
        <w:wordWrap w:val="0"/>
        <w:jc w:val="both"/>
        <w:rPr>
          <w:highlight w:val="none"/>
        </w:rPr>
      </w:pPr>
      <w:r>
        <w:rPr>
          <w:rFonts w:hint="eastAsia"/>
          <w:highlight w:val="none"/>
        </w:rPr>
        <w:t>四、投标截止时间及地点</w:t>
      </w:r>
    </w:p>
    <w:p>
      <w:pPr>
        <w:wordWrap w:val="0"/>
        <w:ind w:firstLine="480" w:firstLineChars="200"/>
        <w:rPr>
          <w:highlight w:val="none"/>
        </w:rPr>
      </w:pPr>
      <w:r>
        <w:rPr>
          <w:rFonts w:hint="eastAsia"/>
          <w:highlight w:val="none"/>
        </w:rPr>
        <w:t>1、时间：</w:t>
      </w:r>
      <w:r>
        <w:rPr>
          <w:rFonts w:hint="eastAsia"/>
          <w:highlight w:val="none"/>
          <w:lang w:val="en-US" w:eastAsia="zh-CN"/>
        </w:rPr>
        <w:t>2021</w:t>
      </w:r>
      <w:r>
        <w:rPr>
          <w:rFonts w:hint="eastAsia"/>
          <w:highlight w:val="none"/>
        </w:rPr>
        <w:t>年</w:t>
      </w:r>
      <w:r>
        <w:rPr>
          <w:rFonts w:hint="eastAsia"/>
          <w:highlight w:val="none"/>
          <w:lang w:val="en-US" w:eastAsia="zh-CN"/>
        </w:rPr>
        <w:t>7</w:t>
      </w:r>
      <w:r>
        <w:rPr>
          <w:rFonts w:hint="eastAsia"/>
          <w:highlight w:val="none"/>
        </w:rPr>
        <w:t>月</w:t>
      </w:r>
      <w:r>
        <w:rPr>
          <w:rFonts w:hint="eastAsia"/>
          <w:highlight w:val="none"/>
          <w:lang w:val="en-US" w:eastAsia="zh-CN"/>
        </w:rPr>
        <w:t>26</w:t>
      </w:r>
      <w:r>
        <w:rPr>
          <w:rFonts w:hint="eastAsia"/>
          <w:highlight w:val="none"/>
        </w:rPr>
        <w:t>日</w:t>
      </w:r>
      <w:r>
        <w:rPr>
          <w:rFonts w:hint="eastAsia"/>
          <w:highlight w:val="none"/>
          <w:lang w:val="en-US" w:eastAsia="zh-CN"/>
        </w:rPr>
        <w:t>10</w:t>
      </w:r>
      <w:r>
        <w:rPr>
          <w:rFonts w:hint="eastAsia"/>
          <w:highlight w:val="none"/>
        </w:rPr>
        <w:t>时</w:t>
      </w:r>
      <w:r>
        <w:rPr>
          <w:rFonts w:hint="eastAsia"/>
          <w:highlight w:val="none"/>
          <w:lang w:val="en-US" w:eastAsia="zh-CN"/>
        </w:rPr>
        <w:t>30</w:t>
      </w:r>
      <w:r>
        <w:rPr>
          <w:rFonts w:hint="eastAsia"/>
          <w:highlight w:val="none"/>
        </w:rPr>
        <w:t>分（北京时间）</w:t>
      </w:r>
    </w:p>
    <w:p>
      <w:pPr>
        <w:wordWrap w:val="0"/>
        <w:ind w:firstLine="480" w:firstLineChars="200"/>
        <w:rPr>
          <w:highlight w:val="none"/>
        </w:rPr>
      </w:pPr>
      <w:r>
        <w:rPr>
          <w:rFonts w:hint="eastAsia"/>
          <w:highlight w:val="none"/>
        </w:rPr>
        <w:t>2、地点：本项目采用网上投标，请符合投标条件的供应商使用CA数字证书加密上传响应文件。截至投标截止时间，交易系统投标通道将关闭，供应商未完成电子投标文件上传的，投标将被拒绝。</w:t>
      </w:r>
    </w:p>
    <w:p>
      <w:pPr>
        <w:pStyle w:val="6"/>
        <w:wordWrap w:val="0"/>
        <w:jc w:val="both"/>
        <w:rPr>
          <w:highlight w:val="none"/>
        </w:rPr>
      </w:pPr>
      <w:r>
        <w:rPr>
          <w:rFonts w:hint="eastAsia"/>
          <w:highlight w:val="none"/>
        </w:rPr>
        <w:t>五、开标时间及地点</w:t>
      </w:r>
    </w:p>
    <w:p>
      <w:pPr>
        <w:wordWrap w:val="0"/>
        <w:ind w:firstLine="480" w:firstLineChars="200"/>
        <w:rPr>
          <w:highlight w:val="none"/>
        </w:rPr>
      </w:pPr>
      <w:r>
        <w:rPr>
          <w:rFonts w:hint="eastAsia"/>
          <w:highlight w:val="none"/>
        </w:rPr>
        <w:t>1、时间：</w:t>
      </w:r>
      <w:r>
        <w:rPr>
          <w:rFonts w:hint="eastAsia"/>
          <w:highlight w:val="none"/>
          <w:lang w:val="en-US" w:eastAsia="zh-CN"/>
        </w:rPr>
        <w:t>2021</w:t>
      </w:r>
      <w:r>
        <w:rPr>
          <w:rFonts w:hint="eastAsia"/>
          <w:highlight w:val="none"/>
        </w:rPr>
        <w:t>年</w:t>
      </w:r>
      <w:r>
        <w:rPr>
          <w:rFonts w:hint="eastAsia"/>
          <w:highlight w:val="none"/>
          <w:lang w:val="en-US" w:eastAsia="zh-CN"/>
        </w:rPr>
        <w:t>7</w:t>
      </w:r>
      <w:r>
        <w:rPr>
          <w:rFonts w:hint="eastAsia"/>
          <w:highlight w:val="none"/>
        </w:rPr>
        <w:t>月</w:t>
      </w:r>
      <w:r>
        <w:rPr>
          <w:rFonts w:hint="eastAsia"/>
          <w:highlight w:val="none"/>
          <w:lang w:val="en-US" w:eastAsia="zh-CN"/>
        </w:rPr>
        <w:t>26</w:t>
      </w:r>
      <w:r>
        <w:rPr>
          <w:rFonts w:hint="eastAsia"/>
          <w:highlight w:val="none"/>
        </w:rPr>
        <w:t>日</w:t>
      </w:r>
      <w:r>
        <w:rPr>
          <w:rFonts w:hint="eastAsia"/>
          <w:highlight w:val="none"/>
          <w:lang w:val="en-US" w:eastAsia="zh-CN"/>
        </w:rPr>
        <w:t>10</w:t>
      </w:r>
      <w:r>
        <w:rPr>
          <w:rFonts w:hint="eastAsia"/>
          <w:highlight w:val="none"/>
        </w:rPr>
        <w:t>时</w:t>
      </w:r>
      <w:r>
        <w:rPr>
          <w:rFonts w:hint="eastAsia"/>
          <w:highlight w:val="none"/>
          <w:lang w:val="en-US" w:eastAsia="zh-CN"/>
        </w:rPr>
        <w:t>30</w:t>
      </w:r>
      <w:r>
        <w:rPr>
          <w:rFonts w:hint="eastAsia"/>
          <w:highlight w:val="none"/>
        </w:rPr>
        <w:t>分（北京时间）</w:t>
      </w:r>
    </w:p>
    <w:p>
      <w:pPr>
        <w:wordWrap w:val="0"/>
        <w:ind w:firstLine="480" w:firstLineChars="200"/>
      </w:pPr>
      <w:r>
        <w:rPr>
          <w:rFonts w:hint="eastAsia"/>
          <w:highlight w:val="none"/>
        </w:rPr>
        <w:t>2、地点：</w:t>
      </w:r>
      <w:r>
        <w:rPr>
          <w:rFonts w:hint="eastAsia" w:ascii="宋体" w:hAnsi="宋体" w:eastAsia="宋体" w:cs="宋体"/>
          <w:bCs/>
          <w:highlight w:val="none"/>
          <w:shd w:val="clear" w:color="auto" w:fill="FFFFFF"/>
        </w:rPr>
        <w:t>禹州市公共资源交易中心九楼第</w:t>
      </w:r>
      <w:r>
        <w:rPr>
          <w:rFonts w:hint="eastAsia" w:eastAsia="宋体"/>
          <w:highlight w:val="none"/>
          <w:lang w:val="en-US" w:eastAsia="zh-CN"/>
        </w:rPr>
        <w:t>二</w:t>
      </w:r>
      <w:r>
        <w:rPr>
          <w:rFonts w:hint="eastAsia" w:ascii="宋体" w:hAnsi="宋体" w:eastAsia="宋体" w:cs="宋体"/>
          <w:bCs/>
          <w:highlight w:val="none"/>
          <w:shd w:val="clear" w:color="auto" w:fill="FFFFFF"/>
        </w:rPr>
        <w:t>开</w:t>
      </w:r>
      <w:r>
        <w:rPr>
          <w:rFonts w:hint="eastAsia" w:ascii="宋体" w:hAnsi="宋体" w:eastAsia="宋体" w:cs="宋体"/>
          <w:bCs/>
          <w:shd w:val="clear" w:color="auto" w:fill="FFFFFF"/>
        </w:rPr>
        <w:t>标室。（本项目采用远程不见面开标，供应商无须到达现场）。</w:t>
      </w:r>
    </w:p>
    <w:p>
      <w:pPr>
        <w:pStyle w:val="6"/>
        <w:wordWrap w:val="0"/>
        <w:jc w:val="both"/>
      </w:pPr>
      <w:r>
        <w:rPr>
          <w:rFonts w:hint="eastAsia"/>
        </w:rPr>
        <w:t>六、发布公告的媒介及招标公告期限</w:t>
      </w:r>
    </w:p>
    <w:p>
      <w:pPr>
        <w:wordWrap w:val="0"/>
        <w:ind w:firstLine="480" w:firstLineChars="200"/>
      </w:pPr>
      <w:r>
        <w:rPr>
          <w:rFonts w:hint="eastAsia"/>
        </w:rPr>
        <w:t>本次招标公告在《河南省政府采购网》、《许昌市政府采购网》、《全国公共资源交易平台（河南省·许昌市）》、《河南省电子招标投标公共服务平台》上发布， 招标公告期限为五个工作日。</w:t>
      </w:r>
    </w:p>
    <w:p>
      <w:pPr>
        <w:pStyle w:val="6"/>
        <w:wordWrap w:val="0"/>
        <w:jc w:val="both"/>
      </w:pPr>
      <w:r>
        <w:rPr>
          <w:rFonts w:hint="eastAsia"/>
        </w:rPr>
        <w:t>七、其他补充事宜</w:t>
      </w:r>
    </w:p>
    <w:p>
      <w:pPr>
        <w:wordWrap w:val="0"/>
        <w:ind w:firstLine="480" w:firstLineChars="200"/>
      </w:pPr>
      <w:r>
        <w:rPr>
          <w:rFonts w:hint="eastAsia"/>
        </w:rPr>
        <w:t>1、本项目执行促进中小型企业发展政策（监狱企业、残疾人福利性企业视同小微企业）、强制采购节能产品、优先采购节能环保产品等政府采购政策。</w:t>
      </w:r>
    </w:p>
    <w:p>
      <w:pPr>
        <w:wordWrap w:val="0"/>
        <w:ind w:firstLine="480" w:firstLineChars="200"/>
      </w:pPr>
      <w:r>
        <w:rPr>
          <w:rFonts w:hint="eastAsia"/>
        </w:rPr>
        <w:t>2、本项目采用电子系统进行招投标，请在投标前详细阅读全国公共资源交易平台（河南省·许昌市）首页“资料下载”栏目的《交易系统全电子操作手册（投标人）》及其附件。</w:t>
      </w:r>
    </w:p>
    <w:p>
      <w:pPr>
        <w:widowControl/>
        <w:tabs>
          <w:tab w:val="left" w:pos="840"/>
        </w:tabs>
        <w:wordWrap w:val="0"/>
        <w:ind w:firstLine="480" w:firstLineChars="200"/>
        <w:jc w:val="left"/>
      </w:pPr>
      <w:r>
        <w:rPr>
          <w:rFonts w:hint="eastAsia"/>
        </w:rPr>
        <w:t>3、投标供应商在电子系统使用过程中遇到涉及系统使用的问题，可致电0374-2961598进行咨询。</w:t>
      </w:r>
    </w:p>
    <w:p>
      <w:pPr>
        <w:pStyle w:val="6"/>
        <w:wordWrap w:val="0"/>
        <w:jc w:val="both"/>
      </w:pPr>
      <w:r>
        <w:rPr>
          <w:rFonts w:hint="eastAsia"/>
        </w:rPr>
        <w:t>八、凡对本次招标提出询问，请按照以下方式联系</w:t>
      </w:r>
    </w:p>
    <w:p>
      <w:pPr>
        <w:wordWrap w:val="0"/>
        <w:ind w:firstLine="480" w:firstLineChars="200"/>
      </w:pPr>
      <w:r>
        <w:rPr>
          <w:rFonts w:hint="eastAsia"/>
        </w:rPr>
        <w:t>1.、采购人信息</w:t>
      </w:r>
    </w:p>
    <w:p>
      <w:pPr>
        <w:wordWrap w:val="0"/>
        <w:ind w:firstLine="480" w:firstLineChars="200"/>
      </w:pPr>
      <w:r>
        <w:rPr>
          <w:rFonts w:hint="eastAsia"/>
        </w:rPr>
        <w:t>名称：</w:t>
      </w:r>
      <w:r>
        <w:rPr>
          <w:rFonts w:hint="eastAsia" w:ascii="宋体" w:hAnsi="宋体" w:eastAsia="宋体" w:cs="宋体"/>
          <w:color w:val="000000"/>
          <w:kern w:val="0"/>
        </w:rPr>
        <w:t>禹州市农业农村局</w:t>
      </w:r>
    </w:p>
    <w:p>
      <w:pPr>
        <w:wordWrap w:val="0"/>
        <w:ind w:firstLine="480" w:firstLineChars="200"/>
      </w:pPr>
      <w:r>
        <w:rPr>
          <w:rFonts w:hint="eastAsia"/>
        </w:rPr>
        <w:t>地址：</w:t>
      </w:r>
      <w:r>
        <w:rPr>
          <w:rFonts w:hint="eastAsia" w:ascii="宋体" w:hAnsi="宋体" w:eastAsia="宋体" w:cs="宋体"/>
          <w:color w:val="000000"/>
          <w:kern w:val="0"/>
        </w:rPr>
        <w:t>禹州市禹王大道西段</w:t>
      </w:r>
    </w:p>
    <w:p>
      <w:pPr>
        <w:wordWrap w:val="0"/>
        <w:ind w:firstLine="480" w:firstLineChars="200"/>
      </w:pPr>
      <w:r>
        <w:rPr>
          <w:rFonts w:hint="eastAsia"/>
        </w:rPr>
        <w:t>联系人：</w:t>
      </w:r>
      <w:r>
        <w:rPr>
          <w:rFonts w:hint="eastAsia" w:ascii="宋体" w:hAnsi="宋体" w:eastAsia="宋体" w:cs="宋体"/>
          <w:color w:val="000000"/>
          <w:kern w:val="0"/>
        </w:rPr>
        <w:t>郭先生</w:t>
      </w:r>
    </w:p>
    <w:p>
      <w:pPr>
        <w:wordWrap w:val="0"/>
        <w:ind w:firstLine="480" w:firstLineChars="200"/>
      </w:pPr>
      <w:r>
        <w:rPr>
          <w:rFonts w:hint="eastAsia"/>
        </w:rPr>
        <w:t>联系方式：</w:t>
      </w:r>
      <w:r>
        <w:rPr>
          <w:rFonts w:ascii="宋体" w:hAnsi="宋体" w:eastAsia="宋体" w:cs="宋体"/>
          <w:color w:val="000000"/>
          <w:kern w:val="0"/>
        </w:rPr>
        <w:t>13782326233</w:t>
      </w:r>
    </w:p>
    <w:p>
      <w:pPr>
        <w:wordWrap w:val="0"/>
        <w:ind w:firstLine="480" w:firstLineChars="200"/>
      </w:pPr>
      <w:r>
        <w:rPr>
          <w:rFonts w:hint="eastAsia"/>
        </w:rPr>
        <w:t>2、采购代理机构信息（如有）</w:t>
      </w:r>
    </w:p>
    <w:p>
      <w:pPr>
        <w:wordWrap w:val="0"/>
        <w:ind w:firstLine="480" w:firstLineChars="200"/>
      </w:pPr>
      <w:r>
        <w:rPr>
          <w:rFonts w:hint="eastAsia"/>
        </w:rPr>
        <w:t>名称：</w:t>
      </w:r>
      <w:r>
        <w:rPr>
          <w:rFonts w:hint="eastAsia" w:ascii="宋体" w:hAnsi="宋体" w:eastAsia="宋体" w:cs="宋体"/>
          <w:color w:val="000000"/>
          <w:kern w:val="0"/>
        </w:rPr>
        <w:t>陕西瑞珂工程咨询有限责任公司</w:t>
      </w:r>
    </w:p>
    <w:p>
      <w:pPr>
        <w:wordWrap w:val="0"/>
        <w:ind w:firstLine="480" w:firstLineChars="200"/>
      </w:pPr>
      <w:r>
        <w:rPr>
          <w:rFonts w:hint="eastAsia"/>
        </w:rPr>
        <w:t>地址：河南省郑州市中原区西三环大学科技园15号楼C北栋3层</w:t>
      </w:r>
    </w:p>
    <w:p>
      <w:pPr>
        <w:wordWrap w:val="0"/>
        <w:ind w:firstLine="480" w:firstLineChars="200"/>
      </w:pPr>
      <w:r>
        <w:rPr>
          <w:rFonts w:hint="eastAsia"/>
        </w:rPr>
        <w:t>联系人：</w:t>
      </w:r>
      <w:r>
        <w:rPr>
          <w:rFonts w:hint="eastAsia" w:ascii="宋体" w:hAnsi="宋体" w:eastAsia="宋体" w:cs="宋体"/>
          <w:color w:val="000000"/>
          <w:kern w:val="0"/>
        </w:rPr>
        <w:t>杜女士</w:t>
      </w:r>
    </w:p>
    <w:p>
      <w:pPr>
        <w:wordWrap w:val="0"/>
        <w:ind w:firstLine="480" w:firstLineChars="200"/>
      </w:pPr>
      <w:r>
        <w:rPr>
          <w:rFonts w:hint="eastAsia"/>
        </w:rPr>
        <w:t>联系方式：</w:t>
      </w:r>
      <w:r>
        <w:rPr>
          <w:rFonts w:ascii="宋体" w:hAnsi="宋体" w:eastAsia="宋体" w:cs="宋体"/>
          <w:color w:val="000000"/>
          <w:kern w:val="0"/>
        </w:rPr>
        <w:t>13298210089</w:t>
      </w:r>
    </w:p>
    <w:p>
      <w:pPr>
        <w:wordWrap w:val="0"/>
        <w:ind w:firstLine="480" w:firstLineChars="200"/>
      </w:pPr>
      <w:r>
        <w:rPr>
          <w:rFonts w:hint="eastAsia"/>
        </w:rPr>
        <w:t>3、项目联系方式</w:t>
      </w:r>
    </w:p>
    <w:p>
      <w:pPr>
        <w:wordWrap w:val="0"/>
        <w:ind w:firstLine="480" w:firstLineChars="200"/>
      </w:pPr>
      <w:r>
        <w:rPr>
          <w:rFonts w:hint="eastAsia"/>
        </w:rPr>
        <w:t>项目联系人：</w:t>
      </w:r>
      <w:r>
        <w:rPr>
          <w:rFonts w:hint="eastAsia" w:ascii="宋体" w:hAnsi="宋体" w:eastAsia="宋体" w:cs="宋体"/>
          <w:color w:val="000000"/>
          <w:kern w:val="0"/>
        </w:rPr>
        <w:t>杜女士</w:t>
      </w:r>
    </w:p>
    <w:p>
      <w:pPr>
        <w:wordWrap w:val="0"/>
        <w:ind w:firstLine="480" w:firstLineChars="200"/>
      </w:pPr>
      <w:r>
        <w:rPr>
          <w:rFonts w:hint="eastAsia"/>
        </w:rPr>
        <w:t>联系方式：</w:t>
      </w:r>
      <w:r>
        <w:rPr>
          <w:rFonts w:ascii="宋体" w:hAnsi="宋体" w:eastAsia="宋体" w:cs="宋体"/>
          <w:color w:val="000000"/>
          <w:kern w:val="0"/>
        </w:rPr>
        <w:t>13298210089</w:t>
      </w:r>
    </w:p>
    <w:p/>
    <w:p/>
    <w:p>
      <w:pPr>
        <w:rPr>
          <w:rFonts w:ascii="宋体" w:hAnsi="宋体" w:eastAsia="宋体" w:cs="宋体"/>
          <w:b/>
          <w:bCs/>
          <w:shd w:val="clear" w:color="000000" w:fill="FFFFFF"/>
        </w:rPr>
      </w:pPr>
      <w:r>
        <w:rPr>
          <w:rFonts w:hint="eastAsia" w:ascii="宋体" w:hAnsi="宋体" w:eastAsia="宋体" w:cs="宋体"/>
          <w:b/>
          <w:bCs/>
          <w:shd w:val="clear" w:color="000000" w:fill="FFFFFF"/>
        </w:rPr>
        <w:t>温馨提示：本项目为全流程电子化交易项目，请注意以下事项。</w:t>
      </w:r>
    </w:p>
    <w:p>
      <w:pPr>
        <w:rPr>
          <w:rFonts w:ascii="宋体" w:hAnsi="宋体" w:eastAsia="宋体" w:cs="宋体"/>
          <w:b/>
          <w:bCs/>
          <w:shd w:val="clear" w:color="000000" w:fill="FFFFFF"/>
        </w:rPr>
      </w:pPr>
      <w:r>
        <w:rPr>
          <w:rFonts w:hint="eastAsia" w:ascii="宋体" w:hAnsi="宋体" w:eastAsia="宋体" w:cs="宋体"/>
          <w:b/>
          <w:bCs/>
          <w:shd w:val="clear" w:color="000000" w:fill="FFFFFF"/>
        </w:rPr>
        <w:t>1.供应商参加本项目投标，需提前自行联系CA服务机构办理数字认证证书并进行电子签章。</w:t>
      </w:r>
    </w:p>
    <w:p>
      <w:pPr>
        <w:rPr>
          <w:rFonts w:ascii="宋体" w:hAnsi="宋体" w:eastAsia="宋体" w:cs="宋体"/>
          <w:b/>
          <w:bCs/>
          <w:shd w:val="clear" w:color="000000" w:fill="FFFFFF"/>
        </w:rPr>
      </w:pPr>
      <w:r>
        <w:rPr>
          <w:rFonts w:hint="eastAsia" w:ascii="宋体" w:hAnsi="宋体" w:eastAsia="宋体" w:cs="宋体"/>
          <w:b/>
          <w:bCs/>
          <w:shd w:val="clear" w:color="000000" w:fill="FFFFFF"/>
        </w:rPr>
        <w:t>2.招标文件下载、投标文件制作、提交、远程不见面开标（电子投标文件的解密）环节，投标人须使用同一个CA数字证书（证书须在有效期内并可正常使用）。</w:t>
      </w:r>
    </w:p>
    <w:p>
      <w:pPr>
        <w:rPr>
          <w:rFonts w:ascii="宋体" w:hAnsi="宋体" w:eastAsia="宋体" w:cs="宋体"/>
          <w:b/>
          <w:bCs/>
          <w:shd w:val="clear" w:color="000000" w:fill="FFFFFF"/>
        </w:rPr>
      </w:pPr>
      <w:r>
        <w:rPr>
          <w:rFonts w:hint="eastAsia" w:ascii="宋体" w:hAnsi="宋体" w:eastAsia="宋体" w:cs="宋体"/>
          <w:b/>
          <w:bCs/>
          <w:shd w:val="clear" w:color="000000" w:fill="FFFFFF"/>
        </w:rPr>
        <w:t>3.电子投标文件的制作</w:t>
      </w:r>
    </w:p>
    <w:p>
      <w:pPr>
        <w:rPr>
          <w:rFonts w:ascii="宋体" w:hAnsi="宋体" w:eastAsia="宋体" w:cs="宋体"/>
          <w:shd w:val="clear" w:color="000000" w:fill="FFFFFF"/>
        </w:rPr>
      </w:pPr>
      <w:r>
        <w:rPr>
          <w:rFonts w:hint="eastAsia" w:ascii="宋体" w:hAnsi="宋体" w:eastAsia="宋体" w:cs="宋体"/>
          <w:shd w:val="clear" w:color="000000" w:fill="FFFFFF"/>
        </w:rPr>
        <w:t>3.1 投标人登录《全国公共资源交易平台(河南省▪许昌市)》公共资源交易系统（http://ggzy.xuchang.gov.cn:8088/ggzy/）下载“许昌投标文件制作系统SEARUN 最新版本”，制作投标文件。</w:t>
      </w:r>
    </w:p>
    <w:p>
      <w:pPr>
        <w:rPr>
          <w:rFonts w:ascii="宋体" w:hAnsi="宋体" w:eastAsia="宋体" w:cs="宋体"/>
          <w:shd w:val="clear" w:color="000000" w:fill="FFFFFF"/>
        </w:rPr>
      </w:pPr>
      <w:r>
        <w:rPr>
          <w:rFonts w:hint="eastAsia" w:ascii="宋体" w:hAnsi="宋体" w:eastAsia="宋体" w:cs="宋体"/>
          <w:shd w:val="clear" w:color="000000" w:fill="FFFFFF"/>
        </w:rPr>
        <w:t>3.2投标人对同一项目多个标段进行投标的，应分别下载所投标段的招标文件，按标段制作投标文件。一个标段对应生成一个文件夹（xxxx项目xx标段）,其中后缀名为“.file”的文件用于投标。</w:t>
      </w:r>
    </w:p>
    <w:p>
      <w:pPr>
        <w:rPr>
          <w:rFonts w:ascii="宋体" w:hAnsi="宋体" w:eastAsia="宋体" w:cs="宋体"/>
          <w:b/>
          <w:bCs/>
          <w:shd w:val="clear" w:color="000000" w:fill="FFFFFF"/>
        </w:rPr>
      </w:pPr>
      <w:r>
        <w:rPr>
          <w:rFonts w:hint="eastAsia" w:ascii="宋体" w:hAnsi="宋体" w:eastAsia="宋体" w:cs="宋体"/>
          <w:b/>
          <w:bCs/>
          <w:shd w:val="clear" w:color="000000" w:fill="FFFFFF"/>
        </w:rPr>
        <w:t>4.加密电子投标文件的提交</w:t>
      </w:r>
    </w:p>
    <w:p>
      <w:pPr>
        <w:rPr>
          <w:rFonts w:ascii="宋体" w:hAnsi="宋体" w:eastAsia="宋体" w:cs="宋体"/>
          <w:shd w:val="clear" w:color="000000" w:fill="FFFFFF"/>
        </w:rPr>
      </w:pPr>
      <w:r>
        <w:rPr>
          <w:rFonts w:hint="eastAsia" w:ascii="宋体" w:hAnsi="宋体" w:eastAsia="宋体" w:cs="宋体"/>
          <w:shd w:val="clear" w:color="000000" w:fill="FFFFFF"/>
        </w:rPr>
        <w:t>4.1 投标人对同一项目多个标段进行投标的，加密电子投标文件应按标段分别提交。</w:t>
      </w:r>
    </w:p>
    <w:p>
      <w:pPr>
        <w:rPr>
          <w:rFonts w:ascii="宋体" w:hAnsi="宋体" w:eastAsia="宋体" w:cs="宋体"/>
          <w:shd w:val="clear" w:color="000000" w:fill="FFFFFF"/>
        </w:rPr>
      </w:pPr>
      <w:r>
        <w:rPr>
          <w:rFonts w:hint="eastAsia" w:ascii="宋体" w:hAnsi="宋体" w:eastAsia="宋体" w:cs="宋体"/>
          <w:shd w:val="clear" w:color="000000" w:fill="FFFFFF"/>
        </w:rPr>
        <w:t>4.2 加密电子投标文件成功提交后，《全国公共资源交易平台(河南省▪许昌市)》公共资源交易系统（http://ggzy.xuchang.gov.cn:8088/ggzy/）生成“投标文件提交回执单”。</w:t>
      </w:r>
    </w:p>
    <w:p>
      <w:pPr>
        <w:rPr>
          <w:rFonts w:ascii="宋体" w:hAnsi="宋体" w:eastAsia="宋体" w:cs="宋体"/>
          <w:b/>
          <w:bCs/>
          <w:shd w:val="clear" w:color="000000" w:fill="FFFFFF"/>
        </w:rPr>
      </w:pPr>
      <w:r>
        <w:rPr>
          <w:rFonts w:hint="eastAsia" w:ascii="宋体" w:hAnsi="宋体" w:eastAsia="宋体" w:cs="宋体"/>
          <w:b/>
          <w:bCs/>
          <w:shd w:val="clear" w:color="000000" w:fill="FFFFFF"/>
        </w:rPr>
        <w:t>5.远程不见面开标（电子投标文件的解密）</w:t>
      </w:r>
    </w:p>
    <w:p>
      <w:pPr>
        <w:rPr>
          <w:rFonts w:ascii="宋体" w:hAnsi="宋体" w:eastAsia="宋体" w:cs="宋体"/>
          <w:shd w:val="clear" w:color="000000" w:fill="FFFFFF"/>
        </w:rPr>
      </w:pPr>
      <w:r>
        <w:rPr>
          <w:rFonts w:hint="eastAsia" w:ascii="宋体" w:hAnsi="宋体" w:eastAsia="宋体" w:cs="宋体"/>
          <w:shd w:val="clear" w:color="000000" w:fill="FFFFFF"/>
        </w:rPr>
        <w:t>5.1 本项目采用远程“不见面”开标方式，投标前请详细阅读全国公共资源交易平台（河南省·许昌市）首页“资料下载”栏目的《许昌市不见面操作手册》。</w:t>
      </w:r>
    </w:p>
    <w:p>
      <w:pPr>
        <w:rPr>
          <w:rFonts w:ascii="宋体" w:hAnsi="宋体" w:eastAsia="宋体" w:cs="宋体"/>
          <w:shd w:val="clear" w:color="000000" w:fill="FFFFFF"/>
        </w:rPr>
      </w:pPr>
      <w:r>
        <w:rPr>
          <w:rFonts w:hint="eastAsia" w:ascii="宋体" w:hAnsi="宋体" w:eastAsia="宋体" w:cs="宋体"/>
          <w:shd w:val="clear" w:color="000000" w:fill="FFFFFF"/>
        </w:rPr>
        <w:t>5.2 投标人提前设置不见面开标浏览器，并于开标时间前登录本项目不见面开标大厅，按照规定的开标时间准时参加网上开标。</w:t>
      </w:r>
    </w:p>
    <w:p>
      <w:pPr>
        <w:rPr>
          <w:rFonts w:ascii="宋体" w:hAnsi="宋体" w:eastAsia="宋体" w:cs="宋体"/>
          <w:shd w:val="clear" w:color="000000" w:fill="FFFFFF"/>
        </w:rPr>
      </w:pPr>
      <w:r>
        <w:rPr>
          <w:rFonts w:hint="eastAsia" w:ascii="宋体" w:hAnsi="宋体" w:eastAsia="宋体" w:cs="宋体"/>
          <w:shd w:val="clear" w:color="000000" w:fill="FFFFFF"/>
        </w:rPr>
        <w:t>5.3 根据采购代理机构在“文字互动”对话框的通知，投标人选择功能栏“解密环节”按钮进行电子投标文件解密（投标人解密应自采购代理机构点击“开标开始”按钮后120分钟内完成）。投标人未解密或因投标人原因解密失败的，其投标将被拒绝。</w:t>
      </w:r>
    </w:p>
    <w:p>
      <w:pPr>
        <w:rPr>
          <w:rFonts w:ascii="宋体" w:hAnsi="宋体" w:eastAsia="宋体" w:cs="宋体"/>
          <w:shd w:val="clear" w:color="000000" w:fill="FFFFFF"/>
        </w:rPr>
      </w:pPr>
      <w:r>
        <w:rPr>
          <w:rFonts w:hint="eastAsia" w:ascii="宋体" w:hAnsi="宋体" w:eastAsia="宋体" w:cs="宋体"/>
          <w:shd w:val="clear" w:color="000000" w:fill="FFFFFF"/>
        </w:rPr>
        <w:t>5.4 开标活动结束时，投标人应在《开标记录表》上进行电子签章。投标人未签章的，视同认可开标结果。</w:t>
      </w:r>
    </w:p>
    <w:p>
      <w:pPr>
        <w:rPr>
          <w:rFonts w:ascii="宋体" w:hAnsi="宋体" w:eastAsia="宋体" w:cs="宋体"/>
          <w:shd w:val="clear" w:color="000000" w:fill="FFFFFF"/>
        </w:rPr>
      </w:pPr>
      <w:r>
        <w:rPr>
          <w:rFonts w:hint="eastAsia" w:ascii="宋体" w:hAnsi="宋体" w:eastAsia="宋体" w:cs="宋体"/>
          <w:shd w:val="clear" w:color="000000" w:fill="FFFFFF"/>
        </w:rPr>
        <w:t>5.5 投标人对开标过程和开标记录如有疑义，可在本项目不见面开标大厅“文字互动”对话框或“新增质疑”处在线提出询问。</w:t>
      </w:r>
    </w:p>
    <w:p>
      <w:pPr>
        <w:rPr>
          <w:rFonts w:ascii="宋体" w:hAnsi="宋体" w:eastAsia="宋体" w:cs="宋体"/>
          <w:b/>
          <w:bCs/>
          <w:shd w:val="clear" w:color="000000" w:fill="FFFFFF"/>
        </w:rPr>
      </w:pPr>
      <w:r>
        <w:rPr>
          <w:rFonts w:hint="eastAsia" w:ascii="宋体" w:hAnsi="宋体" w:eastAsia="宋体" w:cs="宋体"/>
          <w:b/>
          <w:bCs/>
          <w:shd w:val="clear" w:color="000000" w:fill="FFFFFF"/>
        </w:rPr>
        <w:t>6.评标依据</w:t>
      </w:r>
    </w:p>
    <w:p>
      <w:pPr>
        <w:rPr>
          <w:rFonts w:ascii="宋体" w:hAnsi="宋体" w:eastAsia="宋体" w:cs="宋体"/>
          <w:shd w:val="clear" w:color="000000" w:fill="FFFFFF"/>
        </w:rPr>
      </w:pPr>
      <w:r>
        <w:rPr>
          <w:rFonts w:hint="eastAsia" w:ascii="宋体" w:hAnsi="宋体" w:eastAsia="宋体" w:cs="宋体"/>
          <w:shd w:val="clear" w:color="000000" w:fill="FFFFFF"/>
        </w:rPr>
        <w:t>6.1 全流程电子化交易（不见面开标）项目，评标委员会以成功上传、解密的电子投标文件为依据评审。</w:t>
      </w:r>
    </w:p>
    <w:p>
      <w:pPr>
        <w:rPr>
          <w:rFonts w:ascii="宋体" w:hAnsi="宋体" w:eastAsia="宋体" w:cs="宋体"/>
          <w:shd w:val="clear" w:color="000000" w:fill="FFFFFF"/>
        </w:rPr>
      </w:pPr>
      <w:r>
        <w:rPr>
          <w:rFonts w:hint="eastAsia" w:ascii="宋体" w:hAnsi="宋体" w:eastAsia="宋体" w:cs="宋体"/>
          <w:shd w:val="clear" w:color="000000" w:fill="FFFFFF"/>
        </w:rPr>
        <w:t>6.2 评标期间，投标人应保持通讯手机畅通。评标委员会如要求投标人作出澄清、说明或者补正等，投标人应在评标委员会要求的评标期间合理的时间内通过电子邮件形式提供。</w:t>
      </w:r>
    </w:p>
    <w:p>
      <w:pPr>
        <w:rPr>
          <w:rFonts w:ascii="宋体" w:hAnsi="宋体" w:eastAsia="宋体" w:cs="宋体"/>
          <w:shd w:val="clear" w:color="000000" w:fill="FFFFFF"/>
        </w:rPr>
      </w:pPr>
      <w:r>
        <w:rPr>
          <w:rFonts w:hint="eastAsia" w:ascii="宋体" w:hAnsi="宋体" w:eastAsia="宋体" w:cs="宋体"/>
          <w:shd w:val="clear" w:color="000000" w:fill="FFFFFF"/>
        </w:rPr>
        <w:t>6.3 投标人通过电子邮件提供的书面说明或相关证明材料应加盖公章，或者由法定代表人或其授权的代表签字。</w:t>
      </w:r>
    </w:p>
    <w:p>
      <w:pPr>
        <w:wordWrap w:val="0"/>
      </w:pPr>
    </w:p>
    <w:p>
      <w:pPr>
        <w:widowControl/>
        <w:spacing w:line="240" w:lineRule="auto"/>
        <w:jc w:val="left"/>
      </w:pPr>
      <w:r>
        <w:br w:type="page"/>
      </w:r>
    </w:p>
    <w:p>
      <w:pPr>
        <w:pStyle w:val="2"/>
      </w:pPr>
    </w:p>
    <w:p>
      <w:pPr>
        <w:pStyle w:val="6"/>
        <w:jc w:val="center"/>
      </w:pPr>
      <w:r>
        <w:rPr>
          <w:rFonts w:hint="eastAsia"/>
        </w:rPr>
        <w:t>致电代煤改造建设项目投标人的公开信</w:t>
      </w:r>
    </w:p>
    <w:p>
      <w:pPr>
        <w:wordWrap w:val="0"/>
      </w:pPr>
    </w:p>
    <w:p>
      <w:pPr>
        <w:wordWrap w:val="0"/>
      </w:pPr>
      <w:r>
        <w:rPr>
          <w:rFonts w:hint="eastAsia"/>
        </w:rPr>
        <w:t>尊敬的各投标人：</w:t>
      </w:r>
    </w:p>
    <w:p>
      <w:pPr>
        <w:wordWrap w:val="0"/>
        <w:ind w:firstLine="480" w:firstLineChars="200"/>
      </w:pPr>
      <w:r>
        <w:rPr>
          <w:rFonts w:hint="eastAsia"/>
        </w:rPr>
        <w:t>首先感谢您对禹州市农业农村局2021年烟叶烤房电代煤变压器建设项目（不见面开标）的关心和支持！欢迎您积极参与项目投标。</w:t>
      </w:r>
    </w:p>
    <w:p>
      <w:pPr>
        <w:wordWrap w:val="0"/>
        <w:ind w:firstLine="480" w:firstLineChars="200"/>
      </w:pPr>
      <w:r>
        <w:rPr>
          <w:rFonts w:hint="eastAsia"/>
        </w:rPr>
        <w:t>为认真落实烟草行业和省市政府关于电能烤房改造建设的工作要求，禹州市农业农村局将开展禹州市2021年烟叶烤房电代煤改造建设项目，为充分沟通、增进互信，营造良好环境，确保烟叶烤房电代煤变压器建设项目建设公开公平公正地进行，特给您致此公开信。</w:t>
      </w:r>
    </w:p>
    <w:p>
      <w:pPr>
        <w:wordWrap w:val="0"/>
        <w:ind w:firstLine="480" w:firstLineChars="200"/>
      </w:pPr>
      <w:r>
        <w:rPr>
          <w:rFonts w:hint="eastAsia"/>
        </w:rPr>
        <w:t>我单位将严格执行国家法律法规和行业制度，规范开展项目招标工作，项目招标全部进入公共资源交易中心，确保公开、公平、公正。我们将严密廉洁风险防控，监督相关参与人员认真履职尽责、依法依规办事，严肃查处招标采购及项目建设过程中的违纪违法行为。</w:t>
      </w:r>
    </w:p>
    <w:p>
      <w:pPr>
        <w:wordWrap w:val="0"/>
        <w:ind w:firstLine="480" w:firstLineChars="200"/>
      </w:pPr>
      <w:r>
        <w:rPr>
          <w:rFonts w:hint="eastAsia"/>
        </w:rPr>
        <w:t>希望各投标人加强自律，在投标和项目建设过程中，始终遵守有关法律法规，确保不向项目招标采购相关单位及人员输送利益、施加影响，确保不发生围标、串标等违纪违法行为。各投标人在项目建设过程中应自始至终遵守投标承诺，立足合同、严格履约。</w:t>
      </w:r>
    </w:p>
    <w:p>
      <w:pPr>
        <w:wordWrap w:val="0"/>
        <w:ind w:firstLine="480" w:firstLineChars="200"/>
      </w:pPr>
      <w:r>
        <w:rPr>
          <w:rFonts w:hint="eastAsia"/>
        </w:rPr>
        <w:t>各投标人如发现我单位存在不公平及违规操作等情况，可及时与我单位相关业务部门沟通，电话是0374- 8609638，或向禹州市财政局采购监督管理办公室投诉举报，电话是：0374-8112523。对于线索具体的投诉举报，我们将认真核查，给您一个公正的答复。</w:t>
      </w:r>
    </w:p>
    <w:p>
      <w:pPr>
        <w:wordWrap w:val="0"/>
        <w:ind w:firstLine="480" w:firstLineChars="200"/>
      </w:pPr>
      <w:r>
        <w:rPr>
          <w:rFonts w:hint="eastAsia"/>
        </w:rPr>
        <w:t xml:space="preserve"> 尊敬的各投标人，让我们共同努力，同创环境、共建亲清、互信理解、珍视信誉，促进电能烤房改造建设工作顺利进行！</w:t>
      </w:r>
    </w:p>
    <w:p>
      <w:pPr>
        <w:wordWrap w:val="0"/>
      </w:pPr>
    </w:p>
    <w:p>
      <w:pPr>
        <w:wordWrap w:val="0"/>
      </w:pPr>
    </w:p>
    <w:p>
      <w:pPr>
        <w:wordWrap w:val="0"/>
      </w:pPr>
    </w:p>
    <w:p>
      <w:pPr>
        <w:wordWrap w:val="0"/>
        <w:jc w:val="right"/>
      </w:pPr>
      <w:r>
        <w:rPr>
          <w:rFonts w:hint="eastAsia"/>
        </w:rPr>
        <w:t xml:space="preserve">禹州市农业农村局 </w:t>
      </w:r>
    </w:p>
    <w:p>
      <w:pPr>
        <w:wordWrap w:val="0"/>
        <w:jc w:val="right"/>
        <w:rPr>
          <w:highlight w:val="none"/>
        </w:rPr>
      </w:pPr>
      <w:r>
        <w:rPr>
          <w:rFonts w:hint="eastAsia"/>
          <w:highlight w:val="none"/>
        </w:rPr>
        <w:t>2021年</w:t>
      </w:r>
      <w:r>
        <w:rPr>
          <w:rFonts w:hint="eastAsia"/>
          <w:highlight w:val="none"/>
          <w:lang w:val="en-US" w:eastAsia="zh-CN"/>
        </w:rPr>
        <w:t>7</w:t>
      </w:r>
      <w:r>
        <w:rPr>
          <w:rFonts w:hint="eastAsia"/>
          <w:highlight w:val="none"/>
        </w:rPr>
        <w:t>月</w:t>
      </w:r>
      <w:r>
        <w:rPr>
          <w:rFonts w:hint="eastAsia"/>
          <w:highlight w:val="none"/>
          <w:lang w:val="en-US" w:eastAsia="zh-CN"/>
        </w:rPr>
        <w:t>5</w:t>
      </w:r>
      <w:r>
        <w:rPr>
          <w:rFonts w:hint="eastAsia"/>
          <w:highlight w:val="none"/>
        </w:rPr>
        <w:t>日</w:t>
      </w:r>
    </w:p>
    <w:p>
      <w:pPr>
        <w:wordWrap w:val="0"/>
        <w:rPr>
          <w:highlight w:val="none"/>
        </w:rPr>
      </w:pPr>
      <w:r>
        <w:rPr>
          <w:rFonts w:hint="eastAsia"/>
          <w:highlight w:val="none"/>
        </w:rPr>
        <w:br w:type="page"/>
      </w:r>
    </w:p>
    <w:p>
      <w:pPr>
        <w:pStyle w:val="5"/>
        <w:wordWrap w:val="0"/>
        <w:rPr>
          <w:highlight w:val="none"/>
        </w:rPr>
      </w:pPr>
      <w:r>
        <w:rPr>
          <w:rFonts w:hint="eastAsia"/>
          <w:highlight w:val="none"/>
        </w:rPr>
        <w:t>第二章 项目需求</w:t>
      </w:r>
    </w:p>
    <w:p>
      <w:pPr>
        <w:pStyle w:val="6"/>
        <w:wordWrap w:val="0"/>
        <w:jc w:val="both"/>
        <w:rPr>
          <w:highlight w:val="none"/>
        </w:rPr>
      </w:pPr>
      <w:r>
        <w:rPr>
          <w:rFonts w:hint="eastAsia"/>
          <w:highlight w:val="none"/>
        </w:rPr>
        <w:t>一、项目概况</w:t>
      </w:r>
    </w:p>
    <w:p>
      <w:pPr>
        <w:wordWrap w:val="0"/>
        <w:ind w:firstLine="480" w:firstLineChars="200"/>
        <w:rPr>
          <w:highlight w:val="none"/>
        </w:rPr>
      </w:pPr>
      <w:r>
        <w:rPr>
          <w:rFonts w:hint="eastAsia"/>
          <w:highlight w:val="none"/>
        </w:rPr>
        <w:t>1、采购人：禹州市农业农村局</w:t>
      </w:r>
    </w:p>
    <w:p>
      <w:pPr>
        <w:wordWrap w:val="0"/>
        <w:ind w:firstLine="480" w:firstLineChars="200"/>
        <w:rPr>
          <w:highlight w:val="none"/>
        </w:rPr>
      </w:pPr>
      <w:r>
        <w:rPr>
          <w:rFonts w:hint="eastAsia"/>
          <w:highlight w:val="none"/>
        </w:rPr>
        <w:t>2、采购编号：</w:t>
      </w:r>
      <w:r>
        <w:rPr>
          <w:highlight w:val="none"/>
        </w:rPr>
        <w:t xml:space="preserve"> </w:t>
      </w:r>
      <w:r>
        <w:rPr>
          <w:rFonts w:hint="eastAsia"/>
          <w:highlight w:val="none"/>
        </w:rPr>
        <w:t>YZCG-DL</w:t>
      </w:r>
      <w:r>
        <w:rPr>
          <w:highlight w:val="none"/>
        </w:rPr>
        <w:t>G</w:t>
      </w:r>
      <w:r>
        <w:rPr>
          <w:rFonts w:hint="eastAsia"/>
          <w:highlight w:val="none"/>
          <w:lang w:val="en-US" w:eastAsia="zh-CN"/>
        </w:rPr>
        <w:t>2021045</w:t>
      </w:r>
    </w:p>
    <w:p>
      <w:pPr>
        <w:wordWrap w:val="0"/>
        <w:ind w:firstLine="480" w:firstLineChars="200"/>
      </w:pPr>
      <w:r>
        <w:rPr>
          <w:rFonts w:hint="eastAsia"/>
        </w:rPr>
        <w:t>3、采购预算（最高限价）：584万元</w:t>
      </w:r>
    </w:p>
    <w:p>
      <w:pPr>
        <w:wordWrap w:val="0"/>
        <w:ind w:firstLine="849" w:firstLineChars="354"/>
      </w:pPr>
      <w:r>
        <w:rPr>
          <w:rFonts w:hint="eastAsia"/>
        </w:rPr>
        <w:t>第一标段：292.5万元；</w:t>
      </w:r>
    </w:p>
    <w:p>
      <w:pPr>
        <w:wordWrap w:val="0"/>
        <w:ind w:firstLine="849" w:firstLineChars="354"/>
      </w:pPr>
      <w:r>
        <w:rPr>
          <w:rFonts w:hint="eastAsia"/>
        </w:rPr>
        <w:t>第二标段：291.5万元；</w:t>
      </w:r>
    </w:p>
    <w:p>
      <w:pPr>
        <w:wordWrap w:val="0"/>
        <w:ind w:firstLine="480" w:firstLineChars="200"/>
      </w:pPr>
      <w:r>
        <w:rPr>
          <w:rFonts w:hint="eastAsia"/>
        </w:rPr>
        <w:t>4、项目地点：该项目位于禹州市境内。一标段为范坡、小吕；二标段为张得、朱阁、古城、文殊、苌庄；</w:t>
      </w:r>
    </w:p>
    <w:p>
      <w:pPr>
        <w:wordWrap w:val="0"/>
        <w:ind w:firstLine="480" w:firstLineChars="200"/>
      </w:pPr>
      <w:r>
        <w:rPr>
          <w:rFonts w:hint="eastAsia"/>
        </w:rPr>
        <w:t>5、交付（服务、完工）时间：收到发包人开工通知起30日历天内完工；</w:t>
      </w:r>
    </w:p>
    <w:p>
      <w:pPr>
        <w:pStyle w:val="6"/>
        <w:wordWrap w:val="0"/>
        <w:jc w:val="both"/>
      </w:pPr>
      <w:r>
        <w:rPr>
          <w:rFonts w:hint="eastAsia"/>
        </w:rPr>
        <w:t>二、报价要求及其他相关要求</w:t>
      </w:r>
    </w:p>
    <w:p>
      <w:pPr>
        <w:wordWrap w:val="0"/>
        <w:ind w:firstLine="480" w:firstLineChars="200"/>
      </w:pPr>
      <w:r>
        <w:rPr>
          <w:rFonts w:hint="eastAsia"/>
        </w:rPr>
        <w:t>1、供应商应就该项目完整报价，否则为无效报价。</w:t>
      </w:r>
    </w:p>
    <w:p>
      <w:pPr>
        <w:wordWrap w:val="0"/>
        <w:ind w:firstLine="480" w:firstLineChars="200"/>
      </w:pPr>
      <w:r>
        <w:rPr>
          <w:rFonts w:hint="eastAsia"/>
        </w:rPr>
        <w:t>2、响应文件中须有详细的实施（技术）方案。</w:t>
      </w:r>
    </w:p>
    <w:p>
      <w:pPr>
        <w:wordWrap w:val="0"/>
        <w:ind w:firstLine="480" w:firstLineChars="200"/>
      </w:pPr>
      <w:r>
        <w:rPr>
          <w:rFonts w:hint="eastAsia"/>
        </w:rPr>
        <w:t>3、本项目的投标报价为总报价，投标报价应是招标文件和图纸、采购清单（另册）、补充文件（如有）确定范围的所有与该项目有关的费用的价格体现，是指与本项目所涉及的一切费用之和。供应商所填报价格在合同实施期间不因市场变化（或政策性）因素而变动，报价单位根据市场行情价、相关法律法规及本单位具体情况编制。</w:t>
      </w:r>
    </w:p>
    <w:p>
      <w:pPr>
        <w:wordWrap w:val="0"/>
        <w:ind w:firstLine="480" w:firstLineChars="200"/>
      </w:pPr>
      <w:r>
        <w:rPr>
          <w:rFonts w:hint="eastAsia"/>
        </w:rPr>
        <w:t>4、供应商须明确投标产品的厂家、产地、品牌、型号、详细参数。</w:t>
      </w:r>
    </w:p>
    <w:p>
      <w:pPr>
        <w:wordWrap w:val="0"/>
        <w:ind w:firstLine="480" w:firstLineChars="200"/>
      </w:pPr>
      <w:r>
        <w:rPr>
          <w:rFonts w:hint="eastAsia"/>
        </w:rPr>
        <w:t>5、产品必须符合国家质量检测标准和本招标文件规定标准的全新正品现货，供货时提供随货物《产品合格证》。</w:t>
      </w:r>
    </w:p>
    <w:p>
      <w:pPr>
        <w:wordWrap w:val="0"/>
        <w:ind w:firstLine="480" w:firstLineChars="200"/>
      </w:pPr>
      <w:r>
        <w:rPr>
          <w:rFonts w:hint="eastAsia"/>
        </w:rPr>
        <w:t>6、专利权：投标人应保证用户在使用该设计成果时或其任何一部分时不受第三方提出侵犯其专利权、商标权和工业设计权等的起诉。</w:t>
      </w:r>
    </w:p>
    <w:p>
      <w:pPr>
        <w:wordWrap w:val="0"/>
        <w:ind w:firstLine="480" w:firstLineChars="200"/>
      </w:pPr>
      <w:r>
        <w:rPr>
          <w:rFonts w:hint="eastAsia"/>
        </w:rPr>
        <w:t>7、本项目为交钥匙工程（包括设备、材料、元件等购置、安装调试、验收、与其它施工单位协作所产生的费用等）</w:t>
      </w:r>
    </w:p>
    <w:p>
      <w:pPr>
        <w:wordWrap w:val="0"/>
        <w:ind w:firstLine="480" w:firstLineChars="200"/>
      </w:pPr>
      <w:r>
        <w:rPr>
          <w:rFonts w:hint="eastAsia"/>
        </w:rPr>
        <w:t>8、中标方须保证安全文明施工：警示灯、牌齐全；现场做好降尘、降噪音、降低污染措施；</w:t>
      </w:r>
    </w:p>
    <w:p>
      <w:pPr>
        <w:pStyle w:val="6"/>
        <w:wordWrap w:val="0"/>
        <w:jc w:val="both"/>
      </w:pPr>
      <w:r>
        <w:rPr>
          <w:rFonts w:hint="eastAsia"/>
        </w:rPr>
        <w:t>三、采购标的的其他技术、服务等要求</w:t>
      </w:r>
    </w:p>
    <w:p>
      <w:pPr>
        <w:wordWrap w:val="0"/>
        <w:ind w:firstLine="480" w:firstLineChars="200"/>
      </w:pPr>
      <w:r>
        <w:rPr>
          <w:rFonts w:hint="eastAsia"/>
        </w:rPr>
        <w:t>1、本次招标某些技术标准与国家所要求的标准不统一或有不兼容的地方，均以国家强制性标准或最新出台的标准为准。</w:t>
      </w:r>
    </w:p>
    <w:p>
      <w:pPr>
        <w:wordWrap w:val="0"/>
        <w:ind w:firstLine="480" w:firstLineChars="200"/>
      </w:pPr>
      <w:r>
        <w:rPr>
          <w:rFonts w:hint="eastAsia"/>
        </w:rPr>
        <w:t>2、如果未在招标文件中要求提供其相关行业标准或国家强制性标准的，则投标人有责任给予补充说明。</w:t>
      </w:r>
    </w:p>
    <w:p>
      <w:pPr>
        <w:wordWrap w:val="0"/>
        <w:ind w:firstLine="480" w:firstLineChars="200"/>
      </w:pPr>
      <w:r>
        <w:rPr>
          <w:rFonts w:hint="eastAsia"/>
        </w:rPr>
        <w:t>3、中标方未达到作业计划标准及工作违规或引起纠纷、被上级部门处罚等不良后果，造成重大经济损失或服务严重失误，采购方有权终止本合同，并追究中标方的经济责任。</w:t>
      </w:r>
    </w:p>
    <w:p>
      <w:pPr>
        <w:wordWrap w:val="0"/>
        <w:ind w:firstLine="480" w:firstLineChars="200"/>
      </w:pPr>
      <w:r>
        <w:rPr>
          <w:rFonts w:hint="eastAsia"/>
        </w:rPr>
        <w:t>4、严格遵守国家相关法律、法规和规章制度，坚持公开、公平、公正、诚实守信的原则，独立开展评估服务工作。</w:t>
      </w:r>
    </w:p>
    <w:p>
      <w:pPr>
        <w:wordWrap w:val="0"/>
        <w:ind w:firstLine="480" w:firstLineChars="200"/>
      </w:pPr>
      <w:r>
        <w:rPr>
          <w:rFonts w:hint="eastAsia"/>
        </w:rPr>
        <w:t>5、中标单位在供货运输和安装过程中出现的安全问题负责，供应商应对此做出承诺，否则按无效标处理。</w:t>
      </w:r>
    </w:p>
    <w:p>
      <w:pPr>
        <w:pStyle w:val="6"/>
        <w:wordWrap w:val="0"/>
        <w:jc w:val="both"/>
      </w:pPr>
      <w:r>
        <w:rPr>
          <w:rFonts w:hint="eastAsia"/>
        </w:rPr>
        <w:t>四、技术标准和要求</w:t>
      </w:r>
    </w:p>
    <w:p>
      <w:pPr>
        <w:wordWrap w:val="0"/>
        <w:ind w:firstLine="480" w:firstLineChars="200"/>
      </w:pPr>
      <w:r>
        <w:rPr>
          <w:rFonts w:hint="eastAsia"/>
        </w:rPr>
        <w:t>1、投标人保证提供设备为全新的、先进的、成熟的、完整的和安全可靠的，且设备的技术经济性能符合招标文件的要求。</w:t>
      </w:r>
    </w:p>
    <w:p>
      <w:pPr>
        <w:wordWrap w:val="0"/>
        <w:ind w:firstLine="480" w:firstLineChars="200"/>
      </w:pPr>
      <w:r>
        <w:rPr>
          <w:rFonts w:hint="eastAsia"/>
        </w:rPr>
        <w:t>2、除非另有说明，本工程适用所有现行有效的相关国家、行业以及地方规范、规程和标准。上述规范、规程和标准均指它们各自的最新版本。如果上述规范、规程和标准之间出现矛盾或与合同其他内容存在不一致，承包人应书面请求发包人澄清，发包人未予澄清者，按其中最高的要求或最严格的标准执行。适用本工程的上述规范、标准和规程的具体编号和名称则在本文件中有意空缺，由承包人依据上述原则自行收集。</w:t>
      </w:r>
    </w:p>
    <w:p>
      <w:pPr>
        <w:wordWrap w:val="0"/>
        <w:ind w:firstLine="480" w:firstLineChars="200"/>
      </w:pPr>
      <w:r>
        <w:rPr>
          <w:rFonts w:hint="eastAsia"/>
        </w:rPr>
        <w:t>3、投标人应具有完善的的售后服务，免费培训操作及维修人员，免费负责设备的安装及调试。投标人须明确质保期限，须明确维修地点、负责人、联系人和联系电话。</w:t>
      </w:r>
    </w:p>
    <w:p>
      <w:pPr>
        <w:pStyle w:val="6"/>
        <w:wordWrap w:val="0"/>
        <w:jc w:val="both"/>
      </w:pPr>
      <w:r>
        <w:rPr>
          <w:rFonts w:hint="eastAsia"/>
        </w:rPr>
        <w:t>五、验收标准</w:t>
      </w:r>
    </w:p>
    <w:p>
      <w:pPr>
        <w:wordWrap w:val="0"/>
        <w:ind w:firstLine="480" w:firstLineChars="200"/>
      </w:pPr>
      <w:r>
        <w:rPr>
          <w:rFonts w:hint="eastAsia"/>
        </w:rPr>
        <w:t>1、招标人有权要求中标候选人提供所有与本次投标相关资料原件进行查验，无法提供或有造假等违法违规行为根据相关规定执行处理。</w:t>
      </w:r>
    </w:p>
    <w:p>
      <w:pPr>
        <w:wordWrap w:val="0"/>
        <w:ind w:firstLine="480" w:firstLineChars="200"/>
      </w:pPr>
      <w:r>
        <w:rPr>
          <w:rFonts w:hint="eastAsia"/>
        </w:rPr>
        <w:t>2、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wordWrap w:val="0"/>
        <w:ind w:firstLine="480" w:firstLineChars="200"/>
      </w:pPr>
      <w:r>
        <w:rPr>
          <w:rFonts w:hint="eastAsia"/>
        </w:rPr>
        <w:t>3、本项目采用现场运行、测试验收方式验收。投标人完成的项目应达到的质量标准应符合国家和履约地相关安全质量标准；行业技术规范标准；环保节能标准；强制认证相关标准。</w:t>
      </w:r>
    </w:p>
    <w:p>
      <w:pPr>
        <w:wordWrap w:val="0"/>
        <w:ind w:firstLine="480" w:firstLineChars="200"/>
      </w:pPr>
      <w:r>
        <w:rPr>
          <w:rFonts w:hint="eastAsia"/>
        </w:rPr>
        <w:t>4、投标人完成的项目应达到的质量标准应符合国家和履约地相关安全质量标准；行业技术规范标准；环保节能标准；强制认证相关标准。</w:t>
      </w:r>
    </w:p>
    <w:p>
      <w:pPr>
        <w:wordWrap w:val="0"/>
        <w:ind w:firstLine="480" w:firstLineChars="200"/>
      </w:pPr>
      <w:r>
        <w:rPr>
          <w:rFonts w:hint="eastAsia"/>
        </w:rPr>
        <w:t>5、符合招标文件要求和投标文件承诺。</w:t>
      </w:r>
    </w:p>
    <w:p>
      <w:pPr>
        <w:wordWrap w:val="0"/>
        <w:ind w:firstLine="480" w:firstLineChars="200"/>
      </w:pPr>
      <w:r>
        <w:rPr>
          <w:rFonts w:hint="eastAsia"/>
        </w:rPr>
        <w:t>6、本项目验收如需要第三方验收，中标方将承担所有产生的费用。</w:t>
      </w:r>
    </w:p>
    <w:p>
      <w:pPr>
        <w:pStyle w:val="6"/>
        <w:wordWrap w:val="0"/>
        <w:jc w:val="both"/>
      </w:pPr>
      <w:r>
        <w:rPr>
          <w:rFonts w:hint="eastAsia"/>
        </w:rPr>
        <w:t>六、其他说明</w:t>
      </w:r>
    </w:p>
    <w:p>
      <w:pPr>
        <w:wordWrap w:val="0"/>
        <w:ind w:firstLine="480" w:firstLineChars="200"/>
      </w:pPr>
      <w:r>
        <w:rPr>
          <w:rFonts w:hint="eastAsia"/>
        </w:rPr>
        <w:t>1、采购清单</w:t>
      </w:r>
    </w:p>
    <w:tbl>
      <w:tblPr>
        <w:tblStyle w:val="14"/>
        <w:tblW w:w="90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2"/>
        <w:gridCol w:w="1512"/>
        <w:gridCol w:w="1512"/>
        <w:gridCol w:w="1513"/>
        <w:gridCol w:w="1513"/>
        <w:gridCol w:w="15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0" w:hRule="atLeast"/>
          <w:jc w:val="center"/>
        </w:trPr>
        <w:tc>
          <w:tcPr>
            <w:tcW w:w="1512" w:type="dxa"/>
            <w:vAlign w:val="center"/>
          </w:tcPr>
          <w:p>
            <w:pPr>
              <w:wordWrap w:val="0"/>
              <w:jc w:val="center"/>
            </w:pPr>
            <w:r>
              <w:rPr>
                <w:rFonts w:hint="eastAsia"/>
              </w:rPr>
              <w:t>标段</w:t>
            </w:r>
          </w:p>
        </w:tc>
        <w:tc>
          <w:tcPr>
            <w:tcW w:w="1512" w:type="dxa"/>
            <w:vAlign w:val="center"/>
          </w:tcPr>
          <w:p>
            <w:pPr>
              <w:wordWrap w:val="0"/>
              <w:jc w:val="center"/>
            </w:pPr>
            <w:r>
              <w:rPr>
                <w:rFonts w:hint="eastAsia"/>
                <w:lang w:val="zh-CN"/>
              </w:rPr>
              <w:t>货物名称</w:t>
            </w:r>
          </w:p>
        </w:tc>
        <w:tc>
          <w:tcPr>
            <w:tcW w:w="1512" w:type="dxa"/>
            <w:vAlign w:val="center"/>
          </w:tcPr>
          <w:p>
            <w:pPr>
              <w:wordWrap w:val="0"/>
              <w:jc w:val="center"/>
            </w:pPr>
            <w:r>
              <w:rPr>
                <w:rFonts w:hint="eastAsia"/>
                <w:lang w:val="zh-CN"/>
              </w:rPr>
              <w:t>技术规格及主要参数</w:t>
            </w:r>
          </w:p>
        </w:tc>
        <w:tc>
          <w:tcPr>
            <w:tcW w:w="1513" w:type="dxa"/>
            <w:vAlign w:val="center"/>
          </w:tcPr>
          <w:p>
            <w:pPr>
              <w:wordWrap w:val="0"/>
              <w:jc w:val="center"/>
            </w:pPr>
            <w:r>
              <w:rPr>
                <w:rFonts w:hint="eastAsia"/>
                <w:lang w:val="zh-CN"/>
              </w:rPr>
              <w:t>单位</w:t>
            </w:r>
          </w:p>
        </w:tc>
        <w:tc>
          <w:tcPr>
            <w:tcW w:w="1513" w:type="dxa"/>
            <w:vAlign w:val="center"/>
          </w:tcPr>
          <w:p>
            <w:pPr>
              <w:wordWrap w:val="0"/>
              <w:jc w:val="center"/>
            </w:pPr>
            <w:r>
              <w:rPr>
                <w:rFonts w:hint="eastAsia"/>
                <w:lang w:val="zh-CN"/>
              </w:rPr>
              <w:t>数量</w:t>
            </w:r>
          </w:p>
        </w:tc>
        <w:tc>
          <w:tcPr>
            <w:tcW w:w="1513" w:type="dxa"/>
            <w:vAlign w:val="center"/>
          </w:tcPr>
          <w:p>
            <w:pPr>
              <w:wordWrap w:val="0"/>
              <w:jc w:val="center"/>
              <w:rPr>
                <w:lang w:val="zh-CN"/>
              </w:rPr>
            </w:pPr>
            <w:r>
              <w:rPr>
                <w:rFonts w:hint="eastAsia"/>
                <w:lang w:val="zh-CN"/>
              </w:rPr>
              <w:t>是否为核心产品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1512" w:type="dxa"/>
            <w:vMerge w:val="restart"/>
            <w:vAlign w:val="center"/>
          </w:tcPr>
          <w:p>
            <w:pPr>
              <w:wordWrap w:val="0"/>
              <w:jc w:val="center"/>
            </w:pPr>
            <w:r>
              <w:rPr>
                <w:rFonts w:hint="eastAsia"/>
              </w:rPr>
              <w:t>一标段</w:t>
            </w:r>
          </w:p>
        </w:tc>
        <w:tc>
          <w:tcPr>
            <w:tcW w:w="1512" w:type="dxa"/>
            <w:vAlign w:val="center"/>
          </w:tcPr>
          <w:p>
            <w:pPr>
              <w:wordWrap w:val="0"/>
              <w:jc w:val="center"/>
            </w:pPr>
            <w:r>
              <w:rPr>
                <w:rFonts w:hint="eastAsia" w:ascii="宋体" w:hAnsi="宋体" w:eastAsia="宋体" w:cs="宋体"/>
                <w:color w:val="000000"/>
                <w:kern w:val="0"/>
                <w:szCs w:val="21"/>
              </w:rPr>
              <w:t>变压器</w:t>
            </w:r>
          </w:p>
        </w:tc>
        <w:tc>
          <w:tcPr>
            <w:tcW w:w="1512" w:type="dxa"/>
            <w:vAlign w:val="center"/>
          </w:tcPr>
          <w:p>
            <w:pPr>
              <w:wordWrap w:val="0"/>
              <w:jc w:val="center"/>
            </w:pPr>
            <w:r>
              <w:rPr>
                <w:rFonts w:hint="eastAsia"/>
              </w:rPr>
              <w:t>200KVA</w:t>
            </w:r>
          </w:p>
        </w:tc>
        <w:tc>
          <w:tcPr>
            <w:tcW w:w="1513" w:type="dxa"/>
            <w:vAlign w:val="center"/>
          </w:tcPr>
          <w:p>
            <w:pPr>
              <w:wordWrap w:val="0"/>
              <w:jc w:val="center"/>
            </w:pPr>
            <w:r>
              <w:rPr>
                <w:rFonts w:hint="eastAsia"/>
              </w:rPr>
              <w:t>台套</w:t>
            </w:r>
          </w:p>
        </w:tc>
        <w:tc>
          <w:tcPr>
            <w:tcW w:w="1513" w:type="dxa"/>
            <w:vAlign w:val="center"/>
          </w:tcPr>
          <w:p>
            <w:pPr>
              <w:wordWrap w:val="0"/>
              <w:jc w:val="center"/>
            </w:pPr>
            <w:r>
              <w:rPr>
                <w:rFonts w:hint="eastAsia"/>
              </w:rPr>
              <w:t>7</w:t>
            </w:r>
          </w:p>
        </w:tc>
        <w:tc>
          <w:tcPr>
            <w:tcW w:w="1513" w:type="dxa"/>
            <w:vAlign w:val="center"/>
          </w:tcPr>
          <w:p>
            <w:pPr>
              <w:wordWrap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1512" w:type="dxa"/>
            <w:vMerge w:val="continue"/>
            <w:vAlign w:val="center"/>
          </w:tcPr>
          <w:p>
            <w:pPr>
              <w:wordWrap w:val="0"/>
              <w:jc w:val="center"/>
            </w:pPr>
          </w:p>
        </w:tc>
        <w:tc>
          <w:tcPr>
            <w:tcW w:w="1512" w:type="dxa"/>
            <w:vAlign w:val="center"/>
          </w:tcPr>
          <w:p>
            <w:pPr>
              <w:wordWrap w:val="0"/>
              <w:jc w:val="center"/>
            </w:pPr>
            <w:r>
              <w:rPr>
                <w:rFonts w:hint="eastAsia" w:ascii="宋体" w:hAnsi="宋体" w:eastAsia="宋体" w:cs="宋体"/>
                <w:color w:val="000000"/>
                <w:kern w:val="0"/>
                <w:szCs w:val="21"/>
              </w:rPr>
              <w:t>变压器</w:t>
            </w:r>
          </w:p>
        </w:tc>
        <w:tc>
          <w:tcPr>
            <w:tcW w:w="1512" w:type="dxa"/>
            <w:vAlign w:val="center"/>
          </w:tcPr>
          <w:p>
            <w:pPr>
              <w:wordWrap w:val="0"/>
              <w:jc w:val="center"/>
            </w:pPr>
            <w:r>
              <w:rPr>
                <w:rFonts w:hint="eastAsia"/>
              </w:rPr>
              <w:t>250KVA</w:t>
            </w:r>
          </w:p>
        </w:tc>
        <w:tc>
          <w:tcPr>
            <w:tcW w:w="1513" w:type="dxa"/>
            <w:vAlign w:val="center"/>
          </w:tcPr>
          <w:p>
            <w:pPr>
              <w:wordWrap w:val="0"/>
              <w:jc w:val="center"/>
            </w:pPr>
            <w:r>
              <w:rPr>
                <w:rFonts w:hint="eastAsia"/>
              </w:rPr>
              <w:t>台套</w:t>
            </w:r>
          </w:p>
        </w:tc>
        <w:tc>
          <w:tcPr>
            <w:tcW w:w="1513" w:type="dxa"/>
            <w:vAlign w:val="center"/>
          </w:tcPr>
          <w:p>
            <w:pPr>
              <w:wordWrap w:val="0"/>
              <w:jc w:val="center"/>
            </w:pPr>
            <w:r>
              <w:rPr>
                <w:rFonts w:hint="eastAsia"/>
              </w:rPr>
              <w:t>8</w:t>
            </w:r>
          </w:p>
        </w:tc>
        <w:tc>
          <w:tcPr>
            <w:tcW w:w="1513" w:type="dxa"/>
            <w:vAlign w:val="center"/>
          </w:tcPr>
          <w:p>
            <w:pPr>
              <w:wordWrap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1512" w:type="dxa"/>
            <w:vMerge w:val="continue"/>
            <w:vAlign w:val="center"/>
          </w:tcPr>
          <w:p>
            <w:pPr>
              <w:wordWrap w:val="0"/>
              <w:jc w:val="center"/>
            </w:pPr>
          </w:p>
        </w:tc>
        <w:tc>
          <w:tcPr>
            <w:tcW w:w="1512" w:type="dxa"/>
            <w:vAlign w:val="center"/>
          </w:tcPr>
          <w:p>
            <w:pPr>
              <w:wordWrap w:val="0"/>
              <w:jc w:val="center"/>
            </w:pPr>
            <w:r>
              <w:rPr>
                <w:rFonts w:hint="eastAsia" w:ascii="宋体" w:hAnsi="宋体" w:eastAsia="宋体" w:cs="宋体"/>
                <w:color w:val="000000"/>
                <w:kern w:val="0"/>
                <w:szCs w:val="21"/>
              </w:rPr>
              <w:t>变压器</w:t>
            </w:r>
          </w:p>
        </w:tc>
        <w:tc>
          <w:tcPr>
            <w:tcW w:w="1512" w:type="dxa"/>
            <w:vAlign w:val="center"/>
          </w:tcPr>
          <w:p>
            <w:pPr>
              <w:wordWrap w:val="0"/>
              <w:jc w:val="center"/>
            </w:pPr>
            <w:r>
              <w:rPr>
                <w:rFonts w:hint="eastAsia"/>
              </w:rPr>
              <w:t>315KVA</w:t>
            </w:r>
          </w:p>
        </w:tc>
        <w:tc>
          <w:tcPr>
            <w:tcW w:w="1513" w:type="dxa"/>
            <w:vAlign w:val="center"/>
          </w:tcPr>
          <w:p>
            <w:pPr>
              <w:wordWrap w:val="0"/>
              <w:jc w:val="center"/>
            </w:pPr>
            <w:r>
              <w:rPr>
                <w:rFonts w:hint="eastAsia"/>
              </w:rPr>
              <w:t>台套</w:t>
            </w:r>
          </w:p>
        </w:tc>
        <w:tc>
          <w:tcPr>
            <w:tcW w:w="1513" w:type="dxa"/>
            <w:vAlign w:val="center"/>
          </w:tcPr>
          <w:p>
            <w:pPr>
              <w:wordWrap w:val="0"/>
              <w:jc w:val="center"/>
            </w:pPr>
            <w:r>
              <w:rPr>
                <w:rFonts w:hint="eastAsia"/>
              </w:rPr>
              <w:t>13</w:t>
            </w:r>
          </w:p>
        </w:tc>
        <w:tc>
          <w:tcPr>
            <w:tcW w:w="1513" w:type="dxa"/>
            <w:vAlign w:val="center"/>
          </w:tcPr>
          <w:p>
            <w:pPr>
              <w:wordWrap w:val="0"/>
              <w:jc w:val="center"/>
            </w:pPr>
            <w:r>
              <w:rPr>
                <w:rFonts w:hint="eastAsia"/>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1512" w:type="dxa"/>
            <w:vMerge w:val="restart"/>
            <w:vAlign w:val="center"/>
          </w:tcPr>
          <w:p>
            <w:pPr>
              <w:wordWrap w:val="0"/>
              <w:jc w:val="center"/>
            </w:pPr>
            <w:r>
              <w:rPr>
                <w:rFonts w:hint="eastAsia"/>
              </w:rPr>
              <w:t>二标段</w:t>
            </w:r>
          </w:p>
        </w:tc>
        <w:tc>
          <w:tcPr>
            <w:tcW w:w="1512" w:type="dxa"/>
            <w:vAlign w:val="center"/>
          </w:tcPr>
          <w:p>
            <w:pPr>
              <w:wordWrap w:val="0"/>
              <w:jc w:val="center"/>
            </w:pPr>
            <w:r>
              <w:rPr>
                <w:rFonts w:hint="eastAsia" w:ascii="宋体" w:hAnsi="宋体" w:eastAsia="宋体" w:cs="宋体"/>
                <w:color w:val="000000"/>
                <w:kern w:val="0"/>
                <w:szCs w:val="21"/>
              </w:rPr>
              <w:t>变压器</w:t>
            </w:r>
          </w:p>
        </w:tc>
        <w:tc>
          <w:tcPr>
            <w:tcW w:w="1512" w:type="dxa"/>
            <w:vAlign w:val="center"/>
          </w:tcPr>
          <w:p>
            <w:pPr>
              <w:wordWrap w:val="0"/>
              <w:jc w:val="center"/>
            </w:pPr>
            <w:r>
              <w:rPr>
                <w:rFonts w:hint="eastAsia"/>
              </w:rPr>
              <w:t>200KVA</w:t>
            </w:r>
          </w:p>
        </w:tc>
        <w:tc>
          <w:tcPr>
            <w:tcW w:w="1513" w:type="dxa"/>
            <w:vAlign w:val="center"/>
          </w:tcPr>
          <w:p>
            <w:pPr>
              <w:wordWrap w:val="0"/>
              <w:jc w:val="center"/>
            </w:pPr>
            <w:r>
              <w:rPr>
                <w:rFonts w:hint="eastAsia"/>
              </w:rPr>
              <w:t>台套</w:t>
            </w:r>
          </w:p>
        </w:tc>
        <w:tc>
          <w:tcPr>
            <w:tcW w:w="1513" w:type="dxa"/>
            <w:vAlign w:val="center"/>
          </w:tcPr>
          <w:p>
            <w:pPr>
              <w:wordWrap w:val="0"/>
              <w:jc w:val="center"/>
            </w:pPr>
            <w:r>
              <w:rPr>
                <w:rFonts w:hint="eastAsia"/>
              </w:rPr>
              <w:t>3</w:t>
            </w:r>
          </w:p>
        </w:tc>
        <w:tc>
          <w:tcPr>
            <w:tcW w:w="1513" w:type="dxa"/>
            <w:vAlign w:val="center"/>
          </w:tcPr>
          <w:p>
            <w:pPr>
              <w:wordWrap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1512" w:type="dxa"/>
            <w:vMerge w:val="continue"/>
            <w:vAlign w:val="center"/>
          </w:tcPr>
          <w:p>
            <w:pPr>
              <w:wordWrap w:val="0"/>
              <w:jc w:val="center"/>
            </w:pPr>
          </w:p>
        </w:tc>
        <w:tc>
          <w:tcPr>
            <w:tcW w:w="1512" w:type="dxa"/>
            <w:vAlign w:val="center"/>
          </w:tcPr>
          <w:p>
            <w:pPr>
              <w:wordWrap w:val="0"/>
              <w:jc w:val="center"/>
            </w:pPr>
            <w:r>
              <w:rPr>
                <w:rFonts w:hint="eastAsia" w:ascii="宋体" w:hAnsi="宋体" w:eastAsia="宋体" w:cs="宋体"/>
                <w:color w:val="000000"/>
                <w:kern w:val="0"/>
                <w:szCs w:val="21"/>
              </w:rPr>
              <w:t>变压器</w:t>
            </w:r>
          </w:p>
        </w:tc>
        <w:tc>
          <w:tcPr>
            <w:tcW w:w="1512" w:type="dxa"/>
            <w:vAlign w:val="center"/>
          </w:tcPr>
          <w:p>
            <w:pPr>
              <w:wordWrap w:val="0"/>
              <w:jc w:val="center"/>
            </w:pPr>
            <w:r>
              <w:rPr>
                <w:rFonts w:hint="eastAsia"/>
              </w:rPr>
              <w:t>250KVA</w:t>
            </w:r>
          </w:p>
        </w:tc>
        <w:tc>
          <w:tcPr>
            <w:tcW w:w="1513" w:type="dxa"/>
            <w:vAlign w:val="center"/>
          </w:tcPr>
          <w:p>
            <w:pPr>
              <w:wordWrap w:val="0"/>
              <w:jc w:val="center"/>
            </w:pPr>
            <w:r>
              <w:rPr>
                <w:rFonts w:hint="eastAsia"/>
              </w:rPr>
              <w:t>台套</w:t>
            </w:r>
          </w:p>
        </w:tc>
        <w:tc>
          <w:tcPr>
            <w:tcW w:w="1513" w:type="dxa"/>
            <w:vAlign w:val="center"/>
          </w:tcPr>
          <w:p>
            <w:pPr>
              <w:wordWrap w:val="0"/>
              <w:jc w:val="center"/>
            </w:pPr>
            <w:r>
              <w:rPr>
                <w:rFonts w:hint="eastAsia"/>
              </w:rPr>
              <w:t>9</w:t>
            </w:r>
          </w:p>
        </w:tc>
        <w:tc>
          <w:tcPr>
            <w:tcW w:w="1513" w:type="dxa"/>
            <w:vAlign w:val="center"/>
          </w:tcPr>
          <w:p>
            <w:pPr>
              <w:wordWrap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1512" w:type="dxa"/>
            <w:vMerge w:val="continue"/>
            <w:vAlign w:val="center"/>
          </w:tcPr>
          <w:p>
            <w:pPr>
              <w:wordWrap w:val="0"/>
              <w:jc w:val="center"/>
            </w:pPr>
          </w:p>
        </w:tc>
        <w:tc>
          <w:tcPr>
            <w:tcW w:w="1512" w:type="dxa"/>
            <w:vAlign w:val="center"/>
          </w:tcPr>
          <w:p>
            <w:pPr>
              <w:wordWrap w:val="0"/>
              <w:jc w:val="center"/>
            </w:pPr>
            <w:r>
              <w:rPr>
                <w:rFonts w:hint="eastAsia" w:ascii="宋体" w:hAnsi="宋体" w:eastAsia="宋体" w:cs="宋体"/>
                <w:color w:val="000000"/>
                <w:kern w:val="0"/>
                <w:szCs w:val="21"/>
              </w:rPr>
              <w:t>变压器</w:t>
            </w:r>
          </w:p>
        </w:tc>
        <w:tc>
          <w:tcPr>
            <w:tcW w:w="1512" w:type="dxa"/>
            <w:vAlign w:val="center"/>
          </w:tcPr>
          <w:p>
            <w:pPr>
              <w:wordWrap w:val="0"/>
              <w:jc w:val="center"/>
            </w:pPr>
            <w:r>
              <w:rPr>
                <w:rFonts w:hint="eastAsia"/>
              </w:rPr>
              <w:t>315KVA</w:t>
            </w:r>
          </w:p>
        </w:tc>
        <w:tc>
          <w:tcPr>
            <w:tcW w:w="1513" w:type="dxa"/>
            <w:vAlign w:val="center"/>
          </w:tcPr>
          <w:p>
            <w:pPr>
              <w:wordWrap w:val="0"/>
              <w:jc w:val="center"/>
            </w:pPr>
            <w:r>
              <w:rPr>
                <w:rFonts w:hint="eastAsia"/>
              </w:rPr>
              <w:t>台套</w:t>
            </w:r>
          </w:p>
        </w:tc>
        <w:tc>
          <w:tcPr>
            <w:tcW w:w="1513" w:type="dxa"/>
            <w:vAlign w:val="center"/>
          </w:tcPr>
          <w:p>
            <w:pPr>
              <w:wordWrap w:val="0"/>
              <w:jc w:val="center"/>
            </w:pPr>
            <w:r>
              <w:rPr>
                <w:rFonts w:hint="eastAsia"/>
              </w:rPr>
              <w:t>13</w:t>
            </w:r>
          </w:p>
        </w:tc>
        <w:tc>
          <w:tcPr>
            <w:tcW w:w="1513" w:type="dxa"/>
            <w:vAlign w:val="center"/>
          </w:tcPr>
          <w:p>
            <w:pPr>
              <w:wordWrap w:val="0"/>
              <w:jc w:val="center"/>
            </w:pPr>
            <w:r>
              <w:rPr>
                <w:rFonts w:hint="eastAsia"/>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1512" w:type="dxa"/>
            <w:vMerge w:val="continue"/>
            <w:vAlign w:val="center"/>
          </w:tcPr>
          <w:p>
            <w:pPr>
              <w:wordWrap w:val="0"/>
              <w:jc w:val="center"/>
            </w:pPr>
          </w:p>
        </w:tc>
        <w:tc>
          <w:tcPr>
            <w:tcW w:w="1512" w:type="dxa"/>
            <w:vAlign w:val="center"/>
          </w:tcPr>
          <w:p>
            <w:pPr>
              <w:wordWrap w:val="0"/>
              <w:jc w:val="center"/>
            </w:pPr>
            <w:r>
              <w:rPr>
                <w:rFonts w:hint="eastAsia" w:ascii="宋体" w:hAnsi="宋体" w:eastAsia="宋体" w:cs="宋体"/>
                <w:color w:val="000000"/>
                <w:kern w:val="0"/>
                <w:szCs w:val="21"/>
              </w:rPr>
              <w:t>变压器</w:t>
            </w:r>
          </w:p>
        </w:tc>
        <w:tc>
          <w:tcPr>
            <w:tcW w:w="1512" w:type="dxa"/>
            <w:vAlign w:val="center"/>
          </w:tcPr>
          <w:p>
            <w:pPr>
              <w:wordWrap w:val="0"/>
              <w:jc w:val="center"/>
            </w:pPr>
            <w:r>
              <w:rPr>
                <w:rFonts w:hint="eastAsia"/>
              </w:rPr>
              <w:t>400KVA</w:t>
            </w:r>
          </w:p>
        </w:tc>
        <w:tc>
          <w:tcPr>
            <w:tcW w:w="1513" w:type="dxa"/>
            <w:vAlign w:val="center"/>
          </w:tcPr>
          <w:p>
            <w:pPr>
              <w:wordWrap w:val="0"/>
              <w:jc w:val="center"/>
            </w:pPr>
            <w:r>
              <w:rPr>
                <w:rFonts w:hint="eastAsia"/>
              </w:rPr>
              <w:t>台套</w:t>
            </w:r>
          </w:p>
        </w:tc>
        <w:tc>
          <w:tcPr>
            <w:tcW w:w="1513" w:type="dxa"/>
            <w:vAlign w:val="center"/>
          </w:tcPr>
          <w:p>
            <w:pPr>
              <w:wordWrap w:val="0"/>
              <w:jc w:val="center"/>
            </w:pPr>
            <w:r>
              <w:rPr>
                <w:rFonts w:hint="eastAsia"/>
              </w:rPr>
              <w:t>2</w:t>
            </w:r>
          </w:p>
        </w:tc>
        <w:tc>
          <w:tcPr>
            <w:tcW w:w="1513" w:type="dxa"/>
            <w:vAlign w:val="center"/>
          </w:tcPr>
          <w:p>
            <w:pPr>
              <w:wordWrap w:val="0"/>
              <w:jc w:val="center"/>
            </w:pPr>
          </w:p>
        </w:tc>
      </w:tr>
    </w:tbl>
    <w:p>
      <w:pPr>
        <w:wordWrap w:val="0"/>
        <w:ind w:firstLine="480" w:firstLineChars="200"/>
      </w:pPr>
      <w:r>
        <w:rPr>
          <w:rFonts w:hint="eastAsia"/>
        </w:rPr>
        <w:t>2、支付方式：财政支付（按照豫环攻坚办{2021}22号文件精神，新建及改造烤房项目涉及的变压器建设资金由各级政府承担，其中省级财政承担50%，许昌和禹州财政共同承担50%，许昌市和禹州市各自承担的比例待许昌市最终批复。高压线路铺设及高压计量安装资金由市电力部门承担）</w:t>
      </w:r>
    </w:p>
    <w:p>
      <w:pPr>
        <w:wordWrap w:val="0"/>
        <w:ind w:firstLine="480" w:firstLineChars="200"/>
      </w:pPr>
      <w:r>
        <w:rPr>
          <w:rFonts w:hint="eastAsia"/>
        </w:rPr>
        <w:t>3、支付时间及条件：以签订合同为准。</w:t>
      </w:r>
    </w:p>
    <w:p>
      <w:pPr>
        <w:wordWrap w:val="0"/>
      </w:pPr>
      <w:r>
        <w:rPr>
          <w:rFonts w:hint="eastAsia"/>
        </w:rPr>
        <w:br w:type="page"/>
      </w:r>
    </w:p>
    <w:p>
      <w:pPr>
        <w:pStyle w:val="5"/>
        <w:wordWrap w:val="0"/>
      </w:pPr>
      <w:r>
        <w:rPr>
          <w:rFonts w:hint="eastAsia"/>
        </w:rPr>
        <w:t>第三章 投标人须知前附表</w:t>
      </w:r>
    </w:p>
    <w:tbl>
      <w:tblPr>
        <w:tblStyle w:val="13"/>
        <w:tblW w:w="89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061"/>
        <w:gridCol w:w="61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709" w:type="dxa"/>
            <w:vAlign w:val="center"/>
          </w:tcPr>
          <w:p>
            <w:pPr>
              <w:wordWrap w:val="0"/>
              <w:jc w:val="center"/>
            </w:pPr>
            <w:r>
              <w:rPr>
                <w:rFonts w:hint="eastAsia"/>
              </w:rPr>
              <w:t>序号</w:t>
            </w:r>
          </w:p>
        </w:tc>
        <w:tc>
          <w:tcPr>
            <w:tcW w:w="2061" w:type="dxa"/>
            <w:vAlign w:val="center"/>
          </w:tcPr>
          <w:p>
            <w:pPr>
              <w:wordWrap w:val="0"/>
              <w:jc w:val="center"/>
            </w:pPr>
            <w:r>
              <w:rPr>
                <w:rFonts w:hint="eastAsia"/>
              </w:rPr>
              <w:t>条款名称</w:t>
            </w:r>
          </w:p>
        </w:tc>
        <w:tc>
          <w:tcPr>
            <w:tcW w:w="6156" w:type="dxa"/>
            <w:vAlign w:val="center"/>
          </w:tcPr>
          <w:p>
            <w:pPr>
              <w:wordWrap w:val="0"/>
              <w:jc w:val="center"/>
            </w:pPr>
            <w:r>
              <w:rPr>
                <w:rFonts w:hint="eastAsia"/>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1" w:hRule="atLeast"/>
          <w:jc w:val="center"/>
        </w:trPr>
        <w:tc>
          <w:tcPr>
            <w:tcW w:w="709" w:type="dxa"/>
            <w:vAlign w:val="center"/>
          </w:tcPr>
          <w:p>
            <w:pPr>
              <w:wordWrap w:val="0"/>
              <w:jc w:val="center"/>
            </w:pPr>
            <w:r>
              <w:rPr>
                <w:rFonts w:hint="eastAsia"/>
              </w:rPr>
              <w:t>1</w:t>
            </w:r>
          </w:p>
        </w:tc>
        <w:tc>
          <w:tcPr>
            <w:tcW w:w="2061" w:type="dxa"/>
            <w:vAlign w:val="center"/>
          </w:tcPr>
          <w:p>
            <w:pPr>
              <w:wordWrap w:val="0"/>
              <w:jc w:val="center"/>
            </w:pPr>
            <w:r>
              <w:rPr>
                <w:rFonts w:hint="eastAsia"/>
              </w:rPr>
              <w:t>采购项目</w:t>
            </w:r>
          </w:p>
        </w:tc>
        <w:tc>
          <w:tcPr>
            <w:tcW w:w="6156" w:type="dxa"/>
            <w:vAlign w:val="center"/>
          </w:tcPr>
          <w:p>
            <w:pPr>
              <w:wordWrap w:val="0"/>
              <w:jc w:val="left"/>
            </w:pPr>
            <w:r>
              <w:rPr>
                <w:rFonts w:hint="eastAsia"/>
              </w:rPr>
              <w:t>1、项目编号： YZCG-DLG</w:t>
            </w:r>
            <w:r>
              <w:rPr>
                <w:rFonts w:hint="eastAsia"/>
                <w:lang w:val="en-US" w:eastAsia="zh-CN"/>
              </w:rPr>
              <w:t>2021045</w:t>
            </w:r>
          </w:p>
          <w:p>
            <w:pPr>
              <w:wordWrap w:val="0"/>
              <w:jc w:val="left"/>
            </w:pPr>
            <w:r>
              <w:rPr>
                <w:rFonts w:hint="eastAsia"/>
              </w:rPr>
              <w:t>2、项目名称：禹州市农业农村局2021年烟叶烤房电代煤变压器建设项目</w:t>
            </w:r>
          </w:p>
          <w:p>
            <w:pPr>
              <w:wordWrap w:val="0"/>
              <w:jc w:val="left"/>
            </w:pPr>
            <w:r>
              <w:rPr>
                <w:rFonts w:hint="eastAsia"/>
              </w:rPr>
              <w:t>3、采购方式：公开招标</w:t>
            </w:r>
          </w:p>
          <w:p>
            <w:pPr>
              <w:wordWrap w:val="0"/>
            </w:pPr>
            <w:r>
              <w:rPr>
                <w:rFonts w:hint="eastAsia"/>
              </w:rPr>
              <w:t>4、预算金额：第一标段：292.5万元；</w:t>
            </w:r>
          </w:p>
          <w:p>
            <w:pPr>
              <w:wordWrap w:val="0"/>
              <w:ind w:firstLine="1540" w:firstLineChars="642"/>
            </w:pPr>
            <w:r>
              <w:rPr>
                <w:rFonts w:hint="eastAsia"/>
              </w:rPr>
              <w:t>第二标段：291.5万元；</w:t>
            </w:r>
          </w:p>
          <w:p>
            <w:pPr>
              <w:wordWrap w:val="0"/>
            </w:pPr>
            <w:r>
              <w:rPr>
                <w:rFonts w:hint="eastAsia"/>
              </w:rPr>
              <w:t xml:space="preserve">   最高限价：第一标段：292.5万元；</w:t>
            </w:r>
          </w:p>
          <w:p>
            <w:pPr>
              <w:wordWrap w:val="0"/>
              <w:ind w:firstLine="1540" w:firstLineChars="642"/>
            </w:pPr>
            <w:r>
              <w:rPr>
                <w:rFonts w:hint="eastAsia"/>
              </w:rPr>
              <w:t>第二标段：291.5万元；</w:t>
            </w:r>
          </w:p>
          <w:p>
            <w:pPr>
              <w:wordWrap w:val="0"/>
              <w:jc w:val="left"/>
            </w:pPr>
            <w:r>
              <w:rPr>
                <w:rFonts w:hint="eastAsia"/>
              </w:rPr>
              <w:t>5、采购需求（包括但不限于标的的名称、数量、简要技术需求或服务要求等）</w:t>
            </w:r>
          </w:p>
          <w:p>
            <w:pPr>
              <w:wordWrap w:val="0"/>
              <w:jc w:val="left"/>
            </w:pPr>
            <w:r>
              <w:rPr>
                <w:rFonts w:hint="eastAsia"/>
              </w:rPr>
              <w:t>招标内容为禹州市农业农村局2021年烟叶烤房电代煤变压器建设项目</w:t>
            </w:r>
            <w:r>
              <w:t>,</w:t>
            </w:r>
            <w:r>
              <w:rPr>
                <w:rFonts w:hint="eastAsia"/>
              </w:rPr>
              <w:t>采购变压器5</w:t>
            </w:r>
            <w:r>
              <w:t>5</w:t>
            </w:r>
            <w:r>
              <w:rPr>
                <w:rFonts w:hint="eastAsia"/>
              </w:rPr>
              <w:t>台套。范坡、小吕200KVA 7台套、250KVA 8台套、315KVA 13台套。张得、朱阁、古城、文殊、苌庄200KVA 3台套、250KVA 9台套、315KVA 13台套、400KVA 2台套。主要包括变压器及附件采购及安装、调试。</w:t>
            </w:r>
            <w:r>
              <w:rPr>
                <w:rFonts w:hint="eastAsia" w:ascii="宋体" w:hAnsi="宋体" w:eastAsia="宋体" w:cs="宋体"/>
              </w:rPr>
              <w:t>具体要求详见招标文件。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709" w:type="dxa"/>
            <w:vAlign w:val="center"/>
          </w:tcPr>
          <w:p>
            <w:pPr>
              <w:wordWrap w:val="0"/>
              <w:jc w:val="center"/>
            </w:pPr>
            <w:r>
              <w:rPr>
                <w:rFonts w:hint="eastAsia"/>
              </w:rPr>
              <w:t>2</w:t>
            </w:r>
          </w:p>
        </w:tc>
        <w:tc>
          <w:tcPr>
            <w:tcW w:w="2061" w:type="dxa"/>
            <w:vAlign w:val="center"/>
          </w:tcPr>
          <w:p>
            <w:pPr>
              <w:wordWrap w:val="0"/>
              <w:jc w:val="center"/>
            </w:pPr>
            <w:r>
              <w:rPr>
                <w:rFonts w:hint="eastAsia"/>
              </w:rPr>
              <w:t>采购人</w:t>
            </w:r>
          </w:p>
        </w:tc>
        <w:tc>
          <w:tcPr>
            <w:tcW w:w="6156" w:type="dxa"/>
            <w:vAlign w:val="center"/>
          </w:tcPr>
          <w:p>
            <w:pPr>
              <w:wordWrap w:val="0"/>
              <w:jc w:val="left"/>
            </w:pPr>
            <w:r>
              <w:rPr>
                <w:rFonts w:hint="eastAsia"/>
              </w:rPr>
              <w:t>名称：禹州市农业农村局</w:t>
            </w:r>
          </w:p>
          <w:p>
            <w:pPr>
              <w:wordWrap w:val="0"/>
              <w:jc w:val="left"/>
            </w:pPr>
            <w:r>
              <w:rPr>
                <w:rFonts w:hint="eastAsia"/>
              </w:rPr>
              <w:t>地址：禹州市禹王大道西段</w:t>
            </w:r>
          </w:p>
          <w:p>
            <w:pPr>
              <w:wordWrap w:val="0"/>
              <w:jc w:val="left"/>
            </w:pPr>
            <w:r>
              <w:rPr>
                <w:rFonts w:hint="eastAsia"/>
              </w:rPr>
              <w:t>联系人：郭先生</w:t>
            </w:r>
          </w:p>
          <w:p>
            <w:pPr>
              <w:wordWrap w:val="0"/>
              <w:jc w:val="left"/>
            </w:pPr>
            <w:r>
              <w:rPr>
                <w:rFonts w:hint="eastAsia"/>
              </w:rPr>
              <w:t>联系方式：13782326233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09" w:type="dxa"/>
            <w:vAlign w:val="center"/>
          </w:tcPr>
          <w:p>
            <w:pPr>
              <w:wordWrap w:val="0"/>
              <w:jc w:val="center"/>
            </w:pPr>
            <w:r>
              <w:rPr>
                <w:rFonts w:hint="eastAsia"/>
              </w:rPr>
              <w:t>3</w:t>
            </w:r>
          </w:p>
        </w:tc>
        <w:tc>
          <w:tcPr>
            <w:tcW w:w="2061" w:type="dxa"/>
            <w:vAlign w:val="center"/>
          </w:tcPr>
          <w:p>
            <w:pPr>
              <w:wordWrap w:val="0"/>
              <w:jc w:val="center"/>
            </w:pPr>
            <w:r>
              <w:rPr>
                <w:rFonts w:hint="eastAsia"/>
              </w:rPr>
              <w:t>代理机构</w:t>
            </w:r>
          </w:p>
        </w:tc>
        <w:tc>
          <w:tcPr>
            <w:tcW w:w="6156" w:type="dxa"/>
            <w:vAlign w:val="center"/>
          </w:tcPr>
          <w:p>
            <w:pPr>
              <w:wordWrap w:val="0"/>
              <w:jc w:val="left"/>
            </w:pPr>
            <w:r>
              <w:rPr>
                <w:rFonts w:hint="eastAsia"/>
              </w:rPr>
              <w:t>名称：陕西瑞珂工程咨询有限责任公司</w:t>
            </w:r>
          </w:p>
          <w:p>
            <w:pPr>
              <w:wordWrap w:val="0"/>
              <w:jc w:val="left"/>
            </w:pPr>
            <w:r>
              <w:rPr>
                <w:rFonts w:hint="eastAsia"/>
              </w:rPr>
              <w:t>地址：河南省郑州市中原区西三环大学科技园15号楼C北栋3层</w:t>
            </w:r>
          </w:p>
          <w:p>
            <w:pPr>
              <w:wordWrap w:val="0"/>
              <w:jc w:val="left"/>
            </w:pPr>
            <w:r>
              <w:rPr>
                <w:rFonts w:hint="eastAsia"/>
              </w:rPr>
              <w:t>联系人：杜女士</w:t>
            </w:r>
          </w:p>
          <w:p>
            <w:pPr>
              <w:wordWrap w:val="0"/>
              <w:jc w:val="left"/>
            </w:pPr>
            <w:r>
              <w:rPr>
                <w:rFonts w:hint="eastAsia"/>
              </w:rPr>
              <w:t>联系方式：13298210089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jc w:val="center"/>
        </w:trPr>
        <w:tc>
          <w:tcPr>
            <w:tcW w:w="709" w:type="dxa"/>
            <w:vAlign w:val="center"/>
          </w:tcPr>
          <w:p>
            <w:pPr>
              <w:wordWrap w:val="0"/>
              <w:jc w:val="center"/>
            </w:pPr>
            <w:r>
              <w:rPr>
                <w:rFonts w:hint="eastAsia"/>
              </w:rPr>
              <w:t>4</w:t>
            </w:r>
          </w:p>
        </w:tc>
        <w:tc>
          <w:tcPr>
            <w:tcW w:w="2061" w:type="dxa"/>
            <w:vAlign w:val="center"/>
          </w:tcPr>
          <w:p>
            <w:pPr>
              <w:wordWrap w:val="0"/>
              <w:jc w:val="center"/>
            </w:pPr>
            <w:r>
              <w:rPr>
                <w:rFonts w:hint="eastAsia"/>
              </w:rPr>
              <w:t>资金来源及落实情况</w:t>
            </w:r>
          </w:p>
        </w:tc>
        <w:tc>
          <w:tcPr>
            <w:tcW w:w="6156" w:type="dxa"/>
            <w:vAlign w:val="center"/>
          </w:tcPr>
          <w:p>
            <w:pPr>
              <w:wordWrap w:val="0"/>
              <w:jc w:val="left"/>
            </w:pPr>
            <w:r>
              <w:rPr>
                <w:rFonts w:hint="eastAsia"/>
              </w:rPr>
              <w:t>财政资金，已落实。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709" w:type="dxa"/>
            <w:vAlign w:val="center"/>
          </w:tcPr>
          <w:p>
            <w:pPr>
              <w:wordWrap w:val="0"/>
              <w:jc w:val="center"/>
            </w:pPr>
            <w:r>
              <w:rPr>
                <w:rFonts w:hint="eastAsia"/>
              </w:rPr>
              <w:t>5</w:t>
            </w:r>
          </w:p>
        </w:tc>
        <w:tc>
          <w:tcPr>
            <w:tcW w:w="2061" w:type="dxa"/>
            <w:vAlign w:val="center"/>
          </w:tcPr>
          <w:p>
            <w:pPr>
              <w:wordWrap w:val="0"/>
              <w:jc w:val="center"/>
            </w:pPr>
            <w:r>
              <w:rPr>
                <w:rFonts w:hint="eastAsia"/>
              </w:rPr>
              <w:t>交付（服务、完工）时间</w:t>
            </w:r>
          </w:p>
        </w:tc>
        <w:tc>
          <w:tcPr>
            <w:tcW w:w="6156" w:type="dxa"/>
            <w:vAlign w:val="center"/>
          </w:tcPr>
          <w:p>
            <w:pPr>
              <w:wordWrap w:val="0"/>
              <w:jc w:val="left"/>
            </w:pPr>
            <w:r>
              <w:rPr>
                <w:rFonts w:hint="eastAsia"/>
              </w:rPr>
              <w:t>收到发包人开工通知起</w:t>
            </w:r>
            <w:r>
              <w:t>30日历天内完工；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709" w:type="dxa"/>
            <w:vAlign w:val="center"/>
          </w:tcPr>
          <w:p>
            <w:pPr>
              <w:wordWrap w:val="0"/>
              <w:jc w:val="center"/>
            </w:pPr>
            <w:r>
              <w:rPr>
                <w:rFonts w:hint="eastAsia"/>
              </w:rPr>
              <w:t>6</w:t>
            </w:r>
          </w:p>
        </w:tc>
        <w:tc>
          <w:tcPr>
            <w:tcW w:w="2061" w:type="dxa"/>
            <w:vAlign w:val="center"/>
          </w:tcPr>
          <w:p>
            <w:pPr>
              <w:wordWrap w:val="0"/>
              <w:jc w:val="center"/>
            </w:pPr>
            <w:r>
              <w:rPr>
                <w:rFonts w:hint="eastAsia"/>
              </w:rPr>
              <w:t>质量要求</w:t>
            </w:r>
          </w:p>
        </w:tc>
        <w:tc>
          <w:tcPr>
            <w:tcW w:w="6156" w:type="dxa"/>
            <w:vAlign w:val="center"/>
          </w:tcPr>
          <w:p>
            <w:pPr>
              <w:wordWrap w:val="0"/>
              <w:jc w:val="left"/>
            </w:pPr>
            <w:r>
              <w:rPr>
                <w:rFonts w:hint="eastAsia"/>
              </w:rPr>
              <w:t>合格（达到国家现行行业的规范、标准和要求）。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9" w:type="dxa"/>
            <w:vAlign w:val="center"/>
          </w:tcPr>
          <w:p>
            <w:pPr>
              <w:wordWrap w:val="0"/>
              <w:jc w:val="center"/>
            </w:pPr>
            <w:r>
              <w:t>7</w:t>
            </w:r>
          </w:p>
        </w:tc>
        <w:tc>
          <w:tcPr>
            <w:tcW w:w="2061" w:type="dxa"/>
            <w:vAlign w:val="center"/>
          </w:tcPr>
          <w:p>
            <w:pPr>
              <w:wordWrap w:val="0"/>
              <w:jc w:val="center"/>
            </w:pPr>
            <w:r>
              <w:rPr>
                <w:rFonts w:hint="eastAsia"/>
              </w:rPr>
              <w:t>投标人资格</w:t>
            </w:r>
          </w:p>
        </w:tc>
        <w:tc>
          <w:tcPr>
            <w:tcW w:w="6156" w:type="dxa"/>
            <w:vAlign w:val="center"/>
          </w:tcPr>
          <w:p>
            <w:pPr>
              <w:wordWrap w:val="0"/>
              <w:jc w:val="left"/>
            </w:pPr>
            <w:r>
              <w:rPr>
                <w:rFonts w:hint="eastAsia"/>
              </w:rPr>
              <w:t>一、</w:t>
            </w:r>
            <w:r>
              <w:t>法人或者其他组织的营业执照等证明文件，自然人的身份证明</w:t>
            </w:r>
          </w:p>
          <w:p>
            <w:pPr>
              <w:wordWrap w:val="0"/>
              <w:jc w:val="left"/>
            </w:pPr>
            <w:r>
              <w:rPr>
                <w:rFonts w:hint="eastAsia"/>
              </w:rPr>
              <w:t>1、企业法人营业执照或营业执照。（企业提供）</w:t>
            </w:r>
          </w:p>
          <w:p>
            <w:pPr>
              <w:wordWrap w:val="0"/>
              <w:jc w:val="left"/>
            </w:pPr>
            <w:r>
              <w:rPr>
                <w:rFonts w:hint="eastAsia"/>
              </w:rPr>
              <w:t>2、事业单位法人证书。（事业单位提供）</w:t>
            </w:r>
          </w:p>
          <w:p>
            <w:pPr>
              <w:wordWrap w:val="0"/>
              <w:jc w:val="left"/>
            </w:pPr>
            <w:r>
              <w:rPr>
                <w:rFonts w:hint="eastAsia"/>
              </w:rPr>
              <w:t>3、执业许可证。（非企业专业服务机构提供）</w:t>
            </w:r>
          </w:p>
          <w:p>
            <w:pPr>
              <w:wordWrap w:val="0"/>
              <w:jc w:val="left"/>
            </w:pPr>
            <w:r>
              <w:rPr>
                <w:rFonts w:hint="eastAsia"/>
              </w:rPr>
              <w:t>4、个体工商户营业执照。（个体工商户提供）</w:t>
            </w:r>
          </w:p>
          <w:p>
            <w:pPr>
              <w:wordWrap w:val="0"/>
              <w:jc w:val="left"/>
            </w:pPr>
            <w:r>
              <w:rPr>
                <w:rFonts w:hint="eastAsia"/>
              </w:rPr>
              <w:t>5、自然人身份证明。（自然人提供）</w:t>
            </w:r>
          </w:p>
          <w:p>
            <w:pPr>
              <w:wordWrap w:val="0"/>
              <w:jc w:val="left"/>
            </w:pPr>
            <w:r>
              <w:rPr>
                <w:rFonts w:hint="eastAsia"/>
              </w:rPr>
              <w:t>6、民办非企业单位登记证书。（民办非企业单位提供）</w:t>
            </w:r>
          </w:p>
          <w:p>
            <w:pPr>
              <w:wordWrap w:val="0"/>
              <w:jc w:val="left"/>
            </w:pPr>
            <w:r>
              <w:rPr>
                <w:rFonts w:hint="eastAsia"/>
              </w:rPr>
              <w:t>二、财务状况报告相关材料</w:t>
            </w:r>
          </w:p>
          <w:p>
            <w:pPr>
              <w:wordWrap w:val="0"/>
              <w:jc w:val="left"/>
            </w:pPr>
            <w:r>
              <w:rPr>
                <w:rFonts w:hint="eastAsia"/>
              </w:rPr>
              <w:t>（1）供应商是法人（法人包括企业法人、机关法人、事业单位法人和社会团体法人），提供本单位：</w:t>
            </w:r>
          </w:p>
          <w:p>
            <w:pPr>
              <w:wordWrap w:val="0"/>
              <w:jc w:val="left"/>
            </w:pPr>
            <w:r>
              <w:rPr>
                <w:rFonts w:hint="eastAsia"/>
              </w:rPr>
              <w:t>①2</w:t>
            </w:r>
            <w:r>
              <w:t>020</w:t>
            </w:r>
            <w:r>
              <w:rPr>
                <w:rFonts w:hint="eastAsia"/>
              </w:rPr>
              <w:t>年度经审计的财务报告；</w:t>
            </w:r>
          </w:p>
          <w:p>
            <w:pPr>
              <w:wordWrap w:val="0"/>
              <w:jc w:val="left"/>
            </w:pPr>
            <w:r>
              <w:rPr>
                <w:rFonts w:hint="eastAsia"/>
              </w:rPr>
              <w:t>②基本开户银行出具的资信证明；</w:t>
            </w:r>
          </w:p>
          <w:p>
            <w:pPr>
              <w:wordWrap w:val="0"/>
              <w:jc w:val="left"/>
            </w:pPr>
            <w:r>
              <w:rPr>
                <w:rFonts w:hint="eastAsia"/>
              </w:rPr>
              <w:t>③财政部门认可的政府采购专业担保机构的证明文件和担保机构出具的投标担保函。</w:t>
            </w:r>
          </w:p>
          <w:p>
            <w:pPr>
              <w:wordWrap w:val="0"/>
              <w:jc w:val="left"/>
            </w:pPr>
            <w:r>
              <w:rPr>
                <w:rFonts w:hint="eastAsia"/>
              </w:rPr>
              <w:t>注：仅需提供序号①～③其中之一即可。</w:t>
            </w:r>
          </w:p>
          <w:p>
            <w:pPr>
              <w:wordWrap w:val="0"/>
              <w:jc w:val="left"/>
            </w:pPr>
            <w:r>
              <w:rPr>
                <w:rFonts w:hint="eastAsia"/>
              </w:rPr>
              <w:t>（2）供应商（其他组织和自然人）提供本单位：</w:t>
            </w:r>
          </w:p>
          <w:p>
            <w:pPr>
              <w:wordWrap w:val="0"/>
              <w:jc w:val="left"/>
            </w:pPr>
            <w:r>
              <w:rPr>
                <w:rFonts w:hint="eastAsia"/>
              </w:rPr>
              <w:t>①</w:t>
            </w:r>
            <w:r>
              <w:t>2020年度经审计的财务报告</w:t>
            </w:r>
            <w:r>
              <w:rPr>
                <w:rFonts w:hint="eastAsia"/>
              </w:rPr>
              <w:t>；</w:t>
            </w:r>
          </w:p>
          <w:p>
            <w:pPr>
              <w:wordWrap w:val="0"/>
              <w:jc w:val="left"/>
            </w:pPr>
            <w:r>
              <w:rPr>
                <w:rFonts w:hint="eastAsia"/>
              </w:rPr>
              <w:t>②银行出具的资信证明；</w:t>
            </w:r>
          </w:p>
          <w:p>
            <w:pPr>
              <w:wordWrap w:val="0"/>
              <w:jc w:val="left"/>
            </w:pPr>
            <w:r>
              <w:rPr>
                <w:rFonts w:hint="eastAsia"/>
              </w:rPr>
              <w:t>③财政部门认可的政府采购专业担保机构的证明文件和担保机构出具的投标担保函。</w:t>
            </w:r>
          </w:p>
          <w:p>
            <w:pPr>
              <w:wordWrap w:val="0"/>
              <w:jc w:val="left"/>
            </w:pPr>
            <w:r>
              <w:rPr>
                <w:rFonts w:hint="eastAsia"/>
              </w:rPr>
              <w:t>注：仅需提供序号①～③其中之一即可。</w:t>
            </w:r>
          </w:p>
          <w:p>
            <w:pPr>
              <w:wordWrap w:val="0"/>
              <w:jc w:val="left"/>
            </w:pPr>
            <w:r>
              <w:rPr>
                <w:rFonts w:hint="eastAsia"/>
              </w:rPr>
              <w:t>三、依法缴纳税收相关材料</w:t>
            </w:r>
          </w:p>
          <w:p>
            <w:pPr>
              <w:wordWrap w:val="0"/>
              <w:jc w:val="left"/>
            </w:pPr>
            <w:r>
              <w:rPr>
                <w:rFonts w:hint="eastAsia"/>
              </w:rPr>
              <w:t>参加本次政府采购项目投标截止时间前六个月内任意一个月缴纳税收凭据。（依法免税的供应商，应提供相应文件证明依法免税）</w:t>
            </w:r>
          </w:p>
          <w:p>
            <w:pPr>
              <w:wordWrap w:val="0"/>
              <w:jc w:val="left"/>
            </w:pPr>
            <w:r>
              <w:rPr>
                <w:rFonts w:hint="eastAsia"/>
              </w:rPr>
              <w:t>四、依法缴纳社会保障资金的证明材料</w:t>
            </w:r>
          </w:p>
          <w:p>
            <w:pPr>
              <w:wordWrap w:val="0"/>
              <w:jc w:val="left"/>
            </w:pPr>
            <w:r>
              <w:rPr>
                <w:rFonts w:hint="eastAsia"/>
              </w:rPr>
              <w:t>参加本次政府采购项目投标截止时间前六个月内任意一个月缴纳社会保险凭据。（依法不需要缴纳社会保障资金的供应商，应提供相应文件证明依法不需要缴纳社会保障资金）</w:t>
            </w:r>
          </w:p>
          <w:p>
            <w:pPr>
              <w:wordWrap w:val="0"/>
              <w:jc w:val="left"/>
            </w:pPr>
            <w:r>
              <w:rPr>
                <w:rFonts w:hint="eastAsia"/>
              </w:rPr>
              <w:t>五、履行合同所必须的设备和专业技术能力的证明材料</w:t>
            </w:r>
          </w:p>
          <w:p>
            <w:pPr>
              <w:wordWrap w:val="0"/>
              <w:jc w:val="left"/>
            </w:pPr>
            <w:r>
              <w:rPr>
                <w:rFonts w:hint="eastAsia"/>
              </w:rPr>
              <w:t>①相关设备的购置发票、专业技术人员职称证书、用工合同等；</w:t>
            </w:r>
          </w:p>
          <w:p>
            <w:pPr>
              <w:wordWrap w:val="0"/>
              <w:jc w:val="left"/>
            </w:pPr>
            <w:r>
              <w:rPr>
                <w:rFonts w:hint="eastAsia"/>
              </w:rPr>
              <w:t>②供应商具备履行合同所必须的设备和专业技术能力承诺函或声明（承诺函或声明格式自拟）。</w:t>
            </w:r>
          </w:p>
          <w:p>
            <w:pPr>
              <w:wordWrap w:val="0"/>
              <w:jc w:val="left"/>
            </w:pPr>
            <w:r>
              <w:rPr>
                <w:rFonts w:hint="eastAsia"/>
              </w:rPr>
              <w:t>注：仅需提供序号①～②其中之一即可。</w:t>
            </w:r>
          </w:p>
          <w:p>
            <w:pPr>
              <w:wordWrap w:val="0"/>
              <w:jc w:val="left"/>
            </w:pPr>
            <w:r>
              <w:rPr>
                <w:rFonts w:hint="eastAsia"/>
              </w:rPr>
              <w:t>六、</w:t>
            </w:r>
            <w:r>
              <w:t>参加政府采购活动前3年内在经营活动中没有重大违法记录的声明</w:t>
            </w:r>
          </w:p>
          <w:p>
            <w:pPr>
              <w:wordWrap w:val="0"/>
              <w:jc w:val="left"/>
            </w:pPr>
            <w:r>
              <w:rPr>
                <w:rFonts w:hint="eastAsia"/>
              </w:rPr>
              <w:t>供应商“</w:t>
            </w:r>
            <w:r>
              <w:t>参加政府采购活动前3年内在经营活动中没有重大违法记录的书面声明</w:t>
            </w:r>
            <w:r>
              <w:rPr>
                <w:rFonts w:hint="eastAsia"/>
              </w:rPr>
              <w:t>”。 重大违法记录，是指供应商因违法经营受到刑事处罚或者责令停产停业、吊销许可证或者执照、较大数额罚款等行政处罚。</w:t>
            </w:r>
          </w:p>
          <w:p>
            <w:pPr>
              <w:wordWrap w:val="0"/>
              <w:jc w:val="left"/>
            </w:pPr>
            <w:r>
              <w:rPr>
                <w:rFonts w:hint="eastAsia"/>
              </w:rPr>
              <w:t>七、</w:t>
            </w:r>
            <w:r>
              <w:t>未被列入“信用中国”网站</w:t>
            </w:r>
            <w:r>
              <w:rPr>
                <w:rFonts w:hint="eastAsia"/>
              </w:rPr>
              <w:t>（</w:t>
            </w:r>
            <w:r>
              <w:t>www.creditchina.gov.cn</w:t>
            </w:r>
            <w:r>
              <w:rPr>
                <w:rFonts w:hint="eastAsia"/>
              </w:rPr>
              <w:t>）</w:t>
            </w:r>
            <w:r>
              <w:t>失信被执行人、重大税收违法案件当事人名单、政府采购严重违法失信名单的</w:t>
            </w:r>
            <w:r>
              <w:rPr>
                <w:rFonts w:hint="eastAsia"/>
              </w:rPr>
              <w:t>供应商</w:t>
            </w:r>
            <w:r>
              <w:t>；</w:t>
            </w:r>
            <w:r>
              <w:rPr>
                <w:rFonts w:hint="eastAsia"/>
              </w:rPr>
              <w:t>“</w:t>
            </w:r>
            <w:r>
              <w:t>中国政府采购网</w:t>
            </w:r>
            <w:r>
              <w:rPr>
                <w:rFonts w:hint="eastAsia"/>
              </w:rPr>
              <w:t>”（</w:t>
            </w:r>
            <w:r>
              <w:t>www.ccgp.gov.cn</w:t>
            </w:r>
            <w:r>
              <w:rPr>
                <w:rFonts w:hint="eastAsia"/>
              </w:rPr>
              <w:t>）</w:t>
            </w:r>
            <w:r>
              <w:t>政府采购严重违法失信行为记录名单的</w:t>
            </w:r>
            <w:r>
              <w:rPr>
                <w:rFonts w:hint="eastAsia"/>
              </w:rPr>
              <w:t>供应商；“中国社会组织公共服务平台”网站（</w:t>
            </w:r>
            <w:r>
              <w:t>www.chinanpo.gov.cn</w:t>
            </w:r>
            <w:r>
              <w:rPr>
                <w:rFonts w:hint="eastAsia"/>
              </w:rPr>
              <w:t>）严重违法失信社会组织名单的供应商（联合体形式响应的，联合体成员存在不良信用记录，视同联合体存在不良信用记录）。</w:t>
            </w:r>
          </w:p>
          <w:p>
            <w:pPr>
              <w:wordWrap w:val="0"/>
              <w:jc w:val="left"/>
            </w:pPr>
            <w:r>
              <w:rPr>
                <w:rFonts w:hint="eastAsia"/>
              </w:rPr>
              <w:t>1、查询渠道：</w:t>
            </w:r>
          </w:p>
          <w:p>
            <w:pPr>
              <w:wordWrap w:val="0"/>
              <w:jc w:val="left"/>
            </w:pPr>
            <w:r>
              <w:rPr>
                <w:rFonts w:hint="eastAsia"/>
              </w:rPr>
              <w:t>①“信用中国”网站（</w:t>
            </w:r>
            <w:r>
              <w:fldChar w:fldCharType="begin"/>
            </w:r>
            <w:r>
              <w:instrText xml:space="preserve"> HYPERLINK "http://www.creditchina.gov.cn" </w:instrText>
            </w:r>
            <w:r>
              <w:fldChar w:fldCharType="separate"/>
            </w:r>
            <w:r>
              <w:rPr>
                <w:rFonts w:hint="eastAsia"/>
              </w:rPr>
              <w:t>www.creditchina.gov.cn</w:t>
            </w:r>
            <w:r>
              <w:rPr>
                <w:rFonts w:hint="eastAsia"/>
              </w:rPr>
              <w:fldChar w:fldCharType="end"/>
            </w:r>
            <w:r>
              <w:rPr>
                <w:rFonts w:hint="eastAsia"/>
              </w:rPr>
              <w:t>）</w:t>
            </w:r>
          </w:p>
          <w:p>
            <w:pPr>
              <w:wordWrap w:val="0"/>
              <w:jc w:val="left"/>
            </w:pPr>
            <w:r>
              <w:rPr>
                <w:rFonts w:hint="eastAsia"/>
              </w:rPr>
              <w:t>②“中国政府采购网”（www.ccgp.gov.cn）</w:t>
            </w:r>
          </w:p>
          <w:p>
            <w:pPr>
              <w:wordWrap w:val="0"/>
              <w:jc w:val="left"/>
            </w:pPr>
            <w:r>
              <w:rPr>
                <w:rFonts w:hint="eastAsia"/>
              </w:rPr>
              <w:t>③“中国社会组织公共服务平台”网站（</w:t>
            </w:r>
            <w:r>
              <w:t>www.chinanpo.gov.cn</w:t>
            </w:r>
            <w:r>
              <w:rPr>
                <w:rFonts w:hint="eastAsia"/>
              </w:rPr>
              <w:t>）（仅查询社会组织）；</w:t>
            </w:r>
          </w:p>
          <w:p>
            <w:pPr>
              <w:wordWrap w:val="0"/>
              <w:jc w:val="left"/>
            </w:pPr>
            <w:r>
              <w:rPr>
                <w:rFonts w:hint="eastAsia"/>
              </w:rPr>
              <w:t>2、截止时间：同投标截止时间；</w:t>
            </w:r>
          </w:p>
          <w:p>
            <w:pPr>
              <w:wordWrap w:val="0"/>
              <w:jc w:val="left"/>
            </w:pPr>
            <w:r>
              <w:rPr>
                <w:rFonts w:hint="eastAsia"/>
              </w:rPr>
              <w:t>3、信用信息查询记录和证据留存具体方式：经采购人确认的查询结果网页截图作为查询记录和证据，与其他采购文件一并保存；</w:t>
            </w:r>
          </w:p>
          <w:p>
            <w:pPr>
              <w:wordWrap w:val="0"/>
              <w:jc w:val="left"/>
            </w:pPr>
            <w:r>
              <w:rPr>
                <w:rFonts w:hint="eastAsia"/>
              </w:rPr>
              <w:t>4、信用信息的使用原则：经采购人认定的被列入失信被执行人、重大税收违法案件当事人名单、</w:t>
            </w:r>
            <w:r>
              <w:t>政府采购严重违法失信名单</w:t>
            </w:r>
            <w:r>
              <w:rPr>
                <w:rFonts w:hint="eastAsia"/>
              </w:rPr>
              <w:t>、政府采购严重违法失信行为记录名单、严重违法失信社会组织名单的投标人，将拒绝其参与本次政府采购活动。</w:t>
            </w:r>
          </w:p>
          <w:p>
            <w:pPr>
              <w:wordWrap w:val="0"/>
              <w:jc w:val="left"/>
            </w:pPr>
            <w:r>
              <w:rPr>
                <w:rFonts w:hint="eastAsia"/>
              </w:rPr>
              <w:t>5、投标人不良信用记录以采购人查询结果为准，采购人查询之后，网站信息发生的任何变更不再作为评审依据，投标人自行提供的与网站信息不一致的其他证明材料亦不作为评审依据。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709" w:type="dxa"/>
            <w:vAlign w:val="center"/>
          </w:tcPr>
          <w:p>
            <w:pPr>
              <w:wordWrap w:val="0"/>
              <w:jc w:val="center"/>
            </w:pPr>
            <w:r>
              <w:t>8</w:t>
            </w:r>
          </w:p>
        </w:tc>
        <w:tc>
          <w:tcPr>
            <w:tcW w:w="2061" w:type="dxa"/>
            <w:vAlign w:val="center"/>
          </w:tcPr>
          <w:p>
            <w:pPr>
              <w:wordWrap w:val="0"/>
              <w:jc w:val="center"/>
              <w:rPr>
                <w:lang w:val="zh-CN"/>
              </w:rPr>
            </w:pPr>
            <w:r>
              <w:rPr>
                <w:rFonts w:hint="eastAsia"/>
                <w:lang w:val="zh-CN"/>
              </w:rPr>
              <w:t>联合体投标</w:t>
            </w:r>
          </w:p>
        </w:tc>
        <w:tc>
          <w:tcPr>
            <w:tcW w:w="6156" w:type="dxa"/>
            <w:vAlign w:val="center"/>
          </w:tcPr>
          <w:p>
            <w:pPr>
              <w:wordWrap w:val="0"/>
              <w:jc w:val="left"/>
              <w:rPr>
                <w:lang w:val="zh-CN"/>
              </w:rPr>
            </w:pPr>
            <w:r>
              <w:rPr>
                <w:rFonts w:hint="eastAsia"/>
              </w:rPr>
              <w:t>本项目</w:t>
            </w:r>
            <w:r>
              <w:rPr>
                <w:lang w:val="zh-CN"/>
              </w:rPr>
              <w:fldChar w:fldCharType="begin"/>
            </w:r>
            <w:r>
              <w:rPr>
                <w:rFonts w:hint="eastAsia"/>
                <w:lang w:val="zh-CN"/>
              </w:rPr>
              <w:instrText xml:space="preserve">eq \o\ac(□,√)</w:instrText>
            </w:r>
            <w:r>
              <w:rPr>
                <w:lang w:val="zh-CN"/>
              </w:rPr>
              <w:fldChar w:fldCharType="end"/>
            </w:r>
            <w:r>
              <w:rPr>
                <w:rFonts w:hint="eastAsia"/>
              </w:rPr>
              <w:t>不接受</w:t>
            </w:r>
            <w:r>
              <w:rPr>
                <w:rFonts w:hint="eastAsia"/>
                <w:lang w:val="zh-CN"/>
              </w:rPr>
              <w:t>□接受</w:t>
            </w:r>
            <w:r>
              <w:rPr>
                <w:rFonts w:hint="eastAsia"/>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jc w:val="center"/>
        </w:trPr>
        <w:tc>
          <w:tcPr>
            <w:tcW w:w="709" w:type="dxa"/>
            <w:vAlign w:val="center"/>
          </w:tcPr>
          <w:p>
            <w:pPr>
              <w:wordWrap w:val="0"/>
              <w:jc w:val="center"/>
            </w:pPr>
            <w:r>
              <w:t>9</w:t>
            </w:r>
          </w:p>
        </w:tc>
        <w:tc>
          <w:tcPr>
            <w:tcW w:w="2061" w:type="dxa"/>
            <w:vAlign w:val="center"/>
          </w:tcPr>
          <w:p>
            <w:pPr>
              <w:wordWrap w:val="0"/>
              <w:jc w:val="center"/>
              <w:rPr>
                <w:lang w:val="zh-CN"/>
              </w:rPr>
            </w:pPr>
            <w:r>
              <w:rPr>
                <w:rFonts w:hint="eastAsia"/>
                <w:lang w:val="zh-CN"/>
              </w:rPr>
              <w:t>最高限价</w:t>
            </w:r>
          </w:p>
        </w:tc>
        <w:tc>
          <w:tcPr>
            <w:tcW w:w="6156" w:type="dxa"/>
            <w:vAlign w:val="center"/>
          </w:tcPr>
          <w:p>
            <w:pPr>
              <w:wordWrap w:val="0"/>
              <w:jc w:val="left"/>
              <w:rPr>
                <w:lang w:val="zh-CN"/>
              </w:rPr>
            </w:pPr>
            <w:r>
              <w:rPr>
                <w:rFonts w:hint="eastAsia"/>
                <w:lang w:val="zh-CN"/>
              </w:rPr>
              <w:t>本项目招标控制价（最高限价）为：</w:t>
            </w:r>
          </w:p>
          <w:p>
            <w:pPr>
              <w:wordWrap w:val="0"/>
              <w:jc w:val="left"/>
              <w:rPr>
                <w:lang w:val="zh-CN"/>
              </w:rPr>
            </w:pPr>
            <w:bookmarkStart w:id="0" w:name="_Hlk25596104"/>
            <w:r>
              <w:rPr>
                <w:rFonts w:hint="eastAsia"/>
                <w:lang w:val="zh-CN"/>
              </w:rPr>
              <w:t>第一标段：292.5万</w:t>
            </w:r>
            <w:r>
              <w:rPr>
                <w:lang w:val="zh-CN"/>
              </w:rPr>
              <w:t>元；</w:t>
            </w:r>
          </w:p>
          <w:p>
            <w:pPr>
              <w:wordWrap w:val="0"/>
              <w:jc w:val="left"/>
              <w:rPr>
                <w:lang w:val="zh-CN"/>
              </w:rPr>
            </w:pPr>
            <w:r>
              <w:rPr>
                <w:lang w:val="zh-CN"/>
              </w:rPr>
              <w:t>第二标段：</w:t>
            </w:r>
            <w:r>
              <w:rPr>
                <w:rFonts w:hint="eastAsia"/>
              </w:rPr>
              <w:t>291.5万元</w:t>
            </w:r>
            <w:r>
              <w:rPr>
                <w:lang w:val="zh-CN"/>
              </w:rPr>
              <w:t>；</w:t>
            </w:r>
          </w:p>
          <w:p>
            <w:pPr>
              <w:wordWrap w:val="0"/>
              <w:jc w:val="left"/>
              <w:rPr>
                <w:lang w:val="zh-CN"/>
              </w:rPr>
            </w:pPr>
            <w:r>
              <w:rPr>
                <w:rFonts w:hint="eastAsia"/>
                <w:lang w:val="zh-CN"/>
              </w:rPr>
              <w:t>投标人投标报价超出招标人发布的相应招标控制价的，投标无效。</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09" w:type="dxa"/>
            <w:vAlign w:val="center"/>
          </w:tcPr>
          <w:p>
            <w:pPr>
              <w:wordWrap w:val="0"/>
              <w:jc w:val="center"/>
            </w:pPr>
            <w:r>
              <w:t>10</w:t>
            </w:r>
          </w:p>
        </w:tc>
        <w:tc>
          <w:tcPr>
            <w:tcW w:w="2061" w:type="dxa"/>
            <w:vAlign w:val="center"/>
          </w:tcPr>
          <w:p>
            <w:pPr>
              <w:wordWrap w:val="0"/>
              <w:jc w:val="center"/>
              <w:rPr>
                <w:lang w:val="zh-CN"/>
              </w:rPr>
            </w:pPr>
            <w:r>
              <w:rPr>
                <w:lang w:val="zh-CN"/>
              </w:rPr>
              <w:t>现场考察</w:t>
            </w:r>
          </w:p>
        </w:tc>
        <w:tc>
          <w:tcPr>
            <w:tcW w:w="6156" w:type="dxa"/>
            <w:vAlign w:val="center"/>
          </w:tcPr>
          <w:p>
            <w:pPr>
              <w:wordWrap w:val="0"/>
              <w:jc w:val="left"/>
              <w:rPr>
                <w:lang w:val="zh-CN"/>
              </w:rPr>
            </w:pPr>
            <w:r>
              <w:rPr>
                <w:lang w:val="zh-CN"/>
              </w:rPr>
              <w:fldChar w:fldCharType="begin"/>
            </w:r>
            <w:r>
              <w:rPr>
                <w:rFonts w:hint="eastAsia"/>
                <w:lang w:val="zh-CN"/>
              </w:rPr>
              <w:instrText xml:space="preserve">eq \o\ac(□,√)</w:instrText>
            </w:r>
            <w:r>
              <w:rPr>
                <w:lang w:val="zh-CN"/>
              </w:rPr>
              <w:fldChar w:fldCharType="end"/>
            </w:r>
            <w:r>
              <w:rPr>
                <w:rFonts w:hint="eastAsia"/>
                <w:lang w:val="zh-CN"/>
              </w:rPr>
              <w:t>不组织</w:t>
            </w:r>
          </w:p>
          <w:p>
            <w:pPr>
              <w:wordWrap w:val="0"/>
              <w:jc w:val="left"/>
            </w:pPr>
            <w:r>
              <w:rPr>
                <w:rFonts w:hint="eastAsia"/>
                <w:lang w:val="zh-CN"/>
              </w:rPr>
              <w:t>□组织，时间：</w:t>
            </w:r>
            <w:r>
              <w:rPr>
                <w:rFonts w:hint="eastAsia"/>
              </w:rPr>
              <w:t>/</w:t>
            </w:r>
            <w:r>
              <w:rPr>
                <w:rFonts w:hint="eastAsia"/>
                <w:lang w:val="zh-CN"/>
              </w:rPr>
              <w:t xml:space="preserve">      地点：</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709" w:type="dxa"/>
            <w:vAlign w:val="center"/>
          </w:tcPr>
          <w:p>
            <w:pPr>
              <w:wordWrap w:val="0"/>
              <w:jc w:val="center"/>
            </w:pPr>
            <w:r>
              <w:t>11</w:t>
            </w:r>
          </w:p>
        </w:tc>
        <w:tc>
          <w:tcPr>
            <w:tcW w:w="2061" w:type="dxa"/>
            <w:vAlign w:val="center"/>
          </w:tcPr>
          <w:p>
            <w:pPr>
              <w:wordWrap w:val="0"/>
              <w:jc w:val="center"/>
              <w:rPr>
                <w:lang w:val="zh-CN"/>
              </w:rPr>
            </w:pPr>
            <w:r>
              <w:rPr>
                <w:lang w:val="zh-CN"/>
              </w:rPr>
              <w:t>开标前答疑会</w:t>
            </w:r>
          </w:p>
        </w:tc>
        <w:tc>
          <w:tcPr>
            <w:tcW w:w="6156" w:type="dxa"/>
            <w:vAlign w:val="center"/>
          </w:tcPr>
          <w:p>
            <w:pPr>
              <w:wordWrap w:val="0"/>
              <w:jc w:val="left"/>
              <w:rPr>
                <w:lang w:val="zh-CN"/>
              </w:rPr>
            </w:pPr>
            <w:r>
              <w:rPr>
                <w:lang w:val="zh-CN"/>
              </w:rPr>
              <w:fldChar w:fldCharType="begin"/>
            </w:r>
            <w:r>
              <w:rPr>
                <w:rFonts w:hint="eastAsia"/>
                <w:lang w:val="zh-CN"/>
              </w:rPr>
              <w:instrText xml:space="preserve">eq \o\ac(□,√)</w:instrText>
            </w:r>
            <w:r>
              <w:rPr>
                <w:lang w:val="zh-CN"/>
              </w:rPr>
              <w:fldChar w:fldCharType="end"/>
            </w:r>
            <w:r>
              <w:rPr>
                <w:rFonts w:hint="eastAsia"/>
                <w:lang w:val="zh-CN"/>
              </w:rPr>
              <w:t>不召开</w:t>
            </w:r>
          </w:p>
          <w:p>
            <w:pPr>
              <w:wordWrap w:val="0"/>
              <w:jc w:val="left"/>
            </w:pPr>
            <w:r>
              <w:rPr>
                <w:rFonts w:hint="eastAsia"/>
                <w:lang w:val="zh-CN"/>
              </w:rPr>
              <w:t>□召开，时间：</w:t>
            </w:r>
            <w:r>
              <w:rPr>
                <w:rFonts w:hint="eastAsia"/>
              </w:rPr>
              <w:t>/</w:t>
            </w:r>
            <w:r>
              <w:rPr>
                <w:rFonts w:hint="eastAsia"/>
                <w:lang w:val="zh-CN"/>
              </w:rPr>
              <w:t xml:space="preserve">      地点：</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709" w:type="dxa"/>
            <w:vAlign w:val="center"/>
          </w:tcPr>
          <w:p>
            <w:pPr>
              <w:wordWrap w:val="0"/>
              <w:jc w:val="center"/>
            </w:pPr>
            <w:r>
              <w:t>12</w:t>
            </w:r>
          </w:p>
        </w:tc>
        <w:tc>
          <w:tcPr>
            <w:tcW w:w="2061" w:type="dxa"/>
            <w:vAlign w:val="center"/>
          </w:tcPr>
          <w:p>
            <w:pPr>
              <w:wordWrap w:val="0"/>
              <w:jc w:val="center"/>
            </w:pPr>
            <w:r>
              <w:rPr>
                <w:rFonts w:hint="eastAsia"/>
              </w:rPr>
              <w:t>进口产品参与</w:t>
            </w:r>
          </w:p>
        </w:tc>
        <w:tc>
          <w:tcPr>
            <w:tcW w:w="6156" w:type="dxa"/>
            <w:vAlign w:val="center"/>
          </w:tcPr>
          <w:p>
            <w:pPr>
              <w:wordWrap w:val="0"/>
              <w:jc w:val="left"/>
            </w:pPr>
            <w:r>
              <w:rPr>
                <w:rFonts w:hint="eastAsia"/>
                <w:lang w:val="zh-CN"/>
              </w:rPr>
              <w:t xml:space="preserve">（不允许    </w:t>
            </w:r>
            <w:r>
              <w:rPr>
                <w:lang w:val="zh-CN"/>
              </w:rPr>
              <w:fldChar w:fldCharType="begin"/>
            </w:r>
            <w:r>
              <w:rPr>
                <w:rFonts w:hint="eastAsia"/>
                <w:lang w:val="zh-CN"/>
              </w:rPr>
              <w:instrText xml:space="preserve">eq \o\ac(□)</w:instrText>
            </w:r>
            <w:r>
              <w:rPr>
                <w:lang w:val="zh-CN"/>
              </w:rPr>
              <w:fldChar w:fldCharType="end"/>
            </w:r>
            <w:r>
              <w:rPr>
                <w:rFonts w:hint="eastAsia"/>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9" w:hRule="atLeast"/>
          <w:jc w:val="center"/>
        </w:trPr>
        <w:tc>
          <w:tcPr>
            <w:tcW w:w="709" w:type="dxa"/>
            <w:vAlign w:val="center"/>
          </w:tcPr>
          <w:p>
            <w:pPr>
              <w:wordWrap w:val="0"/>
              <w:jc w:val="center"/>
            </w:pPr>
            <w:r>
              <w:t>13</w:t>
            </w:r>
          </w:p>
        </w:tc>
        <w:tc>
          <w:tcPr>
            <w:tcW w:w="2061" w:type="dxa"/>
            <w:vAlign w:val="center"/>
          </w:tcPr>
          <w:p>
            <w:pPr>
              <w:wordWrap w:val="0"/>
              <w:jc w:val="center"/>
            </w:pPr>
            <w:r>
              <w:rPr>
                <w:rFonts w:hint="eastAsia"/>
              </w:rPr>
              <w:t>投标有效期</w:t>
            </w:r>
          </w:p>
        </w:tc>
        <w:tc>
          <w:tcPr>
            <w:tcW w:w="6156" w:type="dxa"/>
            <w:vAlign w:val="center"/>
          </w:tcPr>
          <w:p>
            <w:pPr>
              <w:wordWrap w:val="0"/>
              <w:jc w:val="left"/>
            </w:pPr>
            <w:r>
              <w:t>9</w:t>
            </w:r>
            <w:r>
              <w:rPr>
                <w:rFonts w:hint="eastAsia"/>
              </w:rPr>
              <w:t>0天（自提交投标文件的截止之日起算）</w:t>
            </w:r>
          </w:p>
          <w:p>
            <w:pPr>
              <w:wordWrap w:val="0"/>
              <w:jc w:val="left"/>
            </w:pPr>
            <w:r>
              <w:rPr>
                <w:lang w:val="zh-CN"/>
              </w:rPr>
              <w:t>中标</w:t>
            </w:r>
            <w:r>
              <w:rPr>
                <w:rFonts w:hint="eastAsia"/>
                <w:lang w:val="zh-CN"/>
              </w:rPr>
              <w:t>人投标</w:t>
            </w:r>
            <w:r>
              <w:rPr>
                <w:lang w:val="zh-CN"/>
              </w:rPr>
              <w:t>有效期延</w:t>
            </w:r>
            <w:r>
              <w:rPr>
                <w:rFonts w:hint="eastAsia"/>
                <w:lang w:val="zh-CN"/>
              </w:rPr>
              <w:t>至合同</w:t>
            </w:r>
            <w:r>
              <w:rPr>
                <w:lang w:val="zh-CN"/>
              </w:rPr>
              <w:t>验收之日</w:t>
            </w:r>
            <w:r>
              <w:rPr>
                <w:rFonts w:hint="eastAsia"/>
                <w:lang w:val="zh-CN"/>
              </w:rPr>
              <w:t>，</w:t>
            </w:r>
            <w:r>
              <w:rPr>
                <w:rFonts w:hint="eastAsia"/>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709" w:type="dxa"/>
            <w:vAlign w:val="center"/>
          </w:tcPr>
          <w:p>
            <w:pPr>
              <w:wordWrap w:val="0"/>
              <w:jc w:val="center"/>
            </w:pPr>
            <w:r>
              <w:t>14</w:t>
            </w:r>
          </w:p>
        </w:tc>
        <w:tc>
          <w:tcPr>
            <w:tcW w:w="2061" w:type="dxa"/>
            <w:vAlign w:val="center"/>
          </w:tcPr>
          <w:p>
            <w:pPr>
              <w:wordWrap w:val="0"/>
              <w:jc w:val="center"/>
              <w:rPr>
                <w:lang w:val="zh-CN"/>
              </w:rPr>
            </w:pPr>
            <w:r>
              <w:rPr>
                <w:lang w:val="zh-CN"/>
              </w:rPr>
              <w:t>中标人将本项目的非主体、非关键性工作分包</w:t>
            </w:r>
          </w:p>
        </w:tc>
        <w:tc>
          <w:tcPr>
            <w:tcW w:w="6156" w:type="dxa"/>
            <w:vAlign w:val="center"/>
          </w:tcPr>
          <w:p>
            <w:pPr>
              <w:wordWrap w:val="0"/>
              <w:jc w:val="left"/>
            </w:pPr>
            <w:r>
              <w:rPr>
                <w:lang w:val="zh-CN"/>
              </w:rPr>
              <w:fldChar w:fldCharType="begin"/>
            </w:r>
            <w:r>
              <w:rPr>
                <w:rFonts w:hint="eastAsia"/>
                <w:lang w:val="zh-CN"/>
              </w:rPr>
              <w:instrText xml:space="preserve">eq \o\ac(□,√)</w:instrText>
            </w:r>
            <w:r>
              <w:rPr>
                <w:lang w:val="zh-CN"/>
              </w:rPr>
              <w:fldChar w:fldCharType="end"/>
            </w:r>
            <w:r>
              <w:rPr>
                <w:rFonts w:hint="eastAsia"/>
                <w:lang w:val="zh-CN"/>
              </w:rPr>
              <w:t>不允许   □</w:t>
            </w:r>
            <w:r>
              <w:rPr>
                <w:rFonts w:hint="eastAsia"/>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709" w:type="dxa"/>
            <w:vAlign w:val="center"/>
          </w:tcPr>
          <w:p>
            <w:pPr>
              <w:wordWrap w:val="0"/>
              <w:jc w:val="center"/>
            </w:pPr>
            <w:r>
              <w:t>15</w:t>
            </w:r>
          </w:p>
        </w:tc>
        <w:tc>
          <w:tcPr>
            <w:tcW w:w="2061" w:type="dxa"/>
            <w:vAlign w:val="center"/>
          </w:tcPr>
          <w:p>
            <w:pPr>
              <w:wordWrap w:val="0"/>
              <w:jc w:val="center"/>
              <w:rPr>
                <w:lang w:val="zh-CN"/>
              </w:rPr>
            </w:pPr>
            <w:r>
              <w:rPr>
                <w:rFonts w:hint="eastAsia"/>
                <w:lang w:val="zh-CN"/>
              </w:rPr>
              <w:t>投标截止及</w:t>
            </w:r>
          </w:p>
          <w:p>
            <w:pPr>
              <w:wordWrap w:val="0"/>
              <w:jc w:val="center"/>
              <w:rPr>
                <w:lang w:val="zh-CN"/>
              </w:rPr>
            </w:pPr>
            <w:r>
              <w:rPr>
                <w:rFonts w:hint="eastAsia"/>
                <w:lang w:val="zh-CN"/>
              </w:rPr>
              <w:t>开标时间</w:t>
            </w:r>
          </w:p>
        </w:tc>
        <w:tc>
          <w:tcPr>
            <w:tcW w:w="6156" w:type="dxa"/>
            <w:vAlign w:val="center"/>
          </w:tcPr>
          <w:p>
            <w:pPr>
              <w:wordWrap w:val="0"/>
              <w:jc w:val="left"/>
              <w:rPr>
                <w:lang w:val="zh-CN"/>
              </w:rPr>
            </w:pPr>
            <w:r>
              <w:rPr>
                <w:rFonts w:hint="eastAsia"/>
              </w:rPr>
              <w:t>2</w:t>
            </w:r>
            <w:r>
              <w:rPr>
                <w:rFonts w:hint="eastAsia"/>
                <w:highlight w:val="none"/>
              </w:rPr>
              <w:t>0</w:t>
            </w:r>
            <w:r>
              <w:rPr>
                <w:highlight w:val="none"/>
              </w:rPr>
              <w:t>21</w:t>
            </w:r>
            <w:r>
              <w:rPr>
                <w:rFonts w:hint="eastAsia"/>
                <w:highlight w:val="none"/>
              </w:rPr>
              <w:t>年</w:t>
            </w:r>
            <w:r>
              <w:rPr>
                <w:rFonts w:hint="eastAsia"/>
                <w:highlight w:val="none"/>
                <w:lang w:val="en-US" w:eastAsia="zh-CN"/>
              </w:rPr>
              <w:t>7</w:t>
            </w:r>
            <w:r>
              <w:rPr>
                <w:rFonts w:hint="eastAsia"/>
                <w:highlight w:val="none"/>
              </w:rPr>
              <w:t>月</w:t>
            </w:r>
            <w:r>
              <w:rPr>
                <w:rFonts w:hint="eastAsia"/>
                <w:highlight w:val="none"/>
                <w:lang w:val="en-US" w:eastAsia="zh-CN"/>
              </w:rPr>
              <w:t>26</w:t>
            </w:r>
            <w:r>
              <w:rPr>
                <w:rFonts w:hint="eastAsia"/>
                <w:highlight w:val="none"/>
              </w:rPr>
              <w:t>日上午</w:t>
            </w:r>
            <w:r>
              <w:rPr>
                <w:rFonts w:hint="eastAsia"/>
                <w:lang w:val="en-US" w:eastAsia="zh-CN"/>
              </w:rPr>
              <w:t>10</w:t>
            </w:r>
            <w:r>
              <w:rPr>
                <w:rFonts w:hint="eastAsia"/>
              </w:rPr>
              <w:t>时</w:t>
            </w:r>
            <w:r>
              <w:t>30</w:t>
            </w:r>
            <w:r>
              <w:rPr>
                <w:rFonts w:hint="eastAsia"/>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09" w:type="dxa"/>
            <w:vAlign w:val="center"/>
          </w:tcPr>
          <w:p>
            <w:pPr>
              <w:wordWrap w:val="0"/>
              <w:jc w:val="center"/>
            </w:pPr>
            <w:r>
              <w:t>16</w:t>
            </w:r>
          </w:p>
        </w:tc>
        <w:tc>
          <w:tcPr>
            <w:tcW w:w="2061" w:type="dxa"/>
            <w:vAlign w:val="center"/>
          </w:tcPr>
          <w:p>
            <w:pPr>
              <w:wordWrap w:val="0"/>
              <w:jc w:val="center"/>
            </w:pPr>
            <w:r>
              <w:rPr>
                <w:rFonts w:hint="eastAsia"/>
              </w:rPr>
              <w:t>递交投标文件</w:t>
            </w:r>
          </w:p>
          <w:p>
            <w:pPr>
              <w:wordWrap w:val="0"/>
              <w:jc w:val="center"/>
            </w:pPr>
            <w:r>
              <w:rPr>
                <w:rFonts w:hint="eastAsia"/>
              </w:rPr>
              <w:t>及开、评标地点</w:t>
            </w:r>
          </w:p>
        </w:tc>
        <w:tc>
          <w:tcPr>
            <w:tcW w:w="6156" w:type="dxa"/>
            <w:vAlign w:val="center"/>
          </w:tcPr>
          <w:p>
            <w:pPr>
              <w:wordWrap w:val="0"/>
              <w:jc w:val="left"/>
            </w:pPr>
            <w:r>
              <w:rPr>
                <w:rFonts w:hint="eastAsia"/>
                <w:lang w:val="zh-CN"/>
              </w:rPr>
              <w:t>电子投标文件递交地点</w:t>
            </w:r>
            <w:r>
              <w:rPr>
                <w:rFonts w:hint="eastAsia"/>
              </w:rPr>
              <w:t>：</w:t>
            </w:r>
            <w:r>
              <w:rPr>
                <w:rFonts w:hint="eastAsia"/>
                <w:lang w:val="zh-CN"/>
              </w:rPr>
              <w:t>电子投标文件应按规定在投标截止时间</w:t>
            </w:r>
            <w:r>
              <w:rPr>
                <w:rFonts w:hint="eastAsia"/>
              </w:rPr>
              <w:t>（</w:t>
            </w:r>
            <w:r>
              <w:rPr>
                <w:rFonts w:hint="eastAsia"/>
                <w:lang w:val="zh-CN"/>
              </w:rPr>
              <w:t>开标时间</w:t>
            </w:r>
            <w:r>
              <w:rPr>
                <w:rFonts w:hint="eastAsia"/>
              </w:rPr>
              <w:t>）</w:t>
            </w:r>
            <w:r>
              <w:rPr>
                <w:rFonts w:hint="eastAsia"/>
                <w:lang w:val="zh-CN"/>
              </w:rPr>
              <w:t>之前成功提交至【全国公共资源交易平台</w:t>
            </w:r>
            <w:r>
              <w:rPr>
                <w:rFonts w:hint="eastAsia"/>
              </w:rPr>
              <w:t>（</w:t>
            </w:r>
            <w:r>
              <w:rPr>
                <w:lang w:val="zh-CN"/>
              </w:rPr>
              <w:t>河南省</w:t>
            </w:r>
            <w:r>
              <w:t>▪</w:t>
            </w:r>
            <w:r>
              <w:rPr>
                <w:lang w:val="zh-CN"/>
              </w:rPr>
              <w:t>许昌市</w:t>
            </w:r>
            <w:r>
              <w:rPr>
                <w:rFonts w:hint="eastAsia"/>
              </w:rPr>
              <w:t>）</w:t>
            </w:r>
            <w:r>
              <w:rPr>
                <w:lang w:val="zh-CN"/>
              </w:rPr>
              <w:t>】公共资源交易系统</w:t>
            </w:r>
            <w:r>
              <w:t>（http://ggzy.xuchang.gov.cn/）</w:t>
            </w:r>
            <w:r>
              <w:rPr>
                <w:lang w:val="zh-CN"/>
              </w:rPr>
              <w:t>。</w:t>
            </w:r>
          </w:p>
          <w:p>
            <w:pPr>
              <w:wordWrap w:val="0"/>
              <w:jc w:val="left"/>
              <w:rPr>
                <w:lang w:val="zh-CN"/>
              </w:rPr>
            </w:pPr>
            <w:r>
              <w:rPr>
                <w:lang w:val="zh-CN"/>
              </w:rPr>
              <w:t>评标地点：</w:t>
            </w:r>
            <w:r>
              <w:rPr>
                <w:rFonts w:hint="eastAsia"/>
                <w:lang w:val="zh-CN"/>
              </w:rPr>
              <w:t>禹州市公共资源交易中心开、评标室（地址：禹州市行政服务中心楼九楼）（本项目采用远程不见面开标，供应商无须到达现场）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709" w:type="dxa"/>
            <w:vAlign w:val="center"/>
          </w:tcPr>
          <w:p>
            <w:pPr>
              <w:wordWrap w:val="0"/>
              <w:jc w:val="center"/>
            </w:pPr>
            <w:r>
              <w:t>17</w:t>
            </w:r>
          </w:p>
        </w:tc>
        <w:tc>
          <w:tcPr>
            <w:tcW w:w="2061" w:type="dxa"/>
            <w:vAlign w:val="center"/>
          </w:tcPr>
          <w:p>
            <w:pPr>
              <w:wordWrap w:val="0"/>
              <w:jc w:val="center"/>
            </w:pPr>
            <w:r>
              <w:rPr>
                <w:rFonts w:hint="eastAsia"/>
              </w:rPr>
              <w:t>投标保证金</w:t>
            </w:r>
          </w:p>
        </w:tc>
        <w:tc>
          <w:tcPr>
            <w:tcW w:w="6156" w:type="dxa"/>
            <w:vAlign w:val="center"/>
          </w:tcPr>
          <w:p>
            <w:pPr>
              <w:wordWrap w:val="0"/>
              <w:jc w:val="left"/>
              <w:rPr>
                <w:lang w:val="zh-CN"/>
              </w:rPr>
            </w:pPr>
            <w:r>
              <w:rPr>
                <w:lang w:val="zh-CN"/>
              </w:rPr>
              <w:t>1.不收取投标保证金。</w:t>
            </w:r>
          </w:p>
          <w:p>
            <w:pPr>
              <w:wordWrap w:val="0"/>
              <w:jc w:val="left"/>
              <w:rPr>
                <w:lang w:val="zh-CN"/>
              </w:rPr>
            </w:pPr>
            <w:r>
              <w:rPr>
                <w:lang w:val="zh-CN"/>
              </w:rPr>
              <w:t>2.投标人须提供投标承诺函。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709" w:type="dxa"/>
            <w:vAlign w:val="center"/>
          </w:tcPr>
          <w:p>
            <w:pPr>
              <w:wordWrap w:val="0"/>
              <w:jc w:val="center"/>
            </w:pPr>
            <w:r>
              <w:t>18</w:t>
            </w:r>
          </w:p>
        </w:tc>
        <w:tc>
          <w:tcPr>
            <w:tcW w:w="2061" w:type="dxa"/>
            <w:vAlign w:val="center"/>
          </w:tcPr>
          <w:p>
            <w:pPr>
              <w:wordWrap w:val="0"/>
              <w:jc w:val="center"/>
            </w:pPr>
            <w:r>
              <w:rPr>
                <w:rFonts w:hint="eastAsia"/>
              </w:rPr>
              <w:t>公告发布</w:t>
            </w:r>
          </w:p>
        </w:tc>
        <w:tc>
          <w:tcPr>
            <w:tcW w:w="6156" w:type="dxa"/>
            <w:tcBorders>
              <w:top w:val="single" w:color="auto" w:sz="4" w:space="0"/>
            </w:tcBorders>
            <w:vAlign w:val="center"/>
          </w:tcPr>
          <w:p>
            <w:pPr>
              <w:wordWrap w:val="0"/>
              <w:jc w:val="left"/>
              <w:rPr>
                <w:lang w:val="zh-CN"/>
              </w:rPr>
            </w:pPr>
            <w:r>
              <w:rPr>
                <w:rFonts w:hint="eastAsia"/>
              </w:rPr>
              <w:t>招标公告、中标公告、变更（更正）公告、现场勘察答复等相关信息同时在以下网站发布：《河南省政府采购网》、《许昌市政府采购网》、《全国公共资源交易平台（河南省·许昌市）》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Align w:val="center"/>
          </w:tcPr>
          <w:p>
            <w:pPr>
              <w:wordWrap w:val="0"/>
              <w:jc w:val="center"/>
            </w:pPr>
            <w:r>
              <w:t>19</w:t>
            </w:r>
          </w:p>
        </w:tc>
        <w:tc>
          <w:tcPr>
            <w:tcW w:w="2061" w:type="dxa"/>
            <w:vAlign w:val="center"/>
          </w:tcPr>
          <w:p>
            <w:pPr>
              <w:wordWrap w:val="0"/>
              <w:jc w:val="center"/>
            </w:pPr>
            <w:r>
              <w:rPr>
                <w:rFonts w:hint="eastAsia"/>
              </w:rPr>
              <w:t>采购人澄清或修改招标文件时间</w:t>
            </w:r>
          </w:p>
        </w:tc>
        <w:tc>
          <w:tcPr>
            <w:tcW w:w="6156" w:type="dxa"/>
            <w:vAlign w:val="center"/>
          </w:tcPr>
          <w:p>
            <w:pPr>
              <w:wordWrap w:val="0"/>
              <w:jc w:val="left"/>
              <w:rPr>
                <w:lang w:val="zh-CN"/>
              </w:rPr>
            </w:pPr>
            <w:r>
              <w:rPr>
                <w:rFonts w:hint="eastAsia"/>
                <w:lang w:val="zh-CN"/>
              </w:rPr>
              <w:t>投标截止时间15日前（澄清内容可能影响投标文件编制的），通过全国公共资源交易平台（河南省.许昌市）交易系统电子平台发出；不足15日的，采购人或者采购代理机构应当顺延提交投标文件的截止时间。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Align w:val="center"/>
          </w:tcPr>
          <w:p>
            <w:pPr>
              <w:wordWrap w:val="0"/>
              <w:jc w:val="center"/>
            </w:pPr>
            <w:r>
              <w:t>20</w:t>
            </w:r>
          </w:p>
        </w:tc>
        <w:tc>
          <w:tcPr>
            <w:tcW w:w="2061" w:type="dxa"/>
            <w:vAlign w:val="center"/>
          </w:tcPr>
          <w:p>
            <w:pPr>
              <w:wordWrap w:val="0"/>
              <w:jc w:val="center"/>
            </w:pPr>
            <w:r>
              <w:rPr>
                <w:rFonts w:hint="eastAsia"/>
              </w:rPr>
              <w:t>投标人对采购文件质疑截止时间</w:t>
            </w:r>
          </w:p>
        </w:tc>
        <w:tc>
          <w:tcPr>
            <w:tcW w:w="6156" w:type="dxa"/>
            <w:vAlign w:val="center"/>
          </w:tcPr>
          <w:p>
            <w:pPr>
              <w:wordWrap w:val="0"/>
              <w:jc w:val="left"/>
              <w:rPr>
                <w:lang w:val="zh-CN"/>
              </w:rPr>
            </w:pPr>
            <w:r>
              <w:rPr>
                <w:rFonts w:hint="eastAsia"/>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Align w:val="center"/>
          </w:tcPr>
          <w:p>
            <w:pPr>
              <w:wordWrap w:val="0"/>
              <w:jc w:val="center"/>
            </w:pPr>
            <w:r>
              <w:t>21</w:t>
            </w:r>
          </w:p>
        </w:tc>
        <w:tc>
          <w:tcPr>
            <w:tcW w:w="2061" w:type="dxa"/>
            <w:vAlign w:val="center"/>
          </w:tcPr>
          <w:p>
            <w:pPr>
              <w:wordWrap w:val="0"/>
              <w:jc w:val="center"/>
            </w:pPr>
            <w:r>
              <w:rPr>
                <w:rFonts w:hint="eastAsia"/>
              </w:rPr>
              <w:t>投标文件份数</w:t>
            </w:r>
          </w:p>
        </w:tc>
        <w:tc>
          <w:tcPr>
            <w:tcW w:w="6156" w:type="dxa"/>
            <w:vAlign w:val="center"/>
          </w:tcPr>
          <w:p>
            <w:pPr>
              <w:wordWrap w:val="0"/>
              <w:jc w:val="left"/>
            </w:pPr>
            <w:r>
              <w:rPr>
                <w:rFonts w:hint="eastAsia"/>
              </w:rPr>
              <w:t>电子投标文件：成功上传至《全国公共资源交易平台（河南省·许昌市）》公共资源交易系统加密电子投标文件1份</w:t>
            </w:r>
            <w:r>
              <w:rPr>
                <w:rFonts w:hint="eastAsia"/>
                <w:lang w:val="zh-CN"/>
              </w:rPr>
              <w:t>（文件格式为： XXX公司XXX项目编号.file）。</w:t>
            </w:r>
          </w:p>
          <w:p>
            <w:pPr>
              <w:wordWrap w:val="0"/>
              <w:jc w:val="left"/>
              <w:rPr>
                <w:lang w:val="zh-CN"/>
              </w:rPr>
            </w:pPr>
            <w:r>
              <w:rPr>
                <w:rFonts w:hint="eastAsia"/>
              </w:rPr>
              <w:t>注:投标人提交的电子投标文件，必须是通过“许昌投标文件制作系统SEARUNV最新版”制作，并经过签章和加密后生成的电子投标文件。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709" w:type="dxa"/>
            <w:vAlign w:val="center"/>
          </w:tcPr>
          <w:p>
            <w:pPr>
              <w:wordWrap w:val="0"/>
              <w:jc w:val="center"/>
            </w:pPr>
            <w:r>
              <w:t>22</w:t>
            </w:r>
          </w:p>
        </w:tc>
        <w:tc>
          <w:tcPr>
            <w:tcW w:w="2061" w:type="dxa"/>
            <w:vAlign w:val="center"/>
          </w:tcPr>
          <w:p>
            <w:pPr>
              <w:wordWrap w:val="0"/>
              <w:jc w:val="center"/>
            </w:pPr>
            <w:r>
              <w:rPr>
                <w:rFonts w:hint="eastAsia"/>
              </w:rPr>
              <w:t>投标文件的</w:t>
            </w:r>
          </w:p>
          <w:p>
            <w:pPr>
              <w:wordWrap w:val="0"/>
              <w:jc w:val="center"/>
            </w:pPr>
            <w:r>
              <w:rPr>
                <w:rFonts w:hint="eastAsia"/>
              </w:rPr>
              <w:t>签署盖章</w:t>
            </w:r>
          </w:p>
        </w:tc>
        <w:tc>
          <w:tcPr>
            <w:tcW w:w="6156" w:type="dxa"/>
            <w:vAlign w:val="center"/>
          </w:tcPr>
          <w:p>
            <w:pPr>
              <w:wordWrap w:val="0"/>
              <w:jc w:val="left"/>
            </w:pPr>
            <w:r>
              <w:rPr>
                <w:rFonts w:hint="eastAsia"/>
              </w:rPr>
              <w:t>电子投标文件：按招标文件要求加盖电子印章和法人电子印章。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709" w:type="dxa"/>
            <w:vAlign w:val="center"/>
          </w:tcPr>
          <w:p>
            <w:pPr>
              <w:wordWrap w:val="0"/>
              <w:jc w:val="center"/>
            </w:pPr>
            <w:r>
              <w:t>23</w:t>
            </w:r>
          </w:p>
        </w:tc>
        <w:tc>
          <w:tcPr>
            <w:tcW w:w="2061" w:type="dxa"/>
            <w:vAlign w:val="center"/>
          </w:tcPr>
          <w:p>
            <w:pPr>
              <w:wordWrap w:val="0"/>
              <w:jc w:val="center"/>
            </w:pPr>
            <w:r>
              <w:rPr>
                <w:rFonts w:hint="eastAsia"/>
              </w:rPr>
              <w:t>本项目是否采用不见面开标</w:t>
            </w:r>
          </w:p>
        </w:tc>
        <w:tc>
          <w:tcPr>
            <w:tcW w:w="6156" w:type="dxa"/>
            <w:vAlign w:val="center"/>
          </w:tcPr>
          <w:p>
            <w:pPr>
              <w:wordWrap w:val="0"/>
              <w:jc w:val="left"/>
            </w:pPr>
            <w:r>
              <w:rPr>
                <w:rFonts w:hint="eastAsia"/>
              </w:rPr>
              <w:t>本项目采用不见面开标。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Align w:val="center"/>
          </w:tcPr>
          <w:p>
            <w:pPr>
              <w:wordWrap w:val="0"/>
              <w:jc w:val="center"/>
            </w:pPr>
            <w:r>
              <w:t>24</w:t>
            </w:r>
          </w:p>
        </w:tc>
        <w:tc>
          <w:tcPr>
            <w:tcW w:w="2061" w:type="dxa"/>
            <w:vAlign w:val="center"/>
          </w:tcPr>
          <w:p>
            <w:pPr>
              <w:wordWrap w:val="0"/>
              <w:jc w:val="center"/>
            </w:pPr>
            <w:r>
              <w:rPr>
                <w:rFonts w:hint="eastAsia"/>
              </w:rPr>
              <w:t>评标委员会组建</w:t>
            </w:r>
          </w:p>
        </w:tc>
        <w:tc>
          <w:tcPr>
            <w:tcW w:w="6156" w:type="dxa"/>
            <w:vAlign w:val="center"/>
          </w:tcPr>
          <w:p>
            <w:pPr>
              <w:wordWrap w:val="0"/>
              <w:jc w:val="left"/>
              <w:rPr>
                <w:lang w:val="zh-CN"/>
              </w:rPr>
            </w:pPr>
            <w:r>
              <w:rPr>
                <w:rFonts w:hint="eastAsia"/>
                <w:lang w:val="zh-CN"/>
              </w:rPr>
              <w:t>由采购人代表</w:t>
            </w:r>
            <w:r>
              <w:rPr>
                <w:lang w:val="zh-CN"/>
              </w:rPr>
              <w:t>1</w:t>
            </w:r>
            <w:r>
              <w:rPr>
                <w:rFonts w:hint="eastAsia"/>
                <w:lang w:val="zh-CN"/>
              </w:rPr>
              <w:t>人和评审专家</w:t>
            </w:r>
            <w:r>
              <w:rPr>
                <w:lang w:val="zh-CN"/>
              </w:rPr>
              <w:t>4</w:t>
            </w:r>
            <w:r>
              <w:rPr>
                <w:rFonts w:hint="eastAsia"/>
                <w:lang w:val="zh-CN"/>
              </w:rPr>
              <w:t>人，共</w:t>
            </w:r>
            <w:r>
              <w:rPr>
                <w:lang w:val="zh-CN"/>
              </w:rPr>
              <w:t>5</w:t>
            </w:r>
            <w:r>
              <w:rPr>
                <w:rFonts w:hint="eastAsia"/>
                <w:lang w:val="zh-CN"/>
              </w:rPr>
              <w:t>人组成，其中评审专家的人数不少于评标委员会成员总数的三分之二。评审专家从政府采购评审专家库中随机抽取。评审委员会应当推选组长，但采购人代表不得担任组长。与供应商有利害关系的人不得进入评标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Align w:val="center"/>
          </w:tcPr>
          <w:p>
            <w:pPr>
              <w:wordWrap w:val="0"/>
              <w:jc w:val="center"/>
            </w:pPr>
            <w:r>
              <w:t>25</w:t>
            </w:r>
          </w:p>
        </w:tc>
        <w:tc>
          <w:tcPr>
            <w:tcW w:w="2061" w:type="dxa"/>
            <w:vAlign w:val="center"/>
          </w:tcPr>
          <w:p>
            <w:pPr>
              <w:wordWrap w:val="0"/>
              <w:jc w:val="center"/>
              <w:rPr>
                <w:lang w:val="zh-CN"/>
              </w:rPr>
            </w:pPr>
            <w:r>
              <w:rPr>
                <w:rFonts w:hint="eastAsia"/>
              </w:rPr>
              <w:t>评标方法</w:t>
            </w:r>
          </w:p>
        </w:tc>
        <w:tc>
          <w:tcPr>
            <w:tcW w:w="6156" w:type="dxa"/>
            <w:vAlign w:val="center"/>
          </w:tcPr>
          <w:p>
            <w:pPr>
              <w:wordWrap w:val="0"/>
              <w:jc w:val="left"/>
              <w:rPr>
                <w:lang w:val="zh-CN"/>
              </w:rPr>
            </w:pPr>
            <w:r>
              <w:rPr>
                <w:lang w:val="zh-CN"/>
              </w:rPr>
              <w:fldChar w:fldCharType="begin"/>
            </w:r>
            <w:r>
              <w:rPr>
                <w:rFonts w:hint="eastAsia"/>
                <w:lang w:val="zh-CN"/>
              </w:rPr>
              <w:instrText xml:space="preserve">eq \o\ac(□,√)</w:instrText>
            </w:r>
            <w:r>
              <w:rPr>
                <w:lang w:val="zh-CN"/>
              </w:rPr>
              <w:fldChar w:fldCharType="end"/>
            </w:r>
            <w:r>
              <w:rPr>
                <w:rFonts w:hint="eastAsia"/>
                <w:lang w:val="zh-CN"/>
              </w:rPr>
              <w:t>综合评分法</w:t>
            </w:r>
          </w:p>
          <w:p>
            <w:pPr>
              <w:wordWrap w:val="0"/>
              <w:jc w:val="left"/>
              <w:rPr>
                <w:lang w:val="zh-CN"/>
              </w:rPr>
            </w:pPr>
            <w:r>
              <w:rPr>
                <w:rFonts w:hint="eastAsia"/>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jc w:val="center"/>
        </w:trPr>
        <w:tc>
          <w:tcPr>
            <w:tcW w:w="709" w:type="dxa"/>
            <w:vAlign w:val="center"/>
          </w:tcPr>
          <w:p>
            <w:pPr>
              <w:wordWrap w:val="0"/>
              <w:jc w:val="center"/>
            </w:pPr>
            <w:r>
              <w:t>26</w:t>
            </w:r>
          </w:p>
        </w:tc>
        <w:tc>
          <w:tcPr>
            <w:tcW w:w="2061" w:type="dxa"/>
            <w:vAlign w:val="center"/>
          </w:tcPr>
          <w:p>
            <w:pPr>
              <w:wordWrap w:val="0"/>
              <w:jc w:val="center"/>
              <w:rPr>
                <w:lang w:val="zh-CN"/>
              </w:rPr>
            </w:pPr>
            <w:r>
              <w:rPr>
                <w:rFonts w:hint="eastAsia"/>
                <w:lang w:val="zh-CN"/>
              </w:rPr>
              <w:t>授权函</w:t>
            </w:r>
          </w:p>
        </w:tc>
        <w:tc>
          <w:tcPr>
            <w:tcW w:w="6156" w:type="dxa"/>
            <w:vAlign w:val="center"/>
          </w:tcPr>
          <w:p>
            <w:pPr>
              <w:wordWrap w:val="0"/>
              <w:jc w:val="left"/>
              <w:rPr>
                <w:lang w:val="zh-CN"/>
              </w:rPr>
            </w:pPr>
            <w:r>
              <w:rPr>
                <w:rFonts w:hint="eastAsia"/>
                <w:lang w:val="zh-CN"/>
              </w:rPr>
              <w:t>采购单位委派代表参加资格审查和评审委员会的，须出具授权函。除授权代表外，采购单位委派纪检监察人员对评标过程实施监督的须进入禹州市公共资源交易中心电子监督室，并向禹州市公共资源交易中心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Align w:val="center"/>
          </w:tcPr>
          <w:p>
            <w:pPr>
              <w:wordWrap w:val="0"/>
              <w:jc w:val="center"/>
            </w:pPr>
            <w:r>
              <w:t>27</w:t>
            </w:r>
          </w:p>
        </w:tc>
        <w:tc>
          <w:tcPr>
            <w:tcW w:w="2061" w:type="dxa"/>
            <w:vAlign w:val="center"/>
          </w:tcPr>
          <w:p>
            <w:pPr>
              <w:wordWrap w:val="0"/>
              <w:jc w:val="center"/>
              <w:rPr>
                <w:lang w:val="zh-CN"/>
              </w:rPr>
            </w:pPr>
            <w:r>
              <w:rPr>
                <w:rFonts w:hint="eastAsia"/>
                <w:lang w:val="zh-CN"/>
              </w:rPr>
              <w:t>履约保证金</w:t>
            </w:r>
          </w:p>
        </w:tc>
        <w:tc>
          <w:tcPr>
            <w:tcW w:w="6156" w:type="dxa"/>
            <w:vAlign w:val="center"/>
          </w:tcPr>
          <w:p>
            <w:pPr>
              <w:wordWrap w:val="0"/>
              <w:jc w:val="left"/>
              <w:rPr>
                <w:lang w:val="zh-CN"/>
              </w:rPr>
            </w:pPr>
            <w:r>
              <w:rPr>
                <w:lang w:val="zh-CN"/>
              </w:rPr>
              <w:fldChar w:fldCharType="begin"/>
            </w:r>
            <w:r>
              <w:rPr>
                <w:rFonts w:hint="eastAsia"/>
                <w:lang w:val="zh-CN"/>
              </w:rPr>
              <w:instrText xml:space="preserve">eq \o\ac(□,√)</w:instrText>
            </w:r>
            <w:r>
              <w:rPr>
                <w:lang w:val="zh-CN"/>
              </w:rPr>
              <w:fldChar w:fldCharType="end"/>
            </w:r>
            <w:r>
              <w:rPr>
                <w:rFonts w:hint="eastAsia"/>
                <w:lang w:val="zh-CN"/>
              </w:rPr>
              <w:t>无要求</w:t>
            </w:r>
          </w:p>
          <w:p>
            <w:pPr>
              <w:wordWrap w:val="0"/>
              <w:jc w:val="left"/>
              <w:rPr>
                <w:lang w:val="zh-CN"/>
              </w:rPr>
            </w:pPr>
            <w:r>
              <w:rPr>
                <w:rFonts w:hint="eastAsia"/>
                <w:lang w:val="zh-CN"/>
              </w:rPr>
              <w:t>□</w:t>
            </w:r>
            <w:r>
              <w:rPr>
                <w:rFonts w:hint="eastAsia"/>
              </w:rPr>
              <w:t>要求提交。履约保证金的数额为合同金额的10%以下。中标人以支票、汇票、本票或者金融机构、担保机构出具的保函等非现金形式向采购人提交。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09" w:type="dxa"/>
            <w:vAlign w:val="center"/>
          </w:tcPr>
          <w:p>
            <w:pPr>
              <w:wordWrap w:val="0"/>
              <w:jc w:val="center"/>
            </w:pPr>
            <w:r>
              <w:t>28</w:t>
            </w:r>
          </w:p>
        </w:tc>
        <w:tc>
          <w:tcPr>
            <w:tcW w:w="2061" w:type="dxa"/>
            <w:vAlign w:val="center"/>
          </w:tcPr>
          <w:p>
            <w:pPr>
              <w:wordWrap w:val="0"/>
              <w:jc w:val="center"/>
              <w:rPr>
                <w:lang w:val="zh-CN"/>
              </w:rPr>
            </w:pPr>
            <w:r>
              <w:rPr>
                <w:rFonts w:hint="eastAsia"/>
                <w:lang w:val="zh-CN"/>
              </w:rPr>
              <w:t>代理服务费</w:t>
            </w:r>
          </w:p>
        </w:tc>
        <w:tc>
          <w:tcPr>
            <w:tcW w:w="6156" w:type="dxa"/>
            <w:vAlign w:val="center"/>
          </w:tcPr>
          <w:p>
            <w:pPr>
              <w:wordWrap w:val="0"/>
              <w:jc w:val="left"/>
              <w:rPr>
                <w:lang w:val="zh-CN"/>
              </w:rPr>
            </w:pPr>
            <w:r>
              <w:rPr>
                <w:rFonts w:hint="eastAsia"/>
              </w:rPr>
              <w:t>招标代理服务费由中标人支付，招标代理服务费根据《国家计委〈计价格〔2002〕1980号〉》及发改价格【</w:t>
            </w:r>
            <w:r>
              <w:t>2011】534号文</w:t>
            </w:r>
            <w:r>
              <w:rPr>
                <w:rFonts w:hint="eastAsia"/>
              </w:rPr>
              <w:t>之有关规定内容收取。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09" w:type="dxa"/>
            <w:vAlign w:val="center"/>
          </w:tcPr>
          <w:p>
            <w:pPr>
              <w:wordWrap w:val="0"/>
              <w:jc w:val="center"/>
            </w:pPr>
            <w:r>
              <w:t>29</w:t>
            </w:r>
          </w:p>
        </w:tc>
        <w:tc>
          <w:tcPr>
            <w:tcW w:w="2061" w:type="dxa"/>
            <w:vAlign w:val="center"/>
          </w:tcPr>
          <w:p>
            <w:pPr>
              <w:wordWrap w:val="0"/>
              <w:jc w:val="center"/>
              <w:rPr>
                <w:lang w:val="zh-CN"/>
              </w:rPr>
            </w:pPr>
            <w:r>
              <w:rPr>
                <w:rFonts w:hint="eastAsia"/>
                <w:lang w:val="zh-CN"/>
              </w:rPr>
              <w:t>中标通知书</w:t>
            </w:r>
          </w:p>
        </w:tc>
        <w:tc>
          <w:tcPr>
            <w:tcW w:w="6156" w:type="dxa"/>
            <w:vAlign w:val="center"/>
          </w:tcPr>
          <w:p>
            <w:pPr>
              <w:wordWrap w:val="0"/>
              <w:jc w:val="left"/>
              <w:rPr>
                <w:lang w:val="zh-CN"/>
              </w:rPr>
            </w:pPr>
            <w:r>
              <w:rPr>
                <w:rFonts w:hint="eastAsia"/>
                <w:lang w:val="zh-CN"/>
              </w:rPr>
              <w:t>1、招标代理机构在评标结果公示期满无异议后通知中标人领取中标通知书，特殊情况（特殊情况需书面申请延后领取中标通知书）外需在五个工作日内完成。由于中标人的原因逾期未领取中标通知书的将视为放弃中标，没收投标保证金，取消其中标资格并将按相关规定进行处理，招标代理机构不承担任何责任。</w:t>
            </w:r>
          </w:p>
          <w:p>
            <w:pPr>
              <w:wordWrap w:val="0"/>
              <w:jc w:val="left"/>
              <w:rPr>
                <w:lang w:val="zh-CN"/>
              </w:rPr>
            </w:pPr>
            <w:r>
              <w:rPr>
                <w:rFonts w:hint="eastAsia"/>
                <w:lang w:val="zh-CN"/>
              </w:rPr>
              <w:t>2、中标人在接到中标通知时，并配合业主需要提供纸质投标文件1套，且须向代理机构发送投标报价及分项报价一览表（包含主要中标标的的名称、规格型号、数量、单价、服务要求等）电子文档，并同时通知招标代理公司，联系电话：0374-</w:t>
            </w:r>
            <w:r>
              <w:rPr>
                <w:lang w:val="zh-CN"/>
              </w:rPr>
              <w:t>8235388</w:t>
            </w:r>
            <w:r>
              <w:rPr>
                <w:rFonts w:hint="eastAsia"/>
                <w:lang w:val="zh-CN"/>
              </w:rPr>
              <w:t>，邮箱：h</w:t>
            </w:r>
            <w:r>
              <w:rPr>
                <w:lang w:val="zh-CN"/>
              </w:rPr>
              <w:t>ndhzb</w:t>
            </w:r>
            <w:r>
              <w:rPr>
                <w:rFonts w:hint="eastAsia"/>
                <w:lang w:val="zh-CN"/>
              </w:rPr>
              <w:t>@163.com。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Align w:val="center"/>
          </w:tcPr>
          <w:p>
            <w:pPr>
              <w:wordWrap w:val="0"/>
              <w:jc w:val="center"/>
            </w:pPr>
            <w:r>
              <w:t>30</w:t>
            </w:r>
          </w:p>
        </w:tc>
        <w:tc>
          <w:tcPr>
            <w:tcW w:w="2061" w:type="dxa"/>
            <w:vAlign w:val="center"/>
          </w:tcPr>
          <w:p>
            <w:pPr>
              <w:wordWrap w:val="0"/>
              <w:jc w:val="center"/>
              <w:rPr>
                <w:lang w:val="zh-CN"/>
              </w:rPr>
            </w:pPr>
            <w:r>
              <w:rPr>
                <w:rFonts w:hint="eastAsia"/>
                <w:lang w:val="zh-CN"/>
              </w:rPr>
              <w:t>电子化采购模式</w:t>
            </w:r>
          </w:p>
        </w:tc>
        <w:tc>
          <w:tcPr>
            <w:tcW w:w="6156" w:type="dxa"/>
            <w:vAlign w:val="center"/>
          </w:tcPr>
          <w:p>
            <w:pPr>
              <w:wordWrap w:val="0"/>
              <w:jc w:val="left"/>
              <w:rPr>
                <w:lang w:val="zh-CN"/>
              </w:rPr>
            </w:pPr>
            <w:r>
              <w:rPr>
                <w:lang w:val="zh-CN"/>
              </w:rPr>
              <w:fldChar w:fldCharType="begin"/>
            </w:r>
            <w:r>
              <w:rPr>
                <w:rFonts w:hint="eastAsia"/>
                <w:lang w:val="zh-CN"/>
              </w:rPr>
              <w:instrText xml:space="preserve">eq \o\ac(□,√)</w:instrText>
            </w:r>
            <w:r>
              <w:rPr>
                <w:lang w:val="zh-CN"/>
              </w:rPr>
              <w:fldChar w:fldCharType="end"/>
            </w:r>
            <w:r>
              <w:rPr>
                <w:rFonts w:hint="eastAsia"/>
                <w:lang w:val="zh-CN"/>
              </w:rPr>
              <w:t>是。电子投标文件：成功上传至《全国公共资源交易平台（河南省·许昌市）》公共资源交易系统加密电子投标文件</w:t>
            </w:r>
            <w:r>
              <w:rPr>
                <w:lang w:val="zh-CN"/>
              </w:rPr>
              <w:t>1份（文件格式为： XXX公司XXX项目编号.file）。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jc w:val="center"/>
        </w:trPr>
        <w:tc>
          <w:tcPr>
            <w:tcW w:w="709" w:type="dxa"/>
            <w:vAlign w:val="center"/>
          </w:tcPr>
          <w:p>
            <w:pPr>
              <w:wordWrap w:val="0"/>
              <w:jc w:val="center"/>
            </w:pPr>
            <w:r>
              <w:t>31</w:t>
            </w:r>
          </w:p>
        </w:tc>
        <w:tc>
          <w:tcPr>
            <w:tcW w:w="2061" w:type="dxa"/>
            <w:vAlign w:val="center"/>
          </w:tcPr>
          <w:p>
            <w:pPr>
              <w:wordWrap w:val="0"/>
              <w:jc w:val="center"/>
              <w:rPr>
                <w:lang w:val="zh-CN"/>
              </w:rPr>
            </w:pPr>
            <w:r>
              <w:rPr>
                <w:rFonts w:hint="eastAsia"/>
                <w:lang w:val="zh-CN"/>
              </w:rPr>
              <w:t>投标人代表出席开标会及其他</w:t>
            </w:r>
          </w:p>
        </w:tc>
        <w:tc>
          <w:tcPr>
            <w:tcW w:w="6156" w:type="dxa"/>
            <w:vAlign w:val="center"/>
          </w:tcPr>
          <w:p>
            <w:pPr>
              <w:wordWrap w:val="0"/>
              <w:jc w:val="left"/>
            </w:pPr>
            <w:r>
              <w:rPr>
                <w:rFonts w:hint="eastAsia"/>
                <w:lang w:val="zh-CN"/>
              </w:rPr>
              <w:t>投标人准时在网上参加投标、开标活动。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9" w:hRule="atLeast"/>
          <w:jc w:val="center"/>
        </w:trPr>
        <w:tc>
          <w:tcPr>
            <w:tcW w:w="709" w:type="dxa"/>
            <w:vAlign w:val="center"/>
          </w:tcPr>
          <w:p>
            <w:pPr>
              <w:wordWrap w:val="0"/>
              <w:jc w:val="center"/>
            </w:pPr>
            <w:r>
              <w:t>32</w:t>
            </w:r>
          </w:p>
        </w:tc>
        <w:tc>
          <w:tcPr>
            <w:tcW w:w="2061" w:type="dxa"/>
            <w:vAlign w:val="center"/>
          </w:tcPr>
          <w:p>
            <w:pPr>
              <w:wordWrap w:val="0"/>
              <w:jc w:val="center"/>
              <w:rPr>
                <w:lang w:val="zh-CN"/>
              </w:rPr>
            </w:pPr>
            <w:r>
              <w:rPr>
                <w:rFonts w:hint="eastAsia"/>
                <w:lang w:val="zh-CN"/>
              </w:rPr>
              <w:t>解释权</w:t>
            </w:r>
          </w:p>
        </w:tc>
        <w:tc>
          <w:tcPr>
            <w:tcW w:w="6156" w:type="dxa"/>
            <w:vAlign w:val="center"/>
          </w:tcPr>
          <w:p>
            <w:pPr>
              <w:wordWrap w:val="0"/>
              <w:jc w:val="left"/>
              <w:rPr>
                <w:lang w:val="zh-CN"/>
              </w:rPr>
            </w:pPr>
            <w:r>
              <w:rPr>
                <w:rFonts w:hint="eastAsia"/>
                <w:lang w:val="zh-CN"/>
              </w:rPr>
              <w:t>构成本招标文件的各个组成文件应互为解释，互为说明；</w:t>
            </w:r>
          </w:p>
          <w:p>
            <w:pPr>
              <w:wordWrap w:val="0"/>
              <w:jc w:val="left"/>
              <w:rPr>
                <w:lang w:val="zh-CN"/>
              </w:rPr>
            </w:pPr>
            <w:r>
              <w:rPr>
                <w:lang w:val="zh-CN"/>
              </w:rPr>
              <w:t>1</w:t>
            </w:r>
            <w:r>
              <w:rPr>
                <w:rFonts w:hint="eastAsia"/>
                <w:lang w:val="zh-CN"/>
              </w:rPr>
              <w:t>、除招标文件中有特别规定外，仅适用于招标投标阶段的规定，按招标公告（投标邀请书）、投标人须知、评标办法的先后顺序解释；</w:t>
            </w:r>
          </w:p>
          <w:p>
            <w:pPr>
              <w:wordWrap w:val="0"/>
              <w:jc w:val="left"/>
              <w:rPr>
                <w:lang w:val="zh-CN"/>
              </w:rPr>
            </w:pPr>
            <w:r>
              <w:rPr>
                <w:lang w:val="zh-CN"/>
              </w:rPr>
              <w:t>3</w:t>
            </w:r>
            <w:r>
              <w:rPr>
                <w:rFonts w:hint="eastAsia"/>
                <w:lang w:val="zh-CN"/>
              </w:rPr>
              <w:t>、同一组成文件中就同一事项的规定或约定不一致的，以编排顺序在后者为准；</w:t>
            </w:r>
          </w:p>
          <w:p>
            <w:pPr>
              <w:wordWrap w:val="0"/>
              <w:jc w:val="left"/>
              <w:rPr>
                <w:lang w:val="zh-CN"/>
              </w:rPr>
            </w:pPr>
            <w:r>
              <w:rPr>
                <w:lang w:val="zh-CN"/>
              </w:rPr>
              <w:t>4</w:t>
            </w:r>
            <w:r>
              <w:rPr>
                <w:rFonts w:hint="eastAsia"/>
                <w:lang w:val="zh-CN"/>
              </w:rPr>
              <w:t>、同一组成文件不同版本之间有不一致的，以形成时间在后者为准；</w:t>
            </w:r>
          </w:p>
          <w:p>
            <w:pPr>
              <w:wordWrap w:val="0"/>
              <w:jc w:val="left"/>
              <w:rPr>
                <w:lang w:val="zh-CN"/>
              </w:rPr>
            </w:pPr>
            <w:r>
              <w:rPr>
                <w:rFonts w:hint="eastAsia"/>
                <w:lang w:val="zh-CN"/>
              </w:rPr>
              <w:t>按本款前述规定仍不能形成结论的，由招标人负责解释。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09" w:type="dxa"/>
            <w:vAlign w:val="center"/>
          </w:tcPr>
          <w:p>
            <w:pPr>
              <w:wordWrap w:val="0"/>
              <w:jc w:val="center"/>
            </w:pPr>
            <w:r>
              <w:t>33</w:t>
            </w:r>
          </w:p>
        </w:tc>
        <w:tc>
          <w:tcPr>
            <w:tcW w:w="2061" w:type="dxa"/>
            <w:vAlign w:val="center"/>
          </w:tcPr>
          <w:p>
            <w:pPr>
              <w:wordWrap w:val="0"/>
              <w:jc w:val="center"/>
              <w:rPr>
                <w:lang w:val="zh-CN"/>
              </w:rPr>
            </w:pPr>
            <w:r>
              <w:rPr>
                <w:rFonts w:hint="eastAsia"/>
                <w:lang w:val="zh-CN"/>
              </w:rPr>
              <w:t>知识产权</w:t>
            </w:r>
          </w:p>
        </w:tc>
        <w:tc>
          <w:tcPr>
            <w:tcW w:w="6156" w:type="dxa"/>
            <w:vAlign w:val="center"/>
          </w:tcPr>
          <w:p>
            <w:pPr>
              <w:wordWrap w:val="0"/>
              <w:jc w:val="left"/>
              <w:rPr>
                <w:lang w:val="zh-CN"/>
              </w:rPr>
            </w:pPr>
            <w:r>
              <w:rPr>
                <w:rFonts w:hint="eastAsia"/>
                <w:lang w:val="zh-CN"/>
              </w:rPr>
              <w:t>构成本采购文件各个组成部分的文件，未经采购人书面同意，供应商不得擅自复印和用于非本招标项目所需的其他目的。采购人全部或者部分使用未中标人投标文件中的技术成果或技术方案时，需征得其书面同意，并不得擅自复印或提供给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709" w:type="dxa"/>
            <w:vAlign w:val="center"/>
          </w:tcPr>
          <w:p>
            <w:pPr>
              <w:wordWrap w:val="0"/>
              <w:jc w:val="center"/>
            </w:pPr>
            <w:r>
              <w:t>34</w:t>
            </w:r>
          </w:p>
        </w:tc>
        <w:tc>
          <w:tcPr>
            <w:tcW w:w="2061" w:type="dxa"/>
            <w:vAlign w:val="center"/>
          </w:tcPr>
          <w:p>
            <w:pPr>
              <w:wordWrap w:val="0"/>
              <w:jc w:val="center"/>
              <w:rPr>
                <w:lang w:val="zh-CN"/>
              </w:rPr>
            </w:pPr>
            <w:r>
              <w:rPr>
                <w:rFonts w:hint="eastAsia"/>
                <w:lang w:val="zh-CN"/>
              </w:rPr>
              <w:t>投标费用</w:t>
            </w:r>
          </w:p>
        </w:tc>
        <w:tc>
          <w:tcPr>
            <w:tcW w:w="6156" w:type="dxa"/>
            <w:vAlign w:val="center"/>
          </w:tcPr>
          <w:p>
            <w:pPr>
              <w:wordWrap w:val="0"/>
              <w:jc w:val="left"/>
              <w:rPr>
                <w:lang w:val="zh-CN"/>
              </w:rPr>
            </w:pPr>
            <w:r>
              <w:rPr>
                <w:rFonts w:hint="eastAsia"/>
                <w:lang w:val="zh-CN"/>
              </w:rPr>
              <w:t>供应商应自行承担参加投标活动有关的全部费用，招标人和招招标代理机构在任何情况下均无义务和责任承担上述费用。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jc w:val="center"/>
        </w:trPr>
        <w:tc>
          <w:tcPr>
            <w:tcW w:w="709" w:type="dxa"/>
            <w:vAlign w:val="center"/>
          </w:tcPr>
          <w:p>
            <w:pPr>
              <w:wordWrap w:val="0"/>
              <w:jc w:val="center"/>
            </w:pPr>
            <w:r>
              <w:t>35</w:t>
            </w:r>
          </w:p>
        </w:tc>
        <w:tc>
          <w:tcPr>
            <w:tcW w:w="2061" w:type="dxa"/>
            <w:vAlign w:val="center"/>
          </w:tcPr>
          <w:p>
            <w:pPr>
              <w:wordWrap w:val="0"/>
              <w:jc w:val="center"/>
              <w:rPr>
                <w:lang w:val="zh-CN"/>
              </w:rPr>
            </w:pPr>
            <w:r>
              <w:rPr>
                <w:rFonts w:hint="eastAsia"/>
                <w:lang w:val="zh-CN"/>
              </w:rPr>
              <w:t>纪律和监督</w:t>
            </w:r>
          </w:p>
        </w:tc>
        <w:tc>
          <w:tcPr>
            <w:tcW w:w="6156" w:type="dxa"/>
            <w:vAlign w:val="center"/>
          </w:tcPr>
          <w:p>
            <w:pPr>
              <w:wordWrap w:val="0"/>
              <w:jc w:val="left"/>
              <w:rPr>
                <w:lang w:val="zh-CN"/>
              </w:rPr>
            </w:pPr>
            <w:r>
              <w:rPr>
                <w:rFonts w:hint="eastAsia"/>
                <w:lang w:val="zh-CN"/>
              </w:rPr>
              <w:t>采购人不得泄漏招标投标活动中应当保密的情况和资料，不得与供应商串通损害国家利益、社会公共利益或者他人合法权益。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709" w:type="dxa"/>
            <w:vAlign w:val="center"/>
          </w:tcPr>
          <w:p>
            <w:pPr>
              <w:wordWrap w:val="0"/>
              <w:jc w:val="center"/>
            </w:pPr>
            <w:r>
              <w:t>36</w:t>
            </w:r>
          </w:p>
        </w:tc>
        <w:tc>
          <w:tcPr>
            <w:tcW w:w="2061" w:type="dxa"/>
            <w:vAlign w:val="center"/>
          </w:tcPr>
          <w:p>
            <w:pPr>
              <w:wordWrap w:val="0"/>
              <w:jc w:val="center"/>
              <w:rPr>
                <w:lang w:val="zh-CN"/>
              </w:rPr>
            </w:pPr>
            <w:r>
              <w:rPr>
                <w:rFonts w:hint="eastAsia"/>
                <w:lang w:val="zh-CN"/>
              </w:rPr>
              <w:t>投标文件的拒收</w:t>
            </w:r>
          </w:p>
        </w:tc>
        <w:tc>
          <w:tcPr>
            <w:tcW w:w="6156" w:type="dxa"/>
            <w:vAlign w:val="center"/>
          </w:tcPr>
          <w:p>
            <w:pPr>
              <w:wordWrap w:val="0"/>
              <w:jc w:val="left"/>
              <w:rPr>
                <w:lang w:val="zh-CN"/>
              </w:rPr>
            </w:pPr>
            <w:r>
              <w:rPr>
                <w:rFonts w:hint="eastAsia"/>
              </w:rPr>
              <w:t>1</w:t>
            </w:r>
            <w:r>
              <w:rPr>
                <w:rFonts w:hint="eastAsia"/>
                <w:lang w:val="zh-CN"/>
              </w:rPr>
              <w:t>、未成功上传的投标文件；</w:t>
            </w:r>
          </w:p>
          <w:p>
            <w:pPr>
              <w:wordWrap w:val="0"/>
              <w:jc w:val="left"/>
              <w:rPr>
                <w:lang w:val="zh-CN"/>
              </w:rPr>
            </w:pPr>
            <w:r>
              <w:rPr>
                <w:rFonts w:hint="eastAsia"/>
                <w:lang w:val="zh-CN"/>
              </w:rPr>
              <w:t>2、未进行解密或未按要求成功解密的投标文件。</w:t>
            </w:r>
          </w:p>
          <w:p>
            <w:pPr>
              <w:wordWrap w:val="0"/>
              <w:jc w:val="left"/>
              <w:rPr>
                <w:lang w:val="zh-CN"/>
              </w:rPr>
            </w:pPr>
            <w:r>
              <w:rPr>
                <w:rFonts w:hint="eastAsia"/>
                <w:lang w:val="zh-CN"/>
              </w:rPr>
              <w:t>3、未按照规定支付招标文件费用的（招标代理机构开标时在开标大厅文字互动栏中规定的时间内各投标企业缴纳招标文件费用，超过文字互动栏中规定时间的视为放弃投标）；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8" w:hRule="atLeast"/>
          <w:jc w:val="center"/>
        </w:trPr>
        <w:tc>
          <w:tcPr>
            <w:tcW w:w="709" w:type="dxa"/>
            <w:vAlign w:val="center"/>
          </w:tcPr>
          <w:p>
            <w:pPr>
              <w:wordWrap w:val="0"/>
              <w:jc w:val="center"/>
            </w:pPr>
            <w:r>
              <w:rPr>
                <w:rFonts w:hint="eastAsia"/>
              </w:rPr>
              <w:t>3</w:t>
            </w:r>
            <w:r>
              <w:t>7</w:t>
            </w:r>
          </w:p>
        </w:tc>
        <w:tc>
          <w:tcPr>
            <w:tcW w:w="2061" w:type="dxa"/>
            <w:vAlign w:val="center"/>
          </w:tcPr>
          <w:p>
            <w:pPr>
              <w:wordWrap w:val="0"/>
              <w:jc w:val="center"/>
              <w:rPr>
                <w:lang w:val="zh-CN"/>
              </w:rPr>
            </w:pPr>
            <w:r>
              <w:rPr>
                <w:rFonts w:hint="eastAsia"/>
                <w:lang w:val="zh-CN"/>
              </w:rPr>
              <w:t>质疑与投诉</w:t>
            </w:r>
          </w:p>
        </w:tc>
        <w:tc>
          <w:tcPr>
            <w:tcW w:w="6156" w:type="dxa"/>
            <w:vAlign w:val="center"/>
          </w:tcPr>
          <w:p>
            <w:pPr>
              <w:wordWrap w:val="0"/>
              <w:jc w:val="left"/>
              <w:rPr>
                <w:lang w:val="zh-CN"/>
              </w:rPr>
            </w:pPr>
            <w:r>
              <w:rPr>
                <w:rFonts w:hint="eastAsia"/>
                <w:lang w:val="zh-CN"/>
              </w:rPr>
              <w:t>1、供应商认为采购文件、采购过程和中标结果使自己的权益受到损害的，可以按照财政部94号令和招标文件规定的方式提出质疑。</w:t>
            </w:r>
          </w:p>
          <w:p>
            <w:pPr>
              <w:wordWrap w:val="0"/>
              <w:jc w:val="left"/>
              <w:rPr>
                <w:lang w:val="zh-CN"/>
              </w:rPr>
            </w:pPr>
            <w:r>
              <w:rPr>
                <w:rFonts w:hint="eastAsia"/>
                <w:lang w:val="zh-CN"/>
              </w:rPr>
              <w:t>2、对中标结果提出质疑或投诉的，必须是参与本项目所投标段开评标的供应商，且提交的质疑与投诉须符合财政部</w:t>
            </w:r>
            <w:r>
              <w:rPr>
                <w:lang w:val="zh-CN"/>
              </w:rPr>
              <w:t>94号令</w:t>
            </w:r>
            <w:r>
              <w:rPr>
                <w:rFonts w:hint="eastAsia"/>
                <w:lang w:val="zh-CN"/>
              </w:rPr>
              <w:t>相关要求，由供应商法定代表人或参与投标时的授权委托人以书面形式（签字盖章）向采购人、代理机构、监督单位递交。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09" w:type="dxa"/>
            <w:vAlign w:val="center"/>
          </w:tcPr>
          <w:p>
            <w:pPr>
              <w:wordWrap w:val="0"/>
              <w:jc w:val="center"/>
            </w:pPr>
            <w:r>
              <w:rPr>
                <w:rFonts w:hint="eastAsia"/>
              </w:rPr>
              <w:t>3</w:t>
            </w:r>
            <w:r>
              <w:t>8</w:t>
            </w:r>
          </w:p>
        </w:tc>
        <w:tc>
          <w:tcPr>
            <w:tcW w:w="2061" w:type="dxa"/>
            <w:vAlign w:val="center"/>
          </w:tcPr>
          <w:p>
            <w:pPr>
              <w:wordWrap w:val="0"/>
              <w:jc w:val="center"/>
              <w:rPr>
                <w:lang w:val="zh-CN"/>
              </w:rPr>
            </w:pPr>
            <w:r>
              <w:rPr>
                <w:rFonts w:hint="eastAsia"/>
                <w:lang w:val="zh-CN"/>
              </w:rPr>
              <w:t>政府采购政策</w:t>
            </w:r>
          </w:p>
        </w:tc>
        <w:tc>
          <w:tcPr>
            <w:tcW w:w="6156" w:type="dxa"/>
            <w:vAlign w:val="center"/>
          </w:tcPr>
          <w:p>
            <w:pPr>
              <w:wordWrap w:val="0"/>
              <w:jc w:val="left"/>
              <w:rPr>
                <w:lang w:val="zh-CN"/>
              </w:rPr>
            </w:pPr>
            <w:r>
              <w:rPr>
                <w:rFonts w:hint="eastAsia"/>
              </w:rPr>
              <w:t xml:space="preserve">1. </w:t>
            </w:r>
            <w:r>
              <w:rPr>
                <w:rFonts w:hint="eastAsia"/>
                <w:lang w:val="zh-CN"/>
              </w:rPr>
              <w:t>中、小、微企业</w:t>
            </w:r>
          </w:p>
          <w:p>
            <w:pPr>
              <w:wordWrap w:val="0"/>
              <w:jc w:val="left"/>
              <w:rPr>
                <w:lang w:val="zh-CN"/>
              </w:rPr>
            </w:pPr>
            <w:r>
              <w:rPr>
                <w:rFonts w:hint="eastAsia"/>
                <w:lang w:val="zh-CN"/>
              </w:rPr>
              <w:t>（</w:t>
            </w:r>
            <w:r>
              <w:rPr>
                <w:rFonts w:hint="eastAsia"/>
              </w:rPr>
              <w:t>1</w:t>
            </w:r>
            <w:r>
              <w:rPr>
                <w:rFonts w:hint="eastAsia"/>
                <w:lang w:val="zh-CN"/>
              </w:rPr>
              <w:t>）采购政策：《政府采购促进中小企业发展管理办法》（财库〔2020〕46号）</w:t>
            </w:r>
          </w:p>
          <w:p>
            <w:pPr>
              <w:wordWrap w:val="0"/>
              <w:jc w:val="left"/>
            </w:pPr>
            <w:r>
              <w:rPr>
                <w:rFonts w:hint="eastAsia"/>
                <w:lang w:val="zh-CN"/>
              </w:rPr>
              <w:t>（</w:t>
            </w:r>
            <w:r>
              <w:rPr>
                <w:rFonts w:hint="eastAsia"/>
              </w:rPr>
              <w:t>2</w:t>
            </w:r>
            <w:r>
              <w:rPr>
                <w:rFonts w:hint="eastAsia"/>
                <w:lang w:val="zh-CN"/>
              </w:rPr>
              <w:t>）实施措施：</w:t>
            </w:r>
            <w:r>
              <w:rPr>
                <w:rFonts w:hint="eastAsia"/>
              </w:rPr>
              <w:t>小微企业报价给予6%（工程项目为3%）的扣除，用扣除后的价格参加评审。适用招标投标法的政府采购工程建设项目，采用综合评估法但未采用低价优先法计算价格分的，评标时应当在采用原报价进行评分的基础上增加其价格得分的3%作为其价格分。</w:t>
            </w:r>
          </w:p>
          <w:p>
            <w:pPr>
              <w:wordWrap w:val="0"/>
              <w:jc w:val="left"/>
            </w:pPr>
            <w:r>
              <w:rPr>
                <w:rFonts w:hint="eastAsia"/>
              </w:rPr>
              <w:t>若项目接受联合体或者分包的，联合协议或者分包意向协议约定小微企业的合同份额占到合同总金额30%以上的，对联合体或者大中型企业的报价给予2%（工程项目为1%）的扣除，用扣除后的价格参加评审。适用招标投标法的政府采购工程建设项目，采用综合评估法但未采用低价优先法计算价格分的，评标时应当在采用原报价进行评分的基础上增加其价格得分的1%作为其价格分。</w:t>
            </w:r>
          </w:p>
          <w:p>
            <w:pPr>
              <w:wordWrap w:val="0"/>
              <w:jc w:val="left"/>
            </w:pPr>
            <w:r>
              <w:rPr>
                <w:rFonts w:hint="eastAsia"/>
                <w:lang w:val="zh-CN"/>
              </w:rPr>
              <w:t>扶持中、小、微企业；</w:t>
            </w:r>
            <w:r>
              <w:rPr>
                <w:rFonts w:hint="eastAsia"/>
              </w:rPr>
              <w:t>扶持促残疾人福利性单位；</w:t>
            </w:r>
            <w:r>
              <w:rPr>
                <w:rFonts w:hint="eastAsia"/>
                <w:lang w:val="zh-CN"/>
              </w:rPr>
              <w:t>扶持监狱企业政策不重复计算。</w:t>
            </w:r>
          </w:p>
          <w:p>
            <w:pPr>
              <w:wordWrap w:val="0"/>
              <w:jc w:val="left"/>
              <w:rPr>
                <w:lang w:val="zh-CN"/>
              </w:rPr>
            </w:pPr>
            <w:r>
              <w:rPr>
                <w:rFonts w:hint="eastAsia"/>
                <w:lang w:val="zh-CN"/>
              </w:rPr>
              <w:t>（</w:t>
            </w:r>
            <w:r>
              <w:rPr>
                <w:rFonts w:hint="eastAsia"/>
              </w:rPr>
              <w:t>3</w:t>
            </w:r>
            <w:r>
              <w:rPr>
                <w:rFonts w:hint="eastAsia"/>
                <w:lang w:val="zh-CN"/>
              </w:rPr>
              <w:t>）资格确认：采取中小企业自我声明的做法，由参加采购活动的中小企业按照《管理办法》的规定提供《</w:t>
            </w:r>
            <w:r>
              <w:rPr>
                <w:rFonts w:hint="eastAsia"/>
              </w:rPr>
              <w:t>中小企业声明函</w:t>
            </w:r>
            <w:r>
              <w:rPr>
                <w:rFonts w:hint="eastAsia"/>
                <w:lang w:val="zh-CN"/>
              </w:rPr>
              <w:t>》，并对其真实性负责。对冒充中小企业参与采购活动谋取中标的，将依法予以处理。供应商中标后代理机构</w:t>
            </w:r>
            <w:r>
              <w:rPr>
                <w:rFonts w:hint="eastAsia"/>
              </w:rPr>
              <w:t>随中标、成交结果公开中标、成交供应商的《中小企业声明函》。适用招标投标法的政府采购工程建设项目，应当在公示中标候选人时公开中标候选人的《中小企业声明函》。</w:t>
            </w:r>
          </w:p>
          <w:p>
            <w:pPr>
              <w:wordWrap w:val="0"/>
              <w:jc w:val="left"/>
            </w:pPr>
            <w:r>
              <w:rPr>
                <w:rFonts w:hint="eastAsia"/>
              </w:rPr>
              <w:t>2. 残疾人福利性单位</w:t>
            </w:r>
          </w:p>
          <w:p>
            <w:pPr>
              <w:wordWrap w:val="0"/>
              <w:jc w:val="left"/>
            </w:pPr>
            <w:r>
              <w:rPr>
                <w:rFonts w:hint="eastAsia"/>
              </w:rPr>
              <w:t>（1）采购政策：关于促进残疾人就业政府采购政策的通知（财库〔2017〕141号）</w:t>
            </w:r>
          </w:p>
          <w:p>
            <w:pPr>
              <w:wordWrap w:val="0"/>
              <w:jc w:val="left"/>
            </w:pPr>
            <w:r>
              <w:rPr>
                <w:rFonts w:hint="eastAsia"/>
              </w:rPr>
              <w:t>（2）实施措施：视同小型、微型企业。</w:t>
            </w:r>
            <w:r>
              <w:rPr>
                <w:rFonts w:hint="eastAsia"/>
                <w:lang w:val="zh-CN"/>
              </w:rPr>
              <w:t>扶持中、小、微企业；</w:t>
            </w:r>
            <w:r>
              <w:rPr>
                <w:rFonts w:hint="eastAsia"/>
              </w:rPr>
              <w:t>扶持促残疾人福利性单位；</w:t>
            </w:r>
            <w:r>
              <w:rPr>
                <w:rFonts w:hint="eastAsia"/>
                <w:lang w:val="zh-CN"/>
              </w:rPr>
              <w:t>扶持监狱企业政策不重复计算。</w:t>
            </w:r>
          </w:p>
          <w:p>
            <w:pPr>
              <w:wordWrap w:val="0"/>
              <w:jc w:val="left"/>
            </w:pPr>
            <w:r>
              <w:rPr>
                <w:rFonts w:hint="eastAsia"/>
              </w:rPr>
              <w:t>（3）资格确认：符合条件的残疾人福利性单位在参加政府采购活动时，应当提供《通知》规定的《残疾人福利性单位声明函》，并对声明的真实性负责。任何单位或者个人在政府采购活动中均不得要求残疾人福利性单位提供其他证明声明函内容的材料。</w:t>
            </w:r>
          </w:p>
          <w:p>
            <w:pPr>
              <w:wordWrap w:val="0"/>
              <w:jc w:val="left"/>
            </w:pPr>
            <w:r>
              <w:rPr>
                <w:rFonts w:hint="eastAsia"/>
              </w:rPr>
              <w:t>中标、成交供应商为残疾人福利性单位的，代理机构随中标、成交结果同时公告其《残疾人福利性单位声明函》，接受社会监督。</w:t>
            </w:r>
          </w:p>
          <w:p>
            <w:pPr>
              <w:wordWrap w:val="0"/>
              <w:jc w:val="left"/>
              <w:rPr>
                <w:lang w:val="zh-CN"/>
              </w:rPr>
            </w:pPr>
            <w:r>
              <w:rPr>
                <w:rFonts w:hint="eastAsia"/>
                <w:lang w:val="zh-CN"/>
              </w:rPr>
              <w:t>3</w:t>
            </w:r>
            <w:r>
              <w:rPr>
                <w:rFonts w:hint="eastAsia"/>
              </w:rPr>
              <w:t xml:space="preserve">. </w:t>
            </w:r>
            <w:r>
              <w:rPr>
                <w:rFonts w:hint="eastAsia"/>
                <w:lang w:val="zh-CN"/>
              </w:rPr>
              <w:t>监狱企业</w:t>
            </w:r>
          </w:p>
          <w:p>
            <w:pPr>
              <w:wordWrap w:val="0"/>
              <w:jc w:val="left"/>
              <w:rPr>
                <w:lang w:val="zh-CN"/>
              </w:rPr>
            </w:pPr>
            <w:r>
              <w:rPr>
                <w:rFonts w:hint="eastAsia"/>
              </w:rPr>
              <w:t>（1）采购政策：</w:t>
            </w:r>
            <w:r>
              <w:rPr>
                <w:rFonts w:hint="eastAsia"/>
                <w:lang w:val="zh-CN"/>
              </w:rPr>
              <w:t>关于政府采购支持监狱企业发展有关问题的通知（财库〔2014〕68号）</w:t>
            </w:r>
          </w:p>
          <w:p>
            <w:pPr>
              <w:wordWrap w:val="0"/>
              <w:jc w:val="left"/>
              <w:rPr>
                <w:lang w:val="zh-CN"/>
              </w:rPr>
            </w:pPr>
            <w:r>
              <w:rPr>
                <w:rFonts w:hint="eastAsia"/>
              </w:rPr>
              <w:t>（2）实施措施：</w:t>
            </w:r>
            <w:r>
              <w:rPr>
                <w:rFonts w:hint="eastAsia"/>
                <w:lang w:val="zh-CN"/>
              </w:rPr>
              <w:t>视同小型、微型企业。扶持中、小、微企业；</w:t>
            </w:r>
            <w:r>
              <w:rPr>
                <w:rFonts w:hint="eastAsia"/>
              </w:rPr>
              <w:t>扶持促残疾人福利性单位；</w:t>
            </w:r>
            <w:r>
              <w:rPr>
                <w:rFonts w:hint="eastAsia"/>
                <w:lang w:val="zh-CN"/>
              </w:rPr>
              <w:t>扶持监狱企业政策不重复计算。</w:t>
            </w:r>
          </w:p>
          <w:p>
            <w:pPr>
              <w:wordWrap w:val="0"/>
              <w:jc w:val="left"/>
              <w:rPr>
                <w:lang w:val="zh-CN"/>
              </w:rPr>
            </w:pPr>
            <w:r>
              <w:rPr>
                <w:rFonts w:hint="eastAsia"/>
              </w:rPr>
              <w:t>（3）资格确认：</w:t>
            </w:r>
            <w:r>
              <w:rPr>
                <w:rFonts w:hint="eastAsia"/>
                <w:lang w:val="zh-CN"/>
              </w:rPr>
              <w:t>由省级以上监狱管理局、戒毒管理局（含新疆生产建设兵团）出具的属于监狱企业的证明文件。</w:t>
            </w:r>
          </w:p>
          <w:p>
            <w:pPr>
              <w:wordWrap w:val="0"/>
              <w:jc w:val="left"/>
              <w:rPr>
                <w:lang w:val="zh-CN"/>
              </w:rPr>
            </w:pPr>
            <w:r>
              <w:rPr>
                <w:rFonts w:hint="eastAsia"/>
              </w:rPr>
              <w:t xml:space="preserve">4. </w:t>
            </w:r>
            <w:r>
              <w:rPr>
                <w:rFonts w:hint="eastAsia"/>
                <w:lang w:val="zh-CN"/>
              </w:rPr>
              <w:t>节能产品、环境标志产品</w:t>
            </w:r>
          </w:p>
          <w:p>
            <w:pPr>
              <w:wordWrap w:val="0"/>
              <w:jc w:val="left"/>
              <w:rPr>
                <w:lang w:val="zh-CN"/>
              </w:rPr>
            </w:pPr>
            <w:r>
              <w:rPr>
                <w:rFonts w:hint="eastAsia"/>
              </w:rPr>
              <w:t>（1）采购政策：</w:t>
            </w:r>
            <w:r>
              <w:rPr>
                <w:rFonts w:hint="eastAsia"/>
                <w:lang w:val="zh-CN"/>
              </w:rPr>
              <w:t>《关于调整优化节能产品、环境标志产品政府采购执行机制的通知》（财库〔2019〕9号）</w:t>
            </w:r>
          </w:p>
          <w:p>
            <w:pPr>
              <w:wordWrap w:val="0"/>
              <w:jc w:val="left"/>
              <w:rPr>
                <w:lang w:val="zh-CN"/>
              </w:rPr>
            </w:pPr>
            <w:r>
              <w:rPr>
                <w:rFonts w:hint="eastAsia"/>
              </w:rPr>
              <w:t>（2）实施措施：</w:t>
            </w:r>
            <w:r>
              <w:rPr>
                <w:rFonts w:hint="eastAsia"/>
                <w:lang w:val="zh-CN"/>
              </w:rPr>
              <w:t>通过制定强制或优先采购措施，实现本政策。依据品目清单和认证证书实施政府优先采购和强制采购。所供产品属于强制采购产品的，供应商须出具国家确定的认证机构出具的、处于有效期之内的节能产品、环境标志产品认证证书；所供产品属于优先采购产品的，当供应商评分（无评分时为报价）一致时，以</w:t>
            </w:r>
            <w:r>
              <w:rPr>
                <w:rFonts w:hint="eastAsia"/>
              </w:rPr>
              <w:t>供应商提供</w:t>
            </w:r>
            <w:r>
              <w:rPr>
                <w:rFonts w:hint="eastAsia"/>
                <w:lang w:val="zh-CN"/>
              </w:rPr>
              <w:t>优先采购产品的国家确定的认证机构出具的、处于有效期之内的节能产品、环境标志产品认证证书数量为依据，数量多者优先采购。</w:t>
            </w:r>
          </w:p>
          <w:p>
            <w:pPr>
              <w:wordWrap w:val="0"/>
              <w:jc w:val="left"/>
              <w:rPr>
                <w:lang w:val="zh-CN"/>
              </w:rPr>
            </w:pPr>
            <w:r>
              <w:rPr>
                <w:rFonts w:hint="eastAsia"/>
                <w:lang w:val="zh-CN"/>
              </w:rPr>
              <w:t>节能产品、环境标志产品；自主创新产业；绿色建筑、绿色建材；脱贫攻坚；不发达、少数民族地区的企业政策优先采购可重复计算，数量多者优先采购。</w:t>
            </w:r>
          </w:p>
          <w:p>
            <w:pPr>
              <w:wordWrap w:val="0"/>
              <w:jc w:val="left"/>
              <w:rPr>
                <w:lang w:val="zh-CN"/>
              </w:rPr>
            </w:pPr>
            <w:r>
              <w:rPr>
                <w:rFonts w:hint="eastAsia"/>
              </w:rPr>
              <w:t>（3）资格确认：</w:t>
            </w:r>
            <w:r>
              <w:rPr>
                <w:rFonts w:hint="eastAsia"/>
                <w:lang w:val="zh-CN"/>
              </w:rPr>
              <w:t>国家确定的认证机构出具的、处于有效期之内的节能产品、环境标志产品认证证书，在投标文件或响应文件中应明显标示，以便查阅，若因放置问题导致评审专家无法找到，供应商自行承担后果。</w:t>
            </w:r>
          </w:p>
          <w:p>
            <w:pPr>
              <w:wordWrap w:val="0"/>
              <w:jc w:val="left"/>
            </w:pPr>
            <w:r>
              <w:rPr>
                <w:rFonts w:hint="eastAsia"/>
              </w:rPr>
              <w:t>5. 自主创新产业</w:t>
            </w:r>
          </w:p>
          <w:p>
            <w:pPr>
              <w:wordWrap w:val="0"/>
              <w:jc w:val="left"/>
              <w:rPr>
                <w:lang w:val="zh-CN"/>
              </w:rPr>
            </w:pPr>
            <w:r>
              <w:rPr>
                <w:rFonts w:hint="eastAsia"/>
                <w:lang w:val="zh-CN"/>
              </w:rPr>
              <w:t>（</w:t>
            </w:r>
            <w:r>
              <w:rPr>
                <w:rFonts w:hint="eastAsia"/>
              </w:rPr>
              <w:t>1</w:t>
            </w:r>
            <w:r>
              <w:rPr>
                <w:rFonts w:hint="eastAsia"/>
                <w:lang w:val="zh-CN"/>
              </w:rPr>
              <w:t>）采购政策：关于实施促进自主创新政府采购政策的若干意见（财库〔2006〕47号）</w:t>
            </w:r>
          </w:p>
          <w:p>
            <w:pPr>
              <w:wordWrap w:val="0"/>
              <w:jc w:val="left"/>
              <w:rPr>
                <w:lang w:val="zh-CN"/>
              </w:rPr>
            </w:pPr>
            <w:r>
              <w:rPr>
                <w:rFonts w:hint="eastAsia"/>
              </w:rPr>
              <w:t>（2）</w:t>
            </w:r>
            <w:r>
              <w:rPr>
                <w:rFonts w:hint="eastAsia"/>
                <w:lang w:val="zh-CN"/>
              </w:rPr>
              <w:t>实施措施：通过制定强制或优先采购措施，实现本政策。当供应商评分（无评分时为报价）一致时，以</w:t>
            </w:r>
            <w:r>
              <w:rPr>
                <w:rFonts w:hint="eastAsia"/>
              </w:rPr>
              <w:t>供应商提供</w:t>
            </w:r>
            <w:r>
              <w:rPr>
                <w:rFonts w:hint="eastAsia"/>
                <w:lang w:val="zh-CN"/>
              </w:rPr>
              <w:t>所供产品经认定的有效期内的国家自主创新产品认定证书数量为依据，数量多者优先采购。</w:t>
            </w:r>
          </w:p>
          <w:p>
            <w:pPr>
              <w:wordWrap w:val="0"/>
              <w:jc w:val="left"/>
              <w:rPr>
                <w:lang w:val="zh-CN"/>
              </w:rPr>
            </w:pPr>
            <w:r>
              <w:rPr>
                <w:rFonts w:hint="eastAsia"/>
                <w:lang w:val="zh-CN"/>
              </w:rPr>
              <w:t>节能产品、环境标志产品；自主创新产业；绿色建筑、绿色建材；脱贫攻坚；不发达、少数民族地区的企业政策优先采购可重复计算，数量多者优先采购。</w:t>
            </w:r>
          </w:p>
          <w:p>
            <w:pPr>
              <w:wordWrap w:val="0"/>
              <w:jc w:val="left"/>
              <w:rPr>
                <w:lang w:val="zh-CN"/>
              </w:rPr>
            </w:pPr>
            <w:r>
              <w:rPr>
                <w:rFonts w:hint="eastAsia"/>
              </w:rPr>
              <w:t>（3）</w:t>
            </w:r>
            <w:r>
              <w:rPr>
                <w:rFonts w:hint="eastAsia"/>
                <w:lang w:val="zh-CN"/>
              </w:rPr>
              <w:t>资格确认：经认定的有效期内的国家自主创新产品认定证书。</w:t>
            </w:r>
          </w:p>
          <w:p>
            <w:pPr>
              <w:wordWrap w:val="0"/>
              <w:jc w:val="left"/>
              <w:rPr>
                <w:lang w:val="zh-CN"/>
              </w:rPr>
            </w:pPr>
            <w:r>
              <w:rPr>
                <w:rFonts w:hint="eastAsia"/>
              </w:rPr>
              <w:t xml:space="preserve">6. </w:t>
            </w:r>
            <w:r>
              <w:rPr>
                <w:rFonts w:hint="eastAsia"/>
                <w:lang w:val="zh-CN"/>
              </w:rPr>
              <w:t>绿色建筑、绿色建材</w:t>
            </w:r>
          </w:p>
          <w:p>
            <w:pPr>
              <w:wordWrap w:val="0"/>
              <w:jc w:val="left"/>
            </w:pPr>
            <w:r>
              <w:rPr>
                <w:rFonts w:hint="eastAsia"/>
              </w:rPr>
              <w:t>（1）采购政策：关于政府采购支持绿色建材促进建筑品质提升试点工作的通知（财库〔2020〕31号）</w:t>
            </w:r>
          </w:p>
          <w:p>
            <w:pPr>
              <w:wordWrap w:val="0"/>
              <w:jc w:val="left"/>
              <w:rPr>
                <w:lang w:val="zh-CN"/>
              </w:rPr>
            </w:pPr>
            <w:r>
              <w:rPr>
                <w:rFonts w:hint="eastAsia"/>
              </w:rPr>
              <w:t>（2）实施措施：</w:t>
            </w:r>
            <w:r>
              <w:rPr>
                <w:rFonts w:hint="eastAsia"/>
                <w:lang w:val="zh-CN"/>
              </w:rPr>
              <w:t>通过制定优先采购措施，实现本政策。当采购内容医院、学校、办公楼、综合体、展览馆、会展中心、体育馆、保障性住房等新建工程项目时，且供应商评分（无评分时为报价）一致时，以</w:t>
            </w:r>
            <w:r>
              <w:rPr>
                <w:rFonts w:hint="eastAsia"/>
              </w:rPr>
              <w:t>供应商提供纳入</w:t>
            </w:r>
            <w:r>
              <w:rPr>
                <w:rFonts w:hint="eastAsia"/>
                <w:lang w:val="zh-CN"/>
              </w:rPr>
              <w:t>《绿色建筑和绿色建材政府采购基本要求（试行）》的建材产品包含相关指标的第三方检测或认证机构出具的检测报告、认证证书等证明性文件数量为依据，数量多者优先采购；若纳入《基本要求》的建材产品证明性文件数量一致时，以</w:t>
            </w:r>
            <w:r>
              <w:rPr>
                <w:rFonts w:hint="eastAsia"/>
              </w:rPr>
              <w:t>供应商提供</w:t>
            </w:r>
            <w:r>
              <w:rPr>
                <w:rFonts w:hint="eastAsia"/>
                <w:lang w:val="zh-CN"/>
              </w:rPr>
              <w:t>未纳入《基本要求》的建材产品获得绿色建材评价标识、认证或者获得环境标志产品认证等证明性文件数量为依据，数量多者优先采购。</w:t>
            </w:r>
          </w:p>
          <w:p>
            <w:pPr>
              <w:wordWrap w:val="0"/>
              <w:jc w:val="left"/>
            </w:pPr>
            <w:r>
              <w:rPr>
                <w:rFonts w:hint="eastAsia"/>
              </w:rPr>
              <w:t>节能产品、环境标志产品；自主创新产业；绿色建筑、绿色建材；脱贫攻坚；不发达、少数民族地区的企业政策优先采购可重复计算，数量多者优先采购。</w:t>
            </w:r>
          </w:p>
          <w:p>
            <w:pPr>
              <w:wordWrap w:val="0"/>
              <w:jc w:val="left"/>
              <w:rPr>
                <w:lang w:val="zh-CN"/>
              </w:rPr>
            </w:pPr>
            <w:r>
              <w:rPr>
                <w:rFonts w:hint="eastAsia"/>
              </w:rPr>
              <w:t>（3）资格确认：</w:t>
            </w:r>
            <w:r>
              <w:rPr>
                <w:rFonts w:hint="eastAsia"/>
                <w:lang w:val="zh-CN"/>
              </w:rPr>
              <w:t>包含相关指标的第三方检测或认证机构出具的检测报告、认证证书等证明性文件或获得绿色建材评价标识、认证或者获得环境标志产品认证等证明性文件，在投标文件或响应文件中应明显标示，以便查阅，若因放置问题导致评审专家无法找到，供应商自行承担后果。</w:t>
            </w:r>
          </w:p>
          <w:p>
            <w:pPr>
              <w:wordWrap w:val="0"/>
              <w:jc w:val="left"/>
              <w:rPr>
                <w:lang w:val="zh-CN"/>
              </w:rPr>
            </w:pPr>
            <w:r>
              <w:rPr>
                <w:rFonts w:hint="eastAsia"/>
              </w:rPr>
              <w:t xml:space="preserve">7. </w:t>
            </w:r>
            <w:r>
              <w:rPr>
                <w:rFonts w:hint="eastAsia"/>
                <w:lang w:val="zh-CN"/>
              </w:rPr>
              <w:t>脱贫攻坚</w:t>
            </w:r>
          </w:p>
          <w:p>
            <w:pPr>
              <w:wordWrap w:val="0"/>
              <w:jc w:val="left"/>
              <w:rPr>
                <w:lang w:val="zh-CN"/>
              </w:rPr>
            </w:pPr>
            <w:r>
              <w:rPr>
                <w:rFonts w:hint="eastAsia"/>
                <w:lang w:val="zh-CN"/>
              </w:rPr>
              <w:t>（</w:t>
            </w:r>
            <w:r>
              <w:rPr>
                <w:rFonts w:hint="eastAsia"/>
              </w:rPr>
              <w:t>1</w:t>
            </w:r>
            <w:r>
              <w:rPr>
                <w:rFonts w:hint="eastAsia"/>
                <w:lang w:val="zh-CN"/>
              </w:rPr>
              <w:t>）采购政策：关于运用政府采购政策支持脱贫攻坚的通知（财库〔2019〕27号）</w:t>
            </w:r>
          </w:p>
          <w:p>
            <w:pPr>
              <w:wordWrap w:val="0"/>
              <w:jc w:val="left"/>
              <w:rPr>
                <w:lang w:val="zh-CN"/>
              </w:rPr>
            </w:pPr>
            <w:r>
              <w:rPr>
                <w:rFonts w:hint="eastAsia"/>
              </w:rPr>
              <w:t>（2）</w:t>
            </w:r>
            <w:r>
              <w:rPr>
                <w:rFonts w:hint="eastAsia"/>
                <w:lang w:val="zh-CN"/>
              </w:rPr>
              <w:t>实施措施：通过制定强制或优先采购措施，实现本政策。</w:t>
            </w:r>
            <w:r>
              <w:rPr>
                <w:lang w:val="zh-CN"/>
              </w:rPr>
              <w:t>①</w:t>
            </w:r>
            <w:r>
              <w:rPr>
                <w:rFonts w:hint="eastAsia"/>
                <w:lang w:val="zh-CN"/>
              </w:rPr>
              <w:t>供应商所供产品为农副产品的，当供应商评分（无评分时为报价）一致时，以</w:t>
            </w:r>
            <w:r>
              <w:rPr>
                <w:rFonts w:hint="eastAsia"/>
              </w:rPr>
              <w:t>供应商所供产品为</w:t>
            </w:r>
            <w:r>
              <w:rPr>
                <w:rFonts w:hint="eastAsia"/>
                <w:lang w:val="zh-CN"/>
              </w:rPr>
              <w:t>国家级贫困县域内注册的企业、农民专业合作社、家庭农场等出产的农副产品种类数量为依据，数量多者优先采购；</w:t>
            </w:r>
            <w:r>
              <w:rPr>
                <w:lang w:val="zh-CN"/>
              </w:rPr>
              <w:t>②</w:t>
            </w:r>
            <w:r>
              <w:rPr>
                <w:rFonts w:hint="eastAsia"/>
                <w:lang w:val="zh-CN"/>
              </w:rPr>
              <w:t>供应商所供产品为物业服务的，当供应商评分（无评分时为报价）一致时，以</w:t>
            </w:r>
            <w:r>
              <w:rPr>
                <w:rFonts w:hint="eastAsia"/>
              </w:rPr>
              <w:t>供应商为</w:t>
            </w:r>
            <w:r>
              <w:rPr>
                <w:rFonts w:hint="eastAsia"/>
                <w:lang w:val="zh-CN"/>
              </w:rPr>
              <w:t>国家级贫困县域内，且聘用建档立卡贫困人员物业公司优先采购。</w:t>
            </w:r>
          </w:p>
          <w:p>
            <w:pPr>
              <w:wordWrap w:val="0"/>
              <w:jc w:val="left"/>
              <w:rPr>
                <w:lang w:val="zh-CN"/>
              </w:rPr>
            </w:pPr>
            <w:r>
              <w:rPr>
                <w:rFonts w:hint="eastAsia"/>
                <w:lang w:val="zh-CN"/>
              </w:rPr>
              <w:t>节能产品、环境标志产品；自主创新产业；绿色建筑、绿色建材；脱贫攻坚；不发达、少数民族地区的企业政策优先采购可重复计算，数量多者优先采购。</w:t>
            </w:r>
          </w:p>
          <w:p>
            <w:pPr>
              <w:wordWrap w:val="0"/>
              <w:jc w:val="left"/>
            </w:pPr>
            <w:r>
              <w:rPr>
                <w:rFonts w:hint="eastAsia"/>
              </w:rPr>
              <w:t>（3）</w:t>
            </w:r>
            <w:r>
              <w:rPr>
                <w:rFonts w:hint="eastAsia"/>
                <w:lang w:val="zh-CN"/>
              </w:rPr>
              <w:t>资格确认：</w:t>
            </w:r>
            <w:r>
              <w:rPr>
                <w:lang w:val="zh-CN"/>
              </w:rPr>
              <w:t>①</w:t>
            </w:r>
            <w:r>
              <w:rPr>
                <w:rFonts w:hint="eastAsia"/>
                <w:lang w:val="zh-CN"/>
              </w:rPr>
              <w:t>所供农副产品生产方的显示营业地址的主管部门的证明文件，注册所在县为国家级贫困县证明资料，且在投标文件或响应文件中应明显标示，以便查阅，若因放置问题导致评审专家无法找到，供应商自行承担后果；</w:t>
            </w:r>
            <w:r>
              <w:rPr>
                <w:lang w:val="zh-CN"/>
              </w:rPr>
              <w:t>②</w:t>
            </w:r>
            <w:r>
              <w:rPr>
                <w:rFonts w:hint="eastAsia"/>
                <w:lang w:val="zh-CN"/>
              </w:rPr>
              <w:t>物业公司显示营业地址的的营业执照，注册所在县为国家级贫困县证明资料，物业公司注册所在县扶贫部门出具的聘用建档立卡贫困人员具体数量的证明；在投标文件或响应文件中应明显标示，以便查阅，若因放置问题导致评审专家无法找到，供应商自行承担后果。</w:t>
            </w:r>
          </w:p>
          <w:p>
            <w:pPr>
              <w:wordWrap w:val="0"/>
              <w:jc w:val="left"/>
              <w:rPr>
                <w:lang w:val="zh-CN"/>
              </w:rPr>
            </w:pPr>
            <w:r>
              <w:rPr>
                <w:rFonts w:hint="eastAsia"/>
              </w:rPr>
              <w:t xml:space="preserve">8. </w:t>
            </w:r>
            <w:r>
              <w:rPr>
                <w:rFonts w:hint="eastAsia"/>
                <w:lang w:val="zh-CN"/>
              </w:rPr>
              <w:t>不发达、少数民族地区的企业</w:t>
            </w:r>
          </w:p>
          <w:p>
            <w:pPr>
              <w:wordWrap w:val="0"/>
              <w:jc w:val="left"/>
              <w:rPr>
                <w:lang w:val="zh-CN"/>
              </w:rPr>
            </w:pPr>
            <w:r>
              <w:rPr>
                <w:rFonts w:hint="eastAsia"/>
                <w:lang w:val="zh-CN"/>
              </w:rPr>
              <w:t>（</w:t>
            </w:r>
            <w:r>
              <w:rPr>
                <w:rFonts w:hint="eastAsia"/>
              </w:rPr>
              <w:t>1</w:t>
            </w:r>
            <w:r>
              <w:rPr>
                <w:rFonts w:hint="eastAsia"/>
                <w:lang w:val="zh-CN"/>
              </w:rPr>
              <w:t>）采购政策：《中华人民共和国政府采购法》（主席令第</w:t>
            </w:r>
            <w:r>
              <w:rPr>
                <w:rFonts w:hint="eastAsia"/>
              </w:rPr>
              <w:t>68</w:t>
            </w:r>
            <w:r>
              <w:rPr>
                <w:rFonts w:hint="eastAsia"/>
                <w:lang w:val="zh-CN"/>
              </w:rPr>
              <w:t>号）第九条、《中华人民共和国政府采购法实施条例》（国务院令第658号）第六条</w:t>
            </w:r>
          </w:p>
          <w:p>
            <w:pPr>
              <w:wordWrap w:val="0"/>
              <w:jc w:val="left"/>
              <w:rPr>
                <w:lang w:val="zh-CN"/>
              </w:rPr>
            </w:pPr>
            <w:r>
              <w:rPr>
                <w:rFonts w:hint="eastAsia"/>
              </w:rPr>
              <w:t>（2）</w:t>
            </w:r>
            <w:r>
              <w:rPr>
                <w:rFonts w:hint="eastAsia"/>
                <w:lang w:val="zh-CN"/>
              </w:rPr>
              <w:t>实施措施：通过制定强制或优先采购措施，实现本政策。当供应商评分（无评分时为报价）一致时，以</w:t>
            </w:r>
            <w:r>
              <w:rPr>
                <w:rFonts w:hint="eastAsia"/>
              </w:rPr>
              <w:t>供应商注册地为</w:t>
            </w:r>
            <w:r>
              <w:rPr>
                <w:rFonts w:hint="eastAsia"/>
                <w:lang w:val="zh-CN"/>
              </w:rPr>
              <w:t>国家级贫困县或少数民主地区域内为依据优先采购。</w:t>
            </w:r>
          </w:p>
          <w:p>
            <w:pPr>
              <w:wordWrap w:val="0"/>
              <w:jc w:val="left"/>
              <w:rPr>
                <w:lang w:val="zh-CN"/>
              </w:rPr>
            </w:pPr>
            <w:r>
              <w:rPr>
                <w:rFonts w:hint="eastAsia"/>
                <w:lang w:val="zh-CN"/>
              </w:rPr>
              <w:t>节能产品、环境标志产品；自主创新产业；绿色建筑、绿色建材；脱贫攻坚；不发达、少数民族地区的企业政策优先采购可重复计算，数量多者优先采购。</w:t>
            </w:r>
          </w:p>
          <w:p>
            <w:pPr>
              <w:wordWrap w:val="0"/>
              <w:jc w:val="left"/>
              <w:rPr>
                <w:lang w:val="zh-CN"/>
              </w:rPr>
            </w:pPr>
            <w:r>
              <w:rPr>
                <w:rFonts w:hint="eastAsia"/>
              </w:rPr>
              <w:t>（3）</w:t>
            </w:r>
            <w:r>
              <w:rPr>
                <w:rFonts w:hint="eastAsia"/>
                <w:lang w:val="zh-CN"/>
              </w:rPr>
              <w:t>资格确认：显示营业地址的的营业执照，注册地为国家级贫困县或少数民主地区证明资料，在投标文件或响应文件中应明显标示，以便查阅，若因放置问题导致评审专家无法找到，供应商自行承担后果。</w:t>
            </w:r>
          </w:p>
          <w:p>
            <w:pPr>
              <w:wordWrap w:val="0"/>
              <w:jc w:val="left"/>
            </w:pPr>
            <w:r>
              <w:rPr>
                <w:rFonts w:hint="eastAsia"/>
              </w:rPr>
              <w:t>9. 绿色包装</w:t>
            </w:r>
          </w:p>
          <w:p>
            <w:pPr>
              <w:wordWrap w:val="0"/>
              <w:jc w:val="left"/>
              <w:rPr>
                <w:lang w:val="zh-CN"/>
              </w:rPr>
            </w:pPr>
            <w:r>
              <w:rPr>
                <w:rFonts w:hint="eastAsia"/>
                <w:lang w:val="zh-CN"/>
              </w:rPr>
              <w:t>（</w:t>
            </w:r>
            <w:r>
              <w:rPr>
                <w:rFonts w:hint="eastAsia"/>
              </w:rPr>
              <w:t>1</w:t>
            </w:r>
            <w:r>
              <w:rPr>
                <w:rFonts w:hint="eastAsia"/>
                <w:lang w:val="zh-CN"/>
              </w:rPr>
              <w:t>）采购政策：关于印发《商品包装政府采购需求标准（试行）》、《快递包装政府采购需求标准（试行）》的通知（财办库〔2020〕123号）</w:t>
            </w:r>
          </w:p>
          <w:p>
            <w:pPr>
              <w:wordWrap w:val="0"/>
              <w:jc w:val="left"/>
              <w:rPr>
                <w:lang w:val="zh-CN"/>
              </w:rPr>
            </w:pPr>
            <w:r>
              <w:rPr>
                <w:rFonts w:hint="eastAsia"/>
              </w:rPr>
              <w:t>（2）</w:t>
            </w:r>
            <w:r>
              <w:rPr>
                <w:rFonts w:hint="eastAsia"/>
                <w:lang w:val="zh-CN"/>
              </w:rPr>
              <w:t>实施措施：为助力打好污染防治攻坚战，推广使用绿色包装，供应商提供产品及相关快递服务的具体包装要求和履约验收应符合关于印发《商品包装政府采购需求标准（试行）》、《快递包装政府采购需求标准（试行）》的通知（财办库〔2020〕123号）文件规定。</w:t>
            </w:r>
          </w:p>
          <w:p>
            <w:pPr>
              <w:wordWrap w:val="0"/>
              <w:jc w:val="left"/>
              <w:rPr>
                <w:lang w:val="zh-CN"/>
              </w:rPr>
            </w:pPr>
            <w:r>
              <w:rPr>
                <w:rFonts w:hint="eastAsia"/>
              </w:rPr>
              <w:t>（3）</w:t>
            </w:r>
            <w:r>
              <w:rPr>
                <w:rFonts w:hint="eastAsia"/>
                <w:lang w:val="zh-CN"/>
              </w:rPr>
              <w:t>资格确认：供应商或中标、成交后，须严格安装该标准执行。</w:t>
            </w:r>
          </w:p>
          <w:p>
            <w:pPr>
              <w:wordWrap w:val="0"/>
              <w:jc w:val="left"/>
            </w:pPr>
            <w:r>
              <w:rPr>
                <w:rFonts w:hint="eastAsia"/>
              </w:rPr>
              <w:t>10. 政府采购合同融资</w:t>
            </w:r>
          </w:p>
          <w:p>
            <w:pPr>
              <w:wordWrap w:val="0"/>
              <w:jc w:val="left"/>
              <w:rPr>
                <w:lang w:val="zh-CN"/>
              </w:rPr>
            </w:pPr>
            <w:r>
              <w:rPr>
                <w:rFonts w:hint="eastAsia"/>
                <w:lang w:val="zh-CN"/>
              </w:rPr>
              <w:t>（</w:t>
            </w:r>
            <w:r>
              <w:rPr>
                <w:rFonts w:hint="eastAsia"/>
              </w:rPr>
              <w:t>1</w:t>
            </w:r>
            <w:r>
              <w:rPr>
                <w:rFonts w:hint="eastAsia"/>
                <w:lang w:val="zh-CN"/>
              </w:rPr>
              <w:t>）采购政策：河南省财政厅关于印发深入推进政府采购合同融资工作实施方案的通知（豫财办﹝2020﹞33号）</w:t>
            </w:r>
          </w:p>
          <w:p>
            <w:pPr>
              <w:wordWrap w:val="0"/>
              <w:jc w:val="left"/>
              <w:rPr>
                <w:lang w:val="zh-CN"/>
              </w:rPr>
            </w:pPr>
            <w:r>
              <w:rPr>
                <w:rFonts w:hint="eastAsia"/>
                <w:lang w:val="zh-CN"/>
              </w:rPr>
              <w:t>（</w:t>
            </w:r>
            <w:r>
              <w:rPr>
                <w:rFonts w:hint="eastAsia"/>
              </w:rPr>
              <w:t>2</w:t>
            </w:r>
            <w:r>
              <w:rPr>
                <w:rFonts w:hint="eastAsia"/>
                <w:lang w:val="zh-CN"/>
              </w:rPr>
              <w:t>）实施措施：可持政府采购合同向金融机构申请贷款，无需抵押、担保，融资机构将根据《河南省政府采购合同融资工作实施方案》（豫财购〔2017〕10号），按照双方自愿的原则提供便捷、优惠的贷款服务。贷款渠道和提供贷款的金融机构，可在河南省政府采购网“河南省政府采购合同融资平台”查询联系。</w:t>
            </w:r>
          </w:p>
          <w:p>
            <w:pPr>
              <w:wordWrap w:val="0"/>
              <w:jc w:val="left"/>
              <w:rPr>
                <w:lang w:val="zh-CN"/>
              </w:rPr>
            </w:pPr>
            <w:r>
              <w:rPr>
                <w:rFonts w:hint="eastAsia"/>
                <w:lang w:val="zh-CN"/>
              </w:rPr>
              <w:t>（</w:t>
            </w:r>
            <w:r>
              <w:rPr>
                <w:rFonts w:hint="eastAsia"/>
              </w:rPr>
              <w:t>3</w:t>
            </w:r>
            <w:r>
              <w:rPr>
                <w:rFonts w:hint="eastAsia"/>
                <w:lang w:val="zh-CN"/>
              </w:rPr>
              <w:t>）资格确认：供应商或中标、成交后，可享受该政策。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3" w:hRule="atLeast"/>
          <w:jc w:val="center"/>
        </w:trPr>
        <w:tc>
          <w:tcPr>
            <w:tcW w:w="709" w:type="dxa"/>
            <w:vAlign w:val="center"/>
          </w:tcPr>
          <w:p>
            <w:pPr>
              <w:wordWrap w:val="0"/>
              <w:jc w:val="center"/>
            </w:pPr>
            <w:r>
              <w:rPr>
                <w:rFonts w:hint="eastAsia"/>
              </w:rPr>
              <w:t>3</w:t>
            </w:r>
            <w:r>
              <w:t>8</w:t>
            </w:r>
          </w:p>
        </w:tc>
        <w:tc>
          <w:tcPr>
            <w:tcW w:w="2061" w:type="dxa"/>
            <w:vAlign w:val="center"/>
          </w:tcPr>
          <w:p>
            <w:pPr>
              <w:wordWrap w:val="0"/>
              <w:jc w:val="center"/>
              <w:rPr>
                <w:lang w:val="zh-CN"/>
              </w:rPr>
            </w:pPr>
            <w:r>
              <w:rPr>
                <w:rFonts w:hint="eastAsia"/>
                <w:lang w:val="zh-CN"/>
              </w:rPr>
              <w:t>特别提示</w:t>
            </w:r>
          </w:p>
        </w:tc>
        <w:tc>
          <w:tcPr>
            <w:tcW w:w="6156" w:type="dxa"/>
            <w:vAlign w:val="center"/>
          </w:tcPr>
          <w:p>
            <w:pPr>
              <w:wordWrap w:val="0"/>
              <w:jc w:val="left"/>
              <w:rPr>
                <w:lang w:val="zh-CN"/>
              </w:rPr>
            </w:pPr>
            <w:r>
              <w:rPr>
                <w:rFonts w:hint="eastAsia"/>
                <w:lang w:val="zh-CN"/>
              </w:rPr>
              <w:t>1、按照《关于推进全流程电子化交易和在线监管工作有关问题的通知》（许公管办[2019]3号）规定：</w:t>
            </w:r>
          </w:p>
          <w:p>
            <w:pPr>
              <w:wordWrap w:val="0"/>
              <w:jc w:val="left"/>
              <w:rPr>
                <w:lang w:val="zh-CN"/>
              </w:rPr>
            </w:pPr>
            <w:r>
              <w:rPr>
                <w:rFonts w:hint="eastAsia"/>
                <w:lang w:val="zh-CN"/>
              </w:rPr>
              <w:t>不同供应商电子投标文件制作硬件特征码（网卡MAC地址、CPU序号、硬盘序列号等）雷同时，视为‘不同投标人的投标文件由同一单位或者个人编制’或‘不同投标人委托同一单位或者个人办理响应事宜’，其投标无效。</w:t>
            </w:r>
          </w:p>
          <w:p>
            <w:pPr>
              <w:wordWrap w:val="0"/>
              <w:jc w:val="left"/>
              <w:rPr>
                <w:lang w:val="zh-CN"/>
              </w:rPr>
            </w:pPr>
            <w:r>
              <w:rPr>
                <w:rFonts w:hint="eastAsia"/>
                <w:lang w:val="zh-CN"/>
              </w:rPr>
              <w:t>评审专家应严格按照要求查看“硬件特征码”相关信息并进行评审，在评审报告中显示“不同投标人电子投标文件制作硬件特征码”是否雷同的分析及判定结果。</w:t>
            </w:r>
          </w:p>
          <w:p>
            <w:pPr>
              <w:wordWrap w:val="0"/>
              <w:jc w:val="left"/>
            </w:pPr>
            <w:r>
              <w:rPr>
                <w:rFonts w:hint="eastAsia"/>
                <w:lang w:val="zh-CN"/>
              </w:rPr>
              <w:t>2、</w:t>
            </w:r>
            <w:r>
              <w:rPr>
                <w:rFonts w:hint="eastAsia"/>
              </w:rPr>
              <w:t>投标人必须认真阅读招标文件中所有的事项、格式、条款和采购需求等。投标人没有按照招标文件要求提交全部资料，或者投标文件没有对招标文件在各方面做出实质性响应的可能导致其投标无效或被拒绝。</w:t>
            </w:r>
          </w:p>
          <w:p>
            <w:pPr>
              <w:wordWrap w:val="0"/>
              <w:jc w:val="left"/>
            </w:pPr>
            <w:r>
              <w:t>3</w:t>
            </w:r>
            <w:r>
              <w:rPr>
                <w:rFonts w:hint="eastAsia"/>
              </w:rPr>
              <w:t>、投标人需提前熟悉招标文件相关事项及《许昌市不见面开标操作手册》，并设置不见面开标浏览器（设置流程详见《许昌市不见面开标操作手册》）。</w:t>
            </w:r>
          </w:p>
          <w:p>
            <w:pPr>
              <w:wordWrap w:val="0"/>
              <w:jc w:val="left"/>
            </w:pPr>
            <w:r>
              <w:t>4</w:t>
            </w:r>
            <w:r>
              <w:rPr>
                <w:rFonts w:hint="eastAsia"/>
              </w:rPr>
              <w:t>、投标人上传、解密投标文件需使用同一个CA数字证书，需确保用于解密的CA数字证书在有效期内、可正常使用，并在规定时间内完成电子投标文件解密。评标时仅以成功上传、解密的投标文件为准。</w:t>
            </w:r>
          </w:p>
          <w:p>
            <w:pPr>
              <w:wordWrap w:val="0"/>
              <w:jc w:val="left"/>
            </w:pPr>
            <w:r>
              <w:t>5</w:t>
            </w:r>
            <w:r>
              <w:rPr>
                <w:rFonts w:hint="eastAsia"/>
              </w:rPr>
              <w:t>、对开标过程有关内容有异议（质疑）的，投标人可在本项目的不见面开标大厅通过“文字互动”功能或“新增质疑”处提出异议（质疑），招标人（代理机构）及时进行线上答复。</w:t>
            </w:r>
          </w:p>
          <w:p>
            <w:pPr>
              <w:wordWrap w:val="0"/>
              <w:jc w:val="left"/>
            </w:pPr>
            <w:r>
              <w:rPr>
                <w:rFonts w:hint="eastAsia"/>
              </w:rPr>
              <w:t>不见面开标活动结束时，投标人应在《开标记录表》上进行电子签章，未进行电子签章的视为对开标结果无异议。</w:t>
            </w:r>
          </w:p>
          <w:p>
            <w:pPr>
              <w:wordWrap w:val="0"/>
              <w:jc w:val="left"/>
            </w:pPr>
            <w:r>
              <w:t>6</w:t>
            </w:r>
            <w:r>
              <w:rPr>
                <w:rFonts w:hint="eastAsia"/>
              </w:rPr>
              <w:t>、从参与项目交易开始至项目交易活动结束止，投标（响应）人应时刻关注电子交易系统中的项目进度和状态，特别在项目评审期间，保持投标文件提供的联系方式畅通，评标委员会随时可能对投标文件内容质询，投标人应及时进行答复（包括但不限于电子文档、电子邮件等）。由于自身原因错过变更通知、文件澄清、报价响应（自系统发起30分钟内做出）等重要信息的，后果由投标（响应）人自行承担。</w:t>
            </w:r>
          </w:p>
          <w:p>
            <w:pPr>
              <w:wordWrap w:val="0"/>
              <w:jc w:val="left"/>
            </w:pPr>
            <w:r>
              <w:rPr>
                <w:rFonts w:hint="eastAsia"/>
              </w:rPr>
              <w:t>7、项目编号以本项目招标文件项目编号为准。</w:t>
            </w:r>
          </w:p>
          <w:p>
            <w:pPr>
              <w:wordWrap w:val="0"/>
              <w:jc w:val="left"/>
            </w:pPr>
            <w:r>
              <w:rPr>
                <w:rFonts w:hint="eastAsia"/>
              </w:rPr>
              <w:t>8、项目名称以本项目招标文件项目名称为准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8926" w:type="dxa"/>
            <w:gridSpan w:val="3"/>
            <w:vAlign w:val="center"/>
          </w:tcPr>
          <w:p>
            <w:pPr>
              <w:wordWrap w:val="0"/>
              <w:jc w:val="center"/>
            </w:pPr>
            <w:r>
              <w:rPr>
                <w:rFonts w:hint="eastAsia"/>
              </w:rPr>
              <w:t>未尽事宜，按国家有关规定执行。</w:t>
            </w:r>
          </w:p>
        </w:tc>
      </w:tr>
    </w:tbl>
    <w:p>
      <w:pPr>
        <w:wordWrap w:val="0"/>
      </w:pPr>
      <w:r>
        <w:rPr>
          <w:rFonts w:hint="eastAsia"/>
        </w:rPr>
        <w:br w:type="page"/>
      </w:r>
    </w:p>
    <w:p>
      <w:pPr>
        <w:pStyle w:val="5"/>
        <w:wordWrap w:val="0"/>
      </w:pPr>
      <w:r>
        <w:rPr>
          <w:rFonts w:hint="eastAsia"/>
        </w:rPr>
        <w:t>第四章 投标人须知</w:t>
      </w:r>
    </w:p>
    <w:p>
      <w:pPr>
        <w:pStyle w:val="6"/>
        <w:wordWrap w:val="0"/>
        <w:jc w:val="both"/>
      </w:pPr>
      <w:r>
        <w:rPr>
          <w:rFonts w:hint="eastAsia"/>
        </w:rPr>
        <w:t>一、概念释义</w:t>
      </w:r>
    </w:p>
    <w:p>
      <w:pPr>
        <w:wordWrap w:val="0"/>
        <w:ind w:firstLine="482" w:firstLineChars="200"/>
        <w:rPr>
          <w:b/>
          <w:bCs/>
        </w:rPr>
      </w:pPr>
      <w:r>
        <w:rPr>
          <w:rFonts w:hint="eastAsia"/>
          <w:b/>
          <w:bCs/>
        </w:rPr>
        <w:t>1.适用范围</w:t>
      </w:r>
    </w:p>
    <w:p>
      <w:pPr>
        <w:wordWrap w:val="0"/>
        <w:ind w:firstLine="480" w:firstLineChars="200"/>
      </w:pPr>
      <w:r>
        <w:rPr>
          <w:rFonts w:hint="eastAsia"/>
        </w:rPr>
        <w:t>1.1本招标文件仅适用于本次“投标邀请”中所述采购项目。</w:t>
      </w:r>
    </w:p>
    <w:p>
      <w:pPr>
        <w:wordWrap w:val="0"/>
        <w:ind w:firstLine="480" w:firstLineChars="200"/>
      </w:pPr>
      <w:r>
        <w:rPr>
          <w:rFonts w:hint="eastAsia"/>
        </w:rPr>
        <w:t>1.2本招标文件解释权属于“投标邀请”所述的采购人。</w:t>
      </w:r>
    </w:p>
    <w:p>
      <w:pPr>
        <w:wordWrap w:val="0"/>
        <w:ind w:firstLine="482" w:firstLineChars="200"/>
        <w:rPr>
          <w:b/>
          <w:bCs/>
        </w:rPr>
      </w:pPr>
      <w:r>
        <w:rPr>
          <w:rFonts w:hint="eastAsia"/>
          <w:b/>
          <w:bCs/>
        </w:rPr>
        <w:t>2.定义</w:t>
      </w:r>
    </w:p>
    <w:p>
      <w:pPr>
        <w:wordWrap w:val="0"/>
        <w:ind w:firstLine="480" w:firstLineChars="200"/>
      </w:pPr>
      <w:r>
        <w:rPr>
          <w:rFonts w:hint="eastAsia"/>
        </w:rPr>
        <w:t>2.1“采购项目”：“投标人须知前附表”中所述的采购项目。</w:t>
      </w:r>
    </w:p>
    <w:p>
      <w:pPr>
        <w:wordWrap w:val="0"/>
        <w:ind w:firstLine="480" w:firstLineChars="200"/>
      </w:pPr>
      <w:r>
        <w:rPr>
          <w:rFonts w:hint="eastAsia"/>
        </w:rPr>
        <w:t>2.2“招标人”：“投标人须知前附表”中所述的组织本次招标的代理机构和采购人。</w:t>
      </w:r>
    </w:p>
    <w:p>
      <w:pPr>
        <w:wordWrap w:val="0"/>
        <w:ind w:firstLine="480" w:firstLineChars="200"/>
      </w:pPr>
      <w:r>
        <w:rPr>
          <w:rFonts w:hint="eastAsia"/>
        </w:rPr>
        <w:t>2.3“采购人”：是指依法进行政府采购的国家机关、事业单位、团体组织。采购人名称、地址、电话、联系人见“投标人须知前附表”。</w:t>
      </w:r>
    </w:p>
    <w:p>
      <w:pPr>
        <w:wordWrap w:val="0"/>
        <w:ind w:firstLine="480" w:firstLineChars="200"/>
      </w:pPr>
      <w:r>
        <w:rPr>
          <w:rFonts w:hint="eastAsia"/>
        </w:rPr>
        <w:t>2.4“代理机构”：接受采购人委托，代理采购项目的采购代理机构。代理机构名称、地址、 电话、联系人见“投标人须知前附表”。</w:t>
      </w:r>
    </w:p>
    <w:p>
      <w:pPr>
        <w:wordWrap w:val="0"/>
        <w:ind w:firstLine="480" w:firstLineChars="200"/>
      </w:pPr>
      <w:r>
        <w:rPr>
          <w:rFonts w:hint="eastAsia"/>
        </w:rPr>
        <w:t>采购代理机构及其分支机构不得在所代理的采购项目中投标或者代理投标，不得为所代理的采购项目的投标人参加本项目提供投标咨询。</w:t>
      </w:r>
    </w:p>
    <w:p>
      <w:pPr>
        <w:wordWrap w:val="0"/>
        <w:ind w:firstLine="480" w:firstLineChars="200"/>
      </w:pPr>
      <w:r>
        <w:rPr>
          <w:rFonts w:hint="eastAsia"/>
        </w:rPr>
        <w:t>2.5“潜在投标人”指符合《中华人民共和国政府采购法》及相关法律法规和本招标文件的各项规定，且按照本项目招标公告及招标文件规定的方式获取招标文件的法人、其他组 织或者自然人。</w:t>
      </w:r>
    </w:p>
    <w:p>
      <w:pPr>
        <w:wordWrap w:val="0"/>
        <w:ind w:firstLine="480" w:firstLineChars="200"/>
      </w:pPr>
      <w:r>
        <w:rPr>
          <w:rFonts w:hint="eastAsia"/>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wordWrap w:val="0"/>
        <w:ind w:firstLine="480" w:firstLineChars="200"/>
      </w:pPr>
      <w:r>
        <w:rPr>
          <w:rFonts w:hint="eastAsia"/>
        </w:rPr>
        <w:t>2.7“进口产品”：是指通过中国海关报关验放进入中国境内且产自关境外的产品，包括已经进入中国境内的进口产品。详见《关于政府采购进口产品管理有关问题的通知》（财库[2007]119号）、《关于政府采购进口产品管理有关问题的通知》（财办库［2008］248 号）。</w:t>
      </w:r>
    </w:p>
    <w:p>
      <w:pPr>
        <w:wordWrap w:val="0"/>
        <w:ind w:firstLine="480" w:firstLineChars="200"/>
      </w:pPr>
      <w:r>
        <w:rPr>
          <w:rFonts w:hint="eastAsia"/>
        </w:rPr>
        <w:t>2.7.1招标文件列明不允许或未列明允许进口产品参加投标的，均视为拒绝进口产品参加投标。</w:t>
      </w:r>
    </w:p>
    <w:p>
      <w:pPr>
        <w:wordWrap w:val="0"/>
        <w:ind w:firstLine="480" w:firstLineChars="200"/>
      </w:pPr>
      <w:r>
        <w:rPr>
          <w:rFonts w:hint="eastAsia"/>
        </w:rPr>
        <w:t>2.7.2如招标文件中已说明，经财政部门审核同意，允许部分或全部产品采购进口产品，投标人既可提供本国产品，也可以提供进口产品。</w:t>
      </w:r>
    </w:p>
    <w:p>
      <w:pPr>
        <w:wordWrap w:val="0"/>
        <w:ind w:firstLine="482" w:firstLineChars="200"/>
        <w:rPr>
          <w:b/>
          <w:bCs/>
        </w:rPr>
      </w:pPr>
      <w:r>
        <w:rPr>
          <w:rFonts w:hint="eastAsia"/>
          <w:b/>
          <w:bCs/>
        </w:rPr>
        <w:t>3.合格的投标人</w:t>
      </w:r>
    </w:p>
    <w:p>
      <w:pPr>
        <w:wordWrap w:val="0"/>
        <w:ind w:firstLine="480" w:firstLineChars="200"/>
      </w:pPr>
      <w:r>
        <w:rPr>
          <w:rFonts w:hint="eastAsia"/>
        </w:rPr>
        <w:t>3.1在中华人民共和国境内注册，具有本项目生产、制造、供应或实施能力，符合、承认并承诺履行本招标文件各项规定的法人、其他组织或者自然人。</w:t>
      </w:r>
    </w:p>
    <w:p>
      <w:pPr>
        <w:wordWrap w:val="0"/>
        <w:ind w:firstLine="480" w:firstLineChars="200"/>
      </w:pPr>
      <w:r>
        <w:rPr>
          <w:rFonts w:hint="eastAsia"/>
        </w:rPr>
        <w:t>3.2符合本项目“投标邀请”和“投标人须知前附表”中规定的合格投标人所必须具备的条件。</w:t>
      </w:r>
    </w:p>
    <w:p>
      <w:pPr>
        <w:wordWrap w:val="0"/>
        <w:ind w:firstLine="480" w:firstLineChars="200"/>
      </w:pPr>
      <w:r>
        <w:rPr>
          <w:rFonts w:hint="eastAsia"/>
        </w:rPr>
        <w:t>3.3政府采购活动中查询及使用投标人信用记录的具体要求为：投标人未被列入失信被执行人、重大税收违法案件当事人名单、政府采购严重违法失信名单、政府采购严重违法失信行为记录名单、严重违法失信企业名单（黑名单）、严重违法失信社会组织名单（联合体形式投标的，联合体成员存在不良信用记录，视同联合体存在不良信用记录）。</w:t>
      </w:r>
    </w:p>
    <w:p>
      <w:pPr>
        <w:wordWrap w:val="0"/>
        <w:ind w:firstLine="480" w:firstLineChars="200"/>
      </w:pPr>
      <w:r>
        <w:rPr>
          <w:rFonts w:hint="eastAsia"/>
        </w:rPr>
        <w:t>（1）查询渠道：“信用中国”网站（www.creditchina.gov.cn）、“中国政府采购网”（www.ccgp.gov.cn）、“国家企业信用公示系统”网站（www.gsxt.gov.cn）、“中国社会组织公共服务平台”网站（www.chinanpo.gov.cn）；</w:t>
      </w:r>
    </w:p>
    <w:p>
      <w:pPr>
        <w:wordWrap w:val="0"/>
        <w:ind w:firstLine="480" w:firstLineChars="200"/>
      </w:pPr>
      <w:r>
        <w:rPr>
          <w:rFonts w:hint="eastAsia"/>
        </w:rPr>
        <w:t>（2）截止时间：同投标截止时间；</w:t>
      </w:r>
    </w:p>
    <w:p>
      <w:pPr>
        <w:wordWrap w:val="0"/>
        <w:ind w:firstLine="480" w:firstLineChars="200"/>
      </w:pPr>
      <w:r>
        <w:rPr>
          <w:rFonts w:hint="eastAsia"/>
        </w:rPr>
        <w:t>（3）信用信息查询记录和证据留存具体方式：经采购人确认的查询结果网页截图作为查询记录和证据，与其他采购文件一并保存；</w:t>
      </w:r>
    </w:p>
    <w:p>
      <w:pPr>
        <w:wordWrap w:val="0"/>
        <w:ind w:firstLine="480" w:firstLineChars="200"/>
      </w:pPr>
      <w:r>
        <w:rPr>
          <w:rFonts w:hint="eastAsia"/>
        </w:rPr>
        <w:t>（4）信用信息的使用原则：经采购人认定的被列入失信被执行人、重大税收违法案件当事人名单、政府采购严重违法失信名单、政府采购严重违法失信行为记录名单、严重违法失信企业名单（黑名单）、严重违法失信社会组织名单的投标人，将拒绝其参与本次政府采购活动。</w:t>
      </w:r>
    </w:p>
    <w:p>
      <w:pPr>
        <w:wordWrap w:val="0"/>
        <w:ind w:firstLine="480" w:firstLineChars="200"/>
      </w:pPr>
      <w:r>
        <w:rPr>
          <w:rFonts w:hint="eastAsia"/>
        </w:rPr>
        <w:t>（5）投标人不良信用记录以采购人查询结果为准，采购人查询之后，网站信息发生的任何变更不再作为评审依据，投标人自行提供的与网站信息不一致的其他证明材料亦不作为评审依据。</w:t>
      </w:r>
    </w:p>
    <w:p>
      <w:pPr>
        <w:wordWrap w:val="0"/>
        <w:ind w:firstLine="480" w:firstLineChars="200"/>
      </w:pPr>
      <w:r>
        <w:rPr>
          <w:rFonts w:hint="eastAsia"/>
        </w:rPr>
        <w:t>3.4单位负责人为同一人或者存在直接控股、管理关系的不同供应商，不得参加同一合同项下的政府采购活动；</w:t>
      </w:r>
    </w:p>
    <w:p>
      <w:pPr>
        <w:wordWrap w:val="0"/>
        <w:ind w:firstLine="480" w:firstLineChars="200"/>
      </w:pPr>
      <w:r>
        <w:rPr>
          <w:rFonts w:hint="eastAsia"/>
        </w:rPr>
        <w:t>3.5除单一来源采购项目外，为采购项目提供整体设计、规范编制或者项目管理、监理、检测等服务的供应商，不得再参加该采购项目的其他采购活动。</w:t>
      </w:r>
    </w:p>
    <w:p>
      <w:pPr>
        <w:wordWrap w:val="0"/>
        <w:ind w:firstLine="480" w:firstLineChars="200"/>
      </w:pPr>
      <w:r>
        <w:rPr>
          <w:rFonts w:hint="eastAsia"/>
        </w:rPr>
        <w:t>3.6“投标邀请”和“投标人须知前附表”规定接受联合体投标的，除应符合本章第3.1项和3.2项要求外，还应遵守以下规定：</w:t>
      </w:r>
    </w:p>
    <w:p>
      <w:pPr>
        <w:wordWrap w:val="0"/>
        <w:ind w:firstLine="480" w:firstLineChars="200"/>
      </w:pPr>
      <w:r>
        <w:rPr>
          <w:rFonts w:hint="eastAsia"/>
        </w:rPr>
        <w:t>（1）在投标文件中向采购人提交联合体协议书，明确联合体各方承担的工作和义务；</w:t>
      </w:r>
    </w:p>
    <w:p>
      <w:pPr>
        <w:wordWrap w:val="0"/>
        <w:ind w:firstLine="480" w:firstLineChars="200"/>
      </w:pPr>
      <w:r>
        <w:rPr>
          <w:rFonts w:hint="eastAsia"/>
        </w:rPr>
        <w:t>（2）联合体中有同类资质的供应商按联合体分工承担相同工作的，应当按照资质等级较低的供应商确定资质等级；</w:t>
      </w:r>
    </w:p>
    <w:p>
      <w:pPr>
        <w:wordWrap w:val="0"/>
        <w:ind w:firstLine="480" w:firstLineChars="200"/>
      </w:pPr>
      <w:r>
        <w:rPr>
          <w:rFonts w:hint="eastAsia"/>
        </w:rPr>
        <w:t>（3）招标人根据采购项目的特殊要求规定投标人特定条件的，联合体各方中至少应当有一方符合采购规定的特定条件。</w:t>
      </w:r>
    </w:p>
    <w:p>
      <w:pPr>
        <w:wordWrap w:val="0"/>
        <w:ind w:firstLine="480" w:firstLineChars="200"/>
      </w:pPr>
      <w:r>
        <w:rPr>
          <w:rFonts w:hint="eastAsia"/>
        </w:rPr>
        <w:t>（4）联合体各方不得再单独参加或者与其他供应商另外组成联合体参加同一合同项下的政府采购活动。</w:t>
      </w:r>
    </w:p>
    <w:p>
      <w:pPr>
        <w:wordWrap w:val="0"/>
        <w:ind w:firstLine="480" w:firstLineChars="200"/>
      </w:pPr>
      <w:r>
        <w:rPr>
          <w:rFonts w:hint="eastAsia"/>
        </w:rPr>
        <w:t>（5）联合体各方应当共同与采购人签订采购合同，就采购合同约定的事项对采购人承担连带责任。</w:t>
      </w:r>
    </w:p>
    <w:p>
      <w:pPr>
        <w:wordWrap w:val="0"/>
        <w:ind w:firstLine="480" w:firstLineChars="200"/>
      </w:pPr>
      <w:r>
        <w:rPr>
          <w:rFonts w:hint="eastAsia"/>
        </w:rPr>
        <w:t>3.7法律、行政法规规定的其他条件。</w:t>
      </w:r>
    </w:p>
    <w:p>
      <w:pPr>
        <w:wordWrap w:val="0"/>
        <w:ind w:firstLine="482" w:firstLineChars="200"/>
        <w:rPr>
          <w:b/>
          <w:bCs/>
        </w:rPr>
      </w:pPr>
      <w:r>
        <w:rPr>
          <w:rFonts w:hint="eastAsia"/>
          <w:b/>
          <w:bCs/>
        </w:rPr>
        <w:t>4.合格的货物和服务</w:t>
      </w:r>
    </w:p>
    <w:p>
      <w:pPr>
        <w:wordWrap w:val="0"/>
        <w:ind w:firstLine="480" w:firstLineChars="200"/>
      </w:pPr>
      <w:r>
        <w:rPr>
          <w:rFonts w:hint="eastAsia"/>
        </w:rPr>
        <w:t>4.1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wordWrap w:val="0"/>
        <w:ind w:firstLine="480" w:firstLineChars="200"/>
      </w:pPr>
      <w:r>
        <w:rPr>
          <w:rFonts w:hint="eastAsia"/>
        </w:rPr>
        <w:t>4.2投标人所提供的服务应当没有侵犯任何第三方的知识产权、技术秘密等合法权利。</w:t>
      </w:r>
    </w:p>
    <w:p>
      <w:pPr>
        <w:wordWrap w:val="0"/>
        <w:ind w:firstLine="480" w:firstLineChars="200"/>
      </w:pPr>
      <w:r>
        <w:rPr>
          <w:rFonts w:hint="eastAsia"/>
        </w:rPr>
        <w:t>4.3如投标人所投产品属于“中国强制性产品认证”（3C认证）范围内,则必须承诺采用《中华人民共和国实施强制性产品认证的产品目录》并在有效期内的产品，应在投标文件中提供“所投产品符合国家强制性要求承诺函”并加盖投标人公章，否则将承担其投标被视为非实质性响应投标的风险。</w:t>
      </w:r>
    </w:p>
    <w:p>
      <w:pPr>
        <w:wordWrap w:val="0"/>
        <w:ind w:firstLine="480" w:firstLineChars="200"/>
      </w:pPr>
      <w:r>
        <w:rPr>
          <w:rFonts w:hint="eastAsia"/>
        </w:rPr>
        <w:t>4.4根据财政部、工业和信息化部、国家质检总局、国家认监委联合发布《关于信息安全产品实施政府采购的通知》（财库[2010]48号）要求，投标人所投产品如被列入《信息安全产品强制性认证目录》，投标人须承诺该产品已具备中国国家信息安全产品认证，不提供超出此目录范畴外的替代品。应在投标文件中提供“所投产品符合中国国家信息安全产品认证承诺函”并加盖投标人公章，否则将承担其投标被视为非实质性响应投标的风险。</w:t>
      </w:r>
    </w:p>
    <w:p>
      <w:pPr>
        <w:wordWrap w:val="0"/>
        <w:ind w:firstLine="482" w:firstLineChars="200"/>
        <w:rPr>
          <w:b/>
          <w:bCs/>
        </w:rPr>
      </w:pPr>
      <w:r>
        <w:rPr>
          <w:rFonts w:hint="eastAsia"/>
          <w:b/>
          <w:bCs/>
        </w:rPr>
        <w:t>5.投标费用</w:t>
      </w:r>
    </w:p>
    <w:p>
      <w:pPr>
        <w:wordWrap w:val="0"/>
        <w:ind w:firstLine="480" w:firstLineChars="200"/>
      </w:pPr>
      <w:r>
        <w:rPr>
          <w:rFonts w:hint="eastAsia"/>
        </w:rPr>
        <w:t>不论投标的结果如何，投标人均应自行承担所有与投标有关的全部费用，招标人在任何情况下均无义务和责任承担这些费用。</w:t>
      </w:r>
    </w:p>
    <w:p>
      <w:pPr>
        <w:wordWrap w:val="0"/>
        <w:ind w:firstLine="482" w:firstLineChars="200"/>
        <w:rPr>
          <w:b/>
          <w:bCs/>
        </w:rPr>
      </w:pPr>
      <w:r>
        <w:rPr>
          <w:rFonts w:hint="eastAsia"/>
          <w:b/>
          <w:bCs/>
        </w:rPr>
        <w:t>6.信息发布</w:t>
      </w:r>
    </w:p>
    <w:p>
      <w:pPr>
        <w:wordWrap w:val="0"/>
        <w:ind w:firstLine="480" w:firstLineChars="200"/>
      </w:pPr>
      <w:r>
        <w:rPr>
          <w:rFonts w:hint="eastAsia"/>
        </w:rPr>
        <w:t>本采购项目需要公开的有关信息，包括招标公告、招标文件澄清或修改公告、中标公告以及延长投标截止时间等与招标活动有关的通知，招标人均将通过在《河南省政府采购网》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wordWrap w:val="0"/>
        <w:ind w:firstLine="482" w:firstLineChars="200"/>
        <w:rPr>
          <w:b/>
          <w:bCs/>
        </w:rPr>
      </w:pPr>
      <w:r>
        <w:rPr>
          <w:rFonts w:hint="eastAsia"/>
          <w:b/>
          <w:bCs/>
        </w:rPr>
        <w:t>7.采购代理机构代理费用收取标准和方式</w:t>
      </w:r>
    </w:p>
    <w:p>
      <w:pPr>
        <w:wordWrap w:val="0"/>
        <w:ind w:firstLine="480" w:firstLineChars="200"/>
      </w:pPr>
      <w:r>
        <w:rPr>
          <w:rFonts w:hint="eastAsia"/>
        </w:rPr>
        <w:t>招标文件费用和招标代理服务费，收取标准详见招标公告及招标文件前附表须知</w:t>
      </w:r>
    </w:p>
    <w:p>
      <w:pPr>
        <w:wordWrap w:val="0"/>
        <w:ind w:firstLine="482" w:firstLineChars="200"/>
        <w:rPr>
          <w:b/>
          <w:bCs/>
        </w:rPr>
      </w:pPr>
      <w:r>
        <w:rPr>
          <w:rFonts w:hint="eastAsia"/>
          <w:b/>
          <w:bCs/>
        </w:rPr>
        <w:t>8.其他</w:t>
      </w:r>
    </w:p>
    <w:p>
      <w:pPr>
        <w:wordWrap w:val="0"/>
        <w:ind w:firstLine="480" w:firstLineChars="200"/>
      </w:pPr>
      <w:r>
        <w:rPr>
          <w:rFonts w:hint="eastAsia"/>
        </w:rPr>
        <w:t>本“投标人须知”的条款如与“投标邀请”、“项目需求”、“投标人须知前附表”和“资格审查与评标”就同一内容的表述不一致的，以“投标邀请”、“ 项目需求”、 “投标人须知前附表”和“资格审查与评标”中规定的内容为准。</w:t>
      </w:r>
    </w:p>
    <w:p>
      <w:pPr>
        <w:pStyle w:val="6"/>
        <w:wordWrap w:val="0"/>
      </w:pPr>
      <w:r>
        <w:rPr>
          <w:rFonts w:hint="eastAsia"/>
        </w:rPr>
        <w:t>二、招标文件说明</w:t>
      </w:r>
    </w:p>
    <w:p>
      <w:pPr>
        <w:wordWrap w:val="0"/>
        <w:ind w:firstLine="482" w:firstLineChars="200"/>
        <w:rPr>
          <w:b/>
          <w:bCs/>
        </w:rPr>
      </w:pPr>
      <w:r>
        <w:rPr>
          <w:rFonts w:hint="eastAsia"/>
          <w:b/>
          <w:bCs/>
        </w:rPr>
        <w:t>9.招标文件构成</w:t>
      </w:r>
    </w:p>
    <w:p>
      <w:pPr>
        <w:wordWrap w:val="0"/>
        <w:ind w:firstLine="480" w:firstLineChars="200"/>
      </w:pPr>
      <w:r>
        <w:rPr>
          <w:rFonts w:hint="eastAsia"/>
        </w:rPr>
        <w:t>9.1招标文件由以下部分组成：</w:t>
      </w:r>
    </w:p>
    <w:p>
      <w:pPr>
        <w:wordWrap w:val="0"/>
        <w:ind w:firstLine="480" w:firstLineChars="200"/>
      </w:pPr>
      <w:r>
        <w:rPr>
          <w:rFonts w:hint="eastAsia"/>
        </w:rPr>
        <w:t>（1）投标邀请（招标公告）</w:t>
      </w:r>
    </w:p>
    <w:p>
      <w:pPr>
        <w:wordWrap w:val="0"/>
        <w:ind w:firstLine="480" w:firstLineChars="200"/>
      </w:pPr>
      <w:r>
        <w:rPr>
          <w:rFonts w:hint="eastAsia"/>
        </w:rPr>
        <w:t>（2）项目需求</w:t>
      </w:r>
    </w:p>
    <w:p>
      <w:pPr>
        <w:wordWrap w:val="0"/>
        <w:ind w:firstLine="480" w:firstLineChars="200"/>
      </w:pPr>
      <w:r>
        <w:rPr>
          <w:rFonts w:hint="eastAsia"/>
        </w:rPr>
        <w:t>（3）投标人须知前附表</w:t>
      </w:r>
    </w:p>
    <w:p>
      <w:pPr>
        <w:wordWrap w:val="0"/>
        <w:ind w:firstLine="480" w:firstLineChars="200"/>
      </w:pPr>
      <w:r>
        <w:rPr>
          <w:rFonts w:hint="eastAsia"/>
        </w:rPr>
        <w:t>（4）投标人须知</w:t>
      </w:r>
    </w:p>
    <w:p>
      <w:pPr>
        <w:wordWrap w:val="0"/>
        <w:ind w:firstLine="480" w:firstLineChars="200"/>
      </w:pPr>
      <w:r>
        <w:rPr>
          <w:rFonts w:hint="eastAsia"/>
        </w:rPr>
        <w:t>（5）政府采购政策功能</w:t>
      </w:r>
    </w:p>
    <w:p>
      <w:pPr>
        <w:wordWrap w:val="0"/>
        <w:ind w:firstLine="480" w:firstLineChars="200"/>
      </w:pPr>
      <w:r>
        <w:rPr>
          <w:rFonts w:hint="eastAsia"/>
        </w:rPr>
        <w:t>（6）资格审查与评标</w:t>
      </w:r>
    </w:p>
    <w:p>
      <w:pPr>
        <w:wordWrap w:val="0"/>
        <w:ind w:firstLine="480" w:firstLineChars="200"/>
      </w:pPr>
      <w:r>
        <w:rPr>
          <w:rFonts w:hint="eastAsia"/>
        </w:rPr>
        <w:t>（7）合同条款及格式</w:t>
      </w:r>
    </w:p>
    <w:p>
      <w:pPr>
        <w:wordWrap w:val="0"/>
        <w:ind w:firstLine="480" w:firstLineChars="200"/>
      </w:pPr>
      <w:r>
        <w:rPr>
          <w:rFonts w:hint="eastAsia"/>
        </w:rPr>
        <w:t>（8）投标文件有关格式</w:t>
      </w:r>
    </w:p>
    <w:p>
      <w:pPr>
        <w:wordWrap w:val="0"/>
        <w:ind w:firstLine="480" w:firstLineChars="200"/>
      </w:pPr>
      <w:r>
        <w:rPr>
          <w:rFonts w:hint="eastAsia"/>
        </w:rPr>
        <w:t>（9）本项目招标文件的附件澄清、答复、修改、补充内容（如有的话）</w:t>
      </w:r>
    </w:p>
    <w:p>
      <w:pPr>
        <w:wordWrap w:val="0"/>
        <w:ind w:firstLine="480" w:firstLineChars="200"/>
      </w:pPr>
      <w:r>
        <w:rPr>
          <w:rFonts w:hint="eastAsia"/>
        </w:rPr>
        <w:t>9.2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wordWrap w:val="0"/>
        <w:ind w:firstLine="480" w:firstLineChars="200"/>
      </w:pPr>
      <w:r>
        <w:rPr>
          <w:rFonts w:hint="eastAsia"/>
        </w:rPr>
        <w:t>9.3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wordWrap w:val="0"/>
        <w:ind w:firstLine="482" w:firstLineChars="200"/>
        <w:rPr>
          <w:b/>
          <w:bCs/>
        </w:rPr>
      </w:pPr>
      <w:r>
        <w:rPr>
          <w:rFonts w:hint="eastAsia"/>
          <w:b/>
          <w:bCs/>
        </w:rPr>
        <w:t>10.现场考察、开标前答疑会</w:t>
      </w:r>
    </w:p>
    <w:p>
      <w:pPr>
        <w:wordWrap w:val="0"/>
        <w:ind w:firstLine="480" w:firstLineChars="200"/>
      </w:pPr>
      <w:r>
        <w:rPr>
          <w:rFonts w:hint="eastAsia"/>
        </w:rPr>
        <w:t>10.1招标人根据采购项目的具体情况，可以在招标文件公告期满后，组织已获取招标文件的潜在投标人现场考察或者召开开标前答疑会。</w:t>
      </w:r>
    </w:p>
    <w:p>
      <w:pPr>
        <w:wordWrap w:val="0"/>
        <w:ind w:firstLine="480" w:firstLineChars="200"/>
      </w:pPr>
      <w:r>
        <w:rPr>
          <w:rFonts w:hint="eastAsia"/>
        </w:rPr>
        <w:t>10.1.1招标人组织现场考察或者召开开标前答疑会的，所有投标人应按“投标人须知前附表”规定的时间、地点前往参加现场考察或者开标前答疑会。投标人如不参加，其风险由投标人自行承担，招标人不承担任何责任。</w:t>
      </w:r>
    </w:p>
    <w:p>
      <w:pPr>
        <w:wordWrap w:val="0"/>
        <w:ind w:firstLine="480" w:firstLineChars="200"/>
      </w:pPr>
      <w:r>
        <w:rPr>
          <w:rFonts w:hint="eastAsia"/>
        </w:rPr>
        <w:t>10.2招标人组织现场考察或者召开答疑会的，应当在招标文件中载明，或者在招标文件公告期满后在财政部门指定的政府采购信息发布媒体和《全国公共资源交易平台（河南省·许昌市）》发布更正公告。</w:t>
      </w:r>
    </w:p>
    <w:p>
      <w:pPr>
        <w:wordWrap w:val="0"/>
        <w:ind w:firstLine="480" w:firstLineChars="200"/>
      </w:pPr>
      <w:r>
        <w:rPr>
          <w:rFonts w:hint="eastAsia"/>
        </w:rPr>
        <w:t>10.3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wordWrap w:val="0"/>
        <w:ind w:firstLine="480" w:firstLineChars="200"/>
      </w:pPr>
      <w:r>
        <w:rPr>
          <w:rFonts w:hint="eastAsia"/>
        </w:rPr>
        <w:t>10.4现场考察及参加开标前答疑会所发生的费用及一切责任由投标人自行承担。</w:t>
      </w:r>
    </w:p>
    <w:p>
      <w:pPr>
        <w:wordWrap w:val="0"/>
        <w:ind w:firstLine="482" w:firstLineChars="200"/>
        <w:rPr>
          <w:b/>
          <w:bCs/>
        </w:rPr>
      </w:pPr>
      <w:r>
        <w:rPr>
          <w:rFonts w:hint="eastAsia"/>
          <w:b/>
          <w:bCs/>
        </w:rPr>
        <w:t>11.招标文件的澄清或修改</w:t>
      </w:r>
    </w:p>
    <w:p>
      <w:pPr>
        <w:wordWrap w:val="0"/>
        <w:ind w:firstLine="480" w:firstLineChars="200"/>
      </w:pPr>
      <w:r>
        <w:rPr>
          <w:rFonts w:hint="eastAsia"/>
        </w:rPr>
        <w:t>11.1 在投标截止期前，无论出于何种原因，招标人可主动地或在解答潜在投标人提出的澄清问题时对招标文件进行修改。</w:t>
      </w:r>
    </w:p>
    <w:p>
      <w:pPr>
        <w:wordWrap w:val="0"/>
        <w:ind w:firstLine="480" w:firstLineChars="200"/>
      </w:pPr>
      <w:r>
        <w:rPr>
          <w:rFonts w:hint="eastAsia"/>
        </w:rPr>
        <w:t>11.2 招标人可以对已发出的招标文件进行必要的澄清或者修改。澄清或者修改的内容可能影响投标文件编制的，招标人将在投标截止时间15日前，在财政部门指定的政府采购信息发布媒体和《全国公共资源交易平台（河南省·许昌市）》发布更正公告。</w:t>
      </w:r>
    </w:p>
    <w:p>
      <w:pPr>
        <w:wordWrap w:val="0"/>
        <w:ind w:firstLine="480" w:firstLineChars="200"/>
      </w:pPr>
      <w:r>
        <w:rPr>
          <w:rFonts w:hint="eastAsia"/>
        </w:rPr>
        <w:t>11.3 澄清或修改公告的内容为招标文件的组成部分，并对投标人具有约束力。当招标文件与澄清或修改公告就同一内容的表述不一致时，以最后发出的文件内容为准。</w:t>
      </w:r>
    </w:p>
    <w:p>
      <w:pPr>
        <w:wordWrap w:val="0"/>
        <w:ind w:firstLine="480" w:firstLineChars="200"/>
      </w:pPr>
      <w:r>
        <w:rPr>
          <w:rFonts w:hint="eastAsia"/>
        </w:rPr>
        <w:t>11.4 如果澄清或者修改发出的时间距规定的投标截止时间不足15日，招标人将顺延提交投标文件的截止时间。</w:t>
      </w:r>
    </w:p>
    <w:p>
      <w:pPr>
        <w:pStyle w:val="6"/>
        <w:wordWrap w:val="0"/>
      </w:pPr>
      <w:r>
        <w:rPr>
          <w:rFonts w:hint="eastAsia"/>
        </w:rPr>
        <w:t>三、投标文件的编制</w:t>
      </w:r>
    </w:p>
    <w:p>
      <w:pPr>
        <w:wordWrap w:val="0"/>
        <w:ind w:firstLine="482" w:firstLineChars="200"/>
        <w:rPr>
          <w:b/>
          <w:bCs/>
        </w:rPr>
      </w:pPr>
      <w:r>
        <w:rPr>
          <w:rFonts w:hint="eastAsia"/>
          <w:b/>
          <w:bCs/>
        </w:rPr>
        <w:t>12.投标的语言及计量单位</w:t>
      </w:r>
    </w:p>
    <w:p>
      <w:pPr>
        <w:wordWrap w:val="0"/>
        <w:ind w:firstLine="480" w:firstLineChars="200"/>
      </w:pPr>
      <w:r>
        <w:rPr>
          <w:rFonts w:hint="eastAsia"/>
        </w:rPr>
        <w:t>12.1投标人提交的投标文件以及投标人与招标人就有关投标事宜的所有来往书面文件均应使用中文。除签名、盖章、专用名称等特殊情形外，以中文以外的文字表述的投标文件视同未提供。</w:t>
      </w:r>
    </w:p>
    <w:p>
      <w:pPr>
        <w:wordWrap w:val="0"/>
        <w:ind w:firstLine="480" w:firstLineChars="200"/>
      </w:pPr>
      <w:r>
        <w:rPr>
          <w:rFonts w:hint="eastAsia"/>
        </w:rPr>
        <w:t>12.2投标计量单位，招标文件已有明确规定的，使用招标文件规定的计量单位；招标文件没有规定的，一律采用中华人民共和国法定计量单位。</w:t>
      </w:r>
    </w:p>
    <w:p>
      <w:pPr>
        <w:wordWrap w:val="0"/>
        <w:ind w:firstLine="482" w:firstLineChars="200"/>
        <w:rPr>
          <w:b/>
          <w:bCs/>
        </w:rPr>
      </w:pPr>
      <w:r>
        <w:rPr>
          <w:rFonts w:hint="eastAsia"/>
          <w:b/>
          <w:bCs/>
        </w:rPr>
        <w:t>13.投标报价</w:t>
      </w:r>
    </w:p>
    <w:p>
      <w:pPr>
        <w:wordWrap w:val="0"/>
        <w:ind w:firstLine="480" w:firstLineChars="200"/>
      </w:pPr>
      <w:r>
        <w:rPr>
          <w:rFonts w:hint="eastAsia"/>
        </w:rPr>
        <w:t>13.1本次招标项目的投标均以人民币为计算单位。</w:t>
      </w:r>
    </w:p>
    <w:p>
      <w:pPr>
        <w:wordWrap w:val="0"/>
        <w:ind w:firstLine="480" w:firstLineChars="200"/>
      </w:pPr>
      <w:r>
        <w:rPr>
          <w:rFonts w:hint="eastAsia"/>
        </w:rPr>
        <w:t>13.2采购人不得向投标人索要或者接受其给予的赠品、回扣或者与采购无关的其他商品、服务。</w:t>
      </w:r>
    </w:p>
    <w:p>
      <w:pPr>
        <w:wordWrap w:val="0"/>
        <w:ind w:firstLine="480" w:firstLineChars="200"/>
      </w:pPr>
      <w:r>
        <w:rPr>
          <w:rFonts w:hint="eastAsia"/>
        </w:rPr>
        <w:t>13.3投标人应对项目要求的全部内容进行报价，少报漏报将导致其投标为非实质性响应予以拒绝。</w:t>
      </w:r>
    </w:p>
    <w:p>
      <w:pPr>
        <w:wordWrap w:val="0"/>
        <w:ind w:firstLine="480" w:firstLineChars="200"/>
      </w:pPr>
      <w:r>
        <w:rPr>
          <w:rFonts w:hint="eastAsia"/>
        </w:rPr>
        <w:t>13.4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保险、加班工资、工作餐、相关福利、关于人员聘用的费用等）、设备、国家规定检测、外发包、材料（含辅材）、管理、税费及利润等。</w:t>
      </w:r>
    </w:p>
    <w:p>
      <w:pPr>
        <w:wordWrap w:val="0"/>
        <w:ind w:firstLine="480" w:firstLineChars="200"/>
      </w:pPr>
      <w:r>
        <w:rPr>
          <w:rFonts w:hint="eastAsia"/>
        </w:rPr>
        <w:t>13.5本项目所涉及的运输、施工、安装、集成、调试、验收、备品和工具等费用均包含在投标报价中。</w:t>
      </w:r>
    </w:p>
    <w:p>
      <w:pPr>
        <w:wordWrap w:val="0"/>
        <w:ind w:firstLine="480" w:firstLineChars="200"/>
      </w:pPr>
      <w:r>
        <w:rPr>
          <w:rFonts w:hint="eastAsia"/>
        </w:rPr>
        <w:t>13.6本次招标不接受可选择或可调整的投标方案和报价，任何有选择的或可调整的投标方案和报价将被视为非实质性响应投标而作无效投标处理。</w:t>
      </w:r>
    </w:p>
    <w:p>
      <w:pPr>
        <w:wordWrap w:val="0"/>
        <w:ind w:firstLine="480" w:firstLineChars="200"/>
      </w:pPr>
      <w:r>
        <w:rPr>
          <w:rFonts w:hint="eastAsia"/>
        </w:rPr>
        <w:t>13.7报价不得高于本项目最高限价，且不低于成本价。本次招标实行“最高限价（项目控制金额上限）”,投标人的投标报价高于最高限价（项目控制金额上限）的，该投标人的投标文件将被视为非实质性响应予以拒绝。</w:t>
      </w:r>
    </w:p>
    <w:p>
      <w:pPr>
        <w:wordWrap w:val="0"/>
        <w:ind w:firstLine="480" w:firstLineChars="200"/>
      </w:pPr>
      <w:r>
        <w:rPr>
          <w:rFonts w:hint="eastAsia"/>
        </w:rPr>
        <w:t>13.8最低报价不能作为中标的保证。</w:t>
      </w:r>
    </w:p>
    <w:p>
      <w:pPr>
        <w:wordWrap w:val="0"/>
        <w:ind w:firstLine="482" w:firstLineChars="200"/>
        <w:rPr>
          <w:b/>
          <w:bCs/>
        </w:rPr>
      </w:pPr>
      <w:r>
        <w:rPr>
          <w:rFonts w:hint="eastAsia"/>
          <w:b/>
          <w:bCs/>
        </w:rPr>
        <w:t>14.投标有效期</w:t>
      </w:r>
    </w:p>
    <w:p>
      <w:pPr>
        <w:wordWrap w:val="0"/>
        <w:ind w:firstLine="480" w:firstLineChars="200"/>
      </w:pPr>
      <w:r>
        <w:rPr>
          <w:rFonts w:hint="eastAsia"/>
        </w:rPr>
        <w:t>14.1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pPr>
        <w:wordWrap w:val="0"/>
        <w:ind w:firstLine="480" w:firstLineChars="200"/>
      </w:pPr>
      <w:r>
        <w:rPr>
          <w:rFonts w:hint="eastAsia"/>
        </w:rPr>
        <w:t>14.2投标有效期内投标人撤销投标文件的，招标人将不退还投标保证金。</w:t>
      </w:r>
    </w:p>
    <w:p>
      <w:pPr>
        <w:wordWrap w:val="0"/>
        <w:ind w:firstLine="480" w:firstLineChars="200"/>
      </w:pPr>
      <w:r>
        <w:rPr>
          <w:rFonts w:hint="eastAsia"/>
        </w:rPr>
        <w:t>14.3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pPr>
        <w:wordWrap w:val="0"/>
        <w:ind w:firstLine="480" w:firstLineChars="200"/>
      </w:pPr>
      <w:r>
        <w:rPr>
          <w:rFonts w:hint="eastAsia"/>
        </w:rPr>
        <w:t>14.4中标人的投标文件作为项目合同的附件，其有效期至中标人全部合同义务履行完毕为止。</w:t>
      </w:r>
    </w:p>
    <w:p>
      <w:pPr>
        <w:wordWrap w:val="0"/>
        <w:ind w:firstLine="482" w:firstLineChars="200"/>
        <w:rPr>
          <w:b/>
          <w:bCs/>
        </w:rPr>
      </w:pPr>
      <w:r>
        <w:rPr>
          <w:rFonts w:hint="eastAsia"/>
          <w:b/>
          <w:bCs/>
        </w:rPr>
        <w:t>15.投标文件构成</w:t>
      </w:r>
    </w:p>
    <w:p>
      <w:pPr>
        <w:wordWrap w:val="0"/>
        <w:ind w:firstLine="480" w:firstLineChars="200"/>
      </w:pPr>
      <w:r>
        <w:rPr>
          <w:rFonts w:hint="eastAsia"/>
        </w:rPr>
        <w:t>15.1投标文件的构成应符合法律法规及招标文件的要求。</w:t>
      </w:r>
    </w:p>
    <w:p>
      <w:pPr>
        <w:wordWrap w:val="0"/>
        <w:ind w:firstLine="480" w:firstLineChars="200"/>
      </w:pPr>
      <w:r>
        <w:rPr>
          <w:rFonts w:hint="eastAsia"/>
        </w:rPr>
        <w:t>15.2投标人应当按照招标文件的要求编制投标文件。投标文件应当对招标文件提出的要求和条件作出明确响应。</w:t>
      </w:r>
    </w:p>
    <w:p>
      <w:pPr>
        <w:wordWrap w:val="0"/>
        <w:ind w:firstLine="480" w:firstLineChars="200"/>
      </w:pPr>
      <w:r>
        <w:rPr>
          <w:rFonts w:hint="eastAsia"/>
        </w:rPr>
        <w:t>15.3投标文件由资格证明材料、符合性证明材料、其它材料等组成。</w:t>
      </w:r>
    </w:p>
    <w:p>
      <w:pPr>
        <w:wordWrap w:val="0"/>
        <w:ind w:firstLine="480" w:firstLineChars="200"/>
      </w:pPr>
      <w:r>
        <w:rPr>
          <w:rFonts w:hint="eastAsia"/>
        </w:rPr>
        <w:t>15.4投标人根据招标文件的规定和采购项目的实际情况，拟在中标后将中标项目的非主体、非关键性工作分包的，应当在投标文件中载明分包承担主体，分包承担主体应当具备相应资质条件且不得再次分包。</w:t>
      </w:r>
    </w:p>
    <w:p>
      <w:pPr>
        <w:wordWrap w:val="0"/>
        <w:ind w:firstLine="480" w:firstLineChars="200"/>
      </w:pPr>
      <w:r>
        <w:rPr>
          <w:rFonts w:hint="eastAsia"/>
        </w:rPr>
        <w:t xml:space="preserve">15.5投标人登录许昌公共资源交易系统下载“许昌投标文件制作系统SEARUN 最新版本”，按招标文件要求根据所投标段制作电子投标文件。 </w:t>
      </w:r>
    </w:p>
    <w:p>
      <w:pPr>
        <w:wordWrap w:val="0"/>
        <w:ind w:firstLine="480" w:firstLineChars="200"/>
      </w:pPr>
      <w:r>
        <w:rPr>
          <w:rFonts w:hint="eastAsia"/>
        </w:rPr>
        <w:t>一个标段对应生成一个文件夹（xxxx项目xx标段）。后缀名为“.file”的文件用于电子投标使用。</w:t>
      </w:r>
    </w:p>
    <w:p>
      <w:pPr>
        <w:wordWrap w:val="0"/>
        <w:ind w:firstLine="480" w:firstLineChars="200"/>
      </w:pPr>
      <w:r>
        <w:rPr>
          <w:rFonts w:hint="eastAsia"/>
        </w:rPr>
        <w:t>电子投标文件制作技术咨询：0374-2961598。</w:t>
      </w:r>
    </w:p>
    <w:p>
      <w:pPr>
        <w:wordWrap w:val="0"/>
        <w:ind w:firstLine="482" w:firstLineChars="200"/>
        <w:rPr>
          <w:b/>
          <w:bCs/>
        </w:rPr>
      </w:pPr>
      <w:r>
        <w:rPr>
          <w:rFonts w:hint="eastAsia"/>
          <w:b/>
          <w:bCs/>
        </w:rPr>
        <w:t>16.投标文件格式</w:t>
      </w:r>
    </w:p>
    <w:p>
      <w:pPr>
        <w:wordWrap w:val="0"/>
        <w:ind w:firstLine="480" w:firstLineChars="200"/>
      </w:pPr>
      <w:r>
        <w:rPr>
          <w:rFonts w:hint="eastAsia"/>
        </w:rPr>
        <w:t>16.1投标人编制的投标文件应当满足招标文件规定的基本格式要求。</w:t>
      </w:r>
    </w:p>
    <w:p>
      <w:pPr>
        <w:wordWrap w:val="0"/>
        <w:ind w:firstLine="480" w:firstLineChars="200"/>
      </w:pPr>
      <w:r>
        <w:rPr>
          <w:rFonts w:hint="eastAsia"/>
        </w:rPr>
        <w:t>16.2投标人应按招标文件提供的格式编写投标文件。招标文件未提供标准格式的投标人可自行拟定。</w:t>
      </w:r>
    </w:p>
    <w:p>
      <w:pPr>
        <w:wordWrap w:val="0"/>
        <w:ind w:firstLine="482" w:firstLineChars="200"/>
        <w:rPr>
          <w:b/>
          <w:bCs/>
        </w:rPr>
      </w:pPr>
      <w:r>
        <w:rPr>
          <w:rFonts w:hint="eastAsia"/>
          <w:b/>
          <w:bCs/>
        </w:rPr>
        <w:t>17.投标保证金</w:t>
      </w:r>
    </w:p>
    <w:p>
      <w:pPr>
        <w:wordWrap w:val="0"/>
        <w:ind w:firstLine="480" w:firstLineChars="200"/>
      </w:pPr>
      <w:r>
        <w:rPr>
          <w:rFonts w:hint="eastAsia"/>
        </w:rPr>
        <w:t>17.1不收取投标保证金。</w:t>
      </w:r>
    </w:p>
    <w:p>
      <w:pPr>
        <w:wordWrap w:val="0"/>
        <w:ind w:firstLine="480" w:firstLineChars="200"/>
      </w:pPr>
      <w:r>
        <w:rPr>
          <w:rFonts w:hint="eastAsia"/>
        </w:rPr>
        <w:t>17.2投标人须提供投标承诺函。</w:t>
      </w:r>
    </w:p>
    <w:p>
      <w:pPr>
        <w:wordWrap w:val="0"/>
        <w:ind w:firstLine="482" w:firstLineChars="200"/>
        <w:rPr>
          <w:b/>
          <w:bCs/>
        </w:rPr>
      </w:pPr>
      <w:r>
        <w:rPr>
          <w:rFonts w:hint="eastAsia"/>
          <w:b/>
          <w:bCs/>
        </w:rPr>
        <w:t>18.投标文件的数量和签署盖章</w:t>
      </w:r>
    </w:p>
    <w:p>
      <w:pPr>
        <w:wordWrap w:val="0"/>
        <w:ind w:firstLine="480" w:firstLineChars="200"/>
      </w:pPr>
      <w:r>
        <w:rPr>
          <w:rFonts w:hint="eastAsia"/>
        </w:rPr>
        <w:t>18.1投标人应提交投标文件份数见“投标人须知前附表”。</w:t>
      </w:r>
    </w:p>
    <w:p>
      <w:pPr>
        <w:wordWrap w:val="0"/>
        <w:ind w:firstLine="480" w:firstLineChars="200"/>
      </w:pPr>
      <w:r>
        <w:rPr>
          <w:rFonts w:hint="eastAsia"/>
        </w:rPr>
        <w:t>18.2在招标文件中已明示需盖章及签名之处，电子投标文件应按招标文件要求加盖投标人电子印章和法人电子印章或授权代表电子印章。</w:t>
      </w:r>
    </w:p>
    <w:p>
      <w:pPr>
        <w:pStyle w:val="6"/>
        <w:wordWrap w:val="0"/>
      </w:pPr>
      <w:r>
        <w:rPr>
          <w:rFonts w:hint="eastAsia"/>
        </w:rPr>
        <w:t>四、投标文件的递交</w:t>
      </w:r>
    </w:p>
    <w:p>
      <w:pPr>
        <w:wordWrap w:val="0"/>
        <w:ind w:firstLine="482" w:firstLineChars="200"/>
        <w:rPr>
          <w:b/>
          <w:bCs/>
        </w:rPr>
      </w:pPr>
      <w:r>
        <w:rPr>
          <w:rFonts w:hint="eastAsia"/>
          <w:b/>
          <w:bCs/>
        </w:rPr>
        <w:t>19.投标文件的递交</w:t>
      </w:r>
    </w:p>
    <w:p>
      <w:pPr>
        <w:wordWrap w:val="0"/>
        <w:ind w:firstLine="480" w:firstLineChars="200"/>
      </w:pPr>
      <w:r>
        <w:rPr>
          <w:rFonts w:hint="eastAsia"/>
        </w:rPr>
        <w:t>电子投标文件：成功上传至《全国公共资源交易平台（河南省·许昌市）》公共资源交易系统加密电子投标文件1份（文件格式为： XXX公司XXX项目编号.file）。</w:t>
      </w:r>
    </w:p>
    <w:p>
      <w:pPr>
        <w:wordWrap w:val="0"/>
        <w:ind w:firstLine="482" w:firstLineChars="200"/>
        <w:rPr>
          <w:b/>
          <w:bCs/>
        </w:rPr>
      </w:pPr>
      <w:r>
        <w:rPr>
          <w:rFonts w:hint="eastAsia"/>
          <w:b/>
          <w:bCs/>
        </w:rPr>
        <w:t>20.投标截止时间</w:t>
      </w:r>
    </w:p>
    <w:p>
      <w:pPr>
        <w:wordWrap w:val="0"/>
        <w:ind w:firstLine="480" w:firstLineChars="200"/>
      </w:pPr>
      <w:r>
        <w:rPr>
          <w:rFonts w:hint="eastAsia"/>
        </w:rPr>
        <w:t>20.1投标人必须在“投标邀请”和“投标人须知前附表”中规定的投标截止时间前，将加密电子投标文件（.file格式）通过《全国公共资源交易平台（河南省▪许昌市）》公共资源交易系统成功上传。</w:t>
      </w:r>
    </w:p>
    <w:p>
      <w:pPr>
        <w:wordWrap w:val="0"/>
        <w:ind w:firstLine="480" w:firstLineChars="200"/>
      </w:pPr>
      <w:r>
        <w:rPr>
          <w:rFonts w:hint="eastAsia"/>
        </w:rPr>
        <w:t>20.2招标人可以按本须知第14条规定，通过修改招标文件自行决定酌情延长投标截止期。在此情况下，招标人和投标人受投标截止期制约的所有权利和义务均应延长至新的截止日期和时间。投标人按招标人修改通知规定的时间提交投标文件。</w:t>
      </w:r>
    </w:p>
    <w:p>
      <w:pPr>
        <w:wordWrap w:val="0"/>
        <w:ind w:firstLine="482" w:firstLineChars="200"/>
        <w:rPr>
          <w:b/>
          <w:bCs/>
        </w:rPr>
      </w:pPr>
      <w:r>
        <w:rPr>
          <w:rFonts w:hint="eastAsia"/>
          <w:b/>
          <w:bCs/>
        </w:rPr>
        <w:t>21.迟交的投标文件</w:t>
      </w:r>
    </w:p>
    <w:p>
      <w:pPr>
        <w:wordWrap w:val="0"/>
        <w:ind w:firstLine="480" w:firstLineChars="200"/>
      </w:pPr>
      <w:r>
        <w:rPr>
          <w:rFonts w:hint="eastAsia"/>
        </w:rPr>
        <w:t>投标截止时间之后送达/上传的投标文件，招标人将拒绝接收。</w:t>
      </w:r>
    </w:p>
    <w:p>
      <w:pPr>
        <w:wordWrap w:val="0"/>
        <w:ind w:firstLine="482" w:firstLineChars="200"/>
        <w:rPr>
          <w:b/>
          <w:bCs/>
        </w:rPr>
      </w:pPr>
      <w:r>
        <w:rPr>
          <w:rFonts w:hint="eastAsia"/>
          <w:b/>
          <w:bCs/>
        </w:rPr>
        <w:t>22.投标文件的修改和撤回</w:t>
      </w:r>
    </w:p>
    <w:p>
      <w:pPr>
        <w:wordWrap w:val="0"/>
        <w:ind w:firstLine="480" w:firstLineChars="200"/>
      </w:pPr>
      <w:r>
        <w:rPr>
          <w:rFonts w:hint="eastAsia"/>
        </w:rPr>
        <w:t>22.1投标人应当在投标截止时间前完成电子投标文件的提交，可以补充、修改或撤回。投标截止时间前未完成电子投标文件提交，视为撤回投标文件。</w:t>
      </w:r>
    </w:p>
    <w:p>
      <w:pPr>
        <w:wordWrap w:val="0"/>
        <w:ind w:firstLine="480" w:firstLineChars="200"/>
      </w:pPr>
      <w:r>
        <w:rPr>
          <w:rFonts w:hint="eastAsia"/>
        </w:rPr>
        <w:t>22.2投标人补充、修改的内容并作为投标文件的组成部分。补充或修改应当按招标文件要求签署、盖章、密封、递交，并应注明“修改”或“补充”字样。</w:t>
      </w:r>
    </w:p>
    <w:p>
      <w:pPr>
        <w:wordWrap w:val="0"/>
        <w:ind w:firstLine="480" w:firstLineChars="200"/>
      </w:pPr>
      <w:r>
        <w:rPr>
          <w:rFonts w:hint="eastAsia"/>
        </w:rPr>
        <w:t>22.3投标人在递交投标文件后，可以撤回其投标，但投标人必须在规定的投标截止时间前以书面形式告知招标人。</w:t>
      </w:r>
    </w:p>
    <w:p>
      <w:pPr>
        <w:wordWrap w:val="0"/>
        <w:ind w:firstLine="480" w:firstLineChars="200"/>
      </w:pPr>
      <w:r>
        <w:rPr>
          <w:rFonts w:hint="eastAsia"/>
        </w:rPr>
        <w:t>22.4投标人不得在投标有效期内撤销投标文件，否则投标人将承担违背投标承诺函的责任追究。。</w:t>
      </w:r>
    </w:p>
    <w:p>
      <w:pPr>
        <w:wordWrap w:val="0"/>
        <w:ind w:firstLine="482" w:firstLineChars="200"/>
        <w:rPr>
          <w:b/>
          <w:bCs/>
        </w:rPr>
      </w:pPr>
      <w:r>
        <w:rPr>
          <w:rFonts w:hint="eastAsia"/>
          <w:b/>
          <w:bCs/>
        </w:rPr>
        <w:t>23.除投标人须知前附表另有规定外，投标人所提交的电子投标文件不予退还。</w:t>
      </w:r>
    </w:p>
    <w:p>
      <w:pPr>
        <w:pStyle w:val="6"/>
        <w:wordWrap w:val="0"/>
      </w:pPr>
      <w:r>
        <w:rPr>
          <w:rFonts w:hint="eastAsia"/>
        </w:rPr>
        <w:t>五、开标和评标</w:t>
      </w:r>
    </w:p>
    <w:p>
      <w:pPr>
        <w:wordWrap w:val="0"/>
        <w:ind w:firstLine="482" w:firstLineChars="200"/>
        <w:rPr>
          <w:b/>
          <w:bCs/>
        </w:rPr>
      </w:pPr>
      <w:r>
        <w:rPr>
          <w:rFonts w:hint="eastAsia"/>
          <w:b/>
          <w:bCs/>
        </w:rPr>
        <w:t>24.开标</w:t>
      </w:r>
    </w:p>
    <w:p>
      <w:pPr>
        <w:wordWrap w:val="0"/>
        <w:ind w:firstLine="480" w:firstLineChars="200"/>
      </w:pPr>
      <w:r>
        <w:rPr>
          <w:rFonts w:hint="eastAsia"/>
        </w:rPr>
        <w:t>24.1招标人将按招标文件规定的时间和地点组织远程不见面开标。开标由招标代理机构主持，投标人无须到现场。评标委员会成员不得参加开标活动。</w:t>
      </w:r>
    </w:p>
    <w:p>
      <w:pPr>
        <w:wordWrap w:val="0"/>
        <w:ind w:firstLine="480" w:firstLineChars="200"/>
      </w:pPr>
      <w:r>
        <w:rPr>
          <w:rFonts w:hint="eastAsia"/>
        </w:rPr>
        <w:t>24.2开标时，由代理机构开通远程不见面开标大厅及开启“文字互动”等功能；投标人、代理机构进行电子投标文件的解密。解密后投标人选择功能栏“开标记录”按钮可查看投标人名称、投标价格、修改和撤回投标的通知（如有的话）和招标文件规定的需要宣布的其他内容。</w:t>
      </w:r>
    </w:p>
    <w:p>
      <w:pPr>
        <w:wordWrap w:val="0"/>
        <w:ind w:firstLine="480" w:firstLineChars="200"/>
      </w:pPr>
      <w:r>
        <w:rPr>
          <w:rFonts w:hint="eastAsia"/>
        </w:rPr>
        <w:t>24.2.1电子投标文件的解密。全流程电子化交易项目电子投标文件采用双重加密。解密需分</w:t>
      </w:r>
    </w:p>
    <w:p>
      <w:pPr>
        <w:wordWrap w:val="0"/>
        <w:ind w:firstLine="480" w:firstLineChars="200"/>
      </w:pPr>
      <w:r>
        <w:rPr>
          <w:rFonts w:hint="eastAsia"/>
        </w:rPr>
        <w:t>标段进行两次解密。</w:t>
      </w:r>
    </w:p>
    <w:p>
      <w:pPr>
        <w:wordWrap w:val="0"/>
        <w:ind w:firstLine="480" w:firstLineChars="200"/>
      </w:pPr>
      <w:r>
        <w:rPr>
          <w:rFonts w:hint="eastAsia"/>
        </w:rPr>
        <w:t>24.2.1.1投标人解密：投标人使用本单位CA数字证书远程进行解密。</w:t>
      </w:r>
    </w:p>
    <w:p>
      <w:pPr>
        <w:wordWrap w:val="0"/>
        <w:ind w:firstLine="480" w:firstLineChars="200"/>
      </w:pPr>
      <w:r>
        <w:rPr>
          <w:rFonts w:hint="eastAsia"/>
        </w:rPr>
        <w:t>24.2.1.2 代理机构解密：代理机构按电子投标文件到达交易系统的先后顺序，使用本单位CA</w:t>
      </w:r>
    </w:p>
    <w:p>
      <w:pPr>
        <w:wordWrap w:val="0"/>
        <w:ind w:firstLine="480" w:firstLineChars="200"/>
      </w:pPr>
      <w:r>
        <w:rPr>
          <w:rFonts w:hint="eastAsia"/>
        </w:rPr>
        <w:t>数字证书进行再次解密。</w:t>
      </w:r>
    </w:p>
    <w:p>
      <w:pPr>
        <w:wordWrap w:val="0"/>
        <w:ind w:firstLine="480" w:firstLineChars="200"/>
      </w:pPr>
      <w:r>
        <w:rPr>
          <w:rFonts w:hint="eastAsia"/>
        </w:rPr>
        <w:t>24.2.1.3因投标人原因电子投标文件解密失败的，其投标将被拒绝。</w:t>
      </w:r>
    </w:p>
    <w:p>
      <w:pPr>
        <w:wordWrap w:val="0"/>
        <w:ind w:firstLine="480" w:firstLineChars="200"/>
      </w:pPr>
      <w:r>
        <w:rPr>
          <w:rFonts w:hint="eastAsia"/>
        </w:rPr>
        <w:t>24.3.2 投标人不足3家的，不得开标。</w:t>
      </w:r>
    </w:p>
    <w:p>
      <w:pPr>
        <w:wordWrap w:val="0"/>
        <w:ind w:firstLine="480" w:firstLineChars="200"/>
      </w:pPr>
      <w:r>
        <w:rPr>
          <w:rFonts w:hint="eastAsia"/>
        </w:rPr>
        <w:t>24.3.3开标过程由采购代理机构负责记录，《开标记录表》经投标人进行电子签章、由参加开标相关工作人员签字确认后随采购文件一并存档。投标人未电子签章的，视同认可开标结果。</w:t>
      </w:r>
    </w:p>
    <w:p>
      <w:pPr>
        <w:wordWrap w:val="0"/>
        <w:ind w:firstLine="480" w:firstLineChars="200"/>
      </w:pPr>
      <w:r>
        <w:rPr>
          <w:rFonts w:hint="eastAsia"/>
        </w:rPr>
        <w:t>24.3.4投标人对开标过程和开标记录如有疑义，以及认为采购人、采购代理机构相关工作人员有需要回避的情形的，应在不见面开标大厅“文字互动”对话框或“新增质疑”处在线提出询问或者回避申请。采购人、采购代理机构对投标人代表提出的询问或者回避申请应当及时处理。</w:t>
      </w:r>
    </w:p>
    <w:p>
      <w:pPr>
        <w:wordWrap w:val="0"/>
        <w:ind w:firstLine="480" w:firstLineChars="200"/>
      </w:pPr>
      <w:r>
        <w:rPr>
          <w:rFonts w:hint="eastAsia"/>
        </w:rPr>
        <w:t>24.3.5项目远程不见面开标活动结束时，投标人应在《开标记录表》上进行电子签章。投标人未签章的，视同认可开标结果</w:t>
      </w:r>
    </w:p>
    <w:p>
      <w:pPr>
        <w:wordWrap w:val="0"/>
        <w:ind w:firstLine="482" w:firstLineChars="200"/>
        <w:rPr>
          <w:b/>
          <w:bCs/>
        </w:rPr>
      </w:pPr>
      <w:r>
        <w:rPr>
          <w:rFonts w:hint="eastAsia"/>
          <w:b/>
          <w:bCs/>
        </w:rPr>
        <w:t>25.资格审查</w:t>
      </w:r>
    </w:p>
    <w:p>
      <w:pPr>
        <w:wordWrap w:val="0"/>
        <w:ind w:firstLine="480" w:firstLineChars="200"/>
      </w:pPr>
      <w:r>
        <w:rPr>
          <w:rFonts w:hint="eastAsia"/>
        </w:rPr>
        <w:t>开标结束后，采购人依法对投标人的资格进行审查。合格投标人不足3家的，不得评标。</w:t>
      </w:r>
    </w:p>
    <w:p>
      <w:pPr>
        <w:wordWrap w:val="0"/>
        <w:ind w:firstLine="482" w:firstLineChars="200"/>
        <w:rPr>
          <w:b/>
          <w:bCs/>
        </w:rPr>
      </w:pPr>
      <w:r>
        <w:rPr>
          <w:rFonts w:hint="eastAsia"/>
          <w:b/>
          <w:bCs/>
        </w:rPr>
        <w:t>26.评标委员会的组成</w:t>
      </w:r>
    </w:p>
    <w:p>
      <w:pPr>
        <w:wordWrap w:val="0"/>
        <w:ind w:firstLine="480" w:firstLineChars="200"/>
      </w:pPr>
      <w:r>
        <w:rPr>
          <w:rFonts w:hint="eastAsia"/>
        </w:rPr>
        <w:t>26.1招标人将依法组建评标委员会，评标委员会由采购人代表1人和评审专家4人，共5人组成，其中评审专家的人数不少于评标委员会成员总数的三分之二。评审专家依法从政府采购评审专家库中随机抽取。</w:t>
      </w:r>
    </w:p>
    <w:p>
      <w:pPr>
        <w:wordWrap w:val="0"/>
        <w:ind w:firstLine="480" w:firstLineChars="200"/>
      </w:pPr>
      <w:r>
        <w:rPr>
          <w:rFonts w:hint="eastAsia"/>
        </w:rPr>
        <w:t>26.1.1采购项目符合下列情形之一的，评标委员会成员人数应当为7人以上单数：</w:t>
      </w:r>
    </w:p>
    <w:p>
      <w:pPr>
        <w:wordWrap w:val="0"/>
        <w:ind w:firstLine="480" w:firstLineChars="200"/>
      </w:pPr>
      <w:r>
        <w:rPr>
          <w:rFonts w:hint="eastAsia"/>
        </w:rPr>
        <w:t>（一）采购预算金额在1000万元以上；</w:t>
      </w:r>
    </w:p>
    <w:p>
      <w:pPr>
        <w:wordWrap w:val="0"/>
        <w:ind w:firstLine="480" w:firstLineChars="200"/>
      </w:pPr>
      <w:r>
        <w:rPr>
          <w:rFonts w:hint="eastAsia"/>
        </w:rPr>
        <w:t>（二）技术复杂；</w:t>
      </w:r>
    </w:p>
    <w:p>
      <w:pPr>
        <w:wordWrap w:val="0"/>
        <w:ind w:firstLine="480" w:firstLineChars="200"/>
      </w:pPr>
      <w:r>
        <w:rPr>
          <w:rFonts w:hint="eastAsia"/>
        </w:rPr>
        <w:t>（三）社会影响较大。</w:t>
      </w:r>
    </w:p>
    <w:p>
      <w:pPr>
        <w:wordWrap w:val="0"/>
        <w:ind w:firstLine="480" w:firstLineChars="200"/>
      </w:pPr>
      <w:r>
        <w:rPr>
          <w:rFonts w:hint="eastAsia"/>
        </w:rPr>
        <w:t>26.2评审专家对本单位的采购项目只能作为采购人代表参与评标。采购代理机构工作人员不得参加由本机构代理的政府采购项目的评标。</w:t>
      </w:r>
    </w:p>
    <w:p>
      <w:pPr>
        <w:wordWrap w:val="0"/>
        <w:ind w:firstLine="480" w:firstLineChars="200"/>
      </w:pPr>
      <w:r>
        <w:rPr>
          <w:rFonts w:hint="eastAsia"/>
        </w:rPr>
        <w:t>26.3评审专家与投标人存在下列利害关系之一的,应当回避：</w:t>
      </w:r>
    </w:p>
    <w:p>
      <w:pPr>
        <w:wordWrap w:val="0"/>
        <w:ind w:firstLine="480" w:firstLineChars="200"/>
      </w:pPr>
      <w:r>
        <w:rPr>
          <w:rFonts w:hint="eastAsia"/>
        </w:rPr>
        <w:t>（一）参加采购活动前三年内,与供应商存在劳动关系,或者担任过供应商的董事、监事,或者是供应商的控股股东或实际控制人；</w:t>
      </w:r>
    </w:p>
    <w:p>
      <w:pPr>
        <w:wordWrap w:val="0"/>
        <w:ind w:firstLine="480" w:firstLineChars="200"/>
      </w:pPr>
      <w:r>
        <w:rPr>
          <w:rFonts w:hint="eastAsia"/>
        </w:rPr>
        <w:t>（二）与供应商的法定代表人或者负责人有夫妻、直系血亲、三代以内旁系血亲或者近姻亲关系；</w:t>
      </w:r>
    </w:p>
    <w:p>
      <w:pPr>
        <w:wordWrap w:val="0"/>
        <w:ind w:firstLine="480" w:firstLineChars="200"/>
      </w:pPr>
      <w:r>
        <w:rPr>
          <w:rFonts w:hint="eastAsia"/>
        </w:rPr>
        <w:t>（三）与供应商有其他可能影响政府采购活动公平、公正进行的关系。</w:t>
      </w:r>
    </w:p>
    <w:p>
      <w:pPr>
        <w:wordWrap w:val="0"/>
        <w:ind w:firstLine="480" w:firstLineChars="200"/>
      </w:pPr>
      <w:r>
        <w:rPr>
          <w:rFonts w:hint="eastAsia"/>
        </w:rPr>
        <w:t>26.4评审专家发现本人与参加采购活动的供应商有利害关系的,应当主动提出回避。采购人或者代理机构发现评审专家与参加采购活动的供应商有利害关系的,应当要求其回避。</w:t>
      </w:r>
    </w:p>
    <w:p>
      <w:pPr>
        <w:wordWrap w:val="0"/>
        <w:ind w:firstLine="480" w:firstLineChars="200"/>
      </w:pPr>
      <w:r>
        <w:rPr>
          <w:rFonts w:hint="eastAsia"/>
        </w:rPr>
        <w:t>26.5采购人不得担任评标小组长。</w:t>
      </w:r>
    </w:p>
    <w:p>
      <w:pPr>
        <w:wordWrap w:val="0"/>
        <w:ind w:firstLine="480" w:firstLineChars="200"/>
      </w:pPr>
      <w:r>
        <w:rPr>
          <w:rFonts w:hint="eastAsia"/>
        </w:rPr>
        <w:t>26.6采购人可以在评标前说明项目背景和采购需求，说明内容不得含有歧视性、倾向性意见，不得超出招标文件所述范围。说明应当提交书面材料，并随采购文件一并存档。</w:t>
      </w:r>
    </w:p>
    <w:p>
      <w:pPr>
        <w:wordWrap w:val="0"/>
        <w:ind w:firstLine="480" w:firstLineChars="200"/>
      </w:pPr>
      <w:r>
        <w:rPr>
          <w:rFonts w:hint="eastAsia"/>
        </w:rPr>
        <w:t>26.7评标委员会成员名单在评标结果公告前应当保密。</w:t>
      </w:r>
    </w:p>
    <w:p>
      <w:pPr>
        <w:wordWrap w:val="0"/>
        <w:ind w:firstLine="482" w:firstLineChars="200"/>
        <w:rPr>
          <w:b/>
          <w:bCs/>
        </w:rPr>
      </w:pPr>
      <w:r>
        <w:rPr>
          <w:rFonts w:hint="eastAsia"/>
          <w:b/>
          <w:bCs/>
        </w:rPr>
        <w:t>27.符合性审查</w:t>
      </w:r>
    </w:p>
    <w:p>
      <w:pPr>
        <w:wordWrap w:val="0"/>
        <w:ind w:firstLine="480" w:firstLineChars="200"/>
      </w:pPr>
      <w:r>
        <w:rPr>
          <w:rFonts w:hint="eastAsia"/>
        </w:rPr>
        <w:t>27.1评标委员会依据有关法律法规和招标文件的规定，对符合资格的投标人的投标文件进行符合性审查，以确定其是否满足招标文件的实质性要求。</w:t>
      </w:r>
    </w:p>
    <w:p>
      <w:pPr>
        <w:wordWrap w:val="0"/>
        <w:ind w:firstLine="480" w:firstLineChars="200"/>
      </w:pPr>
      <w:r>
        <w:rPr>
          <w:rFonts w:hint="eastAsia"/>
        </w:rPr>
        <w:t>27.2审查、评价投标文件是否符合招标文件的商务、技术等实质性要求。</w:t>
      </w:r>
    </w:p>
    <w:p>
      <w:pPr>
        <w:wordWrap w:val="0"/>
        <w:ind w:firstLine="480" w:firstLineChars="200"/>
      </w:pPr>
      <w:r>
        <w:rPr>
          <w:rFonts w:hint="eastAsia"/>
        </w:rPr>
        <w:t>27.3可要求投标人对投标文件有关事项作出澄清或者说明。</w:t>
      </w:r>
    </w:p>
    <w:p>
      <w:pPr>
        <w:wordWrap w:val="0"/>
        <w:ind w:firstLine="482" w:firstLineChars="200"/>
        <w:rPr>
          <w:b/>
          <w:bCs/>
        </w:rPr>
      </w:pPr>
      <w:r>
        <w:rPr>
          <w:rFonts w:hint="eastAsia"/>
          <w:b/>
          <w:bCs/>
        </w:rPr>
        <w:t>28.投标文件的澄清</w:t>
      </w:r>
    </w:p>
    <w:p>
      <w:pPr>
        <w:wordWrap w:val="0"/>
        <w:ind w:firstLine="480" w:firstLineChars="200"/>
      </w:pPr>
      <w:r>
        <w:rPr>
          <w:rFonts w:hint="eastAsia"/>
        </w:rPr>
        <w:t>28.1对于投标文件中含义不明确、同类问题表述不一致或者有明显文字和计算错误的内容，评标委员会应当以书面形式要求投标人作出必要的澄清、说明或者补正。</w:t>
      </w:r>
    </w:p>
    <w:p>
      <w:pPr>
        <w:wordWrap w:val="0"/>
        <w:ind w:firstLine="480" w:firstLineChars="200"/>
      </w:pPr>
      <w:r>
        <w:rPr>
          <w:rFonts w:hint="eastAsia"/>
        </w:rPr>
        <w:t>28.2投标人的澄清、说明或者补正应当采用书面形式，并加盖公章，或者由法定代表人或其授权的代表签字。投标人的澄清、说明或者补正不得超出投标文件的范围或者改变投标文件的实质性内容。</w:t>
      </w:r>
    </w:p>
    <w:p>
      <w:pPr>
        <w:wordWrap w:val="0"/>
        <w:ind w:firstLine="480" w:firstLineChars="200"/>
      </w:pPr>
      <w:r>
        <w:rPr>
          <w:rFonts w:hint="eastAsia"/>
        </w:rPr>
        <w:t>28.3投标人的澄清文件是其投标文件的组成部分。</w:t>
      </w:r>
    </w:p>
    <w:p>
      <w:pPr>
        <w:wordWrap w:val="0"/>
        <w:ind w:firstLine="482" w:firstLineChars="200"/>
        <w:rPr>
          <w:b/>
          <w:bCs/>
        </w:rPr>
      </w:pPr>
      <w:r>
        <w:rPr>
          <w:rFonts w:hint="eastAsia"/>
          <w:b/>
          <w:bCs/>
        </w:rPr>
        <w:t>29.投标文件报价出现前后不一致的修正</w:t>
      </w:r>
    </w:p>
    <w:p>
      <w:pPr>
        <w:wordWrap w:val="0"/>
        <w:ind w:firstLine="480" w:firstLineChars="200"/>
      </w:pPr>
      <w:r>
        <w:rPr>
          <w:rFonts w:hint="eastAsia"/>
        </w:rPr>
        <w:t>29.1投标文件中开标一览表（报价表）内容与投标文件中相应内容不一致的，以开标一览表（报价表）为准；</w:t>
      </w:r>
    </w:p>
    <w:p>
      <w:pPr>
        <w:wordWrap w:val="0"/>
        <w:ind w:firstLine="480" w:firstLineChars="200"/>
      </w:pPr>
      <w:r>
        <w:rPr>
          <w:rFonts w:hint="eastAsia"/>
        </w:rPr>
        <w:t>29.2大写金额和小写金额不一致的，以大写金额为准；</w:t>
      </w:r>
    </w:p>
    <w:p>
      <w:pPr>
        <w:wordWrap w:val="0"/>
        <w:ind w:firstLine="480" w:firstLineChars="200"/>
      </w:pPr>
      <w:r>
        <w:rPr>
          <w:rFonts w:hint="eastAsia"/>
        </w:rPr>
        <w:t>29.3单价金额小数点或者百分比有明显错位的，以开标一览表的总价为准，并修改单价；</w:t>
      </w:r>
    </w:p>
    <w:p>
      <w:pPr>
        <w:wordWrap w:val="0"/>
        <w:ind w:firstLine="480" w:firstLineChars="200"/>
      </w:pPr>
      <w:r>
        <w:rPr>
          <w:rFonts w:hint="eastAsia"/>
        </w:rPr>
        <w:t>29.4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pPr>
        <w:wordWrap w:val="0"/>
        <w:ind w:firstLine="482" w:firstLineChars="200"/>
        <w:rPr>
          <w:b/>
          <w:bCs/>
        </w:rPr>
      </w:pPr>
      <w:r>
        <w:rPr>
          <w:rFonts w:hint="eastAsia"/>
          <w:b/>
          <w:bCs/>
        </w:rPr>
        <w:t>30.投标无效情形</w:t>
      </w:r>
    </w:p>
    <w:p>
      <w:pPr>
        <w:wordWrap w:val="0"/>
        <w:ind w:firstLine="480" w:firstLineChars="200"/>
      </w:pPr>
      <w:r>
        <w:rPr>
          <w:rFonts w:hint="eastAsia"/>
        </w:rPr>
        <w:t>30.1投标文件属下列情况之一的，按照无效投标处理：</w:t>
      </w:r>
    </w:p>
    <w:p>
      <w:pPr>
        <w:wordWrap w:val="0"/>
        <w:ind w:firstLine="480" w:firstLineChars="200"/>
      </w:pPr>
      <w:r>
        <w:rPr>
          <w:rFonts w:hint="eastAsia"/>
        </w:rPr>
        <w:t xml:space="preserve">30.1.1未按照招标文件的规定提交投标承诺函的； </w:t>
      </w:r>
    </w:p>
    <w:p>
      <w:pPr>
        <w:wordWrap w:val="0"/>
        <w:ind w:firstLine="480" w:firstLineChars="200"/>
      </w:pPr>
      <w:r>
        <w:rPr>
          <w:rFonts w:hint="eastAsia"/>
        </w:rPr>
        <w:t>30.1.2投标文件未按招标文件要求签署、盖章的；</w:t>
      </w:r>
    </w:p>
    <w:p>
      <w:pPr>
        <w:wordWrap w:val="0"/>
        <w:ind w:firstLine="480" w:firstLineChars="200"/>
      </w:pPr>
      <w:r>
        <w:rPr>
          <w:rFonts w:hint="eastAsia"/>
        </w:rPr>
        <w:t>30.1.3不具备招标文件中规定的资格要求的；</w:t>
      </w:r>
    </w:p>
    <w:p>
      <w:pPr>
        <w:wordWrap w:val="0"/>
        <w:ind w:firstLine="480" w:firstLineChars="200"/>
      </w:pPr>
      <w:r>
        <w:rPr>
          <w:rFonts w:hint="eastAsia"/>
        </w:rPr>
        <w:t>30.1.4报价超过招标文件中规定的预算金额或者最高限价的；</w:t>
      </w:r>
    </w:p>
    <w:p>
      <w:pPr>
        <w:wordWrap w:val="0"/>
        <w:ind w:firstLine="480" w:firstLineChars="200"/>
      </w:pPr>
      <w:r>
        <w:rPr>
          <w:rFonts w:hint="eastAsia"/>
        </w:rPr>
        <w:t>30.1.5投标文件含有采购人不能接受的附加条件的。</w:t>
      </w:r>
    </w:p>
    <w:p>
      <w:pPr>
        <w:wordWrap w:val="0"/>
        <w:ind w:firstLine="480" w:firstLineChars="200"/>
      </w:pPr>
      <w:r>
        <w:rPr>
          <w:rFonts w:hint="eastAsia"/>
        </w:rPr>
        <w:t>30.2有下列情形之一的，视为投标人串通投标，其投标无效：</w:t>
      </w:r>
    </w:p>
    <w:p>
      <w:pPr>
        <w:wordWrap w:val="0"/>
        <w:ind w:firstLine="480" w:firstLineChars="200"/>
      </w:pPr>
      <w:r>
        <w:rPr>
          <w:rFonts w:hint="eastAsia"/>
        </w:rPr>
        <w:t>30.2.1不同投标人的投标文件由同一单位或者个人编制；</w:t>
      </w:r>
    </w:p>
    <w:p>
      <w:pPr>
        <w:wordWrap w:val="0"/>
        <w:ind w:firstLine="480" w:firstLineChars="200"/>
      </w:pPr>
      <w:r>
        <w:rPr>
          <w:rFonts w:hint="eastAsia"/>
        </w:rPr>
        <w:t>30.2.2不同投标人委托同一单位或者个人办理投标事宜；</w:t>
      </w:r>
    </w:p>
    <w:p>
      <w:pPr>
        <w:wordWrap w:val="0"/>
        <w:ind w:firstLine="480" w:firstLineChars="200"/>
      </w:pPr>
      <w:r>
        <w:rPr>
          <w:rFonts w:hint="eastAsia"/>
        </w:rPr>
        <w:t>30.2.3不同投标人的投标文件载明的项目管理成员或者联系人员为同一人；</w:t>
      </w:r>
    </w:p>
    <w:p>
      <w:pPr>
        <w:wordWrap w:val="0"/>
        <w:ind w:firstLine="480" w:firstLineChars="200"/>
      </w:pPr>
      <w:r>
        <w:rPr>
          <w:rFonts w:hint="eastAsia"/>
        </w:rPr>
        <w:t>30.2.4不同投标人的投标文件异常一致或者投标报价呈规律性差异；</w:t>
      </w:r>
    </w:p>
    <w:p>
      <w:pPr>
        <w:wordWrap w:val="0"/>
        <w:ind w:firstLine="480" w:firstLineChars="200"/>
      </w:pPr>
      <w:r>
        <w:rPr>
          <w:rFonts w:hint="eastAsia"/>
        </w:rPr>
        <w:t>30.2.5不同投标人的投标文件相互混装；</w:t>
      </w:r>
    </w:p>
    <w:p>
      <w:pPr>
        <w:wordWrap w:val="0"/>
        <w:ind w:firstLine="480" w:firstLineChars="200"/>
      </w:pPr>
      <w:r>
        <w:rPr>
          <w:rFonts w:hint="eastAsia"/>
        </w:rPr>
        <w:t>30.3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wordWrap w:val="0"/>
        <w:ind w:firstLine="480" w:firstLineChars="200"/>
      </w:pPr>
      <w:r>
        <w:rPr>
          <w:rFonts w:hint="eastAsia"/>
        </w:rPr>
        <w:t>（一）提供虚假材料谋取中标、成交的；</w:t>
      </w:r>
    </w:p>
    <w:p>
      <w:pPr>
        <w:wordWrap w:val="0"/>
        <w:ind w:firstLine="480" w:firstLineChars="200"/>
      </w:pPr>
      <w:r>
        <w:rPr>
          <w:rFonts w:hint="eastAsia"/>
        </w:rPr>
        <w:t>（二）采取不正当手段诋毁、排挤其他供应商的；</w:t>
      </w:r>
    </w:p>
    <w:p>
      <w:pPr>
        <w:wordWrap w:val="0"/>
        <w:ind w:firstLine="480" w:firstLineChars="200"/>
      </w:pPr>
      <w:r>
        <w:rPr>
          <w:rFonts w:hint="eastAsia"/>
        </w:rPr>
        <w:t>（三）与采购人、其他供应商或者采购代理机构恶意串通的；</w:t>
      </w:r>
    </w:p>
    <w:p>
      <w:pPr>
        <w:wordWrap w:val="0"/>
        <w:ind w:firstLine="480" w:firstLineChars="200"/>
      </w:pPr>
      <w:r>
        <w:rPr>
          <w:rFonts w:hint="eastAsia"/>
        </w:rPr>
        <w:t>（四）向采购人、采购代理机构行贿或者提供其他不正当利益的；</w:t>
      </w:r>
    </w:p>
    <w:p>
      <w:pPr>
        <w:wordWrap w:val="0"/>
        <w:ind w:firstLine="480" w:firstLineChars="200"/>
      </w:pPr>
      <w:r>
        <w:rPr>
          <w:rFonts w:hint="eastAsia"/>
        </w:rPr>
        <w:t>（五）在招标采购过程中与采购人进行协商谈判的；</w:t>
      </w:r>
    </w:p>
    <w:p>
      <w:pPr>
        <w:wordWrap w:val="0"/>
        <w:ind w:firstLine="480" w:firstLineChars="200"/>
      </w:pPr>
      <w:r>
        <w:rPr>
          <w:rFonts w:hint="eastAsia"/>
        </w:rPr>
        <w:t>（六）拒绝有关部门监督检查或者提供虚假情况的。</w:t>
      </w:r>
    </w:p>
    <w:p>
      <w:pPr>
        <w:wordWrap w:val="0"/>
        <w:ind w:firstLine="480" w:firstLineChars="200"/>
      </w:pPr>
      <w:r>
        <w:rPr>
          <w:rFonts w:hint="eastAsia"/>
        </w:rPr>
        <w:t>投标人有前款第（一）至（五）项情形之一的，中标、成交无效。</w:t>
      </w:r>
    </w:p>
    <w:p>
      <w:pPr>
        <w:wordWrap w:val="0"/>
        <w:ind w:firstLine="480" w:firstLineChars="200"/>
      </w:pPr>
      <w:r>
        <w:rPr>
          <w:rFonts w:hint="eastAsia"/>
        </w:rPr>
        <w:t>30.4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wordWrap w:val="0"/>
        <w:ind w:firstLine="480" w:firstLineChars="200"/>
      </w:pPr>
      <w:r>
        <w:rPr>
          <w:rFonts w:hint="eastAsia"/>
        </w:rPr>
        <w:t>30.5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wordWrap w:val="0"/>
        <w:ind w:firstLine="480" w:firstLineChars="200"/>
      </w:pPr>
      <w:r>
        <w:rPr>
          <w:rFonts w:hint="eastAsia"/>
        </w:rPr>
        <w:t>30.6按照《关于推进全流程电子化交易和在线监管工作有关问题的通知》（许公管办[2019]3号）规定，不同投标人电子投标文件制作硬件特征码（网卡MAC地址、CPU序号、硬盘序列号）均一致时，视为‘不同投标人的投标文件由同一单位或者个人编制’或‘不同投标人委托同一单位或者个人办理响应事宜’，其投标无效。</w:t>
      </w:r>
    </w:p>
    <w:p>
      <w:pPr>
        <w:wordWrap w:val="0"/>
        <w:ind w:firstLine="480" w:firstLineChars="200"/>
      </w:pPr>
      <w:r>
        <w:rPr>
          <w:rFonts w:hint="eastAsia"/>
        </w:rPr>
        <w:t>30.7法律、法规和招标文件规定的其他无效情形。</w:t>
      </w:r>
    </w:p>
    <w:p>
      <w:pPr>
        <w:wordWrap w:val="0"/>
        <w:ind w:firstLine="482" w:firstLineChars="200"/>
        <w:rPr>
          <w:b/>
          <w:bCs/>
        </w:rPr>
      </w:pPr>
      <w:r>
        <w:rPr>
          <w:rFonts w:hint="eastAsia"/>
          <w:b/>
          <w:bCs/>
        </w:rPr>
        <w:t>31.相同品牌投标人的认定（服务类项目不适用本条款规定）</w:t>
      </w:r>
    </w:p>
    <w:p>
      <w:pPr>
        <w:wordWrap w:val="0"/>
        <w:ind w:firstLine="480" w:firstLineChars="200"/>
      </w:pPr>
      <w:r>
        <w:rPr>
          <w:rFonts w:hint="eastAsia"/>
        </w:rPr>
        <w:t>31.1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wordWrap w:val="0"/>
        <w:ind w:firstLine="480" w:firstLineChars="200"/>
      </w:pPr>
      <w:r>
        <w:rPr>
          <w:rFonts w:hint="eastAsia"/>
        </w:rPr>
        <w:t>31.2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wordWrap w:val="0"/>
        <w:ind w:firstLine="482" w:firstLineChars="200"/>
        <w:rPr>
          <w:b/>
          <w:bCs/>
        </w:rPr>
      </w:pPr>
      <w:r>
        <w:rPr>
          <w:rFonts w:hint="eastAsia"/>
          <w:b/>
          <w:bCs/>
        </w:rPr>
        <w:t>32.投标文件的比较与评价</w:t>
      </w:r>
    </w:p>
    <w:p>
      <w:pPr>
        <w:wordWrap w:val="0"/>
        <w:ind w:firstLine="480" w:firstLineChars="200"/>
      </w:pPr>
      <w:r>
        <w:rPr>
          <w:rFonts w:hint="eastAsia"/>
        </w:rPr>
        <w:t>评标委员会按照招标文件中规定的评标方法和标准，对符合性审查合格的投标文件进行商务和技术评估，综合比较与评价。</w:t>
      </w:r>
    </w:p>
    <w:p>
      <w:pPr>
        <w:wordWrap w:val="0"/>
        <w:ind w:firstLine="482" w:firstLineChars="200"/>
        <w:rPr>
          <w:b/>
          <w:bCs/>
        </w:rPr>
      </w:pPr>
      <w:r>
        <w:rPr>
          <w:rFonts w:hint="eastAsia"/>
          <w:b/>
          <w:bCs/>
        </w:rPr>
        <w:t>33.评标方法、评标标准</w:t>
      </w:r>
    </w:p>
    <w:p>
      <w:pPr>
        <w:wordWrap w:val="0"/>
        <w:ind w:firstLine="480" w:firstLineChars="200"/>
      </w:pPr>
      <w:r>
        <w:rPr>
          <w:rFonts w:hint="eastAsia"/>
        </w:rPr>
        <w:t>33.1评标方法分为最低评标价法和综合评分法。</w:t>
      </w:r>
    </w:p>
    <w:p>
      <w:pPr>
        <w:wordWrap w:val="0"/>
        <w:ind w:firstLine="480" w:firstLineChars="200"/>
      </w:pPr>
      <w:r>
        <w:rPr>
          <w:rFonts w:hint="eastAsia"/>
        </w:rPr>
        <w:t>33.1.1最低评标价法</w:t>
      </w:r>
    </w:p>
    <w:p>
      <w:pPr>
        <w:wordWrap w:val="0"/>
        <w:ind w:firstLine="480" w:firstLineChars="200"/>
      </w:pPr>
      <w:r>
        <w:rPr>
          <w:rFonts w:hint="eastAsia"/>
        </w:rPr>
        <w:t>33.1.1.1最低评标价法，是指投标文件满足招标文件全部实质性要求，且投标报价最低的投标人为中标候选人的评标方法。</w:t>
      </w:r>
    </w:p>
    <w:p>
      <w:pPr>
        <w:wordWrap w:val="0"/>
        <w:ind w:firstLine="480" w:firstLineChars="200"/>
      </w:pPr>
      <w:r>
        <w:rPr>
          <w:rFonts w:hint="eastAsia"/>
        </w:rPr>
        <w:t>33.1.1.2采用最低评标价法评标时，除了算术修正和落实政府采购政策需进行的价格扣除外，不能对投标人的投标价格进行任何调整。</w:t>
      </w:r>
    </w:p>
    <w:p>
      <w:pPr>
        <w:wordWrap w:val="0"/>
        <w:ind w:firstLine="480" w:firstLineChars="200"/>
      </w:pPr>
      <w:r>
        <w:rPr>
          <w:rFonts w:hint="eastAsia"/>
        </w:rPr>
        <w:t>33.1.2综合评分法，是指投标文件满足招标文件全部实质性要求，且按照评审因素的量化指标评审得分最高的投标人为中标候选人的评标方法。</w:t>
      </w:r>
    </w:p>
    <w:p>
      <w:pPr>
        <w:wordWrap w:val="0"/>
        <w:ind w:firstLine="480" w:firstLineChars="200"/>
      </w:pPr>
      <w:r>
        <w:rPr>
          <w:rFonts w:hint="eastAsia"/>
        </w:rPr>
        <w:t>33.2价格分</w:t>
      </w:r>
    </w:p>
    <w:p>
      <w:pPr>
        <w:wordWrap w:val="0"/>
        <w:ind w:firstLine="480" w:firstLineChars="200"/>
      </w:pPr>
      <w:r>
        <w:rPr>
          <w:rFonts w:hint="eastAsia"/>
        </w:rPr>
        <w:t>33.2.1价格分采用低价优先法计算，即满足招标文件要求且投标价格最低的投标报价为评标基准价，其价格分为满分。其他投标人的价格分统一按照下列公式计算：</w:t>
      </w:r>
    </w:p>
    <w:p>
      <w:pPr>
        <w:wordWrap w:val="0"/>
        <w:ind w:firstLine="480" w:firstLineChars="200"/>
      </w:pPr>
      <w:r>
        <w:rPr>
          <w:rFonts w:hint="eastAsia"/>
        </w:rPr>
        <w:t>投标报价得分=（评标基准价/投标报价）×100</w:t>
      </w:r>
    </w:p>
    <w:p>
      <w:pPr>
        <w:wordWrap w:val="0"/>
        <w:ind w:firstLine="480" w:firstLineChars="200"/>
      </w:pPr>
      <w:r>
        <w:rPr>
          <w:rFonts w:hint="eastAsia"/>
        </w:rPr>
        <w:t>评标总得分=F1×A1+F2×A2+……+Fn×An</w:t>
      </w:r>
    </w:p>
    <w:p>
      <w:pPr>
        <w:wordWrap w:val="0"/>
        <w:ind w:firstLine="480" w:firstLineChars="200"/>
      </w:pPr>
      <w:r>
        <w:rPr>
          <w:rFonts w:hint="eastAsia"/>
        </w:rPr>
        <w:t>F1、F2……Fn分别为各项评审因素的得分;</w:t>
      </w:r>
    </w:p>
    <w:p>
      <w:pPr>
        <w:wordWrap w:val="0"/>
        <w:ind w:firstLine="480" w:firstLineChars="200"/>
      </w:pPr>
      <w:r>
        <w:rPr>
          <w:rFonts w:hint="eastAsia"/>
        </w:rPr>
        <w:t>A1、A2、……An 分别为各项评审因素所占的权重（A1+A2+……+An=1）。</w:t>
      </w:r>
    </w:p>
    <w:p>
      <w:pPr>
        <w:wordWrap w:val="0"/>
        <w:ind w:firstLine="480" w:firstLineChars="200"/>
      </w:pPr>
      <w:r>
        <w:rPr>
          <w:rFonts w:hint="eastAsia"/>
        </w:rPr>
        <w:t>33.2.2评标过程中，不得去掉报价中的最高报价和最低报价。</w:t>
      </w:r>
    </w:p>
    <w:p>
      <w:pPr>
        <w:wordWrap w:val="0"/>
        <w:ind w:firstLine="480" w:firstLineChars="200"/>
      </w:pPr>
      <w:r>
        <w:rPr>
          <w:rFonts w:hint="eastAsia"/>
        </w:rPr>
        <w:t>33.2.3因落实政府采购政策进行价格调整的，以调整后的价格计算评标基准价和投标报价。</w:t>
      </w:r>
    </w:p>
    <w:p>
      <w:pPr>
        <w:wordWrap w:val="0"/>
        <w:ind w:firstLine="480" w:firstLineChars="200"/>
      </w:pPr>
      <w:r>
        <w:rPr>
          <w:rFonts w:hint="eastAsia"/>
        </w:rPr>
        <w:t>33.3本次评标具体评标方法、评标标准见（第六章 资格审查与评标）。</w:t>
      </w:r>
    </w:p>
    <w:p>
      <w:pPr>
        <w:wordWrap w:val="0"/>
        <w:ind w:firstLine="482" w:firstLineChars="200"/>
        <w:rPr>
          <w:b/>
          <w:bCs/>
        </w:rPr>
      </w:pPr>
      <w:r>
        <w:rPr>
          <w:rFonts w:hint="eastAsia"/>
          <w:b/>
          <w:bCs/>
        </w:rPr>
        <w:t>34.推荐中标候选人</w:t>
      </w:r>
    </w:p>
    <w:p>
      <w:pPr>
        <w:wordWrap w:val="0"/>
        <w:ind w:firstLine="480" w:firstLineChars="200"/>
      </w:pPr>
      <w:r>
        <w:rPr>
          <w:rFonts w:hint="eastAsia"/>
        </w:rPr>
        <w:t>34.1采用最低评标价法的，评标结果按投标报价由低到高顺序排列。投标报价相同的并列。投标文件满足招标文件全部实质性要求且投标报价最低的投标人为排名第一的中标候选人。</w:t>
      </w:r>
    </w:p>
    <w:p>
      <w:pPr>
        <w:wordWrap w:val="0"/>
        <w:ind w:firstLine="480" w:firstLineChars="200"/>
      </w:pPr>
      <w:r>
        <w:rPr>
          <w:rFonts w:hint="eastAsia"/>
        </w:rPr>
        <w:t>34.2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wordWrap w:val="0"/>
        <w:ind w:firstLine="482" w:firstLineChars="200"/>
        <w:rPr>
          <w:b/>
          <w:bCs/>
        </w:rPr>
      </w:pPr>
      <w:r>
        <w:rPr>
          <w:rFonts w:hint="eastAsia"/>
          <w:b/>
          <w:bCs/>
        </w:rPr>
        <w:t>35.评审意见无效情形</w:t>
      </w:r>
    </w:p>
    <w:p>
      <w:pPr>
        <w:wordWrap w:val="0"/>
        <w:ind w:firstLine="480" w:firstLineChars="200"/>
      </w:pPr>
      <w:r>
        <w:rPr>
          <w:rFonts w:hint="eastAsia"/>
        </w:rPr>
        <w:t>评标委员会及其成员有下列行为之一的，其评审意见无效：</w:t>
      </w:r>
    </w:p>
    <w:p>
      <w:pPr>
        <w:wordWrap w:val="0"/>
        <w:ind w:firstLine="480" w:firstLineChars="200"/>
      </w:pPr>
      <w:r>
        <w:rPr>
          <w:rFonts w:hint="eastAsia"/>
        </w:rPr>
        <w:t>35.1确定参与评标至评标结束前私自接触投标人；</w:t>
      </w:r>
    </w:p>
    <w:p>
      <w:pPr>
        <w:wordWrap w:val="0"/>
        <w:ind w:firstLine="480" w:firstLineChars="200"/>
      </w:pPr>
      <w:r>
        <w:rPr>
          <w:rFonts w:hint="eastAsia"/>
        </w:rPr>
        <w:t>35.2接受投标人提出的与投标文件不一致的澄清或者说明，《投标人须知》26条规定的情形除外；</w:t>
      </w:r>
    </w:p>
    <w:p>
      <w:pPr>
        <w:wordWrap w:val="0"/>
        <w:ind w:firstLine="480" w:firstLineChars="200"/>
      </w:pPr>
      <w:r>
        <w:rPr>
          <w:rFonts w:hint="eastAsia"/>
        </w:rPr>
        <w:t>35.3违反评标纪律发表倾向性意见或者征询采购人的倾向性意见；</w:t>
      </w:r>
    </w:p>
    <w:p>
      <w:pPr>
        <w:wordWrap w:val="0"/>
        <w:ind w:firstLine="480" w:firstLineChars="200"/>
      </w:pPr>
      <w:r>
        <w:rPr>
          <w:rFonts w:hint="eastAsia"/>
        </w:rPr>
        <w:t>35.4对需要专业判断的主观评审因素协商评分；</w:t>
      </w:r>
    </w:p>
    <w:p>
      <w:pPr>
        <w:wordWrap w:val="0"/>
        <w:ind w:firstLine="480" w:firstLineChars="200"/>
      </w:pPr>
      <w:r>
        <w:rPr>
          <w:rFonts w:hint="eastAsia"/>
        </w:rPr>
        <w:t>35.5在评标过程中擅离职守，影响评标程序正常进行的；</w:t>
      </w:r>
    </w:p>
    <w:p>
      <w:pPr>
        <w:wordWrap w:val="0"/>
        <w:ind w:firstLine="480" w:firstLineChars="200"/>
      </w:pPr>
      <w:r>
        <w:rPr>
          <w:rFonts w:hint="eastAsia"/>
        </w:rPr>
        <w:t>35.6记录、复制或者带走任何评标资料；</w:t>
      </w:r>
    </w:p>
    <w:p>
      <w:pPr>
        <w:wordWrap w:val="0"/>
        <w:ind w:firstLine="480" w:firstLineChars="200"/>
      </w:pPr>
      <w:r>
        <w:rPr>
          <w:rFonts w:hint="eastAsia"/>
        </w:rPr>
        <w:t>35.7其他不遵守评标纪律的行为。</w:t>
      </w:r>
    </w:p>
    <w:p>
      <w:pPr>
        <w:wordWrap w:val="0"/>
        <w:ind w:firstLine="482" w:firstLineChars="200"/>
        <w:rPr>
          <w:b/>
          <w:bCs/>
        </w:rPr>
      </w:pPr>
      <w:r>
        <w:rPr>
          <w:rFonts w:hint="eastAsia"/>
          <w:b/>
          <w:bCs/>
        </w:rPr>
        <w:t>36.保密</w:t>
      </w:r>
    </w:p>
    <w:p>
      <w:pPr>
        <w:wordWrap w:val="0"/>
        <w:ind w:firstLine="480" w:firstLineChars="200"/>
      </w:pPr>
      <w:r>
        <w:rPr>
          <w:rFonts w:hint="eastAsia"/>
        </w:rPr>
        <w:t>36.1评审专家应当遵守评审工作纪律，不得泄露评审文件、评审情况和评审中获悉的商业秘密。</w:t>
      </w:r>
    </w:p>
    <w:p>
      <w:pPr>
        <w:wordWrap w:val="0"/>
        <w:ind w:firstLine="480" w:firstLineChars="200"/>
      </w:pPr>
      <w:r>
        <w:rPr>
          <w:rFonts w:hint="eastAsia"/>
        </w:rPr>
        <w:t>36.2采购人、采购代理机构应当采取必要措施，保证评标在严格保密的情况下进行。有关人员对评标情况以及在评标过程中获悉的国家秘密、商业秘密负有保密责任。</w:t>
      </w:r>
    </w:p>
    <w:p>
      <w:pPr>
        <w:pStyle w:val="6"/>
        <w:wordWrap w:val="0"/>
      </w:pPr>
      <w:r>
        <w:rPr>
          <w:rFonts w:hint="eastAsia"/>
        </w:rPr>
        <w:t>六、定标和授予合同</w:t>
      </w:r>
    </w:p>
    <w:p>
      <w:pPr>
        <w:wordWrap w:val="0"/>
        <w:ind w:firstLine="482" w:firstLineChars="200"/>
        <w:rPr>
          <w:b/>
          <w:bCs/>
        </w:rPr>
      </w:pPr>
      <w:r>
        <w:rPr>
          <w:rFonts w:hint="eastAsia"/>
          <w:b/>
          <w:bCs/>
        </w:rPr>
        <w:t>37.确定中标人</w:t>
      </w:r>
    </w:p>
    <w:p>
      <w:pPr>
        <w:wordWrap w:val="0"/>
        <w:ind w:firstLine="480" w:firstLineChars="200"/>
      </w:pPr>
      <w:r>
        <w:rPr>
          <w:rFonts w:hint="eastAsia"/>
        </w:rPr>
        <w:t>37.1采购人应当自收到评标报告之日起5个工作日内，在评标报告确定的中标候选人名单中按顺序确定中标人。中标候选人并列的，由采购人采取随机抽取的方式确定。</w:t>
      </w:r>
    </w:p>
    <w:p>
      <w:pPr>
        <w:wordWrap w:val="0"/>
        <w:ind w:firstLine="480" w:firstLineChars="200"/>
      </w:pPr>
      <w:r>
        <w:rPr>
          <w:rFonts w:hint="eastAsia"/>
        </w:rPr>
        <w:t>37.2采购人在收到评标报告5个工作日内未按评标报告推荐的中标候选人顺序确定中标人，又不能说明合法理由的，视同按评标报告推荐的顺序确定排名第一的中标候选人为中标人。</w:t>
      </w:r>
    </w:p>
    <w:p>
      <w:pPr>
        <w:wordWrap w:val="0"/>
        <w:ind w:firstLine="482" w:firstLineChars="200"/>
        <w:rPr>
          <w:b/>
          <w:bCs/>
        </w:rPr>
      </w:pPr>
      <w:r>
        <w:rPr>
          <w:rFonts w:hint="eastAsia"/>
          <w:b/>
          <w:bCs/>
        </w:rPr>
        <w:t>38.中标公告、发出中标通知书</w:t>
      </w:r>
    </w:p>
    <w:p>
      <w:pPr>
        <w:wordWrap w:val="0"/>
        <w:ind w:firstLine="480" w:firstLineChars="200"/>
      </w:pPr>
      <w:r>
        <w:rPr>
          <w:rFonts w:hint="eastAsia"/>
        </w:rPr>
        <w:t>38.1采购人确认中标人后，招标人在公告中标结果的同时，向中标人发出中标通知书。</w:t>
      </w:r>
    </w:p>
    <w:p>
      <w:pPr>
        <w:wordWrap w:val="0"/>
        <w:ind w:firstLine="480" w:firstLineChars="200"/>
      </w:pPr>
      <w:r>
        <w:rPr>
          <w:rFonts w:hint="eastAsia"/>
        </w:rPr>
        <w:t>38.2中标通知书发出后，采购人不得违法改变中标结果，中标人无正当理由不得放弃中标。</w:t>
      </w:r>
    </w:p>
    <w:p>
      <w:pPr>
        <w:wordWrap w:val="0"/>
        <w:ind w:firstLine="480" w:firstLineChars="200"/>
      </w:pPr>
      <w:r>
        <w:rPr>
          <w:rFonts w:hint="eastAsia"/>
        </w:rPr>
        <w:t>38.3中标人在接到中标通知时，须向代理机构发送投标报价及分项报价一览表（包含主要中标标的的名称、规格型号、数量、单价、服务要求等）电子文档，并同时通知代理机构联系人。</w:t>
      </w:r>
    </w:p>
    <w:p>
      <w:pPr>
        <w:wordWrap w:val="0"/>
        <w:ind w:firstLine="482" w:firstLineChars="200"/>
        <w:rPr>
          <w:b/>
          <w:bCs/>
        </w:rPr>
      </w:pPr>
      <w:r>
        <w:rPr>
          <w:rFonts w:hint="eastAsia"/>
          <w:b/>
          <w:bCs/>
        </w:rPr>
        <w:t>39.质疑提出与答复</w:t>
      </w:r>
    </w:p>
    <w:p>
      <w:pPr>
        <w:wordWrap w:val="0"/>
        <w:ind w:firstLine="480" w:firstLineChars="200"/>
      </w:pPr>
      <w:r>
        <w:rPr>
          <w:rFonts w:hint="eastAsia"/>
        </w:rPr>
        <w:t>39.1供应商认为采购文件、采购过程和中标结果使自己的权益受到损害的，可以按照财政部94号令提出质疑。提出质疑的供应商应当是参与本项目采购活动的供应商。</w:t>
      </w:r>
    </w:p>
    <w:p>
      <w:pPr>
        <w:wordWrap w:val="0"/>
        <w:ind w:firstLine="480" w:firstLineChars="200"/>
      </w:pPr>
      <w:r>
        <w:rPr>
          <w:rFonts w:hint="eastAsia"/>
        </w:rPr>
        <w:t>39.1.1对采购文件提出质疑的，潜在投标人应已依法获取采购文件，且应当在获取采购文件或者采购文件公告期限届满之日起7个工作日内通过《全国公共资源交易平台（河南省·许昌市）》一次性提出，提出时应按照《政府采购质疑和投诉办法》（财政部令第94号）第十二条规定提交质疑函和必要的证明材料，质疑提出后潜在投标人应及时联系招标公告中招标代理机构和采购人联系人查看。如未提出视为全面接受；；</w:t>
      </w:r>
    </w:p>
    <w:p>
      <w:pPr>
        <w:wordWrap w:val="0"/>
        <w:ind w:firstLine="480" w:firstLineChars="200"/>
      </w:pPr>
      <w:r>
        <w:rPr>
          <w:rFonts w:hint="eastAsia"/>
        </w:rPr>
        <w:t>39.1.2对采购过程提出质疑的，为各采购程序环节结束之日起七个工作日内，以书面形式向采购人和采购代理机构一次性提出；</w:t>
      </w:r>
    </w:p>
    <w:p>
      <w:pPr>
        <w:wordWrap w:val="0"/>
        <w:ind w:firstLine="480" w:firstLineChars="200"/>
      </w:pPr>
      <w:r>
        <w:rPr>
          <w:rFonts w:hint="eastAsia"/>
        </w:rPr>
        <w:t>39.1.3对中标结果提出质疑的，为中标结果公告期限届满之日起七个工作日内，以书面形式向采购人和采购代理机构一次性提出。</w:t>
      </w:r>
    </w:p>
    <w:p>
      <w:pPr>
        <w:wordWrap w:val="0"/>
        <w:ind w:firstLine="480" w:firstLineChars="200"/>
      </w:pPr>
      <w:r>
        <w:rPr>
          <w:rFonts w:hint="eastAsia"/>
        </w:rPr>
        <w:t>39.2采购人、采购代理机构认为供应商质疑不成立，或者成立但未对中标结果构成影响的，继续开展采购活动；认为供应商质疑成立且影响或者可能影响中标结果的，按照下列情况处理：</w:t>
      </w:r>
    </w:p>
    <w:p>
      <w:pPr>
        <w:wordWrap w:val="0"/>
        <w:ind w:firstLine="480" w:firstLineChars="200"/>
      </w:pPr>
      <w:r>
        <w:rPr>
          <w:rFonts w:hint="eastAsia"/>
        </w:rPr>
        <w:t>39.2.1对采购文件提出的质疑，依法通过澄清或者修改可以继续开展采购活动的，澄清或者修改采购文件后继续开展采购活动；否则应当修改采购文件后重新开展采购活动。</w:t>
      </w:r>
    </w:p>
    <w:p>
      <w:pPr>
        <w:wordWrap w:val="0"/>
        <w:ind w:firstLine="480" w:firstLineChars="200"/>
      </w:pPr>
      <w:r>
        <w:rPr>
          <w:rFonts w:hint="eastAsia"/>
        </w:rPr>
        <w:t>39.2.2对采购过程、中标结果提出的质疑，合格供应商符合法定数量时，可以从合格的中标候选人中另行确定中标供应商的，应当依法另行确定中标供应商；否则应当重新开展采购活动。</w:t>
      </w:r>
    </w:p>
    <w:p>
      <w:pPr>
        <w:wordWrap w:val="0"/>
        <w:ind w:firstLine="480" w:firstLineChars="200"/>
      </w:pPr>
      <w:r>
        <w:rPr>
          <w:rFonts w:hint="eastAsia"/>
        </w:rPr>
        <w:t>39.3答复</w:t>
      </w:r>
    </w:p>
    <w:p>
      <w:pPr>
        <w:wordWrap w:val="0"/>
        <w:ind w:firstLine="480" w:firstLineChars="200"/>
      </w:pPr>
      <w:r>
        <w:rPr>
          <w:rFonts w:hint="eastAsia"/>
        </w:rPr>
        <w:t>39.3.1对采购文件提出质疑的，质疑供应商和其他有关供应商在法定时限内到《全国公共资源交易平台（河南省·许昌市）》自行下载并打印书面质疑回复函，或者联系采购单位领取书面质疑回复函。</w:t>
      </w:r>
    </w:p>
    <w:p>
      <w:pPr>
        <w:wordWrap w:val="0"/>
        <w:ind w:firstLine="480" w:firstLineChars="200"/>
      </w:pPr>
      <w:r>
        <w:rPr>
          <w:rFonts w:hint="eastAsia"/>
        </w:rPr>
        <w:t>39.3.2对采购过程提出质疑的，质疑供应商和其他有关供应商在法定时限内联系采购单位领取书面质疑回复函。</w:t>
      </w:r>
    </w:p>
    <w:p>
      <w:pPr>
        <w:wordWrap w:val="0"/>
        <w:ind w:firstLine="480" w:firstLineChars="200"/>
      </w:pPr>
      <w:r>
        <w:rPr>
          <w:rFonts w:hint="eastAsia"/>
        </w:rPr>
        <w:t>39.3.3对中标结果提出质疑的，质疑供应商和其他有关供应商在法定时限内联系采购单位领取书面质疑回复函。</w:t>
      </w:r>
    </w:p>
    <w:p>
      <w:pPr>
        <w:wordWrap w:val="0"/>
        <w:ind w:firstLine="482" w:firstLineChars="200"/>
        <w:rPr>
          <w:b/>
          <w:bCs/>
        </w:rPr>
      </w:pPr>
      <w:r>
        <w:rPr>
          <w:rFonts w:hint="eastAsia"/>
          <w:b/>
          <w:bCs/>
        </w:rPr>
        <w:t>40.签订合同</w:t>
      </w:r>
    </w:p>
    <w:p>
      <w:pPr>
        <w:wordWrap w:val="0"/>
        <w:ind w:firstLine="480" w:firstLineChars="200"/>
      </w:pPr>
      <w:r>
        <w:rPr>
          <w:rFonts w:hint="eastAsia"/>
        </w:rPr>
        <w:t>采购人应当自中标通知书发出之日起30日内，按照招标文件和中标人投标文件的规定，与中标人签订书面合同。所签订的合同不得对招标文件确定的事项和中标人投标文件作实质性修改。</w:t>
      </w:r>
    </w:p>
    <w:p>
      <w:pPr>
        <w:wordWrap w:val="0"/>
        <w:ind w:firstLine="482" w:firstLineChars="200"/>
        <w:rPr>
          <w:b/>
          <w:bCs/>
        </w:rPr>
      </w:pPr>
      <w:r>
        <w:rPr>
          <w:rFonts w:hint="eastAsia"/>
          <w:b/>
          <w:bCs/>
        </w:rPr>
        <w:t>41.履约保证金</w:t>
      </w:r>
    </w:p>
    <w:p>
      <w:pPr>
        <w:wordWrap w:val="0"/>
        <w:ind w:firstLine="480" w:firstLineChars="200"/>
      </w:pPr>
      <w:r>
        <w:rPr>
          <w:rFonts w:hint="eastAsia"/>
        </w:rPr>
        <w:t>“投标人须知前附表”中规定中标人提交履约保证金的，中标人应当以支票、汇票、本票或者金融机构、担保机构出具的保函等非现金形式向采购人提交。履约保证金的数额不得超过政府采购合同金额的10%。</w:t>
      </w:r>
    </w:p>
    <w:p>
      <w:pPr>
        <w:wordWrap w:val="0"/>
        <w:ind w:firstLine="482" w:firstLineChars="200"/>
        <w:rPr>
          <w:b/>
          <w:bCs/>
        </w:rPr>
      </w:pPr>
      <w:r>
        <w:rPr>
          <w:rFonts w:hint="eastAsia"/>
          <w:b/>
          <w:bCs/>
        </w:rPr>
        <w:t>42.其他</w:t>
      </w:r>
    </w:p>
    <w:p>
      <w:pPr>
        <w:wordWrap w:val="0"/>
        <w:ind w:firstLine="480" w:firstLineChars="200"/>
      </w:pPr>
      <w:r>
        <w:rPr>
          <w:rFonts w:hint="eastAsia"/>
        </w:rPr>
        <w:t>本次招标文件未尽事项，以法律法规规定的为准。</w:t>
      </w:r>
    </w:p>
    <w:p>
      <w:pPr>
        <w:wordWrap w:val="0"/>
      </w:pPr>
    </w:p>
    <w:p>
      <w:pPr>
        <w:wordWrap w:val="0"/>
      </w:pPr>
      <w:r>
        <w:rPr>
          <w:rFonts w:hint="eastAsia"/>
        </w:rPr>
        <w:br w:type="page"/>
      </w:r>
    </w:p>
    <w:p>
      <w:pPr>
        <w:pStyle w:val="5"/>
        <w:wordWrap w:val="0"/>
      </w:pPr>
      <w:r>
        <w:rPr>
          <w:rFonts w:hint="eastAsia"/>
        </w:rPr>
        <w:t>第五章 政府采购政策功能</w:t>
      </w:r>
    </w:p>
    <w:p>
      <w:pPr>
        <w:wordWrap w:val="0"/>
        <w:ind w:firstLine="480" w:firstLineChars="200"/>
      </w:pPr>
      <w:r>
        <w:rPr>
          <w:rFonts w:hint="eastAsia"/>
        </w:rPr>
        <w:t>根据《中华人民共和国政府采购法》、《中华人民共和国政府采购法实施条例》、《政府采购货物和服务招标投标管理办法》等规定，本项目落实节约能源、保护环境、促进中小企业发展、支持监狱企业发展、促进残疾人就业、支持脱贫攻坚等政府采购政策。</w:t>
      </w:r>
    </w:p>
    <w:p>
      <w:pPr>
        <w:pStyle w:val="6"/>
        <w:wordWrap w:val="0"/>
      </w:pPr>
      <w:r>
        <w:rPr>
          <w:rFonts w:hint="eastAsia"/>
        </w:rPr>
        <w:t>一、中、小、微企业</w:t>
      </w:r>
    </w:p>
    <w:p>
      <w:pPr>
        <w:pStyle w:val="16"/>
        <w:wordWrap w:val="0"/>
        <w:autoSpaceDE w:val="0"/>
        <w:autoSpaceDN w:val="0"/>
        <w:ind w:firstLine="482"/>
        <w:jc w:val="left"/>
        <w:rPr>
          <w:sz w:val="24"/>
        </w:rPr>
      </w:pPr>
      <w:r>
        <w:rPr>
          <w:rFonts w:hint="eastAsia"/>
          <w:b/>
          <w:bCs/>
          <w:sz w:val="24"/>
        </w:rPr>
        <w:t>（1）采购政策：</w:t>
      </w:r>
      <w:r>
        <w:rPr>
          <w:rFonts w:hint="eastAsia"/>
          <w:sz w:val="24"/>
        </w:rPr>
        <w:t>《政府采购促进中小企业发展管理办法》（财库〔2020〕46号）</w:t>
      </w:r>
    </w:p>
    <w:p>
      <w:pPr>
        <w:pStyle w:val="16"/>
        <w:wordWrap w:val="0"/>
        <w:autoSpaceDE w:val="0"/>
        <w:autoSpaceDN w:val="0"/>
        <w:ind w:firstLine="482"/>
        <w:jc w:val="left"/>
        <w:rPr>
          <w:sz w:val="24"/>
        </w:rPr>
      </w:pPr>
      <w:r>
        <w:rPr>
          <w:rFonts w:hint="eastAsia"/>
          <w:b/>
          <w:bCs/>
          <w:sz w:val="24"/>
        </w:rPr>
        <w:t>（2）实施措施：</w:t>
      </w:r>
      <w:r>
        <w:rPr>
          <w:rFonts w:hint="eastAsia"/>
          <w:sz w:val="24"/>
        </w:rPr>
        <w:t>小微企业报价给予6%（工程项目为3%）的扣除，用扣除后的价格参加评审。适用招标投标法的政府采购工程建设项目，采用综合评估法但未采用低价优先法计算价格分的，评标时应当在采用原报价进行评分的基础上增加其价格得分的3%作为其价格分。</w:t>
      </w:r>
    </w:p>
    <w:p>
      <w:pPr>
        <w:pStyle w:val="16"/>
        <w:wordWrap w:val="0"/>
        <w:autoSpaceDE w:val="0"/>
        <w:autoSpaceDN w:val="0"/>
        <w:ind w:firstLine="480"/>
        <w:jc w:val="left"/>
        <w:rPr>
          <w:sz w:val="24"/>
        </w:rPr>
      </w:pPr>
      <w:r>
        <w:rPr>
          <w:rFonts w:hint="eastAsia"/>
          <w:sz w:val="24"/>
        </w:rPr>
        <w:t>若项目接受联合体或者分包的，联合协议或者分包意向协议约定小微企业的合同份额占到合同总金额30%以上的，对联合体或者大中型企业的报价给予2%（工程项目为1%）的扣除，用扣除后的价格参加评审。适用招标投标法的政府采购工程建设项目，采用综合评估法但未采用低价优先法计算价格分的，评标时应当在采用原报价进行评分的基础上增加其价格得分的1%作为其价格分。</w:t>
      </w:r>
    </w:p>
    <w:p>
      <w:pPr>
        <w:pStyle w:val="16"/>
        <w:wordWrap w:val="0"/>
        <w:autoSpaceDE w:val="0"/>
        <w:autoSpaceDN w:val="0"/>
        <w:ind w:firstLine="480"/>
        <w:jc w:val="left"/>
        <w:rPr>
          <w:rFonts w:eastAsia="宋体"/>
          <w:sz w:val="24"/>
        </w:rPr>
      </w:pPr>
      <w:r>
        <w:rPr>
          <w:rFonts w:hint="eastAsia"/>
          <w:sz w:val="24"/>
        </w:rPr>
        <w:t>扶持中、小、微企业；扶持促残疾人福利性单位；扶持监狱企业政策不重复计算。</w:t>
      </w:r>
    </w:p>
    <w:p>
      <w:pPr>
        <w:pStyle w:val="16"/>
        <w:wordWrap w:val="0"/>
        <w:autoSpaceDE w:val="0"/>
        <w:autoSpaceDN w:val="0"/>
        <w:ind w:firstLine="482"/>
        <w:jc w:val="left"/>
        <w:rPr>
          <w:sz w:val="24"/>
        </w:rPr>
      </w:pPr>
      <w:r>
        <w:rPr>
          <w:rFonts w:hint="eastAsia"/>
          <w:b/>
          <w:bCs/>
          <w:sz w:val="24"/>
        </w:rPr>
        <w:t>（3）资格确认：</w:t>
      </w:r>
      <w:r>
        <w:rPr>
          <w:rFonts w:hint="eastAsia"/>
          <w:sz w:val="24"/>
        </w:rPr>
        <w:t>采取中小企业自我声明的做法，由参加采购活动的中小企业按照《管理办法》的规定提供《中小企业声明函》，并对其真实性负责。对冒充中小企业参与采购活动谋取中标的，将依法予以处理。供应商中标后代理机构随中标、成交结果公开中标、成交供应商的《中小企业声明函》。适用招标投标法的政府采购工程建设项目，应当在公示中标候选人时公开中标候选人的《中小企业声明函》。</w:t>
      </w:r>
    </w:p>
    <w:p>
      <w:pPr>
        <w:pStyle w:val="6"/>
        <w:wordWrap w:val="0"/>
      </w:pPr>
      <w:r>
        <w:rPr>
          <w:rFonts w:hint="eastAsia"/>
        </w:rPr>
        <w:t>二、残疾人福利性单位</w:t>
      </w:r>
    </w:p>
    <w:p>
      <w:pPr>
        <w:pStyle w:val="16"/>
        <w:wordWrap w:val="0"/>
        <w:autoSpaceDE w:val="0"/>
        <w:autoSpaceDN w:val="0"/>
        <w:ind w:firstLine="482"/>
        <w:jc w:val="left"/>
        <w:rPr>
          <w:sz w:val="24"/>
        </w:rPr>
      </w:pPr>
      <w:r>
        <w:rPr>
          <w:rFonts w:hint="eastAsia"/>
          <w:b/>
          <w:bCs/>
          <w:sz w:val="24"/>
        </w:rPr>
        <w:t>（1）采购政策：</w:t>
      </w:r>
      <w:r>
        <w:rPr>
          <w:rFonts w:hint="eastAsia"/>
          <w:sz w:val="24"/>
        </w:rPr>
        <w:t>关于促进残疾人就业政府采购政策的通知（财库〔2017〕141号）</w:t>
      </w:r>
    </w:p>
    <w:p>
      <w:pPr>
        <w:pStyle w:val="16"/>
        <w:wordWrap w:val="0"/>
        <w:autoSpaceDE w:val="0"/>
        <w:autoSpaceDN w:val="0"/>
        <w:ind w:firstLine="482"/>
        <w:jc w:val="left"/>
        <w:rPr>
          <w:sz w:val="24"/>
        </w:rPr>
      </w:pPr>
      <w:r>
        <w:rPr>
          <w:rFonts w:hint="eastAsia"/>
          <w:b/>
          <w:bCs/>
          <w:sz w:val="24"/>
        </w:rPr>
        <w:t>（2）实施措施：</w:t>
      </w:r>
      <w:r>
        <w:rPr>
          <w:rFonts w:hint="eastAsia"/>
          <w:sz w:val="24"/>
        </w:rPr>
        <w:t>视同小型、微型企业。扶持中、小、微企业；扶持促残疾人福利性单位；扶持监狱企业政策不重复计算。</w:t>
      </w:r>
    </w:p>
    <w:p>
      <w:pPr>
        <w:pStyle w:val="16"/>
        <w:wordWrap w:val="0"/>
        <w:autoSpaceDE w:val="0"/>
        <w:autoSpaceDN w:val="0"/>
        <w:ind w:firstLine="482"/>
        <w:jc w:val="left"/>
        <w:rPr>
          <w:sz w:val="24"/>
        </w:rPr>
      </w:pPr>
      <w:r>
        <w:rPr>
          <w:rFonts w:hint="eastAsia"/>
          <w:b/>
          <w:bCs/>
          <w:sz w:val="24"/>
        </w:rPr>
        <w:t>（3）资格确认：</w:t>
      </w:r>
      <w:r>
        <w:rPr>
          <w:rFonts w:hint="eastAsia"/>
          <w:sz w:val="24"/>
        </w:rPr>
        <w:t>符合条件的残疾人福利性单位在参加政府采购活动时，应当提供《通知》规定的《残疾人福利性单位声明函》，并对声明的真实性负责。任何单位或者个人在政府采购活动中均不得要求残疾人福利性单位提供其他证明声明函内容的材料。</w:t>
      </w:r>
    </w:p>
    <w:p>
      <w:pPr>
        <w:pStyle w:val="16"/>
        <w:wordWrap w:val="0"/>
        <w:autoSpaceDE w:val="0"/>
        <w:autoSpaceDN w:val="0"/>
        <w:ind w:firstLine="480"/>
        <w:jc w:val="left"/>
        <w:rPr>
          <w:sz w:val="24"/>
        </w:rPr>
      </w:pPr>
      <w:r>
        <w:rPr>
          <w:rFonts w:hint="eastAsia"/>
          <w:sz w:val="24"/>
        </w:rPr>
        <w:t>中标、成交供应商为残疾人福利性单位的，代理机构随中标、成交结果同时公告其《残疾人福利性单位声明函》，接受社会监督。</w:t>
      </w:r>
    </w:p>
    <w:p>
      <w:pPr>
        <w:pStyle w:val="6"/>
        <w:wordWrap w:val="0"/>
      </w:pPr>
      <w:r>
        <w:rPr>
          <w:rFonts w:hint="eastAsia"/>
        </w:rPr>
        <w:t>三、监狱企业</w:t>
      </w:r>
    </w:p>
    <w:p>
      <w:pPr>
        <w:pStyle w:val="16"/>
        <w:wordWrap w:val="0"/>
        <w:autoSpaceDE w:val="0"/>
        <w:autoSpaceDN w:val="0"/>
        <w:ind w:firstLine="482"/>
        <w:jc w:val="left"/>
        <w:rPr>
          <w:sz w:val="24"/>
        </w:rPr>
      </w:pPr>
      <w:r>
        <w:rPr>
          <w:rFonts w:hint="eastAsia"/>
          <w:b/>
          <w:bCs/>
          <w:sz w:val="24"/>
        </w:rPr>
        <w:t>（1）采购政策：</w:t>
      </w:r>
      <w:r>
        <w:rPr>
          <w:rFonts w:hint="eastAsia"/>
          <w:sz w:val="24"/>
        </w:rPr>
        <w:t>关于政府采购支持监狱企业发展有关问题的通知（财库〔2014〕68号）</w:t>
      </w:r>
    </w:p>
    <w:p>
      <w:pPr>
        <w:pStyle w:val="16"/>
        <w:wordWrap w:val="0"/>
        <w:autoSpaceDE w:val="0"/>
        <w:autoSpaceDN w:val="0"/>
        <w:ind w:firstLine="482"/>
        <w:jc w:val="left"/>
        <w:rPr>
          <w:rFonts w:eastAsia="宋体"/>
          <w:sz w:val="24"/>
        </w:rPr>
      </w:pPr>
      <w:r>
        <w:rPr>
          <w:rFonts w:hint="eastAsia"/>
          <w:b/>
          <w:bCs/>
          <w:sz w:val="24"/>
        </w:rPr>
        <w:t>（2）实施措施：</w:t>
      </w:r>
      <w:r>
        <w:rPr>
          <w:rFonts w:hint="eastAsia"/>
          <w:sz w:val="24"/>
        </w:rPr>
        <w:t>视同小型、微型企业。扶持中、小、微企业；扶持促残疾人福利性单位；扶持监狱企业政策不重复计算。</w:t>
      </w:r>
    </w:p>
    <w:p>
      <w:pPr>
        <w:pStyle w:val="16"/>
        <w:wordWrap w:val="0"/>
        <w:autoSpaceDE w:val="0"/>
        <w:autoSpaceDN w:val="0"/>
        <w:ind w:firstLine="482"/>
        <w:jc w:val="left"/>
        <w:rPr>
          <w:sz w:val="24"/>
        </w:rPr>
      </w:pPr>
      <w:r>
        <w:rPr>
          <w:rFonts w:hint="eastAsia"/>
          <w:b/>
          <w:bCs/>
          <w:sz w:val="24"/>
        </w:rPr>
        <w:t>（3）资格确认：</w:t>
      </w:r>
      <w:r>
        <w:rPr>
          <w:rFonts w:hint="eastAsia"/>
          <w:sz w:val="24"/>
        </w:rPr>
        <w:t>由省级以上监狱管理局、戒毒管理局（含新疆生产建设兵团）出具的属于监狱企业的证明文件。</w:t>
      </w:r>
    </w:p>
    <w:p>
      <w:pPr>
        <w:pStyle w:val="6"/>
        <w:wordWrap w:val="0"/>
      </w:pPr>
      <w:r>
        <w:rPr>
          <w:rFonts w:hint="eastAsia"/>
        </w:rPr>
        <w:t>四、节能产品、环境标志产品</w:t>
      </w:r>
    </w:p>
    <w:p>
      <w:pPr>
        <w:tabs>
          <w:tab w:val="left" w:pos="812"/>
        </w:tabs>
        <w:wordWrap w:val="0"/>
        <w:adjustRightInd w:val="0"/>
        <w:snapToGrid w:val="0"/>
        <w:ind w:firstLine="482" w:firstLineChars="200"/>
        <w:jc w:val="left"/>
      </w:pPr>
      <w:r>
        <w:rPr>
          <w:rFonts w:hint="eastAsia"/>
          <w:b/>
          <w:bCs/>
        </w:rPr>
        <w:t>（1）采购政策：</w:t>
      </w:r>
      <w:r>
        <w:rPr>
          <w:rFonts w:hint="eastAsia"/>
        </w:rPr>
        <w:t>《关于调整优化节能产品、环境标志产品政府采购执行机制的通知》（财库〔2019〕9号）</w:t>
      </w:r>
    </w:p>
    <w:p>
      <w:pPr>
        <w:tabs>
          <w:tab w:val="left" w:pos="812"/>
        </w:tabs>
        <w:wordWrap w:val="0"/>
        <w:adjustRightInd w:val="0"/>
        <w:snapToGrid w:val="0"/>
        <w:ind w:firstLine="482" w:firstLineChars="200"/>
        <w:jc w:val="left"/>
        <w:rPr>
          <w:rFonts w:ascii="Times New Roman" w:hAnsi="Times New Roman" w:eastAsia="宋体" w:cs="Times New Roman"/>
        </w:rPr>
      </w:pPr>
      <w:r>
        <w:rPr>
          <w:rFonts w:hint="eastAsia"/>
          <w:b/>
          <w:bCs/>
        </w:rPr>
        <w:t>（2）实施措施：</w:t>
      </w:r>
      <w:r>
        <w:rPr>
          <w:rFonts w:hint="eastAsia"/>
        </w:rPr>
        <w:t>通过制定强制或优先采购措施，实现本政策。依据品目清单和认证证书实施政府优先采购和强制采购。</w:t>
      </w:r>
      <w:r>
        <w:rPr>
          <w:rFonts w:hint="eastAsia" w:ascii="Times New Roman" w:hAnsi="Times New Roman" w:eastAsia="宋体" w:cs="Times New Roman"/>
        </w:rPr>
        <w:t>所供产品</w:t>
      </w:r>
      <w:r>
        <w:rPr>
          <w:rFonts w:hint="eastAsia"/>
        </w:rPr>
        <w:t>属于强制采购产品的，供应商须出具国家确定的认证机构出具的、处于有效期之内的节能产品、环境标志产品认证证书；</w:t>
      </w:r>
      <w:r>
        <w:rPr>
          <w:rFonts w:hint="eastAsia" w:ascii="Times New Roman" w:hAnsi="Times New Roman" w:eastAsia="宋体" w:cs="Times New Roman"/>
        </w:rPr>
        <w:t>所供产品</w:t>
      </w:r>
      <w:r>
        <w:rPr>
          <w:rFonts w:hint="eastAsia"/>
        </w:rPr>
        <w:t>属于优先采购产品的，当供应商评分（无评分时为报价）一致时，以供应商提供优先采购产</w:t>
      </w:r>
      <w:r>
        <w:rPr>
          <w:rFonts w:hint="eastAsia" w:ascii="Times New Roman" w:hAnsi="Times New Roman" w:eastAsia="宋体" w:cs="Times New Roman"/>
        </w:rPr>
        <w:t>品的国家确定的认证机构出具的、处于有效期之内的节能产品、环境标志产品认证证书数量为依据，数量多者优先采购。</w:t>
      </w:r>
    </w:p>
    <w:p>
      <w:pPr>
        <w:tabs>
          <w:tab w:val="left" w:pos="812"/>
        </w:tabs>
        <w:wordWrap w:val="0"/>
        <w:adjustRightInd w:val="0"/>
        <w:snapToGrid w:val="0"/>
        <w:ind w:firstLine="480" w:firstLineChars="200"/>
        <w:jc w:val="left"/>
        <w:rPr>
          <w:rFonts w:ascii="Times New Roman" w:hAnsi="Times New Roman" w:eastAsia="宋体" w:cs="Times New Roman"/>
        </w:rPr>
      </w:pPr>
      <w:r>
        <w:rPr>
          <w:rFonts w:hint="eastAsia" w:cs="Times New Roman"/>
        </w:rPr>
        <w:t>节能产品、环境标志产品；自主创新产业；绿色建筑、绿色建材；脱贫攻坚；不发达、少数民族地区的企业政策优先采购可重复计算，数量多者优先采购。</w:t>
      </w:r>
    </w:p>
    <w:p>
      <w:pPr>
        <w:tabs>
          <w:tab w:val="left" w:pos="812"/>
        </w:tabs>
        <w:wordWrap w:val="0"/>
        <w:adjustRightInd w:val="0"/>
        <w:snapToGrid w:val="0"/>
        <w:ind w:firstLine="482" w:firstLineChars="200"/>
        <w:jc w:val="left"/>
        <w:rPr>
          <w:rFonts w:ascii="Times New Roman" w:hAnsi="Times New Roman" w:eastAsia="宋体" w:cs="Times New Roman"/>
        </w:rPr>
      </w:pPr>
      <w:r>
        <w:rPr>
          <w:rFonts w:hint="eastAsia"/>
          <w:b/>
          <w:bCs/>
        </w:rPr>
        <w:t>（3）资格确认：</w:t>
      </w:r>
      <w:r>
        <w:rPr>
          <w:rFonts w:hint="eastAsia" w:ascii="Times New Roman" w:hAnsi="Times New Roman" w:eastAsia="宋体" w:cs="Times New Roman"/>
        </w:rPr>
        <w:t>国家确定的认证机构出具的、处于有效期之内的节能产品、环境标志产品认证证书，在投标文件或响应文件中应明显标示，以便查阅，若因放置问题导致评审专家无法找到，供应商自行承担后果。</w:t>
      </w:r>
    </w:p>
    <w:p>
      <w:pPr>
        <w:pStyle w:val="6"/>
        <w:wordWrap w:val="0"/>
      </w:pPr>
      <w:r>
        <w:rPr>
          <w:rFonts w:hint="eastAsia"/>
        </w:rPr>
        <w:t>五、自主创新产业</w:t>
      </w:r>
    </w:p>
    <w:p>
      <w:pPr>
        <w:tabs>
          <w:tab w:val="left" w:pos="812"/>
        </w:tabs>
        <w:wordWrap w:val="0"/>
        <w:adjustRightInd w:val="0"/>
        <w:snapToGrid w:val="0"/>
        <w:ind w:firstLine="482" w:firstLineChars="200"/>
        <w:jc w:val="left"/>
        <w:rPr>
          <w:rFonts w:ascii="Times New Roman" w:hAnsi="Times New Roman" w:eastAsia="宋体" w:cs="Times New Roman"/>
        </w:rPr>
      </w:pPr>
      <w:r>
        <w:rPr>
          <w:rFonts w:hint="eastAsia" w:ascii="Times New Roman" w:hAnsi="Times New Roman" w:eastAsia="宋体" w:cs="Times New Roman"/>
          <w:b/>
          <w:bCs/>
        </w:rPr>
        <w:t>（1）采购政策：</w:t>
      </w:r>
      <w:r>
        <w:rPr>
          <w:rFonts w:hint="eastAsia" w:ascii="Times New Roman" w:hAnsi="Times New Roman" w:eastAsia="宋体" w:cs="Times New Roman"/>
        </w:rPr>
        <w:t>关于实施促进自主创新政府采购政策的若干意见（财库〔2006〕47号）</w:t>
      </w:r>
    </w:p>
    <w:p>
      <w:pPr>
        <w:tabs>
          <w:tab w:val="left" w:pos="812"/>
        </w:tabs>
        <w:wordWrap w:val="0"/>
        <w:adjustRightInd w:val="0"/>
        <w:snapToGrid w:val="0"/>
        <w:ind w:firstLine="482" w:firstLineChars="200"/>
        <w:jc w:val="left"/>
        <w:rPr>
          <w:rFonts w:ascii="Times New Roman" w:hAnsi="Times New Roman" w:eastAsia="宋体" w:cs="Times New Roman"/>
        </w:rPr>
      </w:pPr>
      <w:r>
        <w:rPr>
          <w:rFonts w:hint="eastAsia" w:ascii="Times New Roman" w:hAnsi="Times New Roman" w:eastAsia="宋体" w:cs="Times New Roman"/>
          <w:b/>
          <w:bCs/>
        </w:rPr>
        <w:t>（2）实施措施：</w:t>
      </w:r>
      <w:r>
        <w:rPr>
          <w:rFonts w:hint="eastAsia"/>
        </w:rPr>
        <w:t>通过制定强制或优先采购措施，实现本政策。</w:t>
      </w:r>
      <w:r>
        <w:rPr>
          <w:rFonts w:hint="eastAsia" w:ascii="Times New Roman" w:hAnsi="Times New Roman" w:eastAsia="宋体" w:cs="Times New Roman"/>
        </w:rPr>
        <w:t>当供应商评分（无评分时为报价）一致时，以供应商提供所供产品经认定的有效期内的国家自主创新产品认定证书数量为依据，数量多者优先采购。</w:t>
      </w:r>
    </w:p>
    <w:p>
      <w:pPr>
        <w:tabs>
          <w:tab w:val="left" w:pos="812"/>
        </w:tabs>
        <w:wordWrap w:val="0"/>
        <w:adjustRightInd w:val="0"/>
        <w:snapToGrid w:val="0"/>
        <w:ind w:firstLine="480" w:firstLineChars="200"/>
        <w:jc w:val="left"/>
        <w:rPr>
          <w:rFonts w:ascii="Times New Roman" w:hAnsi="Times New Roman" w:eastAsia="宋体" w:cs="Times New Roman"/>
        </w:rPr>
      </w:pPr>
      <w:r>
        <w:rPr>
          <w:rFonts w:hint="eastAsia" w:cs="Times New Roman"/>
        </w:rPr>
        <w:t>节能产品、环境标志产品；自主创新产业；绿色建筑、绿色建材；脱贫攻坚；不发达、少数民族地区的企业政策优先采购可重复计算，数量多者优先采购。</w:t>
      </w:r>
    </w:p>
    <w:p>
      <w:pPr>
        <w:tabs>
          <w:tab w:val="left" w:pos="812"/>
        </w:tabs>
        <w:wordWrap w:val="0"/>
        <w:adjustRightInd w:val="0"/>
        <w:snapToGrid w:val="0"/>
        <w:ind w:firstLine="482" w:firstLineChars="200"/>
        <w:jc w:val="left"/>
        <w:rPr>
          <w:rFonts w:ascii="Times New Roman" w:hAnsi="Times New Roman" w:eastAsia="宋体" w:cs="Times New Roman"/>
        </w:rPr>
      </w:pPr>
      <w:r>
        <w:rPr>
          <w:rFonts w:hint="eastAsia" w:ascii="Times New Roman" w:hAnsi="Times New Roman" w:eastAsia="宋体" w:cs="Times New Roman"/>
          <w:b/>
          <w:bCs/>
        </w:rPr>
        <w:t>（3）资格确认：</w:t>
      </w:r>
      <w:r>
        <w:rPr>
          <w:rFonts w:hint="eastAsia" w:ascii="Times New Roman" w:hAnsi="Times New Roman" w:eastAsia="宋体" w:cs="Times New Roman"/>
        </w:rPr>
        <w:t>经认定的有效期内的国家自主创新产品认定证书。</w:t>
      </w:r>
    </w:p>
    <w:p>
      <w:pPr>
        <w:pStyle w:val="6"/>
        <w:wordWrap w:val="0"/>
      </w:pPr>
      <w:r>
        <w:rPr>
          <w:rFonts w:hint="eastAsia"/>
        </w:rPr>
        <w:t>六、绿色建筑、绿色建材</w:t>
      </w:r>
    </w:p>
    <w:p>
      <w:pPr>
        <w:wordWrap w:val="0"/>
        <w:ind w:firstLine="482" w:firstLineChars="200"/>
        <w:rPr>
          <w:rFonts w:ascii="Times New Roman" w:hAnsi="Times New Roman" w:eastAsia="宋体" w:cs="Times New Roman"/>
        </w:rPr>
      </w:pPr>
      <w:r>
        <w:rPr>
          <w:rFonts w:hint="eastAsia" w:ascii="Times New Roman" w:hAnsi="Times New Roman" w:eastAsia="宋体" w:cs="Times New Roman"/>
          <w:b/>
          <w:bCs/>
        </w:rPr>
        <w:t>（1）采购政策：</w:t>
      </w:r>
      <w:r>
        <w:rPr>
          <w:rFonts w:hint="eastAsia" w:ascii="Times New Roman" w:hAnsi="Times New Roman" w:eastAsia="宋体" w:cs="Times New Roman"/>
        </w:rPr>
        <w:t>关于政府采购支持绿色建材促进建筑品质提升试点工作的通知（财库〔2020〕31号）</w:t>
      </w:r>
    </w:p>
    <w:p>
      <w:pPr>
        <w:wordWrap w:val="0"/>
        <w:ind w:firstLine="482" w:firstLineChars="200"/>
        <w:rPr>
          <w:rFonts w:ascii="Times New Roman" w:hAnsi="Times New Roman" w:eastAsia="宋体" w:cs="Times New Roman"/>
        </w:rPr>
      </w:pPr>
      <w:r>
        <w:rPr>
          <w:rFonts w:hint="eastAsia" w:ascii="Times New Roman" w:hAnsi="Times New Roman" w:eastAsia="宋体" w:cs="Times New Roman"/>
          <w:b/>
          <w:bCs/>
        </w:rPr>
        <w:t>（2）实施措施：</w:t>
      </w:r>
      <w:r>
        <w:rPr>
          <w:rFonts w:hint="eastAsia"/>
        </w:rPr>
        <w:t>通过制定优先采购措施，实现本政策。当采购内容医院、学校、办公楼、综合体、展览馆、会展中心、体育馆、保障性住房等新建工程项目时，且</w:t>
      </w:r>
      <w:r>
        <w:rPr>
          <w:rFonts w:hint="eastAsia" w:ascii="Times New Roman" w:hAnsi="Times New Roman" w:eastAsia="宋体" w:cs="Times New Roman"/>
        </w:rPr>
        <w:t>供应商评分（无评分时为报价）一致时，以供应商提供纳入《绿色建筑和绿色建材政府采购基本要求（试行）》的建材产品包含相关指标的第三方检测或认证机构出具的检测报告、认证证书等证明性文件数量为依据，数量多者优先采购；若纳入《基本要求》的建材产品证明性文件数量一致时，以供应商提供未纳入《基本要求》的建材产品获得绿色建材评价标识、认证或者获得环境标志产品认证等证明性文件数量为依据，数量多者优先采购。</w:t>
      </w:r>
    </w:p>
    <w:p>
      <w:pPr>
        <w:wordWrap w:val="0"/>
        <w:ind w:firstLine="480" w:firstLineChars="200"/>
        <w:rPr>
          <w:rFonts w:ascii="Times New Roman" w:hAnsi="Times New Roman" w:eastAsia="宋体" w:cs="Times New Roman"/>
        </w:rPr>
      </w:pPr>
      <w:r>
        <w:rPr>
          <w:rFonts w:hint="eastAsia" w:cs="Times New Roman"/>
        </w:rPr>
        <w:t>节能产品、环境标志产品；自主创新产业；绿色建筑、绿色建材；脱贫攻坚；不发达、少数民族地区的企业政策优先采购可重复计算，数量多者优先采购。</w:t>
      </w:r>
    </w:p>
    <w:p>
      <w:pPr>
        <w:wordWrap w:val="0"/>
        <w:ind w:firstLine="482" w:firstLineChars="200"/>
        <w:rPr>
          <w:rFonts w:ascii="Times New Roman" w:hAnsi="Times New Roman" w:eastAsia="宋体" w:cs="Times New Roman"/>
        </w:rPr>
      </w:pPr>
      <w:r>
        <w:rPr>
          <w:rFonts w:hint="eastAsia" w:ascii="Times New Roman" w:hAnsi="Times New Roman" w:eastAsia="宋体" w:cs="Times New Roman"/>
          <w:b/>
          <w:bCs/>
        </w:rPr>
        <w:t>（3）资格确认：</w:t>
      </w:r>
      <w:r>
        <w:rPr>
          <w:rFonts w:hint="eastAsia" w:ascii="Times New Roman" w:hAnsi="Times New Roman" w:eastAsia="宋体" w:cs="Times New Roman"/>
        </w:rPr>
        <w:t>包含相关指标的第三方检测或认证机构出具的检测报告、认证证书等证明性文件或获得绿色建材评价标识、认证或者获得环境标志产品认证等证明性文件，在投标文件或响应文件中应明显标示，以便查阅，若因放置问题导致评审专家无法找到，供应商自行承担后果。</w:t>
      </w:r>
    </w:p>
    <w:p>
      <w:pPr>
        <w:pStyle w:val="6"/>
        <w:wordWrap w:val="0"/>
      </w:pPr>
      <w:r>
        <w:rPr>
          <w:rFonts w:hint="eastAsia"/>
        </w:rPr>
        <w:t>七、脱贫攻坚</w:t>
      </w:r>
    </w:p>
    <w:p>
      <w:pPr>
        <w:tabs>
          <w:tab w:val="left" w:pos="812"/>
        </w:tabs>
        <w:wordWrap w:val="0"/>
        <w:adjustRightInd w:val="0"/>
        <w:snapToGrid w:val="0"/>
        <w:ind w:firstLine="482" w:firstLineChars="200"/>
        <w:jc w:val="left"/>
        <w:rPr>
          <w:rFonts w:ascii="Times New Roman" w:hAnsi="Times New Roman" w:eastAsia="宋体" w:cs="Times New Roman"/>
        </w:rPr>
      </w:pPr>
      <w:r>
        <w:rPr>
          <w:rFonts w:hint="eastAsia" w:ascii="Times New Roman" w:hAnsi="Times New Roman" w:eastAsia="宋体" w:cs="Times New Roman"/>
          <w:b/>
          <w:bCs/>
        </w:rPr>
        <w:t>（1）采购政策：</w:t>
      </w:r>
      <w:r>
        <w:rPr>
          <w:rFonts w:hint="eastAsia" w:ascii="Times New Roman" w:hAnsi="Times New Roman" w:eastAsia="宋体" w:cs="Times New Roman"/>
        </w:rPr>
        <w:t>关于运用政府采购政策支持脱贫攻坚的通知（财库〔2019〕27号）</w:t>
      </w:r>
    </w:p>
    <w:p>
      <w:pPr>
        <w:tabs>
          <w:tab w:val="left" w:pos="812"/>
        </w:tabs>
        <w:wordWrap w:val="0"/>
        <w:adjustRightInd w:val="0"/>
        <w:snapToGrid w:val="0"/>
        <w:ind w:firstLine="482" w:firstLineChars="200"/>
        <w:jc w:val="left"/>
        <w:rPr>
          <w:rFonts w:ascii="Times New Roman" w:hAnsi="Times New Roman" w:eastAsia="宋体" w:cs="Times New Roman"/>
        </w:rPr>
      </w:pPr>
      <w:r>
        <w:rPr>
          <w:rFonts w:hint="eastAsia" w:ascii="Times New Roman" w:hAnsi="Times New Roman" w:eastAsia="宋体" w:cs="Times New Roman"/>
          <w:b/>
          <w:bCs/>
        </w:rPr>
        <w:t>（2）实施措施：</w:t>
      </w:r>
      <w:r>
        <w:rPr>
          <w:rFonts w:hint="eastAsia"/>
        </w:rPr>
        <w:t>通过制定强制或优先采购措施，实现本政策。</w:t>
      </w:r>
      <w:r>
        <w:rPr>
          <w:rFonts w:ascii="Calibri" w:hAnsi="Calibri" w:cs="Calibri"/>
        </w:rPr>
        <w:t>①</w:t>
      </w:r>
      <w:r>
        <w:rPr>
          <w:rFonts w:hint="eastAsia"/>
        </w:rPr>
        <w:t>供应商所供产品为农副产品的，</w:t>
      </w:r>
      <w:r>
        <w:rPr>
          <w:rFonts w:hint="eastAsia" w:ascii="Times New Roman" w:hAnsi="Times New Roman" w:eastAsia="宋体" w:cs="Times New Roman"/>
        </w:rPr>
        <w:t>当供应商评分（无评分时为报价）一致时，以供应商所供产品为</w:t>
      </w:r>
      <w:r>
        <w:rPr>
          <w:rFonts w:hint="eastAsia"/>
        </w:rPr>
        <w:t>国家级贫困县域内注册的企业、农民专业合作社、家庭农场等出产的农副产品种类</w:t>
      </w:r>
      <w:r>
        <w:rPr>
          <w:rFonts w:hint="eastAsia" w:ascii="Times New Roman" w:hAnsi="Times New Roman" w:eastAsia="宋体" w:cs="Times New Roman"/>
        </w:rPr>
        <w:t>数量为依据，数量多者优先采购；</w:t>
      </w:r>
      <w:r>
        <w:rPr>
          <w:rFonts w:ascii="Calibri" w:hAnsi="Calibri" w:eastAsia="宋体" w:cs="Calibri"/>
        </w:rPr>
        <w:t>②</w:t>
      </w:r>
      <w:r>
        <w:rPr>
          <w:rFonts w:hint="eastAsia"/>
        </w:rPr>
        <w:t>供应商所供产品为物业服务的，</w:t>
      </w:r>
      <w:r>
        <w:rPr>
          <w:rFonts w:hint="eastAsia" w:ascii="Times New Roman" w:hAnsi="Times New Roman" w:eastAsia="宋体" w:cs="Times New Roman"/>
        </w:rPr>
        <w:t>当供应商评分（无评分时为报价）一致时，以供应商为</w:t>
      </w:r>
      <w:r>
        <w:rPr>
          <w:rFonts w:hint="eastAsia"/>
        </w:rPr>
        <w:t>国家级贫困县域内，且聘用建档立卡贫困人员物业公司</w:t>
      </w:r>
      <w:r>
        <w:rPr>
          <w:rFonts w:hint="eastAsia" w:ascii="Times New Roman" w:hAnsi="Times New Roman" w:eastAsia="宋体" w:cs="Times New Roman"/>
        </w:rPr>
        <w:t>优先采购。</w:t>
      </w:r>
    </w:p>
    <w:p>
      <w:pPr>
        <w:tabs>
          <w:tab w:val="left" w:pos="812"/>
        </w:tabs>
        <w:wordWrap w:val="0"/>
        <w:adjustRightInd w:val="0"/>
        <w:snapToGrid w:val="0"/>
        <w:ind w:firstLine="480" w:firstLineChars="200"/>
        <w:jc w:val="left"/>
        <w:rPr>
          <w:rFonts w:ascii="Times New Roman" w:hAnsi="Times New Roman" w:eastAsia="宋体" w:cs="Times New Roman"/>
        </w:rPr>
      </w:pPr>
      <w:r>
        <w:rPr>
          <w:rFonts w:hint="eastAsia" w:cs="Times New Roman"/>
        </w:rPr>
        <w:t>节能产品、环境标志产品；自主创新产业；绿色建筑、绿色建材；脱贫攻坚；不发达、少数民族地区的企业政策优先采购可重复计算，数量多者优先采购。</w:t>
      </w:r>
    </w:p>
    <w:p>
      <w:pPr>
        <w:tabs>
          <w:tab w:val="left" w:pos="812"/>
        </w:tabs>
        <w:wordWrap w:val="0"/>
        <w:adjustRightInd w:val="0"/>
        <w:snapToGrid w:val="0"/>
        <w:ind w:firstLine="482" w:firstLineChars="200"/>
        <w:jc w:val="left"/>
        <w:rPr>
          <w:rFonts w:ascii="Times New Roman" w:hAnsi="Times New Roman" w:eastAsia="宋体" w:cs="Times New Roman"/>
        </w:rPr>
      </w:pPr>
      <w:r>
        <w:rPr>
          <w:rFonts w:hint="eastAsia" w:ascii="Times New Roman" w:hAnsi="Times New Roman" w:eastAsia="宋体" w:cs="Times New Roman"/>
          <w:b/>
          <w:bCs/>
        </w:rPr>
        <w:t>（3）资格确认：</w:t>
      </w:r>
      <w:r>
        <w:rPr>
          <w:rFonts w:ascii="Calibri" w:hAnsi="Calibri" w:cs="Calibri"/>
        </w:rPr>
        <w:t>①</w:t>
      </w:r>
      <w:r>
        <w:rPr>
          <w:rFonts w:hint="eastAsia" w:ascii="Times New Roman" w:hAnsi="Times New Roman" w:eastAsia="宋体" w:cs="Times New Roman"/>
        </w:rPr>
        <w:t>所供农副产品生产方的显示营业地址的主管部门的证明文件，</w:t>
      </w:r>
      <w:r>
        <w:rPr>
          <w:rFonts w:hint="eastAsia"/>
        </w:rPr>
        <w:t>注册所在县</w:t>
      </w:r>
      <w:r>
        <w:rPr>
          <w:rFonts w:hint="eastAsia" w:ascii="Times New Roman" w:hAnsi="Times New Roman" w:eastAsia="宋体" w:cs="Times New Roman"/>
        </w:rPr>
        <w:t>为</w:t>
      </w:r>
      <w:r>
        <w:rPr>
          <w:rFonts w:hint="eastAsia"/>
        </w:rPr>
        <w:t>国家级贫困县证明资料，</w:t>
      </w:r>
      <w:r>
        <w:rPr>
          <w:rFonts w:hint="eastAsia" w:ascii="Times New Roman" w:hAnsi="Times New Roman" w:eastAsia="宋体" w:cs="Times New Roman"/>
        </w:rPr>
        <w:t>且在投标文件或响应文件中应明显标示，以便查阅，若因放置问题导致评审专家无法找到，供应商自行承担后果；</w:t>
      </w:r>
      <w:r>
        <w:rPr>
          <w:rFonts w:ascii="Calibri" w:hAnsi="Calibri" w:eastAsia="宋体" w:cs="Calibri"/>
        </w:rPr>
        <w:t>②</w:t>
      </w:r>
      <w:r>
        <w:rPr>
          <w:rFonts w:hint="eastAsia" w:ascii="Calibri" w:hAnsi="Calibri" w:eastAsia="宋体" w:cs="Calibri"/>
        </w:rPr>
        <w:t>物业公司</w:t>
      </w:r>
      <w:r>
        <w:rPr>
          <w:rFonts w:hint="eastAsia" w:ascii="Times New Roman" w:hAnsi="Times New Roman" w:eastAsia="宋体" w:cs="Times New Roman"/>
        </w:rPr>
        <w:t>显示营业地址的</w:t>
      </w:r>
      <w:r>
        <w:rPr>
          <w:rFonts w:hint="eastAsia" w:ascii="Calibri" w:hAnsi="Calibri" w:eastAsia="宋体" w:cs="Calibri"/>
        </w:rPr>
        <w:t>的营业执照，</w:t>
      </w:r>
      <w:r>
        <w:rPr>
          <w:rFonts w:hint="eastAsia"/>
        </w:rPr>
        <w:t>注册所在县</w:t>
      </w:r>
      <w:r>
        <w:rPr>
          <w:rFonts w:hint="eastAsia" w:ascii="Times New Roman" w:hAnsi="Times New Roman" w:eastAsia="宋体" w:cs="Times New Roman"/>
        </w:rPr>
        <w:t>为</w:t>
      </w:r>
      <w:r>
        <w:rPr>
          <w:rFonts w:hint="eastAsia"/>
        </w:rPr>
        <w:t>国家级贫困县证明资料，物业公司注册所在县扶贫部门出具的聘用建档立卡贫困人员具体数量的证明；</w:t>
      </w:r>
      <w:r>
        <w:rPr>
          <w:rFonts w:hint="eastAsia" w:ascii="Times New Roman" w:hAnsi="Times New Roman" w:eastAsia="宋体" w:cs="Times New Roman"/>
        </w:rPr>
        <w:t>在投标文件或响应文件中应明显标示，以便查阅，若因放置问题导致评审专家无法找到，供应商自行承担后果。</w:t>
      </w:r>
    </w:p>
    <w:p>
      <w:pPr>
        <w:pStyle w:val="6"/>
        <w:wordWrap w:val="0"/>
      </w:pPr>
      <w:r>
        <w:rPr>
          <w:rFonts w:hint="eastAsia"/>
        </w:rPr>
        <w:t>八、不发达、少数民族地区的企业</w:t>
      </w:r>
    </w:p>
    <w:p>
      <w:pPr>
        <w:tabs>
          <w:tab w:val="left" w:pos="812"/>
        </w:tabs>
        <w:wordWrap w:val="0"/>
        <w:adjustRightInd w:val="0"/>
        <w:snapToGrid w:val="0"/>
        <w:ind w:firstLine="482" w:firstLineChars="200"/>
        <w:jc w:val="left"/>
        <w:rPr>
          <w:rFonts w:ascii="Times New Roman" w:hAnsi="Times New Roman" w:eastAsia="宋体" w:cs="Times New Roman"/>
        </w:rPr>
      </w:pPr>
      <w:r>
        <w:rPr>
          <w:rFonts w:hint="eastAsia" w:ascii="Times New Roman" w:hAnsi="Times New Roman" w:eastAsia="宋体" w:cs="Times New Roman"/>
          <w:b/>
          <w:bCs/>
        </w:rPr>
        <w:t>（1）采购政策：</w:t>
      </w:r>
      <w:r>
        <w:rPr>
          <w:rFonts w:hint="eastAsia" w:ascii="Times New Roman" w:hAnsi="Times New Roman" w:eastAsia="宋体" w:cs="Times New Roman"/>
        </w:rPr>
        <w:t>《中华人民共和国政府采购法》（主席令第68号）第九条、《中华人民共和国政府采购法实施条例》（国务院令第658号）第六条</w:t>
      </w:r>
    </w:p>
    <w:p>
      <w:pPr>
        <w:tabs>
          <w:tab w:val="left" w:pos="812"/>
        </w:tabs>
        <w:wordWrap w:val="0"/>
        <w:adjustRightInd w:val="0"/>
        <w:snapToGrid w:val="0"/>
        <w:ind w:firstLine="482" w:firstLineChars="200"/>
        <w:jc w:val="left"/>
        <w:rPr>
          <w:rFonts w:ascii="Times New Roman" w:hAnsi="Times New Roman" w:eastAsia="宋体" w:cs="Times New Roman"/>
        </w:rPr>
      </w:pPr>
      <w:r>
        <w:rPr>
          <w:rFonts w:hint="eastAsia" w:ascii="Times New Roman" w:hAnsi="Times New Roman" w:eastAsia="宋体" w:cs="Times New Roman"/>
          <w:b/>
          <w:bCs/>
        </w:rPr>
        <w:t>（2）实施措施：</w:t>
      </w:r>
      <w:r>
        <w:rPr>
          <w:rFonts w:hint="eastAsia"/>
        </w:rPr>
        <w:t>通过制定强制或优先采购措施，实现本政策。</w:t>
      </w:r>
      <w:r>
        <w:rPr>
          <w:rFonts w:hint="eastAsia" w:ascii="Times New Roman" w:hAnsi="Times New Roman" w:eastAsia="宋体" w:cs="Times New Roman"/>
        </w:rPr>
        <w:t>当供应商评分（无评分时为报价）一致时，以供应商注册地为</w:t>
      </w:r>
      <w:r>
        <w:rPr>
          <w:rFonts w:hint="eastAsia"/>
        </w:rPr>
        <w:t>国家级贫困县或少数民主地区域内</w:t>
      </w:r>
      <w:r>
        <w:rPr>
          <w:rFonts w:hint="eastAsia" w:ascii="Times New Roman" w:hAnsi="Times New Roman" w:eastAsia="宋体" w:cs="Times New Roman"/>
        </w:rPr>
        <w:t>为依据优先采购。</w:t>
      </w:r>
    </w:p>
    <w:p>
      <w:pPr>
        <w:tabs>
          <w:tab w:val="left" w:pos="812"/>
        </w:tabs>
        <w:wordWrap w:val="0"/>
        <w:adjustRightInd w:val="0"/>
        <w:snapToGrid w:val="0"/>
        <w:ind w:firstLine="480" w:firstLineChars="200"/>
        <w:jc w:val="left"/>
        <w:rPr>
          <w:rFonts w:ascii="Times New Roman" w:hAnsi="Times New Roman" w:eastAsia="宋体" w:cs="Times New Roman"/>
        </w:rPr>
      </w:pPr>
      <w:r>
        <w:rPr>
          <w:rFonts w:hint="eastAsia" w:cs="Times New Roman"/>
        </w:rPr>
        <w:t>节能产品、环境标志产品；自主创新产业；绿色建筑、绿色建材；脱贫攻坚；不发达、少数民族地区的企业政策优先采购可重复计算，数量多者优先采购。</w:t>
      </w:r>
    </w:p>
    <w:p>
      <w:pPr>
        <w:tabs>
          <w:tab w:val="left" w:pos="812"/>
        </w:tabs>
        <w:wordWrap w:val="0"/>
        <w:adjustRightInd w:val="0"/>
        <w:snapToGrid w:val="0"/>
        <w:ind w:firstLine="482" w:firstLineChars="200"/>
        <w:jc w:val="left"/>
        <w:rPr>
          <w:rFonts w:ascii="Times New Roman" w:hAnsi="Times New Roman" w:eastAsia="宋体" w:cs="Times New Roman"/>
        </w:rPr>
      </w:pPr>
      <w:r>
        <w:rPr>
          <w:rFonts w:hint="eastAsia" w:ascii="Times New Roman" w:hAnsi="Times New Roman" w:eastAsia="宋体" w:cs="Times New Roman"/>
          <w:b/>
          <w:bCs/>
        </w:rPr>
        <w:t>（3）资格确认：</w:t>
      </w:r>
      <w:r>
        <w:rPr>
          <w:rFonts w:hint="eastAsia" w:ascii="Times New Roman" w:hAnsi="Times New Roman" w:eastAsia="宋体" w:cs="Times New Roman"/>
        </w:rPr>
        <w:t>显示营业地址的</w:t>
      </w:r>
      <w:r>
        <w:rPr>
          <w:rFonts w:hint="eastAsia" w:ascii="Calibri" w:hAnsi="Calibri" w:eastAsia="宋体" w:cs="Calibri"/>
        </w:rPr>
        <w:t>的营业执照，</w:t>
      </w:r>
      <w:r>
        <w:rPr>
          <w:rFonts w:hint="eastAsia"/>
        </w:rPr>
        <w:t>注册地</w:t>
      </w:r>
      <w:r>
        <w:rPr>
          <w:rFonts w:hint="eastAsia" w:ascii="Times New Roman" w:hAnsi="Times New Roman" w:eastAsia="宋体" w:cs="Times New Roman"/>
        </w:rPr>
        <w:t>为</w:t>
      </w:r>
      <w:r>
        <w:rPr>
          <w:rFonts w:hint="eastAsia"/>
        </w:rPr>
        <w:t>国家级贫困县或少数民主地区证明资料</w:t>
      </w:r>
      <w:r>
        <w:rPr>
          <w:rFonts w:hint="eastAsia" w:ascii="Times New Roman" w:hAnsi="Times New Roman" w:eastAsia="宋体" w:cs="Times New Roman"/>
        </w:rPr>
        <w:t>，在投标文件或响应文件中应明显标示，以便查阅，若因放置问题导致评审专家无法找到，供应商自行承担后果。</w:t>
      </w:r>
    </w:p>
    <w:p>
      <w:pPr>
        <w:pStyle w:val="6"/>
        <w:wordWrap w:val="0"/>
      </w:pPr>
      <w:r>
        <w:rPr>
          <w:rFonts w:hint="eastAsia"/>
        </w:rPr>
        <w:t>九、绿色包装</w:t>
      </w:r>
    </w:p>
    <w:p>
      <w:pPr>
        <w:tabs>
          <w:tab w:val="left" w:pos="812"/>
        </w:tabs>
        <w:wordWrap w:val="0"/>
        <w:adjustRightInd w:val="0"/>
        <w:snapToGrid w:val="0"/>
        <w:ind w:firstLine="482" w:firstLineChars="200"/>
        <w:jc w:val="left"/>
        <w:rPr>
          <w:rFonts w:ascii="Times New Roman" w:hAnsi="Times New Roman" w:eastAsia="宋体" w:cs="Times New Roman"/>
        </w:rPr>
      </w:pPr>
      <w:r>
        <w:rPr>
          <w:rFonts w:hint="eastAsia" w:ascii="Times New Roman" w:hAnsi="Times New Roman" w:eastAsia="宋体" w:cs="Times New Roman"/>
          <w:b/>
          <w:bCs/>
        </w:rPr>
        <w:t>（1）采购政策：</w:t>
      </w:r>
      <w:r>
        <w:rPr>
          <w:rFonts w:hint="eastAsia" w:ascii="Times New Roman" w:hAnsi="Times New Roman" w:eastAsia="宋体" w:cs="Times New Roman"/>
        </w:rPr>
        <w:t>关于印发《商品包装政府采购需求标准（试行）》、《快递包装政府采购需求标准（试行）》的通知（财办库〔2020〕123号）</w:t>
      </w:r>
    </w:p>
    <w:p>
      <w:pPr>
        <w:tabs>
          <w:tab w:val="left" w:pos="812"/>
        </w:tabs>
        <w:wordWrap w:val="0"/>
        <w:adjustRightInd w:val="0"/>
        <w:snapToGrid w:val="0"/>
        <w:ind w:firstLine="482" w:firstLineChars="200"/>
        <w:jc w:val="left"/>
        <w:rPr>
          <w:rFonts w:ascii="Times New Roman" w:hAnsi="Times New Roman" w:eastAsia="宋体" w:cs="Times New Roman"/>
        </w:rPr>
      </w:pPr>
      <w:r>
        <w:rPr>
          <w:rFonts w:hint="eastAsia" w:ascii="Times New Roman" w:hAnsi="Times New Roman" w:eastAsia="宋体" w:cs="Times New Roman"/>
          <w:b/>
          <w:bCs/>
        </w:rPr>
        <w:t>（2）实施措施：</w:t>
      </w:r>
      <w:r>
        <w:rPr>
          <w:rFonts w:hint="eastAsia" w:ascii="Times New Roman" w:hAnsi="Times New Roman" w:eastAsia="宋体" w:cs="Times New Roman"/>
        </w:rPr>
        <w:t>为助力打好污染防治攻坚战，推广使用绿色包装，供应商提供产品及相关快递服务的具体包装要求和履约验收应符合关于印发《商品包装政府采购需求标准（试行）》、《快递包装政府采购需求标准（试行）》的通知（财办库〔2020〕123号）文件规定。</w:t>
      </w:r>
    </w:p>
    <w:p>
      <w:pPr>
        <w:tabs>
          <w:tab w:val="left" w:pos="812"/>
        </w:tabs>
        <w:wordWrap w:val="0"/>
        <w:adjustRightInd w:val="0"/>
        <w:snapToGrid w:val="0"/>
        <w:ind w:firstLine="482" w:firstLineChars="200"/>
        <w:jc w:val="left"/>
        <w:rPr>
          <w:rFonts w:ascii="Times New Roman" w:hAnsi="Times New Roman" w:eastAsia="宋体" w:cs="Times New Roman"/>
        </w:rPr>
      </w:pPr>
      <w:r>
        <w:rPr>
          <w:rFonts w:hint="eastAsia" w:ascii="Times New Roman" w:hAnsi="Times New Roman" w:eastAsia="宋体" w:cs="Times New Roman"/>
          <w:b/>
          <w:bCs/>
        </w:rPr>
        <w:t>（3）资格确认：</w:t>
      </w:r>
      <w:r>
        <w:rPr>
          <w:rFonts w:hint="eastAsia" w:ascii="Times New Roman" w:hAnsi="Times New Roman" w:eastAsia="宋体" w:cs="Times New Roman"/>
        </w:rPr>
        <w:t>供应商或中标、成交后，须严格安装该标准执行。</w:t>
      </w:r>
    </w:p>
    <w:p>
      <w:pPr>
        <w:pStyle w:val="6"/>
        <w:wordWrap w:val="0"/>
      </w:pPr>
      <w:r>
        <w:rPr>
          <w:rFonts w:hint="eastAsia"/>
        </w:rPr>
        <w:t>十、政府采购合同融资</w:t>
      </w:r>
    </w:p>
    <w:p>
      <w:pPr>
        <w:tabs>
          <w:tab w:val="left" w:pos="812"/>
        </w:tabs>
        <w:wordWrap w:val="0"/>
        <w:adjustRightInd w:val="0"/>
        <w:snapToGrid w:val="0"/>
        <w:ind w:firstLine="482" w:firstLineChars="200"/>
        <w:jc w:val="left"/>
        <w:rPr>
          <w:rFonts w:ascii="Times New Roman" w:hAnsi="Times New Roman" w:eastAsia="宋体" w:cs="Times New Roman"/>
        </w:rPr>
      </w:pPr>
      <w:r>
        <w:rPr>
          <w:rFonts w:hint="eastAsia" w:ascii="Times New Roman" w:hAnsi="Times New Roman" w:eastAsia="宋体" w:cs="Times New Roman"/>
          <w:b/>
          <w:bCs/>
        </w:rPr>
        <w:t>（1）采购政策：</w:t>
      </w:r>
      <w:r>
        <w:rPr>
          <w:rFonts w:hint="eastAsia" w:ascii="Times New Roman" w:hAnsi="Times New Roman" w:eastAsia="宋体" w:cs="Times New Roman"/>
        </w:rPr>
        <w:t>河南省财政厅关于印发深入推进政府采购合同融资工作实施方案的通知（豫财办﹝2020﹞33号）</w:t>
      </w:r>
    </w:p>
    <w:p>
      <w:pPr>
        <w:tabs>
          <w:tab w:val="left" w:pos="812"/>
        </w:tabs>
        <w:wordWrap w:val="0"/>
        <w:adjustRightInd w:val="0"/>
        <w:snapToGrid w:val="0"/>
        <w:ind w:firstLine="482" w:firstLineChars="200"/>
        <w:jc w:val="left"/>
      </w:pPr>
      <w:r>
        <w:rPr>
          <w:rFonts w:hint="eastAsia" w:ascii="Times New Roman" w:hAnsi="Times New Roman" w:eastAsia="宋体" w:cs="Times New Roman"/>
          <w:b/>
          <w:bCs/>
        </w:rPr>
        <w:t>（2）实施措施：</w:t>
      </w:r>
      <w:r>
        <w:rPr>
          <w:rFonts w:hint="eastAsia" w:ascii="Times New Roman" w:hAnsi="Times New Roman" w:eastAsia="宋体" w:cs="Times New Roman"/>
        </w:rPr>
        <w:t>可持政府采购合同向金融机构申请贷款，无需抵押、担保，融资机构将根据《河南省政府采购合同融资工作实施方案》（豫财购〔2017〕10号），按照双方自愿的原则提供便捷、优惠的贷款服务。贷款渠道和提供贷款的金融机构，可在河南省政府采购网</w:t>
      </w:r>
      <w:r>
        <w:rPr>
          <w:rFonts w:hint="eastAsia"/>
        </w:rPr>
        <w:t>“河南省政府采购合同融资平台”查询联系。</w:t>
      </w:r>
    </w:p>
    <w:p>
      <w:pPr>
        <w:wordWrap w:val="0"/>
        <w:ind w:firstLine="482" w:firstLineChars="200"/>
      </w:pPr>
      <w:r>
        <w:rPr>
          <w:rFonts w:hint="eastAsia"/>
          <w:b/>
          <w:bCs/>
        </w:rPr>
        <w:t>（3）资格确认：</w:t>
      </w:r>
      <w:r>
        <w:rPr>
          <w:rFonts w:hint="eastAsia" w:ascii="Times New Roman" w:hAnsi="Times New Roman" w:eastAsia="宋体" w:cs="Times New Roman"/>
        </w:rPr>
        <w:t>供应商或中标、成交后，可享受该政策。</w:t>
      </w:r>
    </w:p>
    <w:p>
      <w:pPr>
        <w:wordWrap w:val="0"/>
      </w:pPr>
      <w:r>
        <w:rPr>
          <w:rFonts w:hint="eastAsia"/>
        </w:rPr>
        <w:br w:type="page"/>
      </w:r>
    </w:p>
    <w:p>
      <w:pPr>
        <w:pStyle w:val="5"/>
        <w:wordWrap w:val="0"/>
      </w:pPr>
      <w:r>
        <w:rPr>
          <w:rFonts w:hint="eastAsia"/>
        </w:rPr>
        <w:t>第六章 资格审查与评标</w:t>
      </w:r>
    </w:p>
    <w:p>
      <w:pPr>
        <w:pStyle w:val="6"/>
        <w:wordWrap w:val="0"/>
      </w:pPr>
      <w:r>
        <w:rPr>
          <w:rFonts w:hint="eastAsia"/>
        </w:rPr>
        <w:t>一、资格审查</w:t>
      </w:r>
    </w:p>
    <w:p>
      <w:pPr>
        <w:wordWrap w:val="0"/>
        <w:ind w:firstLine="480" w:firstLineChars="200"/>
      </w:pPr>
      <w:r>
        <w:rPr>
          <w:rFonts w:hint="eastAsia"/>
        </w:rPr>
        <w:t>（一）开标结束后，采购人依法对投标人资格进行审查。</w:t>
      </w:r>
    </w:p>
    <w:p>
      <w:pPr>
        <w:wordWrap w:val="0"/>
        <w:ind w:firstLine="480" w:firstLineChars="200"/>
      </w:pPr>
      <w:r>
        <w:rPr>
          <w:rFonts w:hint="eastAsia"/>
        </w:rPr>
        <w:t>（二）资格证明材料（本栏所列内容为本项目的资格审查条件，如有一项不符合要求，则不能进入下一步评审）。</w:t>
      </w:r>
    </w:p>
    <w:p>
      <w:pPr>
        <w:wordWrap w:val="0"/>
        <w:ind w:firstLine="480" w:firstLineChars="200"/>
      </w:pPr>
      <w:r>
        <w:rPr>
          <w:rFonts w:hint="eastAsia"/>
        </w:rPr>
        <w:t>（三）资格审查中所涉及到的证书及材料，均须在电子投标文件中提供原件扫描件（或图片）。</w:t>
      </w:r>
    </w:p>
    <w:tbl>
      <w:tblPr>
        <w:tblStyle w:val="13"/>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wordWrap w:val="0"/>
              <w:jc w:val="center"/>
            </w:pPr>
            <w:r>
              <w:rPr>
                <w:rFonts w:hint="eastAsia"/>
              </w:rPr>
              <w:t>序号</w:t>
            </w:r>
          </w:p>
        </w:tc>
        <w:tc>
          <w:tcPr>
            <w:tcW w:w="2410" w:type="dxa"/>
            <w:vAlign w:val="center"/>
          </w:tcPr>
          <w:p>
            <w:pPr>
              <w:wordWrap w:val="0"/>
              <w:jc w:val="center"/>
            </w:pPr>
            <w:r>
              <w:rPr>
                <w:rFonts w:hint="eastAsia"/>
              </w:rPr>
              <w:t>资格审查</w:t>
            </w:r>
            <w:r>
              <w:t>因素</w:t>
            </w:r>
          </w:p>
        </w:tc>
        <w:tc>
          <w:tcPr>
            <w:tcW w:w="5954" w:type="dxa"/>
            <w:vAlign w:val="center"/>
          </w:tcPr>
          <w:p>
            <w:pPr>
              <w:wordWrap w:val="0"/>
              <w:jc w:val="center"/>
            </w:pPr>
            <w:r>
              <w:rPr>
                <w:rFonts w:hint="eastAsia"/>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wordWrap w:val="0"/>
              <w:jc w:val="center"/>
            </w:pPr>
            <w:r>
              <w:rPr>
                <w:rFonts w:hint="eastAsia"/>
              </w:rPr>
              <w:t>1</w:t>
            </w:r>
          </w:p>
        </w:tc>
        <w:tc>
          <w:tcPr>
            <w:tcW w:w="2410" w:type="dxa"/>
            <w:vAlign w:val="center"/>
          </w:tcPr>
          <w:p>
            <w:pPr>
              <w:wordWrap w:val="0"/>
              <w:jc w:val="center"/>
            </w:pPr>
            <w:r>
              <w:rPr>
                <w:rFonts w:hint="eastAsia"/>
              </w:rPr>
              <w:t>投标函</w:t>
            </w:r>
          </w:p>
        </w:tc>
        <w:tc>
          <w:tcPr>
            <w:tcW w:w="5954" w:type="dxa"/>
            <w:vAlign w:val="center"/>
          </w:tcPr>
          <w:p>
            <w:pPr>
              <w:wordWrap w:val="0"/>
              <w:jc w:val="left"/>
            </w:pPr>
            <w:r>
              <w:rPr>
                <w:rFonts w:hint="eastAsia"/>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wordWrap w:val="0"/>
              <w:jc w:val="center"/>
            </w:pPr>
            <w:r>
              <w:rPr>
                <w:rFonts w:hint="eastAsia"/>
              </w:rPr>
              <w:t>2</w:t>
            </w:r>
          </w:p>
        </w:tc>
        <w:tc>
          <w:tcPr>
            <w:tcW w:w="2410" w:type="dxa"/>
            <w:vAlign w:val="center"/>
          </w:tcPr>
          <w:p>
            <w:pPr>
              <w:wordWrap w:val="0"/>
              <w:jc w:val="center"/>
            </w:pPr>
            <w:r>
              <w:rPr>
                <w:rFonts w:hint="eastAsia"/>
              </w:rPr>
              <w:t>法人或者其他组织的营业执照等证明文件，自然人的身份证明</w:t>
            </w:r>
          </w:p>
        </w:tc>
        <w:tc>
          <w:tcPr>
            <w:tcW w:w="5954" w:type="dxa"/>
            <w:vAlign w:val="center"/>
          </w:tcPr>
          <w:p>
            <w:pPr>
              <w:wordWrap w:val="0"/>
              <w:jc w:val="left"/>
            </w:pPr>
            <w:r>
              <w:rPr>
                <w:rFonts w:hint="eastAsia"/>
              </w:rPr>
              <w:t>（1）企业法人营业执照或营业执照。（企业投标提供）</w:t>
            </w:r>
          </w:p>
          <w:p>
            <w:pPr>
              <w:wordWrap w:val="0"/>
              <w:jc w:val="left"/>
            </w:pPr>
            <w:r>
              <w:rPr>
                <w:rFonts w:hint="eastAsia"/>
              </w:rPr>
              <w:t>（2）事业单位法人证书。（事业单位投标提供）</w:t>
            </w:r>
          </w:p>
          <w:p>
            <w:pPr>
              <w:wordWrap w:val="0"/>
              <w:jc w:val="left"/>
            </w:pPr>
            <w:r>
              <w:rPr>
                <w:rFonts w:hint="eastAsia"/>
              </w:rPr>
              <w:t>（3）执业许可证。（非企业专业服务机构投标提供）</w:t>
            </w:r>
          </w:p>
          <w:p>
            <w:pPr>
              <w:wordWrap w:val="0"/>
              <w:jc w:val="left"/>
            </w:pPr>
            <w:r>
              <w:rPr>
                <w:rFonts w:hint="eastAsia"/>
              </w:rPr>
              <w:t>（4）个体工商户营业执照。（个体工商户投标提供）</w:t>
            </w:r>
          </w:p>
          <w:p>
            <w:pPr>
              <w:wordWrap w:val="0"/>
              <w:jc w:val="left"/>
            </w:pPr>
            <w:r>
              <w:rPr>
                <w:rFonts w:hint="eastAsia"/>
              </w:rPr>
              <w:t>（5）自然人身份证明。（自然人投标提供）</w:t>
            </w:r>
          </w:p>
          <w:p>
            <w:pPr>
              <w:wordWrap w:val="0"/>
              <w:jc w:val="left"/>
            </w:pPr>
            <w:r>
              <w:rPr>
                <w:rFonts w:hint="eastAsia"/>
              </w:rPr>
              <w:t>（6）民办非企业单位登记证书。（民办非企业单位投标提供）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wordWrap w:val="0"/>
              <w:jc w:val="center"/>
            </w:pPr>
            <w:r>
              <w:rPr>
                <w:rFonts w:hint="eastAsia"/>
              </w:rPr>
              <w:t>3</w:t>
            </w:r>
          </w:p>
        </w:tc>
        <w:tc>
          <w:tcPr>
            <w:tcW w:w="2410" w:type="dxa"/>
            <w:vAlign w:val="center"/>
          </w:tcPr>
          <w:p>
            <w:pPr>
              <w:wordWrap w:val="0"/>
              <w:jc w:val="center"/>
            </w:pPr>
            <w:r>
              <w:rPr>
                <w:rFonts w:hint="eastAsia"/>
              </w:rPr>
              <w:t>财务状况报告相关材料</w:t>
            </w:r>
          </w:p>
        </w:tc>
        <w:tc>
          <w:tcPr>
            <w:tcW w:w="5954" w:type="dxa"/>
            <w:vAlign w:val="center"/>
          </w:tcPr>
          <w:p>
            <w:pPr>
              <w:wordWrap w:val="0"/>
              <w:jc w:val="left"/>
            </w:pPr>
            <w:r>
              <w:rPr>
                <w:rFonts w:hint="eastAsia"/>
              </w:rPr>
              <w:t>（1）投标人是法人（法人包括企业法人、机关法人、事业单位法人和社会团体法人），提供本单位：</w:t>
            </w:r>
          </w:p>
          <w:p>
            <w:pPr>
              <w:wordWrap w:val="0"/>
              <w:jc w:val="left"/>
            </w:pPr>
            <w:r>
              <w:rPr>
                <w:rFonts w:hint="eastAsia"/>
              </w:rPr>
              <w:t>①2</w:t>
            </w:r>
            <w:r>
              <w:t>020</w:t>
            </w:r>
            <w:r>
              <w:rPr>
                <w:rFonts w:hint="eastAsia"/>
              </w:rPr>
              <w:t>年度经审计的财务报告；</w:t>
            </w:r>
          </w:p>
          <w:p>
            <w:pPr>
              <w:wordWrap w:val="0"/>
              <w:jc w:val="left"/>
            </w:pPr>
            <w:r>
              <w:rPr>
                <w:rFonts w:hint="eastAsia"/>
              </w:rPr>
              <w:t>②基本开户银行出具的资信证明；</w:t>
            </w:r>
          </w:p>
          <w:p>
            <w:pPr>
              <w:wordWrap w:val="0"/>
              <w:jc w:val="left"/>
            </w:pPr>
            <w:r>
              <w:rPr>
                <w:rFonts w:hint="eastAsia"/>
              </w:rPr>
              <w:t>③财政部门认可的政府采购专业担保机构的证明文件和担保机构出具的投标担保函。</w:t>
            </w:r>
          </w:p>
          <w:p>
            <w:pPr>
              <w:wordWrap w:val="0"/>
              <w:jc w:val="left"/>
            </w:pPr>
            <w:r>
              <w:rPr>
                <w:rFonts w:hint="eastAsia"/>
                <w:lang w:val="zh-CN"/>
              </w:rPr>
              <w:t>注：仅需提供序号</w:t>
            </w:r>
            <w:r>
              <w:rPr>
                <w:rFonts w:hint="eastAsia"/>
              </w:rPr>
              <w:t>①～③其中之一即可。</w:t>
            </w:r>
          </w:p>
          <w:p>
            <w:pPr>
              <w:wordWrap w:val="0"/>
              <w:jc w:val="left"/>
            </w:pPr>
            <w:r>
              <w:rPr>
                <w:rFonts w:hint="eastAsia"/>
              </w:rPr>
              <w:t>（2）投标人（其他组织和自然人）提供本单位：</w:t>
            </w:r>
          </w:p>
          <w:p>
            <w:pPr>
              <w:wordWrap w:val="0"/>
              <w:jc w:val="left"/>
            </w:pPr>
            <w:r>
              <w:rPr>
                <w:rFonts w:hint="eastAsia"/>
              </w:rPr>
              <w:t>①</w:t>
            </w:r>
            <w:r>
              <w:t>2020年度经审计的财务报告</w:t>
            </w:r>
            <w:r>
              <w:rPr>
                <w:rFonts w:hint="eastAsia"/>
              </w:rPr>
              <w:t>；</w:t>
            </w:r>
          </w:p>
          <w:p>
            <w:pPr>
              <w:wordWrap w:val="0"/>
              <w:jc w:val="left"/>
            </w:pPr>
            <w:r>
              <w:rPr>
                <w:rFonts w:hint="eastAsia"/>
              </w:rPr>
              <w:t>②银行出具的资信证明；</w:t>
            </w:r>
          </w:p>
          <w:p>
            <w:pPr>
              <w:wordWrap w:val="0"/>
              <w:jc w:val="left"/>
            </w:pPr>
            <w:r>
              <w:rPr>
                <w:rFonts w:hint="eastAsia"/>
              </w:rPr>
              <w:t>③财政部门认可的政府采购专业担保机构的证明文件和担保机构出具的投标担保函。</w:t>
            </w:r>
          </w:p>
          <w:p>
            <w:pPr>
              <w:wordWrap w:val="0"/>
              <w:jc w:val="left"/>
            </w:pPr>
            <w:r>
              <w:rPr>
                <w:rFonts w:hint="eastAsia"/>
                <w:lang w:val="zh-CN"/>
              </w:rPr>
              <w:t>注：仅需提供序号</w:t>
            </w:r>
            <w:r>
              <w:rPr>
                <w:rFonts w:hint="eastAsia"/>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wordWrap w:val="0"/>
              <w:jc w:val="center"/>
            </w:pPr>
            <w:r>
              <w:rPr>
                <w:rFonts w:hint="eastAsia"/>
              </w:rPr>
              <w:t>4</w:t>
            </w:r>
          </w:p>
        </w:tc>
        <w:tc>
          <w:tcPr>
            <w:tcW w:w="2410" w:type="dxa"/>
            <w:vAlign w:val="center"/>
          </w:tcPr>
          <w:p>
            <w:pPr>
              <w:wordWrap w:val="0"/>
              <w:jc w:val="center"/>
            </w:pPr>
            <w:r>
              <w:rPr>
                <w:rFonts w:hint="eastAsia"/>
              </w:rPr>
              <w:t>依法缴纳税收相关材料</w:t>
            </w:r>
          </w:p>
        </w:tc>
        <w:tc>
          <w:tcPr>
            <w:tcW w:w="5954" w:type="dxa"/>
            <w:vAlign w:val="center"/>
          </w:tcPr>
          <w:p>
            <w:pPr>
              <w:wordWrap w:val="0"/>
              <w:jc w:val="left"/>
            </w:pPr>
            <w:r>
              <w:rPr>
                <w:rFonts w:hint="eastAsia"/>
              </w:rPr>
              <w:t>投标人提供参加本次政府采购项目投标截止时间前六个月内任意一个月缴纳税收凭据。（依法免税的投标人，应提供相应文件证明依法免税）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wordWrap w:val="0"/>
              <w:jc w:val="center"/>
            </w:pPr>
            <w:r>
              <w:rPr>
                <w:rFonts w:hint="eastAsia"/>
              </w:rPr>
              <w:t>5</w:t>
            </w:r>
          </w:p>
        </w:tc>
        <w:tc>
          <w:tcPr>
            <w:tcW w:w="2410" w:type="dxa"/>
            <w:vAlign w:val="center"/>
          </w:tcPr>
          <w:p>
            <w:pPr>
              <w:wordWrap w:val="0"/>
              <w:jc w:val="center"/>
            </w:pPr>
            <w:r>
              <w:rPr>
                <w:rFonts w:hint="eastAsia"/>
              </w:rPr>
              <w:t>依法缴纳社会保障资金的证明材料</w:t>
            </w:r>
          </w:p>
        </w:tc>
        <w:tc>
          <w:tcPr>
            <w:tcW w:w="5954" w:type="dxa"/>
            <w:vAlign w:val="center"/>
          </w:tcPr>
          <w:p>
            <w:pPr>
              <w:wordWrap w:val="0"/>
              <w:jc w:val="left"/>
            </w:pPr>
            <w:r>
              <w:rPr>
                <w:rFonts w:hint="eastAsia"/>
              </w:rPr>
              <w:t>投标人提供参加本次政府采购项目投标截止时间前六个月内任意一个月缴纳社会保险凭据。（依法不需要缴纳社会保障资金的投标人，应提供相应文件证明依法不需要缴纳社会保障资金）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wordWrap w:val="0"/>
              <w:jc w:val="center"/>
            </w:pPr>
            <w:r>
              <w:rPr>
                <w:rFonts w:hint="eastAsia"/>
              </w:rPr>
              <w:t>6</w:t>
            </w:r>
          </w:p>
        </w:tc>
        <w:tc>
          <w:tcPr>
            <w:tcW w:w="2410" w:type="dxa"/>
            <w:vAlign w:val="center"/>
          </w:tcPr>
          <w:p>
            <w:pPr>
              <w:wordWrap w:val="0"/>
              <w:jc w:val="center"/>
            </w:pPr>
            <w:r>
              <w:rPr>
                <w:rFonts w:hint="eastAsia"/>
              </w:rPr>
              <w:t>履行合同所必须的设备和专业技术能力的证明材料</w:t>
            </w:r>
          </w:p>
        </w:tc>
        <w:tc>
          <w:tcPr>
            <w:tcW w:w="5954" w:type="dxa"/>
            <w:vAlign w:val="center"/>
          </w:tcPr>
          <w:p>
            <w:pPr>
              <w:wordWrap w:val="0"/>
              <w:jc w:val="left"/>
            </w:pPr>
            <w:r>
              <w:rPr>
                <w:rFonts w:hint="eastAsia"/>
              </w:rPr>
              <w:t>①与本项目投标相关设备的购置发票、专业技术人员职称证书、用工合同等；</w:t>
            </w:r>
          </w:p>
          <w:p>
            <w:pPr>
              <w:wordWrap w:val="0"/>
              <w:jc w:val="left"/>
            </w:pPr>
            <w:r>
              <w:rPr>
                <w:rFonts w:hint="eastAsia"/>
              </w:rPr>
              <w:t>②投标人具备履行合同所必须的设备和专业技术能力承诺函或声明（承诺函或声明格式自拟）。</w:t>
            </w:r>
          </w:p>
          <w:p>
            <w:pPr>
              <w:wordWrap w:val="0"/>
              <w:jc w:val="left"/>
            </w:pPr>
            <w:r>
              <w:rPr>
                <w:rFonts w:hint="eastAsia"/>
                <w:lang w:val="zh-CN"/>
              </w:rPr>
              <w:t>注：仅需提供序号</w:t>
            </w:r>
            <w:r>
              <w:rPr>
                <w:rFonts w:hint="eastAsia"/>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wordWrap w:val="0"/>
              <w:jc w:val="center"/>
            </w:pPr>
            <w:r>
              <w:rPr>
                <w:rFonts w:hint="eastAsia"/>
              </w:rPr>
              <w:t>7</w:t>
            </w:r>
          </w:p>
        </w:tc>
        <w:tc>
          <w:tcPr>
            <w:tcW w:w="2410" w:type="dxa"/>
            <w:vAlign w:val="center"/>
          </w:tcPr>
          <w:p>
            <w:pPr>
              <w:wordWrap w:val="0"/>
              <w:jc w:val="center"/>
            </w:pPr>
            <w:r>
              <w:rPr>
                <w:rFonts w:hint="eastAsia"/>
              </w:rPr>
              <w:t>参加政府采购活动前3年内在经营活动中没有重大违法记录的声明</w:t>
            </w:r>
          </w:p>
        </w:tc>
        <w:tc>
          <w:tcPr>
            <w:tcW w:w="5954" w:type="dxa"/>
            <w:vAlign w:val="center"/>
          </w:tcPr>
          <w:p>
            <w:pPr>
              <w:wordWrap w:val="0"/>
              <w:jc w:val="left"/>
            </w:pPr>
            <w:r>
              <w:rPr>
                <w:rFonts w:hint="eastAsia"/>
              </w:rPr>
              <w:t>按照招标文件提供格式填写。投标人“参加政府采购活动前3年内在经营活动中没有重大违法记录的书面声明”。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wordWrap w:val="0"/>
              <w:jc w:val="center"/>
            </w:pPr>
            <w:r>
              <w:rPr>
                <w:rFonts w:hint="eastAsia"/>
              </w:rPr>
              <w:t>8</w:t>
            </w:r>
          </w:p>
        </w:tc>
        <w:tc>
          <w:tcPr>
            <w:tcW w:w="2410" w:type="dxa"/>
            <w:vAlign w:val="center"/>
          </w:tcPr>
          <w:p>
            <w:pPr>
              <w:wordWrap w:val="0"/>
              <w:jc w:val="center"/>
            </w:pPr>
            <w:r>
              <w:rPr>
                <w:rFonts w:hint="eastAsia"/>
              </w:rPr>
              <w:t>信用记录查询及使用</w:t>
            </w:r>
          </w:p>
        </w:tc>
        <w:tc>
          <w:tcPr>
            <w:tcW w:w="5954" w:type="dxa"/>
            <w:vAlign w:val="center"/>
          </w:tcPr>
          <w:p>
            <w:pPr>
              <w:wordWrap w:val="0"/>
              <w:jc w:val="left"/>
            </w:pPr>
            <w:r>
              <w:rPr>
                <w:rFonts w:hint="eastAsia"/>
              </w:rPr>
              <w:t>政府采购活动中查询及使用投标人信用记录的具体要求为：投标人未被列入</w:t>
            </w:r>
            <w:r>
              <w:t>“信用中国”网站</w:t>
            </w:r>
            <w:r>
              <w:rPr>
                <w:rFonts w:hint="eastAsia"/>
              </w:rPr>
              <w:t>失信被执行人、重大税收违法案件当事人名单、</w:t>
            </w:r>
            <w:r>
              <w:t>政府采购严重违法失信名单</w:t>
            </w:r>
            <w:r>
              <w:rPr>
                <w:rFonts w:hint="eastAsia"/>
              </w:rPr>
              <w:t>、“</w:t>
            </w:r>
            <w:r>
              <w:t>中国政府采购网</w:t>
            </w:r>
            <w:r>
              <w:rPr>
                <w:rFonts w:hint="eastAsia"/>
              </w:rPr>
              <w:t>”政府采购严重违法失信行为记录名单、“中国社会组织公共服务平台”网站（</w:t>
            </w:r>
            <w:r>
              <w:t>www.chinanpo.gov.cn</w:t>
            </w:r>
            <w:r>
              <w:rPr>
                <w:rFonts w:hint="eastAsia"/>
              </w:rPr>
              <w:t>）严重违法失信社会组织名单的投标人；（联合体形式投标的，联合体成员存在不良信用记录，视同联合体存在不良信用记录）。</w:t>
            </w:r>
          </w:p>
          <w:p>
            <w:pPr>
              <w:wordWrap w:val="0"/>
              <w:jc w:val="left"/>
            </w:pPr>
            <w:r>
              <w:rPr>
                <w:rFonts w:hint="eastAsia"/>
              </w:rPr>
              <w:t>（1）查询渠道：</w:t>
            </w:r>
          </w:p>
          <w:p>
            <w:pPr>
              <w:wordWrap w:val="0"/>
              <w:jc w:val="left"/>
            </w:pPr>
            <w:r>
              <w:rPr>
                <w:rFonts w:hint="eastAsia"/>
              </w:rPr>
              <w:t>①“信用中国”网站（</w:t>
            </w:r>
            <w:r>
              <w:fldChar w:fldCharType="begin"/>
            </w:r>
            <w:r>
              <w:instrText xml:space="preserve"> HYPERLINK "http://www.creditchina.gov.cn" </w:instrText>
            </w:r>
            <w:r>
              <w:fldChar w:fldCharType="separate"/>
            </w:r>
            <w:r>
              <w:rPr>
                <w:rFonts w:hint="eastAsia"/>
              </w:rPr>
              <w:t>www.creditchina.gov.cn</w:t>
            </w:r>
            <w:r>
              <w:rPr>
                <w:rFonts w:hint="eastAsia"/>
              </w:rPr>
              <w:fldChar w:fldCharType="end"/>
            </w:r>
            <w:r>
              <w:rPr>
                <w:rFonts w:hint="eastAsia"/>
              </w:rPr>
              <w:t>）</w:t>
            </w:r>
          </w:p>
          <w:p>
            <w:pPr>
              <w:wordWrap w:val="0"/>
              <w:jc w:val="left"/>
            </w:pPr>
            <w:r>
              <w:rPr>
                <w:rFonts w:hint="eastAsia"/>
              </w:rPr>
              <w:t>②“中国政府采购网”（www.ccgp.gov.cn）</w:t>
            </w:r>
          </w:p>
          <w:p>
            <w:pPr>
              <w:wordWrap w:val="0"/>
              <w:jc w:val="left"/>
            </w:pPr>
            <w:r>
              <w:rPr>
                <w:rFonts w:hint="eastAsia"/>
              </w:rPr>
              <w:t>③“中国社会组织公共服务平台”网站（</w:t>
            </w:r>
            <w:r>
              <w:t>www.chinanpo.gov.cn</w:t>
            </w:r>
            <w:r>
              <w:rPr>
                <w:rFonts w:hint="eastAsia"/>
              </w:rPr>
              <w:t>）（仅查询社会组织）；</w:t>
            </w:r>
          </w:p>
          <w:p>
            <w:pPr>
              <w:wordWrap w:val="0"/>
              <w:jc w:val="left"/>
            </w:pPr>
            <w:r>
              <w:rPr>
                <w:rFonts w:hint="eastAsia"/>
              </w:rPr>
              <w:t>（2）截止时间：同投标截止时间；</w:t>
            </w:r>
          </w:p>
          <w:p>
            <w:pPr>
              <w:wordWrap w:val="0"/>
              <w:jc w:val="left"/>
            </w:pPr>
            <w:r>
              <w:rPr>
                <w:rFonts w:hint="eastAsia"/>
              </w:rPr>
              <w:t>（3）信用信息查询记录和证据留存具体方式：经采购人确认的查询结果网页截图作为查询记录和证据，与其他采购文件一并保存；</w:t>
            </w:r>
          </w:p>
          <w:p>
            <w:pPr>
              <w:wordWrap w:val="0"/>
              <w:jc w:val="left"/>
            </w:pPr>
            <w:r>
              <w:rPr>
                <w:rFonts w:hint="eastAsia"/>
              </w:rPr>
              <w:t>（4）信用信息的使用原则：经采购人认定的被列入失信被执行人、重大税收违法案件当事人名单、政府采购严重违法失信行为记录名单的投标人，严重违法失信企业名单（黑名单）、严重违法失信社会组织的投标人，将拒绝其参与本次政府采购活动。</w:t>
            </w:r>
          </w:p>
          <w:p>
            <w:pPr>
              <w:wordWrap w:val="0"/>
              <w:jc w:val="left"/>
            </w:pPr>
            <w:r>
              <w:rPr>
                <w:rFonts w:hint="eastAsia"/>
              </w:rPr>
              <w:t>（</w:t>
            </w:r>
            <w:r>
              <w:t>5）投标人不良信用记录以采购人查询结果为准，采购人查询之后，网站信息发生的任何变更不再作为评审依据，投标人自行提供的与网站信息不一致的其他证明材料亦不作为评审依据。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trPr>
        <w:tc>
          <w:tcPr>
            <w:tcW w:w="675" w:type="dxa"/>
            <w:vAlign w:val="center"/>
          </w:tcPr>
          <w:p>
            <w:pPr>
              <w:wordWrap w:val="0"/>
              <w:jc w:val="center"/>
            </w:pPr>
            <w:r>
              <w:rPr>
                <w:rFonts w:hint="eastAsia"/>
              </w:rPr>
              <w:t>9</w:t>
            </w:r>
          </w:p>
        </w:tc>
        <w:tc>
          <w:tcPr>
            <w:tcW w:w="2410" w:type="dxa"/>
            <w:vAlign w:val="center"/>
          </w:tcPr>
          <w:p>
            <w:pPr>
              <w:wordWrap w:val="0"/>
              <w:jc w:val="center"/>
            </w:pPr>
            <w:r>
              <w:rPr>
                <w:rFonts w:hint="eastAsia"/>
              </w:rPr>
              <w:t>投标人须具备的特殊</w:t>
            </w:r>
          </w:p>
          <w:p>
            <w:pPr>
              <w:wordWrap w:val="0"/>
              <w:jc w:val="center"/>
            </w:pPr>
            <w:r>
              <w:rPr>
                <w:rFonts w:hint="eastAsia"/>
              </w:rPr>
              <w:t>资质证书</w:t>
            </w:r>
          </w:p>
        </w:tc>
        <w:tc>
          <w:tcPr>
            <w:tcW w:w="5954" w:type="dxa"/>
            <w:vAlign w:val="center"/>
          </w:tcPr>
          <w:p>
            <w:pPr>
              <w:wordWrap w:val="0"/>
              <w:jc w:val="left"/>
            </w:pPr>
            <w:r>
              <w:rPr>
                <w:rFonts w:hint="eastAsia"/>
              </w:rPr>
              <w:t>以本项目招标公告要求为准。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3" w:hRule="atLeast"/>
        </w:trPr>
        <w:tc>
          <w:tcPr>
            <w:tcW w:w="675" w:type="dxa"/>
            <w:vAlign w:val="center"/>
          </w:tcPr>
          <w:p>
            <w:pPr>
              <w:wordWrap w:val="0"/>
              <w:jc w:val="center"/>
            </w:pPr>
            <w:r>
              <w:rPr>
                <w:rFonts w:hint="eastAsia"/>
              </w:rPr>
              <w:t>10</w:t>
            </w:r>
          </w:p>
        </w:tc>
        <w:tc>
          <w:tcPr>
            <w:tcW w:w="2410" w:type="dxa"/>
            <w:vAlign w:val="center"/>
          </w:tcPr>
          <w:p>
            <w:pPr>
              <w:wordWrap w:val="0"/>
              <w:jc w:val="center"/>
              <w:rPr>
                <w:lang w:val="zh-CN"/>
              </w:rPr>
            </w:pPr>
            <w:r>
              <w:rPr>
                <w:rFonts w:hint="eastAsia"/>
                <w:lang w:val="zh-CN"/>
              </w:rPr>
              <w:t>投标承诺函及招标文件费用</w:t>
            </w:r>
          </w:p>
        </w:tc>
        <w:tc>
          <w:tcPr>
            <w:tcW w:w="5954" w:type="dxa"/>
            <w:vAlign w:val="center"/>
          </w:tcPr>
          <w:p>
            <w:pPr>
              <w:wordWrap w:val="0"/>
              <w:jc w:val="left"/>
              <w:rPr>
                <w:lang w:val="zh-CN"/>
              </w:rPr>
            </w:pPr>
            <w:r>
              <w:rPr>
                <w:rFonts w:hint="eastAsia"/>
                <w:lang w:val="zh-CN"/>
              </w:rPr>
              <w:t>1、投标人投标文件中是否按招标文件要求提交投标承诺函。</w:t>
            </w:r>
          </w:p>
          <w:p>
            <w:pPr>
              <w:wordWrap w:val="0"/>
              <w:jc w:val="left"/>
              <w:rPr>
                <w:lang w:val="zh-CN"/>
              </w:rPr>
            </w:pPr>
            <w:r>
              <w:rPr>
                <w:rFonts w:hint="eastAsia"/>
                <w:lang w:val="zh-CN"/>
              </w:rPr>
              <w:t>2、投标人是否按招标文件要求在规定的时间内缴纳招标文件费用。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9" w:hRule="atLeast"/>
        </w:trPr>
        <w:tc>
          <w:tcPr>
            <w:tcW w:w="675" w:type="dxa"/>
            <w:vAlign w:val="center"/>
          </w:tcPr>
          <w:p>
            <w:pPr>
              <w:wordWrap w:val="0"/>
              <w:jc w:val="center"/>
            </w:pPr>
            <w:r>
              <w:rPr>
                <w:rFonts w:hint="eastAsia"/>
              </w:rPr>
              <w:t>11</w:t>
            </w:r>
          </w:p>
        </w:tc>
        <w:tc>
          <w:tcPr>
            <w:tcW w:w="2410" w:type="dxa"/>
            <w:vAlign w:val="center"/>
          </w:tcPr>
          <w:p>
            <w:pPr>
              <w:wordWrap w:val="0"/>
              <w:jc w:val="center"/>
            </w:pPr>
            <w:r>
              <w:rPr>
                <w:rFonts w:hint="eastAsia"/>
              </w:rPr>
              <w:t>投标</w:t>
            </w:r>
            <w:r>
              <w:rPr>
                <w:rFonts w:hint="eastAsia"/>
                <w:lang w:val="zh-CN"/>
              </w:rPr>
              <w:t>报价</w:t>
            </w:r>
          </w:p>
        </w:tc>
        <w:tc>
          <w:tcPr>
            <w:tcW w:w="5954" w:type="dxa"/>
            <w:vAlign w:val="center"/>
          </w:tcPr>
          <w:p>
            <w:pPr>
              <w:wordWrap w:val="0"/>
              <w:jc w:val="left"/>
              <w:rPr>
                <w:lang w:val="zh-CN"/>
              </w:rPr>
            </w:pPr>
            <w:r>
              <w:rPr>
                <w:rFonts w:hint="eastAsia"/>
                <w:lang w:val="zh-CN"/>
              </w:rPr>
              <w:t>投标报价是否未超出招标文件中规定的预算金额，超出预算金额的投标无效。如投标人须知前附表规定最高限价，则超出预算金额和最高限价的投标无效。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wordWrap w:val="0"/>
              <w:jc w:val="center"/>
            </w:pPr>
            <w:r>
              <w:rPr>
                <w:rFonts w:hint="eastAsia"/>
              </w:rPr>
              <w:t>12</w:t>
            </w:r>
          </w:p>
        </w:tc>
        <w:tc>
          <w:tcPr>
            <w:tcW w:w="2410" w:type="dxa"/>
            <w:vAlign w:val="center"/>
          </w:tcPr>
          <w:p>
            <w:pPr>
              <w:wordWrap w:val="0"/>
              <w:jc w:val="center"/>
            </w:pPr>
            <w:r>
              <w:rPr>
                <w:rFonts w:hint="eastAsia"/>
              </w:rPr>
              <w:t>联合体协议</w:t>
            </w:r>
          </w:p>
        </w:tc>
        <w:tc>
          <w:tcPr>
            <w:tcW w:w="5954" w:type="dxa"/>
            <w:vAlign w:val="center"/>
          </w:tcPr>
          <w:p>
            <w:pPr>
              <w:wordWrap w:val="0"/>
              <w:jc w:val="left"/>
            </w:pPr>
            <w:r>
              <w:rPr>
                <w:rFonts w:hint="eastAsia"/>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675" w:type="dxa"/>
            <w:vAlign w:val="center"/>
          </w:tcPr>
          <w:p>
            <w:pPr>
              <w:wordWrap w:val="0"/>
              <w:jc w:val="center"/>
            </w:pPr>
            <w:r>
              <w:rPr>
                <w:rFonts w:hint="eastAsia"/>
              </w:rPr>
              <w:t>13</w:t>
            </w:r>
          </w:p>
        </w:tc>
        <w:tc>
          <w:tcPr>
            <w:tcW w:w="2410" w:type="dxa"/>
            <w:vAlign w:val="center"/>
          </w:tcPr>
          <w:p>
            <w:pPr>
              <w:wordWrap w:val="0"/>
              <w:jc w:val="center"/>
            </w:pPr>
            <w:r>
              <w:rPr>
                <w:rFonts w:hint="eastAsia"/>
              </w:rPr>
              <w:t>投标人身份证明及授权</w:t>
            </w:r>
          </w:p>
        </w:tc>
        <w:tc>
          <w:tcPr>
            <w:tcW w:w="5954" w:type="dxa"/>
            <w:vAlign w:val="center"/>
          </w:tcPr>
          <w:p>
            <w:pPr>
              <w:wordWrap w:val="0"/>
              <w:jc w:val="left"/>
              <w:rPr>
                <w:lang w:val="zh-CN"/>
              </w:rPr>
            </w:pPr>
            <w:r>
              <w:rPr>
                <w:rFonts w:hint="eastAsia"/>
                <w:lang w:val="zh-CN"/>
              </w:rPr>
              <w:t>（1）法定代表人身份证明或提供法定代表人授权委托书及被授权人身份证明和社保证明。（法人投标提供）</w:t>
            </w:r>
          </w:p>
          <w:p>
            <w:pPr>
              <w:wordWrap w:val="0"/>
              <w:jc w:val="left"/>
              <w:rPr>
                <w:lang w:val="zh-CN"/>
              </w:rPr>
            </w:pPr>
            <w:r>
              <w:rPr>
                <w:rFonts w:hint="eastAsia"/>
                <w:lang w:val="zh-CN"/>
              </w:rPr>
              <w:t>（2）单位负责人身份证明或提供单位负责人授权委托书及被授权人身份证明和社保证明。（非法人投标提供）</w:t>
            </w:r>
          </w:p>
          <w:p>
            <w:pPr>
              <w:wordWrap w:val="0"/>
              <w:jc w:val="left"/>
              <w:rPr>
                <w:lang w:val="zh-CN"/>
              </w:rPr>
            </w:pPr>
            <w:r>
              <w:rPr>
                <w:rFonts w:hint="eastAsia"/>
                <w:lang w:val="zh-CN"/>
              </w:rPr>
              <w:t>注：</w:t>
            </w:r>
          </w:p>
          <w:p>
            <w:pPr>
              <w:wordWrap w:val="0"/>
              <w:jc w:val="left"/>
            </w:pPr>
            <w:r>
              <w:rPr>
                <w:rFonts w:hint="eastAsia"/>
              </w:rPr>
              <w:t>①企业（银行、保险、石油石化、电力、电信等行业除外）、事业单位和社会团体投标人以法人身份参加投标的，法定代表人应与实际提交的“营业执照等证明文件”载明的一致。</w:t>
            </w:r>
          </w:p>
          <w:p>
            <w:pPr>
              <w:wordWrap w:val="0"/>
              <w:jc w:val="left"/>
            </w:pPr>
            <w:r>
              <w:rPr>
                <w:rFonts w:hint="eastAsia"/>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pPr>
              <w:wordWrap w:val="0"/>
              <w:jc w:val="left"/>
            </w:pPr>
            <w:r>
              <w:rPr>
                <w:rFonts w:hint="eastAsia"/>
              </w:rPr>
              <w:t>③投标人为自然人的，无需填写法定代表人授权书。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wordWrap w:val="0"/>
              <w:jc w:val="center"/>
            </w:pPr>
            <w:r>
              <w:rPr>
                <w:rFonts w:hint="eastAsia"/>
              </w:rPr>
              <w:t>14</w:t>
            </w:r>
          </w:p>
        </w:tc>
        <w:tc>
          <w:tcPr>
            <w:tcW w:w="2410" w:type="dxa"/>
            <w:vAlign w:val="center"/>
          </w:tcPr>
          <w:p>
            <w:pPr>
              <w:wordWrap w:val="0"/>
              <w:jc w:val="center"/>
            </w:pPr>
            <w:r>
              <w:rPr>
                <w:rFonts w:hint="eastAsia"/>
              </w:rPr>
              <w:t>单位负责人为同一人或者存在直接控股、管理关系的不同供应商，不得参加同一合同项下的政府采购活动</w:t>
            </w:r>
          </w:p>
        </w:tc>
        <w:tc>
          <w:tcPr>
            <w:tcW w:w="5954" w:type="dxa"/>
            <w:vAlign w:val="center"/>
          </w:tcPr>
          <w:p>
            <w:pPr>
              <w:wordWrap w:val="0"/>
              <w:jc w:val="left"/>
            </w:pPr>
            <w:r>
              <w:rPr>
                <w:rFonts w:hint="eastAsia"/>
                <w:lang w:val="zh-CN"/>
              </w:rPr>
              <w:t>投标人提供与参加本项目投标的其他供应商之间，单位负责人不为同一人并且不存在直接控股、管理关系承诺函（承诺函格式自拟）。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wordWrap w:val="0"/>
              <w:jc w:val="center"/>
            </w:pPr>
            <w:r>
              <w:rPr>
                <w:rFonts w:hint="eastAsia"/>
              </w:rPr>
              <w:t>15</w:t>
            </w:r>
          </w:p>
        </w:tc>
        <w:tc>
          <w:tcPr>
            <w:tcW w:w="2410" w:type="dxa"/>
            <w:vAlign w:val="center"/>
          </w:tcPr>
          <w:p>
            <w:pPr>
              <w:wordWrap w:val="0"/>
              <w:jc w:val="center"/>
            </w:pPr>
            <w:r>
              <w:rPr>
                <w:rFonts w:hint="eastAsia"/>
              </w:rPr>
              <w:t>为本项目提供整体设计、规范编制或者项目管理、监理、检测等服务的供应商不得参加本项目投标</w:t>
            </w:r>
          </w:p>
        </w:tc>
        <w:tc>
          <w:tcPr>
            <w:tcW w:w="5954" w:type="dxa"/>
            <w:vAlign w:val="center"/>
          </w:tcPr>
          <w:p>
            <w:pPr>
              <w:wordWrap w:val="0"/>
              <w:jc w:val="left"/>
              <w:rPr>
                <w:lang w:val="zh-CN"/>
              </w:rPr>
            </w:pPr>
            <w:r>
              <w:rPr>
                <w:rFonts w:hint="eastAsia"/>
                <w:lang w:val="zh-CN"/>
              </w:rPr>
              <w:t>投标人提供未为本项目提供整体设计、规范编制或者项目管理、监理、检测等服务承诺函（承诺函格式自拟）。</w:t>
            </w:r>
          </w:p>
        </w:tc>
      </w:tr>
    </w:tbl>
    <w:p>
      <w:pPr>
        <w:pStyle w:val="6"/>
        <w:wordWrap w:val="0"/>
      </w:pPr>
      <w:r>
        <w:rPr>
          <w:rFonts w:hint="eastAsia"/>
        </w:rPr>
        <w:t>二、评标</w:t>
      </w:r>
    </w:p>
    <w:p>
      <w:pPr>
        <w:wordWrap w:val="0"/>
        <w:ind w:firstLine="482" w:firstLineChars="200"/>
        <w:rPr>
          <w:b/>
          <w:bCs/>
        </w:rPr>
      </w:pPr>
      <w:r>
        <w:rPr>
          <w:rFonts w:hint="eastAsia"/>
          <w:b/>
          <w:bCs/>
        </w:rPr>
        <w:t>（一）评标方法</w:t>
      </w:r>
    </w:p>
    <w:p>
      <w:pPr>
        <w:wordWrap w:val="0"/>
        <w:ind w:firstLine="480" w:firstLineChars="200"/>
      </w:pPr>
      <w:r>
        <w:rPr>
          <w:rFonts w:hint="eastAsia"/>
        </w:rPr>
        <w:t>本项目采用综合评分法。总分为100分。</w:t>
      </w:r>
    </w:p>
    <w:p>
      <w:pPr>
        <w:wordWrap w:val="0"/>
        <w:ind w:firstLine="482" w:firstLineChars="200"/>
        <w:rPr>
          <w:b/>
          <w:bCs/>
        </w:rPr>
      </w:pPr>
      <w:r>
        <w:rPr>
          <w:rFonts w:hint="eastAsia"/>
          <w:b/>
          <w:bCs/>
        </w:rPr>
        <w:t>（二）评标委员会负责具体评标事务，并独立履行下列职责</w:t>
      </w:r>
    </w:p>
    <w:p>
      <w:pPr>
        <w:wordWrap w:val="0"/>
        <w:ind w:firstLine="480" w:firstLineChars="200"/>
      </w:pPr>
      <w:r>
        <w:rPr>
          <w:rFonts w:hint="eastAsia"/>
        </w:rPr>
        <w:t>1、审查、评价投标文件是否符合招标文件的商务、技术等实质性要求；</w:t>
      </w:r>
    </w:p>
    <w:p>
      <w:pPr>
        <w:wordWrap w:val="0"/>
        <w:ind w:firstLine="480" w:firstLineChars="200"/>
      </w:pPr>
      <w:r>
        <w:rPr>
          <w:rFonts w:hint="eastAsia"/>
        </w:rPr>
        <w:t>评标委员会对符合资格的投标人的投标文件进行符合性审查，以确定其是否满足招标文件的商务、技术等实质性要求。</w:t>
      </w:r>
    </w:p>
    <w:p>
      <w:pPr>
        <w:wordWrap w:val="0"/>
        <w:ind w:firstLine="480" w:firstLineChars="200"/>
      </w:pPr>
      <w:r>
        <w:rPr>
          <w:rFonts w:hint="eastAsia"/>
        </w:rPr>
        <w:t>注：符合性审查中所涉及到的证书及材料，均应在电子投标文件中提供原件扫描件（或图片）。</w:t>
      </w:r>
    </w:p>
    <w:p>
      <w:pPr>
        <w:wordWrap w:val="0"/>
        <w:ind w:firstLine="480" w:firstLineChars="200"/>
      </w:pPr>
      <w:r>
        <w:rPr>
          <w:rFonts w:hint="eastAsia"/>
        </w:rPr>
        <w:t>2、要求投标人对投标文件有关事项作出澄清或者说明；</w:t>
      </w:r>
    </w:p>
    <w:p>
      <w:pPr>
        <w:wordWrap w:val="0"/>
        <w:ind w:firstLine="480" w:firstLineChars="200"/>
      </w:pPr>
      <w:r>
        <w:rPr>
          <w:rFonts w:hint="eastAsia"/>
        </w:rPr>
        <w:t>对于投标文件中含义不明确、同类问题表述不一致或者有明显文字和计算错误的内容，评标委员会应当以书面形式要求投标人作出必要的澄清、说明或者补正。</w:t>
      </w:r>
    </w:p>
    <w:p>
      <w:pPr>
        <w:wordWrap w:val="0"/>
        <w:ind w:firstLine="480" w:firstLineChars="200"/>
      </w:pPr>
      <w:r>
        <w:rPr>
          <w:rFonts w:hint="eastAsia"/>
        </w:rPr>
        <w:t>投标人的澄清、说明或者补正应当采用书面形式，并加盖公章，或者由法定代表人或其授权的代表签字。投标人的澄清、说明或者补正不得超出投标文件的范围或者改变投标文件的实质性内容。</w:t>
      </w:r>
    </w:p>
    <w:p>
      <w:pPr>
        <w:wordWrap w:val="0"/>
        <w:ind w:firstLine="480" w:firstLineChars="200"/>
      </w:pPr>
      <w:r>
        <w:rPr>
          <w:rFonts w:hint="eastAsia"/>
        </w:rPr>
        <w:t>3、对投标文件进行比较和评价；</w:t>
      </w:r>
    </w:p>
    <w:p>
      <w:pPr>
        <w:wordWrap w:val="0"/>
        <w:ind w:firstLine="480" w:firstLineChars="200"/>
      </w:pPr>
      <w:r>
        <w:rPr>
          <w:rFonts w:hint="eastAsia"/>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评标过程中，不得去掉报价中的最高报价和最低报价。</w:t>
      </w:r>
    </w:p>
    <w:p>
      <w:pPr>
        <w:wordWrap w:val="0"/>
        <w:ind w:firstLine="480" w:firstLineChars="200"/>
      </w:pPr>
      <w:r>
        <w:rPr>
          <w:rFonts w:hint="eastAsia"/>
        </w:rPr>
        <w:t>注：评标标准中所涉及到的证书及材料，均应在电子投标文件中提供原件扫描件（或图片）。</w:t>
      </w:r>
    </w:p>
    <w:p>
      <w:pPr>
        <w:wordWrap w:val="0"/>
        <w:ind w:firstLine="480" w:firstLineChars="200"/>
      </w:pPr>
      <w:r>
        <w:rPr>
          <w:rFonts w:hint="eastAsia"/>
        </w:rPr>
        <w:t>（1）价格分计算</w:t>
      </w:r>
    </w:p>
    <w:p>
      <w:pPr>
        <w:wordWrap w:val="0"/>
        <w:ind w:firstLine="480" w:firstLineChars="200"/>
      </w:pPr>
      <w:r>
        <w:rPr>
          <w:rFonts w:hint="eastAsia"/>
        </w:rPr>
        <w:t>价格分采用低价优先法计算，即满足招标文件要求且投标价格最低的投标报价为评标基准价，其价格分为满分。因落实政府采购政策（政府采购政策详见投标人须知前附表）进行价格调整的，以调整后的价格计算评标基准价和投标报价。</w:t>
      </w:r>
    </w:p>
    <w:p>
      <w:pPr>
        <w:wordWrap w:val="0"/>
        <w:ind w:firstLine="480" w:firstLineChars="200"/>
      </w:pPr>
      <w:r>
        <w:rPr>
          <w:rFonts w:hint="eastAsia"/>
        </w:rPr>
        <w:t>（2）关于强制性产品认证</w:t>
      </w:r>
    </w:p>
    <w:p>
      <w:pPr>
        <w:wordWrap w:val="0"/>
        <w:ind w:firstLine="480" w:firstLineChars="200"/>
      </w:pPr>
      <w:r>
        <w:rPr>
          <w:rFonts w:hint="eastAsia"/>
        </w:rPr>
        <w:t>1）如投标人所投产品属于“中国强制性产品认证”（3C认证）范围内,则必须承诺采用《中华人民共和国实施强制性产品认证的产品目录》并在有效期内的产品，应在投标文件中提供“所投产品符合国家强制性要求承诺函”并加盖投标人公章，否则将承担其投标被视为非实质性响应投标的风险。</w:t>
      </w:r>
    </w:p>
    <w:p>
      <w:pPr>
        <w:wordWrap w:val="0"/>
        <w:ind w:firstLine="480" w:firstLineChars="200"/>
      </w:pPr>
      <w:r>
        <w:rPr>
          <w:rFonts w:hint="eastAsia"/>
        </w:rPr>
        <w:t>2）投标人所投产品如被列入《信息安全产品强制性认证目录》，则投标文件中应根据本项目招标文件“第二章 项目需求”提供：</w:t>
      </w:r>
    </w:p>
    <w:p>
      <w:pPr>
        <w:wordWrap w:val="0"/>
        <w:ind w:firstLine="480" w:firstLineChars="200"/>
      </w:pPr>
      <w:r>
        <w:rPr>
          <w:rFonts w:hint="eastAsia"/>
        </w:rPr>
        <w:t>①中国信息安全认证中心官网（http：//www.isccc.gov.cn/index.shtml）产品查询结果截图并加盖投标人公章；</w:t>
      </w:r>
    </w:p>
    <w:p>
      <w:pPr>
        <w:wordWrap w:val="0"/>
        <w:ind w:firstLine="480" w:firstLineChars="200"/>
      </w:pPr>
      <w:r>
        <w:rPr>
          <w:rFonts w:hint="eastAsia"/>
        </w:rPr>
        <w:t>②投标文件中提供“所投产品符合中国国家信息安全产品认证承诺函”并加盖投标人公章。</w:t>
      </w:r>
    </w:p>
    <w:p>
      <w:pPr>
        <w:wordWrap w:val="0"/>
        <w:ind w:firstLine="480" w:firstLineChars="200"/>
      </w:pPr>
      <w:r>
        <w:rPr>
          <w:rFonts w:hint="eastAsia"/>
        </w:rPr>
        <w:t>注：仅需提供序号①～②其中之一即可。</w:t>
      </w:r>
    </w:p>
    <w:p>
      <w:pPr>
        <w:wordWrap w:val="0"/>
        <w:ind w:firstLine="480" w:firstLineChars="200"/>
      </w:pPr>
      <w:r>
        <w:rPr>
          <w:rFonts w:hint="eastAsia"/>
        </w:rPr>
        <w:t>（3）投标无效情形</w:t>
      </w:r>
    </w:p>
    <w:p>
      <w:pPr>
        <w:wordWrap w:val="0"/>
        <w:ind w:firstLine="480" w:firstLineChars="200"/>
      </w:pPr>
      <w:r>
        <w:rPr>
          <w:rFonts w:hint="eastAsia"/>
        </w:rPr>
        <w:t>1）投标人应当遵循公平竞争的原则，不得恶意串通，不得妨碍其他投标人的竞争行为，不得损害采购人或者其他投标人的合法权益。在评标过程中发现投标人有上述情形的，评标委员会应当认定其投标无效。</w:t>
      </w:r>
    </w:p>
    <w:p>
      <w:pPr>
        <w:wordWrap w:val="0"/>
        <w:ind w:firstLine="480" w:firstLineChars="200"/>
      </w:pPr>
      <w:r>
        <w:rPr>
          <w:rFonts w:hint="eastAsia"/>
        </w:rPr>
        <w:t>2）符合性审查资料未按招标文件要求签署、盖章的；</w:t>
      </w:r>
    </w:p>
    <w:p>
      <w:pPr>
        <w:wordWrap w:val="0"/>
        <w:ind w:firstLine="480" w:firstLineChars="200"/>
      </w:pPr>
      <w:r>
        <w:rPr>
          <w:rFonts w:hint="eastAsia"/>
        </w:rPr>
        <w:t>3）有下列情形之一的，视为投标人串通投标，其投标无效：</w:t>
      </w:r>
    </w:p>
    <w:p>
      <w:pPr>
        <w:wordWrap w:val="0"/>
        <w:ind w:firstLine="480" w:firstLineChars="200"/>
      </w:pPr>
      <w:r>
        <w:rPr>
          <w:rFonts w:hint="eastAsia"/>
        </w:rPr>
        <w:t>a.不同投标人的投标文件由同一单位或者个人编制；</w:t>
      </w:r>
    </w:p>
    <w:p>
      <w:pPr>
        <w:wordWrap w:val="0"/>
        <w:ind w:firstLine="480" w:firstLineChars="200"/>
      </w:pPr>
      <w:r>
        <w:rPr>
          <w:rFonts w:hint="eastAsia"/>
        </w:rPr>
        <w:t>b.不同投标人委托同一单位或者个人办理投标事宜；</w:t>
      </w:r>
    </w:p>
    <w:p>
      <w:pPr>
        <w:wordWrap w:val="0"/>
        <w:ind w:firstLine="480" w:firstLineChars="200"/>
      </w:pPr>
      <w:r>
        <w:rPr>
          <w:rFonts w:hint="eastAsia"/>
        </w:rPr>
        <w:t>c.不同投标人的投标文件载明的项目管理成员或者联系人员为同一人；</w:t>
      </w:r>
    </w:p>
    <w:p>
      <w:pPr>
        <w:wordWrap w:val="0"/>
        <w:ind w:firstLine="480" w:firstLineChars="200"/>
      </w:pPr>
      <w:r>
        <w:rPr>
          <w:rFonts w:hint="eastAsia"/>
        </w:rPr>
        <w:t>d.不同投标人的投标文件异常一致或者投标报价呈规律性差异；</w:t>
      </w:r>
    </w:p>
    <w:p>
      <w:pPr>
        <w:wordWrap w:val="0"/>
        <w:ind w:firstLine="480" w:firstLineChars="200"/>
      </w:pPr>
      <w:r>
        <w:rPr>
          <w:rFonts w:hint="eastAsia"/>
        </w:rPr>
        <w:t>e.不同投标人的投标文件相互混装；</w:t>
      </w:r>
    </w:p>
    <w:p>
      <w:pPr>
        <w:wordWrap w:val="0"/>
        <w:ind w:firstLine="480" w:firstLineChars="200"/>
      </w:pPr>
      <w:r>
        <w:rPr>
          <w:rFonts w:hint="eastAsia"/>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wordWrap w:val="0"/>
        <w:ind w:firstLine="480" w:firstLineChars="200"/>
      </w:pPr>
      <w:r>
        <w:rPr>
          <w:rFonts w:hint="eastAsia"/>
        </w:rPr>
        <w:t>5）法律、法规和招标文件规定的其他无效情形。</w:t>
      </w:r>
    </w:p>
    <w:p>
      <w:pPr>
        <w:wordWrap w:val="0"/>
        <w:ind w:firstLine="480" w:firstLineChars="200"/>
      </w:pPr>
      <w:r>
        <w:rPr>
          <w:rFonts w:hint="eastAsia"/>
        </w:rPr>
        <w:t>（4）评标标准</w:t>
      </w:r>
    </w:p>
    <w:tbl>
      <w:tblPr>
        <w:tblStyle w:val="13"/>
        <w:tblW w:w="92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7"/>
        <w:gridCol w:w="5948"/>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4" w:hRule="atLeast"/>
        </w:trPr>
        <w:tc>
          <w:tcPr>
            <w:tcW w:w="2127" w:type="dxa"/>
            <w:tcBorders>
              <w:top w:val="single" w:color="auto" w:sz="4" w:space="0"/>
              <w:left w:val="single" w:color="auto" w:sz="4" w:space="0"/>
              <w:bottom w:val="single" w:color="auto" w:sz="4" w:space="0"/>
              <w:right w:val="single" w:color="auto" w:sz="4" w:space="0"/>
            </w:tcBorders>
            <w:vAlign w:val="center"/>
          </w:tcPr>
          <w:p>
            <w:pPr>
              <w:wordWrap w:val="0"/>
              <w:jc w:val="center"/>
            </w:pPr>
            <w:r>
              <w:rPr>
                <w:rFonts w:hint="eastAsia"/>
              </w:rPr>
              <w:t>分值构成</w:t>
            </w:r>
          </w:p>
          <w:p>
            <w:pPr>
              <w:wordWrap w:val="0"/>
              <w:jc w:val="center"/>
            </w:pPr>
            <w:r>
              <w:rPr>
                <w:rFonts w:hint="eastAsia"/>
              </w:rPr>
              <w:t>（总分100分）</w:t>
            </w:r>
          </w:p>
        </w:tc>
        <w:tc>
          <w:tcPr>
            <w:tcW w:w="7082" w:type="dxa"/>
            <w:gridSpan w:val="2"/>
            <w:tcBorders>
              <w:top w:val="single" w:color="auto" w:sz="4" w:space="0"/>
              <w:left w:val="single" w:color="auto" w:sz="4" w:space="0"/>
              <w:bottom w:val="single" w:color="auto" w:sz="4" w:space="0"/>
              <w:right w:val="single" w:color="auto" w:sz="4" w:space="0"/>
            </w:tcBorders>
            <w:vAlign w:val="center"/>
          </w:tcPr>
          <w:p>
            <w:pPr>
              <w:wordWrap w:val="0"/>
              <w:jc w:val="center"/>
            </w:pPr>
            <w:r>
              <w:rPr>
                <w:rFonts w:hint="eastAsia"/>
              </w:rPr>
              <w:t>价格分值：</w:t>
            </w:r>
            <w:r>
              <w:t>3</w:t>
            </w:r>
            <w:r>
              <w:rPr>
                <w:rFonts w:hint="eastAsia"/>
              </w:rPr>
              <w:t>0 分</w:t>
            </w:r>
          </w:p>
          <w:p>
            <w:pPr>
              <w:wordWrap w:val="0"/>
              <w:jc w:val="center"/>
            </w:pPr>
            <w:r>
              <w:rPr>
                <w:rFonts w:hint="eastAsia"/>
              </w:rPr>
              <w:t>商务部分：</w:t>
            </w:r>
            <w:r>
              <w:t>35</w:t>
            </w:r>
            <w:r>
              <w:rPr>
                <w:rFonts w:hint="eastAsia"/>
              </w:rPr>
              <w:t>分</w:t>
            </w:r>
          </w:p>
          <w:p>
            <w:pPr>
              <w:wordWrap w:val="0"/>
              <w:jc w:val="center"/>
            </w:pPr>
            <w:r>
              <w:rPr>
                <w:rFonts w:hint="eastAsia"/>
              </w:rPr>
              <w:t>技术部分：</w:t>
            </w:r>
            <w:r>
              <w:t>35</w:t>
            </w:r>
            <w:r>
              <w:rPr>
                <w:rFonts w:hint="eastAsia"/>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09" w:type="dxa"/>
            <w:gridSpan w:val="3"/>
            <w:tcBorders>
              <w:top w:val="single" w:color="auto" w:sz="4" w:space="0"/>
              <w:left w:val="single" w:color="auto" w:sz="4" w:space="0"/>
              <w:bottom w:val="single" w:color="auto" w:sz="4" w:space="0"/>
              <w:right w:val="single" w:color="auto" w:sz="4" w:space="0"/>
            </w:tcBorders>
            <w:vAlign w:val="center"/>
          </w:tcPr>
          <w:p>
            <w:pPr>
              <w:wordWrap w:val="0"/>
              <w:jc w:val="center"/>
            </w:pPr>
            <w:r>
              <w:rPr>
                <w:rFonts w:hint="eastAsia"/>
              </w:rPr>
              <w:t>一、价格部分（满分</w:t>
            </w:r>
            <w:r>
              <w:t>3</w:t>
            </w:r>
            <w:r>
              <w:rPr>
                <w:rFonts w:hint="eastAsia"/>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2127" w:type="dxa"/>
            <w:tcBorders>
              <w:top w:val="single" w:color="auto" w:sz="4" w:space="0"/>
              <w:left w:val="single" w:color="auto" w:sz="4" w:space="0"/>
              <w:bottom w:val="single" w:color="auto" w:sz="4" w:space="0"/>
              <w:right w:val="single" w:color="auto" w:sz="4" w:space="0"/>
            </w:tcBorders>
            <w:vAlign w:val="center"/>
          </w:tcPr>
          <w:p>
            <w:pPr>
              <w:wordWrap w:val="0"/>
              <w:jc w:val="center"/>
            </w:pPr>
            <w:r>
              <w:rPr>
                <w:rFonts w:hint="eastAsia"/>
              </w:rPr>
              <w:t>评分因素</w:t>
            </w:r>
          </w:p>
        </w:tc>
        <w:tc>
          <w:tcPr>
            <w:tcW w:w="5948" w:type="dxa"/>
            <w:tcBorders>
              <w:top w:val="single" w:color="auto" w:sz="4" w:space="0"/>
              <w:left w:val="single" w:color="auto" w:sz="4" w:space="0"/>
              <w:bottom w:val="single" w:color="auto" w:sz="4" w:space="0"/>
              <w:right w:val="single" w:color="auto" w:sz="4" w:space="0"/>
            </w:tcBorders>
            <w:vAlign w:val="center"/>
          </w:tcPr>
          <w:p>
            <w:pPr>
              <w:wordWrap w:val="0"/>
              <w:jc w:val="center"/>
            </w:pPr>
            <w:r>
              <w:rPr>
                <w:rFonts w:hint="eastAsia"/>
              </w:rPr>
              <w:t>评分标准</w:t>
            </w:r>
          </w:p>
        </w:tc>
        <w:tc>
          <w:tcPr>
            <w:tcW w:w="1134" w:type="dxa"/>
            <w:tcBorders>
              <w:top w:val="single" w:color="auto" w:sz="4" w:space="0"/>
              <w:left w:val="single" w:color="auto" w:sz="4" w:space="0"/>
              <w:bottom w:val="single" w:color="auto" w:sz="4" w:space="0"/>
              <w:right w:val="single" w:color="auto" w:sz="4" w:space="0"/>
            </w:tcBorders>
            <w:vAlign w:val="center"/>
          </w:tcPr>
          <w:p>
            <w:pPr>
              <w:wordWrap w:val="0"/>
              <w:jc w:val="center"/>
            </w:pPr>
            <w:r>
              <w:rPr>
                <w:rFonts w:hint="eastAsia"/>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5" w:hRule="atLeast"/>
        </w:trPr>
        <w:tc>
          <w:tcPr>
            <w:tcW w:w="2127" w:type="dxa"/>
            <w:tcBorders>
              <w:top w:val="single" w:color="auto" w:sz="4" w:space="0"/>
              <w:left w:val="single" w:color="auto" w:sz="4" w:space="0"/>
              <w:bottom w:val="single" w:color="auto" w:sz="4" w:space="0"/>
              <w:right w:val="single" w:color="auto" w:sz="4" w:space="0"/>
            </w:tcBorders>
            <w:vAlign w:val="center"/>
          </w:tcPr>
          <w:p>
            <w:pPr>
              <w:wordWrap w:val="0"/>
              <w:jc w:val="center"/>
            </w:pPr>
            <w:r>
              <w:rPr>
                <w:rFonts w:hint="eastAsia"/>
              </w:rPr>
              <w:t>投标报价</w:t>
            </w:r>
          </w:p>
          <w:p>
            <w:pPr>
              <w:wordWrap w:val="0"/>
              <w:jc w:val="center"/>
            </w:pPr>
            <w:r>
              <w:rPr>
                <w:rFonts w:hint="eastAsia"/>
              </w:rPr>
              <w:t>评分标准</w:t>
            </w:r>
          </w:p>
        </w:tc>
        <w:tc>
          <w:tcPr>
            <w:tcW w:w="5948" w:type="dxa"/>
            <w:tcBorders>
              <w:top w:val="single" w:color="auto" w:sz="4" w:space="0"/>
              <w:left w:val="single" w:color="auto" w:sz="4" w:space="0"/>
              <w:bottom w:val="single" w:color="auto" w:sz="4" w:space="0"/>
              <w:right w:val="single" w:color="auto" w:sz="4" w:space="0"/>
            </w:tcBorders>
            <w:vAlign w:val="center"/>
          </w:tcPr>
          <w:p>
            <w:pPr>
              <w:wordWrap w:val="0"/>
              <w:jc w:val="left"/>
            </w:pPr>
            <w:r>
              <w:rPr>
                <w:rFonts w:hint="eastAsia"/>
              </w:rPr>
              <w:t>评标基准价：满足招标文件要求的有效投标报价中，最低的投标报价为评标基准价。</w:t>
            </w:r>
          </w:p>
          <w:p>
            <w:pPr>
              <w:wordWrap w:val="0"/>
              <w:jc w:val="left"/>
            </w:pPr>
            <w:r>
              <w:rPr>
                <w:rFonts w:hint="eastAsia"/>
              </w:rPr>
              <w:t>投标报价得分=（评标基准价/投标报价）×</w:t>
            </w:r>
            <w:r>
              <w:t>3</w:t>
            </w:r>
            <w:r>
              <w:rPr>
                <w:rFonts w:hint="eastAsia"/>
              </w:rPr>
              <w:t>0。</w:t>
            </w:r>
          </w:p>
          <w:p>
            <w:pPr>
              <w:wordWrap w:val="0"/>
              <w:jc w:val="left"/>
            </w:pPr>
            <w:r>
              <w:rPr>
                <w:rFonts w:hint="eastAsia"/>
              </w:rPr>
              <w:t>计算按四舍五入法则。保留小数点后两位。</w:t>
            </w:r>
          </w:p>
          <w:p>
            <w:pPr>
              <w:wordWrap w:val="0"/>
              <w:jc w:val="left"/>
            </w:pPr>
            <w:r>
              <w:rPr>
                <w:rFonts w:hint="eastAsia"/>
              </w:rPr>
              <w:t>注：当投标人的报价明显低于常规报价，评标委员会人为该投标人的最低投标报价或者某些小项报价明显不合理或者明显低于其他通过复合性审查投标人的报价，有可能影响产品质量或者不能诚信履约的，应当要求该投标人在评标现场合理的时间内提供书面说明，必要时提供相关证明材料予以解释说明（包括材料成本、管理费用、人员成本、税收等所有成本及利润），投标人不能证明其报价合理的，评标委员会将认定该投标人以低于成本价投标，报价严重不平衡、不合理，是恶意不正当竞争行为，其投标将作无效投标处理。</w:t>
            </w:r>
          </w:p>
        </w:tc>
        <w:tc>
          <w:tcPr>
            <w:tcW w:w="1134" w:type="dxa"/>
            <w:tcBorders>
              <w:top w:val="single" w:color="auto" w:sz="4" w:space="0"/>
              <w:left w:val="single" w:color="auto" w:sz="4" w:space="0"/>
              <w:bottom w:val="single" w:color="auto" w:sz="4" w:space="0"/>
              <w:right w:val="single" w:color="auto" w:sz="4" w:space="0"/>
            </w:tcBorders>
            <w:vAlign w:val="center"/>
          </w:tcPr>
          <w:p>
            <w:pPr>
              <w:wordWrap w:val="0"/>
              <w:jc w:val="center"/>
            </w:pPr>
            <w:r>
              <w:t>30</w:t>
            </w:r>
            <w:r>
              <w:rPr>
                <w:rFonts w:hint="eastAsia"/>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9209" w:type="dxa"/>
            <w:gridSpan w:val="3"/>
            <w:tcBorders>
              <w:top w:val="single" w:color="auto" w:sz="4" w:space="0"/>
              <w:left w:val="single" w:color="auto" w:sz="4" w:space="0"/>
              <w:bottom w:val="single" w:color="auto" w:sz="4" w:space="0"/>
              <w:right w:val="single" w:color="auto" w:sz="4" w:space="0"/>
            </w:tcBorders>
            <w:vAlign w:val="center"/>
          </w:tcPr>
          <w:p>
            <w:pPr>
              <w:wordWrap w:val="0"/>
              <w:jc w:val="center"/>
            </w:pPr>
            <w:r>
              <w:rPr>
                <w:rFonts w:hint="eastAsia"/>
              </w:rPr>
              <w:t>二、商务部分（满分</w:t>
            </w:r>
            <w:r>
              <w:t>35</w:t>
            </w:r>
            <w:r>
              <w:rPr>
                <w:rFonts w:hint="eastAsia"/>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2127" w:type="dxa"/>
            <w:tcBorders>
              <w:top w:val="single" w:color="auto" w:sz="4" w:space="0"/>
              <w:left w:val="single" w:color="auto" w:sz="4" w:space="0"/>
              <w:bottom w:val="single" w:color="auto" w:sz="4" w:space="0"/>
              <w:right w:val="single" w:color="auto" w:sz="4" w:space="0"/>
            </w:tcBorders>
            <w:vAlign w:val="center"/>
          </w:tcPr>
          <w:p>
            <w:pPr>
              <w:wordWrap w:val="0"/>
              <w:jc w:val="center"/>
            </w:pPr>
            <w:r>
              <w:rPr>
                <w:rFonts w:hint="eastAsia"/>
              </w:rPr>
              <w:t>评分因素</w:t>
            </w:r>
          </w:p>
        </w:tc>
        <w:tc>
          <w:tcPr>
            <w:tcW w:w="5948" w:type="dxa"/>
            <w:tcBorders>
              <w:top w:val="single" w:color="auto" w:sz="4" w:space="0"/>
              <w:left w:val="single" w:color="auto" w:sz="4" w:space="0"/>
              <w:bottom w:val="single" w:color="auto" w:sz="4" w:space="0"/>
              <w:right w:val="single" w:color="auto" w:sz="4" w:space="0"/>
            </w:tcBorders>
            <w:vAlign w:val="center"/>
          </w:tcPr>
          <w:p>
            <w:pPr>
              <w:wordWrap w:val="0"/>
              <w:jc w:val="center"/>
            </w:pPr>
            <w:r>
              <w:rPr>
                <w:rFonts w:hint="eastAsia"/>
              </w:rPr>
              <w:t>评分标准</w:t>
            </w:r>
          </w:p>
        </w:tc>
        <w:tc>
          <w:tcPr>
            <w:tcW w:w="1134" w:type="dxa"/>
            <w:tcBorders>
              <w:top w:val="single" w:color="auto" w:sz="4" w:space="0"/>
              <w:left w:val="single" w:color="auto" w:sz="4" w:space="0"/>
              <w:bottom w:val="single" w:color="auto" w:sz="4" w:space="0"/>
              <w:right w:val="single" w:color="auto" w:sz="4" w:space="0"/>
            </w:tcBorders>
            <w:vAlign w:val="center"/>
          </w:tcPr>
          <w:p>
            <w:pPr>
              <w:wordWrap w:val="0"/>
              <w:jc w:val="center"/>
            </w:pPr>
            <w:r>
              <w:rPr>
                <w:rFonts w:hint="eastAsia"/>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1" w:hRule="atLeast"/>
        </w:trPr>
        <w:tc>
          <w:tcPr>
            <w:tcW w:w="2127" w:type="dxa"/>
            <w:tcBorders>
              <w:top w:val="single" w:color="auto" w:sz="4" w:space="0"/>
              <w:left w:val="single" w:color="auto" w:sz="4" w:space="0"/>
              <w:bottom w:val="single" w:color="auto" w:sz="4" w:space="0"/>
              <w:right w:val="single" w:color="auto" w:sz="4" w:space="0"/>
            </w:tcBorders>
            <w:shd w:val="clear" w:color="auto" w:fill="auto"/>
            <w:vAlign w:val="center"/>
          </w:tcPr>
          <w:p>
            <w:pPr>
              <w:wordWrap w:val="0"/>
              <w:jc w:val="center"/>
            </w:pPr>
            <w:r>
              <w:rPr>
                <w:rFonts w:hint="eastAsia"/>
              </w:rPr>
              <w:t>类似业绩</w:t>
            </w:r>
          </w:p>
        </w:tc>
        <w:tc>
          <w:tcPr>
            <w:tcW w:w="5948" w:type="dxa"/>
            <w:tcBorders>
              <w:top w:val="single" w:color="auto" w:sz="4" w:space="0"/>
              <w:left w:val="nil"/>
              <w:bottom w:val="single" w:color="auto" w:sz="4" w:space="0"/>
              <w:right w:val="single" w:color="auto" w:sz="4" w:space="0"/>
            </w:tcBorders>
            <w:shd w:val="clear" w:color="auto" w:fill="auto"/>
            <w:vAlign w:val="center"/>
          </w:tcPr>
          <w:p>
            <w:pPr>
              <w:wordWrap w:val="0"/>
              <w:jc w:val="left"/>
            </w:pPr>
            <w:r>
              <w:rPr>
                <w:rFonts w:hint="eastAsia"/>
              </w:rPr>
              <w:t>投标人提供</w:t>
            </w:r>
            <w:r>
              <w:t>2018年1月1日以来类似采购项目的业绩合同：每个得3分，此项满分9分。注：投标文件中附中标通知书、合同和验收报告复印件，否则不得分。</w:t>
            </w:r>
          </w:p>
        </w:tc>
        <w:tc>
          <w:tcPr>
            <w:tcW w:w="1134" w:type="dxa"/>
            <w:tcBorders>
              <w:top w:val="single" w:color="auto" w:sz="4" w:space="0"/>
              <w:left w:val="single" w:color="auto" w:sz="4" w:space="0"/>
              <w:bottom w:val="single" w:color="auto" w:sz="4" w:space="0"/>
              <w:right w:val="single" w:color="auto" w:sz="4" w:space="0"/>
            </w:tcBorders>
            <w:vAlign w:val="center"/>
          </w:tcPr>
          <w:p>
            <w:pPr>
              <w:wordWrap w:val="0"/>
              <w:jc w:val="center"/>
            </w:pPr>
            <w:r>
              <w:t>9</w:t>
            </w:r>
            <w:r>
              <w:rPr>
                <w:rFonts w:hint="eastAsia"/>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trPr>
        <w:tc>
          <w:tcPr>
            <w:tcW w:w="2127" w:type="dxa"/>
            <w:tcBorders>
              <w:top w:val="single" w:color="auto" w:sz="4" w:space="0"/>
              <w:left w:val="single" w:color="auto" w:sz="4" w:space="0"/>
              <w:bottom w:val="single" w:color="auto" w:sz="4" w:space="0"/>
              <w:right w:val="single" w:color="auto" w:sz="4" w:space="0"/>
            </w:tcBorders>
            <w:shd w:val="clear" w:color="auto" w:fill="auto"/>
            <w:vAlign w:val="center"/>
          </w:tcPr>
          <w:p>
            <w:pPr>
              <w:wordWrap w:val="0"/>
              <w:jc w:val="center"/>
            </w:pPr>
            <w:r>
              <w:rPr>
                <w:rFonts w:hint="eastAsia"/>
              </w:rPr>
              <w:t>综合实力</w:t>
            </w:r>
          </w:p>
        </w:tc>
        <w:tc>
          <w:tcPr>
            <w:tcW w:w="5948" w:type="dxa"/>
            <w:tcBorders>
              <w:top w:val="single" w:color="auto" w:sz="4" w:space="0"/>
              <w:left w:val="nil"/>
              <w:bottom w:val="single" w:color="auto" w:sz="4" w:space="0"/>
              <w:right w:val="single" w:color="auto" w:sz="4" w:space="0"/>
            </w:tcBorders>
            <w:shd w:val="clear" w:color="auto" w:fill="auto"/>
            <w:vAlign w:val="center"/>
          </w:tcPr>
          <w:p>
            <w:pPr>
              <w:wordWrap w:val="0"/>
              <w:jc w:val="left"/>
            </w:pPr>
            <w:r>
              <w:rPr>
                <w:rFonts w:hint="eastAsia"/>
              </w:rPr>
              <w:t>投标人具有信用等级证书、</w:t>
            </w:r>
            <w:r>
              <w:t>AAA的得5分、AA的得3分，其余不得分。注：评标时提供原件，投标文件中附复印件，否则不得分。</w:t>
            </w:r>
          </w:p>
        </w:tc>
        <w:tc>
          <w:tcPr>
            <w:tcW w:w="1134" w:type="dxa"/>
            <w:tcBorders>
              <w:top w:val="single" w:color="auto" w:sz="4" w:space="0"/>
              <w:left w:val="single" w:color="auto" w:sz="4" w:space="0"/>
              <w:bottom w:val="single" w:color="auto" w:sz="4" w:space="0"/>
              <w:right w:val="single" w:color="auto" w:sz="4" w:space="0"/>
            </w:tcBorders>
            <w:vAlign w:val="center"/>
          </w:tcPr>
          <w:p>
            <w:pPr>
              <w:wordWrap w:val="0"/>
              <w:jc w:val="center"/>
            </w:pPr>
            <w: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2127" w:type="dxa"/>
            <w:tcBorders>
              <w:top w:val="single" w:color="auto" w:sz="4" w:space="0"/>
              <w:left w:val="single" w:color="auto" w:sz="4" w:space="0"/>
              <w:bottom w:val="single" w:color="auto" w:sz="4" w:space="0"/>
              <w:right w:val="single" w:color="auto" w:sz="4" w:space="0"/>
            </w:tcBorders>
            <w:shd w:val="clear" w:color="auto" w:fill="auto"/>
            <w:vAlign w:val="center"/>
          </w:tcPr>
          <w:p>
            <w:pPr>
              <w:wordWrap w:val="0"/>
              <w:jc w:val="center"/>
            </w:pPr>
            <w:r>
              <w:rPr>
                <w:rFonts w:hint="eastAsia"/>
              </w:rPr>
              <w:t>管理人员配备情况</w:t>
            </w:r>
          </w:p>
        </w:tc>
        <w:tc>
          <w:tcPr>
            <w:tcW w:w="5948" w:type="dxa"/>
            <w:tcBorders>
              <w:top w:val="single" w:color="auto" w:sz="4" w:space="0"/>
              <w:left w:val="nil"/>
              <w:bottom w:val="single" w:color="auto" w:sz="4" w:space="0"/>
              <w:right w:val="single" w:color="auto" w:sz="4" w:space="0"/>
            </w:tcBorders>
            <w:shd w:val="clear" w:color="auto" w:fill="auto"/>
            <w:vAlign w:val="center"/>
          </w:tcPr>
          <w:p>
            <w:pPr>
              <w:wordWrap w:val="0"/>
              <w:jc w:val="left"/>
            </w:pPr>
            <w:r>
              <w:rPr>
                <w:rFonts w:hint="eastAsia"/>
              </w:rPr>
              <w:t>项目班子人员配备齐全、合理，各专业人员执证上岗，在0-</w:t>
            </w:r>
            <w:r>
              <w:t>6</w:t>
            </w:r>
            <w:r>
              <w:rPr>
                <w:rFonts w:hint="eastAsia"/>
              </w:rPr>
              <w:t>分范围内酌情赋分。</w:t>
            </w:r>
          </w:p>
        </w:tc>
        <w:tc>
          <w:tcPr>
            <w:tcW w:w="1134" w:type="dxa"/>
            <w:tcBorders>
              <w:top w:val="single" w:color="auto" w:sz="4" w:space="0"/>
              <w:left w:val="single" w:color="auto" w:sz="4" w:space="0"/>
              <w:bottom w:val="single" w:color="auto" w:sz="4" w:space="0"/>
              <w:right w:val="single" w:color="auto" w:sz="4" w:space="0"/>
            </w:tcBorders>
            <w:vAlign w:val="center"/>
          </w:tcPr>
          <w:p>
            <w:pPr>
              <w:wordWrap w:val="0"/>
              <w:jc w:val="center"/>
            </w:pPr>
            <w:r>
              <w:t>6</w:t>
            </w:r>
            <w:r>
              <w:rPr>
                <w:rFonts w:hint="eastAsia"/>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2127" w:type="dxa"/>
            <w:tcBorders>
              <w:top w:val="single" w:color="auto" w:sz="4" w:space="0"/>
              <w:left w:val="single" w:color="auto" w:sz="4" w:space="0"/>
              <w:bottom w:val="single" w:color="auto" w:sz="4" w:space="0"/>
              <w:right w:val="single" w:color="auto" w:sz="4" w:space="0"/>
            </w:tcBorders>
            <w:shd w:val="clear" w:color="auto" w:fill="auto"/>
            <w:vAlign w:val="center"/>
          </w:tcPr>
          <w:p>
            <w:pPr>
              <w:wordWrap w:val="0"/>
              <w:jc w:val="center"/>
            </w:pPr>
            <w:r>
              <w:rPr>
                <w:rFonts w:hint="eastAsia"/>
              </w:rPr>
              <w:t>质保期限</w:t>
            </w:r>
          </w:p>
        </w:tc>
        <w:tc>
          <w:tcPr>
            <w:tcW w:w="5948" w:type="dxa"/>
            <w:tcBorders>
              <w:top w:val="single" w:color="auto" w:sz="4" w:space="0"/>
              <w:left w:val="nil"/>
              <w:bottom w:val="single" w:color="auto" w:sz="4" w:space="0"/>
              <w:right w:val="single" w:color="auto" w:sz="4" w:space="0"/>
            </w:tcBorders>
            <w:shd w:val="clear" w:color="auto" w:fill="auto"/>
            <w:vAlign w:val="center"/>
          </w:tcPr>
          <w:p>
            <w:pPr>
              <w:wordWrap w:val="0"/>
              <w:jc w:val="left"/>
            </w:pPr>
            <w:r>
              <w:rPr>
                <w:rFonts w:hint="eastAsia"/>
              </w:rPr>
              <w:t>评标委员会根据投标人承诺主要产品质保期进行对比在</w:t>
            </w:r>
            <w:r>
              <w:t>0-5</w:t>
            </w:r>
            <w:r>
              <w:rPr>
                <w:rFonts w:hint="eastAsia"/>
              </w:rPr>
              <w:t>分内进行打分</w:t>
            </w:r>
            <w:r>
              <w:t>，该项最多得5分。</w:t>
            </w:r>
          </w:p>
        </w:tc>
        <w:tc>
          <w:tcPr>
            <w:tcW w:w="1134" w:type="dxa"/>
            <w:tcBorders>
              <w:top w:val="single" w:color="auto" w:sz="4" w:space="0"/>
              <w:left w:val="single" w:color="auto" w:sz="4" w:space="0"/>
              <w:bottom w:val="single" w:color="auto" w:sz="4" w:space="0"/>
              <w:right w:val="single" w:color="auto" w:sz="4" w:space="0"/>
            </w:tcBorders>
            <w:vAlign w:val="center"/>
          </w:tcPr>
          <w:p>
            <w:pPr>
              <w:wordWrap w:val="0"/>
              <w:jc w:val="center"/>
            </w:pPr>
            <w:r>
              <w:t>5</w:t>
            </w:r>
            <w:r>
              <w:rPr>
                <w:rFonts w:hint="eastAsia"/>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1" w:hRule="atLeast"/>
        </w:trPr>
        <w:tc>
          <w:tcPr>
            <w:tcW w:w="2127" w:type="dxa"/>
            <w:tcBorders>
              <w:top w:val="single" w:color="auto" w:sz="4" w:space="0"/>
              <w:left w:val="single" w:color="auto" w:sz="4" w:space="0"/>
              <w:bottom w:val="single" w:color="auto" w:sz="4" w:space="0"/>
              <w:right w:val="single" w:color="auto" w:sz="4" w:space="0"/>
            </w:tcBorders>
            <w:vAlign w:val="center"/>
          </w:tcPr>
          <w:p>
            <w:pPr>
              <w:wordWrap w:val="0"/>
              <w:jc w:val="center"/>
            </w:pPr>
            <w:r>
              <w:rPr>
                <w:rFonts w:hint="eastAsia"/>
              </w:rPr>
              <w:t>服务承诺</w:t>
            </w:r>
          </w:p>
        </w:tc>
        <w:tc>
          <w:tcPr>
            <w:tcW w:w="5948" w:type="dxa"/>
            <w:tcBorders>
              <w:top w:val="single" w:color="auto" w:sz="4" w:space="0"/>
              <w:left w:val="single" w:color="auto" w:sz="4" w:space="0"/>
              <w:bottom w:val="single" w:color="auto" w:sz="4" w:space="0"/>
              <w:right w:val="single" w:color="auto" w:sz="4" w:space="0"/>
            </w:tcBorders>
            <w:vAlign w:val="center"/>
          </w:tcPr>
          <w:p>
            <w:pPr>
              <w:wordWrap w:val="0"/>
              <w:jc w:val="left"/>
            </w:pPr>
            <w:r>
              <w:rPr>
                <w:rFonts w:hint="eastAsia"/>
              </w:rPr>
              <w:t>根据承诺内容及针对采购人排忧解难情况及其他承诺情况等进行对比在1-</w:t>
            </w:r>
            <w:r>
              <w:t>5</w:t>
            </w:r>
            <w:r>
              <w:rPr>
                <w:rFonts w:hint="eastAsia"/>
              </w:rPr>
              <w:t>分内打分。</w:t>
            </w:r>
          </w:p>
          <w:p>
            <w:pPr>
              <w:wordWrap w:val="0"/>
              <w:jc w:val="left"/>
            </w:pPr>
            <w:r>
              <w:rPr>
                <w:rFonts w:hint="eastAsia"/>
              </w:rPr>
              <w:t>注：承诺内容必须具有可行性，一旦承诺必须兑现。</w:t>
            </w:r>
          </w:p>
        </w:tc>
        <w:tc>
          <w:tcPr>
            <w:tcW w:w="1134" w:type="dxa"/>
            <w:tcBorders>
              <w:top w:val="single" w:color="auto" w:sz="4" w:space="0"/>
              <w:left w:val="single" w:color="auto" w:sz="4" w:space="0"/>
              <w:bottom w:val="single" w:color="auto" w:sz="4" w:space="0"/>
              <w:right w:val="single" w:color="auto" w:sz="4" w:space="0"/>
            </w:tcBorders>
            <w:vAlign w:val="center"/>
          </w:tcPr>
          <w:p>
            <w:pPr>
              <w:wordWrap w:val="0"/>
              <w:jc w:val="center"/>
            </w:pPr>
            <w: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2127" w:type="dxa"/>
            <w:tcBorders>
              <w:top w:val="single" w:color="auto" w:sz="4" w:space="0"/>
              <w:left w:val="single" w:color="auto" w:sz="4" w:space="0"/>
              <w:bottom w:val="single" w:color="auto" w:sz="4" w:space="0"/>
              <w:right w:val="single" w:color="auto" w:sz="4" w:space="0"/>
            </w:tcBorders>
            <w:vAlign w:val="center"/>
          </w:tcPr>
          <w:p>
            <w:pPr>
              <w:wordWrap w:val="0"/>
              <w:jc w:val="center"/>
            </w:pPr>
            <w:r>
              <w:rPr>
                <w:rFonts w:hint="eastAsia"/>
              </w:rPr>
              <w:t>投标文件编制评价</w:t>
            </w:r>
          </w:p>
        </w:tc>
        <w:tc>
          <w:tcPr>
            <w:tcW w:w="5948" w:type="dxa"/>
            <w:tcBorders>
              <w:top w:val="single" w:color="auto" w:sz="4" w:space="0"/>
              <w:left w:val="single" w:color="auto" w:sz="4" w:space="0"/>
              <w:bottom w:val="single" w:color="auto" w:sz="4" w:space="0"/>
              <w:right w:val="single" w:color="auto" w:sz="4" w:space="0"/>
            </w:tcBorders>
            <w:vAlign w:val="center"/>
          </w:tcPr>
          <w:p>
            <w:pPr>
              <w:wordWrap w:val="0"/>
              <w:jc w:val="left"/>
            </w:pPr>
            <w:r>
              <w:rPr>
                <w:rFonts w:hint="eastAsia"/>
              </w:rPr>
              <w:t>评标委员会根据投标人编制的电子投标文件内容完整、制作清晰可辨、目录排版合理、索引内容方便等综合进行评价（</w:t>
            </w:r>
            <w:r>
              <w:t>1</w:t>
            </w:r>
            <w:r>
              <w:rPr>
                <w:rFonts w:hint="eastAsia"/>
              </w:rPr>
              <w:t>-</w:t>
            </w:r>
            <w:r>
              <w:t>5</w:t>
            </w:r>
            <w:r>
              <w:rPr>
                <w:rFonts w:hint="eastAsia"/>
              </w:rPr>
              <w:t>分）</w:t>
            </w:r>
          </w:p>
        </w:tc>
        <w:tc>
          <w:tcPr>
            <w:tcW w:w="1134" w:type="dxa"/>
            <w:tcBorders>
              <w:top w:val="single" w:color="auto" w:sz="4" w:space="0"/>
              <w:left w:val="single" w:color="auto" w:sz="4" w:space="0"/>
              <w:bottom w:val="single" w:color="auto" w:sz="4" w:space="0"/>
              <w:right w:val="single" w:color="auto" w:sz="4" w:space="0"/>
            </w:tcBorders>
            <w:vAlign w:val="center"/>
          </w:tcPr>
          <w:p>
            <w:pPr>
              <w:wordWrap w:val="0"/>
              <w:jc w:val="center"/>
            </w:pPr>
            <w:r>
              <w:t>5</w:t>
            </w:r>
            <w:r>
              <w:rPr>
                <w:rFonts w:hint="eastAsia"/>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9209" w:type="dxa"/>
            <w:gridSpan w:val="3"/>
            <w:tcBorders>
              <w:top w:val="single" w:color="auto" w:sz="4" w:space="0"/>
              <w:left w:val="single" w:color="auto" w:sz="4" w:space="0"/>
              <w:bottom w:val="single" w:color="auto" w:sz="4" w:space="0"/>
              <w:right w:val="single" w:color="auto" w:sz="4" w:space="0"/>
            </w:tcBorders>
            <w:vAlign w:val="center"/>
          </w:tcPr>
          <w:p>
            <w:pPr>
              <w:wordWrap w:val="0"/>
              <w:jc w:val="center"/>
            </w:pPr>
            <w:r>
              <w:rPr>
                <w:rFonts w:hint="eastAsia"/>
              </w:rPr>
              <w:t>三、技术部分（满分</w:t>
            </w:r>
            <w:r>
              <w:t>35</w:t>
            </w:r>
            <w:r>
              <w:rPr>
                <w:rFonts w:hint="eastAsia"/>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2127" w:type="dxa"/>
            <w:tcBorders>
              <w:top w:val="single" w:color="auto" w:sz="4" w:space="0"/>
              <w:left w:val="single" w:color="auto" w:sz="4" w:space="0"/>
              <w:bottom w:val="single" w:color="auto" w:sz="4" w:space="0"/>
              <w:right w:val="single" w:color="auto" w:sz="4" w:space="0"/>
            </w:tcBorders>
            <w:vAlign w:val="center"/>
          </w:tcPr>
          <w:p>
            <w:pPr>
              <w:wordWrap w:val="0"/>
              <w:jc w:val="center"/>
            </w:pPr>
            <w:r>
              <w:rPr>
                <w:rFonts w:hint="eastAsia"/>
              </w:rPr>
              <w:t>评分因素</w:t>
            </w:r>
          </w:p>
        </w:tc>
        <w:tc>
          <w:tcPr>
            <w:tcW w:w="5948" w:type="dxa"/>
            <w:tcBorders>
              <w:top w:val="single" w:color="auto" w:sz="4" w:space="0"/>
              <w:left w:val="single" w:color="auto" w:sz="4" w:space="0"/>
              <w:bottom w:val="single" w:color="auto" w:sz="4" w:space="0"/>
              <w:right w:val="single" w:color="auto" w:sz="4" w:space="0"/>
            </w:tcBorders>
            <w:vAlign w:val="center"/>
          </w:tcPr>
          <w:p>
            <w:pPr>
              <w:wordWrap w:val="0"/>
              <w:jc w:val="center"/>
            </w:pPr>
            <w:r>
              <w:rPr>
                <w:rFonts w:hint="eastAsia"/>
              </w:rPr>
              <w:t>评分标准</w:t>
            </w:r>
          </w:p>
        </w:tc>
        <w:tc>
          <w:tcPr>
            <w:tcW w:w="1134" w:type="dxa"/>
            <w:tcBorders>
              <w:top w:val="single" w:color="auto" w:sz="4" w:space="0"/>
              <w:left w:val="single" w:color="auto" w:sz="4" w:space="0"/>
              <w:bottom w:val="single" w:color="auto" w:sz="4" w:space="0"/>
              <w:right w:val="single" w:color="auto" w:sz="4" w:space="0"/>
            </w:tcBorders>
            <w:vAlign w:val="center"/>
          </w:tcPr>
          <w:p>
            <w:pPr>
              <w:wordWrap w:val="0"/>
              <w:jc w:val="center"/>
            </w:pPr>
            <w:r>
              <w:rPr>
                <w:rFonts w:hint="eastAsia"/>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2127" w:type="dxa"/>
            <w:tcBorders>
              <w:top w:val="single" w:color="auto" w:sz="4" w:space="0"/>
              <w:left w:val="single" w:color="auto" w:sz="4" w:space="0"/>
              <w:right w:val="single" w:color="auto" w:sz="4" w:space="0"/>
            </w:tcBorders>
            <w:vAlign w:val="center"/>
          </w:tcPr>
          <w:p>
            <w:pPr>
              <w:wordWrap w:val="0"/>
              <w:jc w:val="center"/>
            </w:pPr>
            <w:r>
              <w:rPr>
                <w:rFonts w:hint="eastAsia"/>
              </w:rPr>
              <w:t>实施方案及技术措施</w:t>
            </w:r>
          </w:p>
        </w:tc>
        <w:tc>
          <w:tcPr>
            <w:tcW w:w="5948" w:type="dxa"/>
            <w:tcBorders>
              <w:top w:val="nil"/>
              <w:left w:val="nil"/>
              <w:bottom w:val="single" w:color="auto" w:sz="4" w:space="0"/>
              <w:right w:val="single" w:color="auto" w:sz="4" w:space="0"/>
            </w:tcBorders>
            <w:shd w:val="clear" w:color="auto" w:fill="auto"/>
            <w:vAlign w:val="center"/>
          </w:tcPr>
          <w:p>
            <w:pPr>
              <w:wordWrap w:val="0"/>
              <w:jc w:val="left"/>
            </w:pPr>
            <w:r>
              <w:rPr>
                <w:rFonts w:hint="eastAsia"/>
              </w:rPr>
              <w:t>根据施工方法的合理性、可实施性等方面进行对比，在</w:t>
            </w:r>
            <w:r>
              <w:t>1-6分范围内酌情打分。缺项为0分。</w:t>
            </w:r>
          </w:p>
        </w:tc>
        <w:tc>
          <w:tcPr>
            <w:tcW w:w="1134" w:type="dxa"/>
            <w:tcBorders>
              <w:top w:val="single" w:color="auto" w:sz="4" w:space="0"/>
              <w:left w:val="single" w:color="auto" w:sz="4" w:space="0"/>
              <w:bottom w:val="single" w:color="auto" w:sz="4" w:space="0"/>
              <w:right w:val="single" w:color="auto" w:sz="4" w:space="0"/>
            </w:tcBorders>
            <w:vAlign w:val="center"/>
          </w:tcPr>
          <w:p>
            <w:pPr>
              <w:wordWrap w:val="0"/>
              <w:jc w:val="center"/>
            </w:pPr>
            <w:r>
              <w:t>6</w:t>
            </w:r>
            <w:r>
              <w:rPr>
                <w:rFonts w:hint="eastAsia"/>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2127" w:type="dxa"/>
            <w:tcBorders>
              <w:left w:val="single" w:color="auto" w:sz="4" w:space="0"/>
              <w:right w:val="single" w:color="auto" w:sz="4" w:space="0"/>
            </w:tcBorders>
            <w:vAlign w:val="center"/>
          </w:tcPr>
          <w:p>
            <w:pPr>
              <w:wordWrap w:val="0"/>
              <w:jc w:val="center"/>
            </w:pPr>
            <w:r>
              <w:rPr>
                <w:rFonts w:hint="eastAsia"/>
              </w:rPr>
              <w:t>质量管理体系与措施</w:t>
            </w:r>
          </w:p>
        </w:tc>
        <w:tc>
          <w:tcPr>
            <w:tcW w:w="5948" w:type="dxa"/>
            <w:tcBorders>
              <w:top w:val="single" w:color="auto" w:sz="4" w:space="0"/>
              <w:left w:val="nil"/>
              <w:bottom w:val="single" w:color="auto" w:sz="4" w:space="0"/>
              <w:right w:val="single" w:color="auto" w:sz="4" w:space="0"/>
            </w:tcBorders>
            <w:shd w:val="clear" w:color="auto" w:fill="auto"/>
            <w:vAlign w:val="center"/>
          </w:tcPr>
          <w:p>
            <w:pPr>
              <w:wordWrap w:val="0"/>
              <w:jc w:val="left"/>
            </w:pPr>
            <w:r>
              <w:rPr>
                <w:rFonts w:hint="eastAsia"/>
              </w:rPr>
              <w:t>根据管理体系和措施的合理、科学性等方面进行对比在</w:t>
            </w:r>
            <w:r>
              <w:t>1-5分范围内酌情打分。缺项为0分。</w:t>
            </w:r>
          </w:p>
        </w:tc>
        <w:tc>
          <w:tcPr>
            <w:tcW w:w="1134" w:type="dxa"/>
            <w:tcBorders>
              <w:top w:val="single" w:color="auto" w:sz="4" w:space="0"/>
              <w:left w:val="single" w:color="auto" w:sz="4" w:space="0"/>
              <w:bottom w:val="single" w:color="auto" w:sz="4" w:space="0"/>
              <w:right w:val="single" w:color="auto" w:sz="4" w:space="0"/>
            </w:tcBorders>
            <w:vAlign w:val="center"/>
          </w:tcPr>
          <w:p>
            <w:pPr>
              <w:wordWrap w:val="0"/>
              <w:jc w:val="center"/>
            </w:pPr>
            <w:r>
              <w:t>5</w:t>
            </w:r>
            <w:r>
              <w:rPr>
                <w:rFonts w:hint="eastAsia"/>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2127" w:type="dxa"/>
            <w:tcBorders>
              <w:left w:val="single" w:color="auto" w:sz="4" w:space="0"/>
              <w:right w:val="single" w:color="auto" w:sz="4" w:space="0"/>
            </w:tcBorders>
            <w:vAlign w:val="center"/>
          </w:tcPr>
          <w:p>
            <w:pPr>
              <w:wordWrap w:val="0"/>
              <w:jc w:val="center"/>
            </w:pPr>
            <w:r>
              <w:rPr>
                <w:rFonts w:hint="eastAsia"/>
              </w:rPr>
              <w:t>安全管理体系与措施</w:t>
            </w:r>
          </w:p>
        </w:tc>
        <w:tc>
          <w:tcPr>
            <w:tcW w:w="5948" w:type="dxa"/>
            <w:tcBorders>
              <w:top w:val="single" w:color="auto" w:sz="4" w:space="0"/>
              <w:left w:val="nil"/>
              <w:bottom w:val="single" w:color="auto" w:sz="4" w:space="0"/>
              <w:right w:val="single" w:color="auto" w:sz="4" w:space="0"/>
            </w:tcBorders>
            <w:shd w:val="clear" w:color="auto" w:fill="auto"/>
            <w:vAlign w:val="center"/>
          </w:tcPr>
          <w:p>
            <w:pPr>
              <w:wordWrap w:val="0"/>
              <w:jc w:val="left"/>
            </w:pPr>
            <w:r>
              <w:rPr>
                <w:rFonts w:hint="eastAsia"/>
              </w:rPr>
              <w:t>根据管理体系和措施的合理、科学性等方面进行对比，在</w:t>
            </w:r>
            <w:r>
              <w:t>1-5分范围内酌情打分。缺项为0分。</w:t>
            </w:r>
          </w:p>
        </w:tc>
        <w:tc>
          <w:tcPr>
            <w:tcW w:w="1134" w:type="dxa"/>
            <w:tcBorders>
              <w:top w:val="single" w:color="auto" w:sz="4" w:space="0"/>
              <w:left w:val="single" w:color="auto" w:sz="4" w:space="0"/>
              <w:bottom w:val="single" w:color="auto" w:sz="4" w:space="0"/>
              <w:right w:val="single" w:color="auto" w:sz="4" w:space="0"/>
            </w:tcBorders>
            <w:vAlign w:val="center"/>
          </w:tcPr>
          <w:p>
            <w:pPr>
              <w:wordWrap w:val="0"/>
              <w:jc w:val="center"/>
            </w:pPr>
            <w:r>
              <w:t>5</w:t>
            </w:r>
            <w:r>
              <w:rPr>
                <w:rFonts w:hint="eastAsia"/>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2127" w:type="dxa"/>
            <w:vAlign w:val="center"/>
          </w:tcPr>
          <w:p>
            <w:pPr>
              <w:wordWrap w:val="0"/>
              <w:jc w:val="center"/>
            </w:pPr>
            <w:r>
              <w:rPr>
                <w:rFonts w:hint="eastAsia"/>
              </w:rPr>
              <w:t>工程进度计划与措施</w:t>
            </w:r>
          </w:p>
        </w:tc>
        <w:tc>
          <w:tcPr>
            <w:tcW w:w="5948" w:type="dxa"/>
            <w:vAlign w:val="center"/>
          </w:tcPr>
          <w:p>
            <w:pPr>
              <w:wordWrap w:val="0"/>
              <w:jc w:val="left"/>
            </w:pPr>
            <w:r>
              <w:rPr>
                <w:rFonts w:hint="eastAsia"/>
              </w:rPr>
              <w:t>根据计划与措施是否合理、科学等方面进行对比，在</w:t>
            </w:r>
            <w:r>
              <w:t>1-3分范围内酌情打分。缺项为0分。</w:t>
            </w:r>
          </w:p>
        </w:tc>
        <w:tc>
          <w:tcPr>
            <w:tcW w:w="1134" w:type="dxa"/>
            <w:tcBorders>
              <w:top w:val="single" w:color="auto" w:sz="4" w:space="0"/>
              <w:left w:val="single" w:color="auto" w:sz="4" w:space="0"/>
              <w:bottom w:val="single" w:color="auto" w:sz="4" w:space="0"/>
              <w:right w:val="single" w:color="auto" w:sz="4" w:space="0"/>
            </w:tcBorders>
            <w:vAlign w:val="center"/>
          </w:tcPr>
          <w:p>
            <w:pPr>
              <w:wordWrap w:val="0"/>
              <w:jc w:val="center"/>
            </w:pPr>
            <w: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2127" w:type="dxa"/>
            <w:vAlign w:val="center"/>
          </w:tcPr>
          <w:p>
            <w:pPr>
              <w:wordWrap w:val="0"/>
              <w:jc w:val="center"/>
            </w:pPr>
            <w:r>
              <w:rPr>
                <w:rFonts w:hint="eastAsia"/>
              </w:rPr>
              <w:t>环境保护管理体系与措施</w:t>
            </w:r>
          </w:p>
        </w:tc>
        <w:tc>
          <w:tcPr>
            <w:tcW w:w="5948" w:type="dxa"/>
            <w:vAlign w:val="center"/>
          </w:tcPr>
          <w:p>
            <w:pPr>
              <w:wordWrap w:val="0"/>
              <w:jc w:val="left"/>
            </w:pPr>
            <w:r>
              <w:rPr>
                <w:rFonts w:hint="eastAsia"/>
              </w:rPr>
              <w:t>根据管理体系和措施的合理、科学性等方面进行对比，在</w:t>
            </w:r>
            <w:r>
              <w:t>1-3分范围内酌情打分。缺项为0分。</w:t>
            </w:r>
          </w:p>
        </w:tc>
        <w:tc>
          <w:tcPr>
            <w:tcW w:w="1134" w:type="dxa"/>
            <w:tcBorders>
              <w:top w:val="single" w:color="auto" w:sz="4" w:space="0"/>
              <w:left w:val="single" w:color="auto" w:sz="4" w:space="0"/>
              <w:bottom w:val="single" w:color="auto" w:sz="4" w:space="0"/>
              <w:right w:val="single" w:color="auto" w:sz="4" w:space="0"/>
            </w:tcBorders>
            <w:vAlign w:val="center"/>
          </w:tcPr>
          <w:p>
            <w:pPr>
              <w:wordWrap w:val="0"/>
              <w:jc w:val="center"/>
            </w:pPr>
            <w: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2" w:hRule="atLeast"/>
        </w:trPr>
        <w:tc>
          <w:tcPr>
            <w:tcW w:w="2127" w:type="dxa"/>
            <w:vAlign w:val="center"/>
          </w:tcPr>
          <w:p>
            <w:pPr>
              <w:wordWrap w:val="0"/>
              <w:jc w:val="center"/>
            </w:pPr>
            <w:r>
              <w:rPr>
                <w:rFonts w:hint="eastAsia"/>
              </w:rPr>
              <w:t>产品质量保证措施</w:t>
            </w:r>
          </w:p>
        </w:tc>
        <w:tc>
          <w:tcPr>
            <w:tcW w:w="5948" w:type="dxa"/>
            <w:vAlign w:val="center"/>
          </w:tcPr>
          <w:p>
            <w:pPr>
              <w:wordWrap w:val="0"/>
              <w:jc w:val="left"/>
            </w:pPr>
            <w:r>
              <w:rPr>
                <w:rFonts w:hint="eastAsia"/>
              </w:rPr>
              <w:t>产品质量保证措施。评委根据措施是否合理、可行等在</w:t>
            </w:r>
            <w:r>
              <w:t>1-5分内打分，不提供的不得分；</w:t>
            </w:r>
          </w:p>
        </w:tc>
        <w:tc>
          <w:tcPr>
            <w:tcW w:w="1134" w:type="dxa"/>
            <w:tcBorders>
              <w:top w:val="single" w:color="auto" w:sz="4" w:space="0"/>
              <w:left w:val="single" w:color="auto" w:sz="4" w:space="0"/>
              <w:bottom w:val="single" w:color="auto" w:sz="4" w:space="0"/>
              <w:right w:val="single" w:color="auto" w:sz="4" w:space="0"/>
            </w:tcBorders>
            <w:vAlign w:val="center"/>
          </w:tcPr>
          <w:p>
            <w:pPr>
              <w:wordWrap w:val="0"/>
              <w:jc w:val="center"/>
            </w:pPr>
            <w: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2" w:hRule="atLeast"/>
        </w:trPr>
        <w:tc>
          <w:tcPr>
            <w:tcW w:w="2127" w:type="dxa"/>
            <w:vAlign w:val="center"/>
          </w:tcPr>
          <w:p>
            <w:pPr>
              <w:wordWrap w:val="0"/>
              <w:jc w:val="center"/>
            </w:pPr>
            <w:r>
              <w:rPr>
                <w:rFonts w:hint="eastAsia"/>
              </w:rPr>
              <w:t>售后服务</w:t>
            </w:r>
          </w:p>
        </w:tc>
        <w:tc>
          <w:tcPr>
            <w:tcW w:w="5948" w:type="dxa"/>
            <w:vAlign w:val="center"/>
          </w:tcPr>
          <w:p>
            <w:pPr>
              <w:wordWrap w:val="0"/>
              <w:jc w:val="left"/>
            </w:pPr>
            <w:r>
              <w:t>1</w:t>
            </w:r>
            <w:r>
              <w:rPr>
                <w:rFonts w:hint="eastAsia"/>
              </w:rPr>
              <w:t>、投标人就如何做好后续服务保障工作提供一套优秀的服务方案，评委根据方案的优劣进行对比在1</w:t>
            </w:r>
            <w:r>
              <w:t>-4</w:t>
            </w:r>
            <w:r>
              <w:rPr>
                <w:rFonts w:hint="eastAsia"/>
              </w:rPr>
              <w:t>分内打分，不提供不得分。</w:t>
            </w:r>
          </w:p>
          <w:p>
            <w:pPr>
              <w:wordWrap w:val="0"/>
              <w:jc w:val="left"/>
            </w:pPr>
            <w:r>
              <w:t>2</w:t>
            </w:r>
            <w:r>
              <w:rPr>
                <w:rFonts w:hint="eastAsia"/>
              </w:rPr>
              <w:t>、投标人在项目实施完成后所承诺的责任、服务内容是否合理完整，评委根据承诺内容进行对比在1</w:t>
            </w:r>
            <w:r>
              <w:t>-4</w:t>
            </w:r>
            <w:r>
              <w:rPr>
                <w:rFonts w:hint="eastAsia"/>
              </w:rPr>
              <w:t>分内打分，不提供不得分。</w:t>
            </w:r>
          </w:p>
        </w:tc>
        <w:tc>
          <w:tcPr>
            <w:tcW w:w="1134" w:type="dxa"/>
            <w:tcBorders>
              <w:top w:val="single" w:color="auto" w:sz="4" w:space="0"/>
              <w:left w:val="single" w:color="auto" w:sz="4" w:space="0"/>
              <w:bottom w:val="single" w:color="auto" w:sz="4" w:space="0"/>
              <w:right w:val="single" w:color="auto" w:sz="4" w:space="0"/>
            </w:tcBorders>
            <w:vAlign w:val="center"/>
          </w:tcPr>
          <w:p>
            <w:pPr>
              <w:wordWrap w:val="0"/>
              <w:jc w:val="center"/>
            </w:pPr>
            <w:r>
              <w:t>8分</w:t>
            </w:r>
          </w:p>
        </w:tc>
      </w:tr>
    </w:tbl>
    <w:p>
      <w:pPr>
        <w:wordWrap w:val="0"/>
      </w:pPr>
      <w:r>
        <w:rPr>
          <w:rFonts w:hint="eastAsia"/>
        </w:rPr>
        <w:t>备注：</w:t>
      </w:r>
    </w:p>
    <w:p>
      <w:pPr>
        <w:wordWrap w:val="0"/>
        <w:ind w:firstLine="480" w:firstLineChars="200"/>
      </w:pPr>
      <w:r>
        <w:rPr>
          <w:rFonts w:hint="eastAsia"/>
        </w:rPr>
        <w:t>对投标人挂靠借用资质、提供虚假业绩、证书投标行为，一经发现，将按照《政府采购法》给与行政处罚，将其列入“中国政府采购网” 政府采购严重违法失信行为记录名单，并予以公示。</w:t>
      </w:r>
    </w:p>
    <w:p>
      <w:pPr>
        <w:wordWrap w:val="0"/>
        <w:ind w:firstLine="480" w:firstLineChars="200"/>
      </w:pPr>
      <w:r>
        <w:rPr>
          <w:rFonts w:hint="eastAsia"/>
        </w:rPr>
        <w:t>a、不接受联合体投标的项目，本表中第2项、第3项情形不适用。</w:t>
      </w:r>
    </w:p>
    <w:p>
      <w:pPr>
        <w:wordWrap w:val="0"/>
        <w:ind w:firstLine="480" w:firstLineChars="200"/>
      </w:pPr>
      <w:r>
        <w:rPr>
          <w:rFonts w:hint="eastAsia"/>
        </w:rPr>
        <w:t>b、小型和微型企业产品包括货物及其提供的服务与工程。</w:t>
      </w:r>
    </w:p>
    <w:p>
      <w:pPr>
        <w:wordWrap w:val="0"/>
        <w:ind w:firstLine="480" w:firstLineChars="200"/>
      </w:pPr>
      <w:r>
        <w:rPr>
          <w:rFonts w:hint="eastAsia"/>
        </w:rPr>
        <w:t>c、中小企业、残疾人福利性单位提供其他企业制造的货物的，则该货物的制造商也必须为上述企业，否则不能享受价格优惠。</w:t>
      </w:r>
    </w:p>
    <w:p>
      <w:pPr>
        <w:wordWrap w:val="0"/>
        <w:ind w:firstLine="480" w:firstLineChars="200"/>
      </w:pPr>
      <w:r>
        <w:rPr>
          <w:rFonts w:hint="eastAsia"/>
        </w:rPr>
        <w:t>d、残疾人福利性单位属于小型、微型企业的，不重复享受政策。</w:t>
      </w:r>
    </w:p>
    <w:p>
      <w:pPr>
        <w:wordWrap w:val="0"/>
        <w:ind w:firstLine="480" w:firstLineChars="200"/>
      </w:pPr>
      <w:r>
        <w:rPr>
          <w:rFonts w:hint="eastAsia"/>
        </w:rPr>
        <w:t>E、小型和微型企业不包括民办非企业单位。</w:t>
      </w:r>
    </w:p>
    <w:p>
      <w:pPr>
        <w:wordWrap w:val="0"/>
        <w:ind w:firstLine="480" w:firstLineChars="200"/>
      </w:pPr>
      <w:r>
        <w:rPr>
          <w:rFonts w:hint="eastAsia"/>
        </w:rPr>
        <w:t>（5）评标结果汇总完成后，除下列情形外，任何人不得修改评标结果：</w:t>
      </w:r>
    </w:p>
    <w:p>
      <w:pPr>
        <w:wordWrap w:val="0"/>
        <w:ind w:firstLine="480" w:firstLineChars="200"/>
      </w:pPr>
      <w:r>
        <w:rPr>
          <w:rFonts w:hint="eastAsia"/>
        </w:rPr>
        <w:t>1）分值汇总计算错误的；</w:t>
      </w:r>
    </w:p>
    <w:p>
      <w:pPr>
        <w:wordWrap w:val="0"/>
        <w:ind w:firstLine="480" w:firstLineChars="200"/>
      </w:pPr>
      <w:r>
        <w:rPr>
          <w:rFonts w:hint="eastAsia"/>
        </w:rPr>
        <w:t>2）分项评分超出评分标准范围的；</w:t>
      </w:r>
    </w:p>
    <w:p>
      <w:pPr>
        <w:wordWrap w:val="0"/>
        <w:ind w:firstLine="480" w:firstLineChars="200"/>
      </w:pPr>
      <w:r>
        <w:rPr>
          <w:rFonts w:hint="eastAsia"/>
        </w:rPr>
        <w:t>3）评标委员会成员对客观评审因素评分不一致的；</w:t>
      </w:r>
    </w:p>
    <w:p>
      <w:pPr>
        <w:wordWrap w:val="0"/>
        <w:ind w:firstLine="480" w:firstLineChars="200"/>
      </w:pPr>
      <w:r>
        <w:rPr>
          <w:rFonts w:hint="eastAsia"/>
        </w:rPr>
        <w:t>4）经评标委员会认定评分畸高、畸低的。</w:t>
      </w:r>
    </w:p>
    <w:p>
      <w:pPr>
        <w:wordWrap w:val="0"/>
        <w:ind w:firstLine="480" w:firstLineChars="200"/>
      </w:pPr>
      <w:r>
        <w:rPr>
          <w:rFonts w:hint="eastAsia"/>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wordWrap w:val="0"/>
        <w:ind w:firstLine="480" w:firstLineChars="200"/>
      </w:pPr>
      <w:r>
        <w:rPr>
          <w:rFonts w:hint="eastAsia"/>
        </w:rPr>
        <w:t>投标人对本条第一款情形提出质疑的，采购人或者采购代理机构可以组织原评标委员会进行重新评审，重新评审改变评标结果的，应当书面报告本级财政部门。</w:t>
      </w:r>
    </w:p>
    <w:p>
      <w:pPr>
        <w:wordWrap w:val="0"/>
        <w:ind w:firstLine="480" w:firstLineChars="200"/>
      </w:pPr>
      <w:r>
        <w:rPr>
          <w:rFonts w:hint="eastAsia"/>
        </w:rPr>
        <w:t>（6）按照《关于推进全流程电子化交易和在线监管工作有关问题的通知》（许公管办[2019]3号）规定：评标专家应严格按照要求查看“硬件特征码”相关信息并进行评审，在评审报告中显示“不同投标人电子投标文件制作硬件特征码”是否雷同的分析及判定结果。</w:t>
      </w:r>
    </w:p>
    <w:p>
      <w:pPr>
        <w:wordWrap w:val="0"/>
        <w:ind w:firstLine="480" w:firstLineChars="200"/>
      </w:pPr>
      <w:r>
        <w:rPr>
          <w:rFonts w:hint="eastAsia"/>
        </w:rPr>
        <w:t>（7）评标委员会争议处理</w:t>
      </w:r>
    </w:p>
    <w:p>
      <w:pPr>
        <w:wordWrap w:val="0"/>
        <w:ind w:firstLine="480" w:firstLineChars="200"/>
      </w:pPr>
      <w:r>
        <w:rPr>
          <w:rFonts w:hint="eastAsia"/>
        </w:rPr>
        <w:t>评标委员会成员对需要共同认定的事项存在争议的，应当按照少数服从多数的原则作出结论。持不同意见的评标委员会成员应当在评标报告上签署不同意见及理由，否则视为同意评标报告。</w:t>
      </w:r>
    </w:p>
    <w:p>
      <w:pPr>
        <w:wordWrap w:val="0"/>
        <w:ind w:firstLine="480" w:firstLineChars="200"/>
      </w:pPr>
      <w:r>
        <w:rPr>
          <w:rFonts w:hint="eastAsia"/>
        </w:rPr>
        <w:t>确定中标候选人名单，评标委员会按得分从高到低推荐三名中标人。</w:t>
      </w:r>
    </w:p>
    <w:p>
      <w:pPr>
        <w:wordWrap w:val="0"/>
      </w:pPr>
      <w:r>
        <w:rPr>
          <w:rFonts w:hint="eastAsia"/>
        </w:rPr>
        <w:br w:type="page"/>
      </w:r>
    </w:p>
    <w:p>
      <w:pPr>
        <w:pStyle w:val="5"/>
        <w:wordWrap w:val="0"/>
      </w:pPr>
      <w:r>
        <w:rPr>
          <w:rFonts w:hint="eastAsia"/>
        </w:rPr>
        <w:t>第七章合同条款及格式</w:t>
      </w:r>
    </w:p>
    <w:p>
      <w:pPr>
        <w:wordWrap w:val="0"/>
        <w:jc w:val="center"/>
        <w:rPr>
          <w:rFonts w:ascii="宋体" w:hAnsi="宋体" w:eastAsia="宋体" w:cs="微软雅黑"/>
          <w:b/>
          <w:bCs/>
        </w:rPr>
      </w:pPr>
      <w:r>
        <w:rPr>
          <w:rFonts w:hint="eastAsia" w:ascii="宋体" w:hAnsi="宋体" w:eastAsia="宋体" w:cs="微软雅黑"/>
          <w:b/>
          <w:bCs/>
        </w:rPr>
        <w:t>（此合同仅供参考。以最终采购人与中标人签定的合同条款为准进行公示，</w:t>
      </w:r>
    </w:p>
    <w:p>
      <w:pPr>
        <w:wordWrap w:val="0"/>
        <w:jc w:val="center"/>
        <w:rPr>
          <w:rFonts w:ascii="宋体" w:hAnsi="宋体" w:eastAsia="宋体" w:cs="微软雅黑"/>
          <w:b/>
          <w:bCs/>
        </w:rPr>
      </w:pPr>
      <w:r>
        <w:rPr>
          <w:rFonts w:hint="eastAsia" w:ascii="宋体" w:hAnsi="宋体" w:eastAsia="宋体" w:cs="微软雅黑"/>
          <w:b/>
          <w:bCs/>
        </w:rPr>
        <w:t>最终签定合同的主要条款不能与招标文件有冲突）</w:t>
      </w:r>
    </w:p>
    <w:p>
      <w:pPr>
        <w:wordWrap w:val="0"/>
        <w:spacing w:before="75" w:after="75"/>
        <w:rPr>
          <w:rFonts w:ascii="宋体" w:hAnsi="宋体" w:eastAsia="宋体" w:cs="Times New Roman"/>
          <w:color w:val="000000"/>
        </w:rPr>
      </w:pPr>
      <w:r>
        <w:rPr>
          <w:rFonts w:ascii="宋体" w:hAnsi="宋体" w:eastAsia="宋体" w:cs="Times New Roman"/>
          <w:color w:val="000000"/>
        </w:rPr>
        <w:t>甲方：</w:t>
      </w:r>
      <w:r>
        <w:rPr>
          <w:rFonts w:ascii="宋体" w:hAnsi="宋体" w:eastAsia="宋体" w:cs="Times New Roman"/>
          <w:color w:val="000000"/>
          <w:u w:val="single"/>
        </w:rPr>
        <w:t>（采购人全称）</w:t>
      </w:r>
    </w:p>
    <w:p>
      <w:pPr>
        <w:wordWrap w:val="0"/>
        <w:spacing w:before="75" w:after="75"/>
        <w:rPr>
          <w:rFonts w:ascii="宋体" w:hAnsi="宋体" w:eastAsia="宋体" w:cs="Times New Roman"/>
          <w:color w:val="000000"/>
        </w:rPr>
      </w:pPr>
      <w:r>
        <w:rPr>
          <w:rFonts w:ascii="宋体" w:hAnsi="宋体" w:eastAsia="宋体" w:cs="Times New Roman"/>
          <w:color w:val="000000"/>
        </w:rPr>
        <w:t>乙方：</w:t>
      </w:r>
      <w:r>
        <w:rPr>
          <w:rFonts w:ascii="宋体" w:hAnsi="宋体" w:eastAsia="宋体" w:cs="Times New Roman"/>
          <w:color w:val="000000"/>
          <w:u w:val="single"/>
        </w:rPr>
        <w:t>（中标人全称）</w:t>
      </w:r>
    </w:p>
    <w:p>
      <w:pPr>
        <w:wordWrap w:val="0"/>
        <w:spacing w:before="75" w:after="75"/>
        <w:rPr>
          <w:rFonts w:ascii="宋体" w:hAnsi="宋体" w:eastAsia="宋体" w:cs="Times New Roman"/>
          <w:color w:val="000000"/>
        </w:rPr>
      </w:pPr>
    </w:p>
    <w:p>
      <w:pPr>
        <w:wordWrap w:val="0"/>
        <w:spacing w:before="75" w:after="75"/>
        <w:ind w:firstLine="482"/>
        <w:rPr>
          <w:rFonts w:ascii="宋体" w:hAnsi="宋体" w:eastAsia="宋体" w:cs="Times New Roman"/>
          <w:color w:val="000000"/>
        </w:rPr>
      </w:pPr>
      <w:r>
        <w:rPr>
          <w:rFonts w:ascii="宋体" w:hAnsi="宋体" w:eastAsia="宋体" w:cs="Times New Roman"/>
          <w:color w:val="000000"/>
        </w:rPr>
        <w:t>根据招标编号为的</w:t>
      </w:r>
      <w:r>
        <w:rPr>
          <w:rFonts w:ascii="宋体" w:hAnsi="宋体" w:eastAsia="宋体" w:cs="Times New Roman"/>
          <w:color w:val="000000"/>
          <w:u w:val="single"/>
        </w:rPr>
        <w:t>（填写“项目名称”）</w:t>
      </w:r>
      <w:r>
        <w:rPr>
          <w:rFonts w:ascii="宋体" w:hAnsi="宋体" w:eastAsia="宋体" w:cs="Times New Roman"/>
          <w:color w:val="000000"/>
        </w:rPr>
        <w:t>项目（以下简称：“本项目”）的招标结果，乙方为中标人。现经甲乙双方友好协商，就以下事项达成一致并签订本合同：</w:t>
      </w:r>
    </w:p>
    <w:p>
      <w:pPr>
        <w:wordWrap w:val="0"/>
        <w:spacing w:before="75" w:after="75"/>
        <w:ind w:firstLine="482"/>
        <w:rPr>
          <w:rFonts w:ascii="宋体" w:hAnsi="宋体" w:eastAsia="宋体" w:cs="Times New Roman"/>
          <w:color w:val="000000"/>
        </w:rPr>
      </w:pPr>
      <w:r>
        <w:rPr>
          <w:rFonts w:ascii="宋体" w:hAnsi="宋体" w:eastAsia="宋体" w:cs="Times New Roman"/>
          <w:color w:val="000000"/>
        </w:rPr>
        <w:t>1、下列合同文件是构成本合同不可分割的部分：</w:t>
      </w:r>
    </w:p>
    <w:p>
      <w:pPr>
        <w:wordWrap w:val="0"/>
        <w:spacing w:before="75" w:after="75"/>
        <w:ind w:firstLine="482"/>
        <w:rPr>
          <w:rFonts w:ascii="宋体" w:hAnsi="宋体" w:eastAsia="宋体" w:cs="Times New Roman"/>
          <w:color w:val="000000"/>
        </w:rPr>
      </w:pPr>
      <w:r>
        <w:rPr>
          <w:rFonts w:ascii="宋体" w:hAnsi="宋体" w:eastAsia="宋体" w:cs="Times New Roman"/>
          <w:color w:val="000000"/>
        </w:rPr>
        <w:t>1.1合同条款；</w:t>
      </w:r>
    </w:p>
    <w:p>
      <w:pPr>
        <w:wordWrap w:val="0"/>
        <w:spacing w:before="75" w:after="75"/>
        <w:ind w:firstLine="482"/>
        <w:rPr>
          <w:rFonts w:ascii="宋体" w:hAnsi="宋体" w:eastAsia="宋体" w:cs="Times New Roman"/>
          <w:color w:val="000000"/>
        </w:rPr>
      </w:pPr>
      <w:r>
        <w:rPr>
          <w:rFonts w:ascii="宋体" w:hAnsi="宋体" w:eastAsia="宋体" w:cs="Times New Roman"/>
          <w:color w:val="000000"/>
        </w:rPr>
        <w:t>1.2招标文件、乙方的投标文件；</w:t>
      </w:r>
    </w:p>
    <w:p>
      <w:pPr>
        <w:wordWrap w:val="0"/>
        <w:spacing w:before="75" w:after="75"/>
        <w:ind w:firstLine="482"/>
        <w:rPr>
          <w:rFonts w:ascii="宋体" w:hAnsi="宋体" w:eastAsia="宋体" w:cs="Times New Roman"/>
          <w:color w:val="000000"/>
        </w:rPr>
      </w:pPr>
      <w:r>
        <w:rPr>
          <w:rFonts w:ascii="宋体" w:hAnsi="宋体" w:eastAsia="宋体" w:cs="Times New Roman"/>
          <w:color w:val="000000"/>
        </w:rPr>
        <w:t>1.3其他文件或材料：□无。□</w:t>
      </w:r>
      <w:r>
        <w:rPr>
          <w:rFonts w:ascii="宋体" w:hAnsi="宋体" w:eastAsia="宋体" w:cs="Times New Roman"/>
          <w:color w:val="000000"/>
          <w:u w:val="single"/>
        </w:rPr>
        <w:t>（按照实际情况编制填写需要增加的内容）</w:t>
      </w:r>
      <w:r>
        <w:rPr>
          <w:rFonts w:ascii="宋体" w:hAnsi="宋体" w:eastAsia="宋体" w:cs="Times New Roman"/>
          <w:color w:val="000000"/>
        </w:rPr>
        <w:t>。</w:t>
      </w:r>
    </w:p>
    <w:p>
      <w:pPr>
        <w:wordWrap w:val="0"/>
        <w:spacing w:before="75" w:after="75"/>
        <w:ind w:firstLine="482"/>
        <w:rPr>
          <w:rFonts w:ascii="宋体" w:hAnsi="宋体" w:eastAsia="宋体" w:cs="Times New Roman"/>
          <w:color w:val="000000"/>
        </w:rPr>
      </w:pPr>
      <w:r>
        <w:rPr>
          <w:rFonts w:ascii="宋体" w:hAnsi="宋体" w:eastAsia="宋体" w:cs="Times New Roman"/>
          <w:color w:val="000000"/>
        </w:rPr>
        <w:t>2、合同标的</w:t>
      </w:r>
    </w:p>
    <w:p>
      <w:pPr>
        <w:wordWrap w:val="0"/>
        <w:spacing w:before="75" w:after="75"/>
        <w:ind w:firstLine="482"/>
        <w:rPr>
          <w:rFonts w:ascii="宋体" w:hAnsi="宋体" w:eastAsia="宋体" w:cs="Times New Roman"/>
          <w:color w:val="000000"/>
        </w:rPr>
      </w:pPr>
      <w:r>
        <w:rPr>
          <w:rFonts w:ascii="宋体" w:hAnsi="宋体" w:eastAsia="宋体" w:cs="Times New Roman"/>
          <w:color w:val="000000"/>
          <w:u w:val="single"/>
        </w:rPr>
        <w:t>（按照实际情况编制填写，可以是表格或文字描述）</w:t>
      </w:r>
      <w:r>
        <w:rPr>
          <w:rFonts w:ascii="宋体" w:hAnsi="宋体" w:eastAsia="宋体" w:cs="Times New Roman"/>
          <w:color w:val="000000"/>
        </w:rPr>
        <w:t>。</w:t>
      </w:r>
    </w:p>
    <w:p>
      <w:pPr>
        <w:wordWrap w:val="0"/>
        <w:spacing w:before="75" w:after="75"/>
        <w:ind w:firstLine="482"/>
        <w:rPr>
          <w:rFonts w:ascii="宋体" w:hAnsi="宋体" w:eastAsia="宋体" w:cs="Times New Roman"/>
          <w:color w:val="000000"/>
        </w:rPr>
      </w:pPr>
      <w:r>
        <w:rPr>
          <w:rFonts w:ascii="宋体" w:hAnsi="宋体" w:eastAsia="宋体" w:cs="Times New Roman"/>
          <w:color w:val="000000"/>
        </w:rPr>
        <w:t>3、合同总金额</w:t>
      </w:r>
    </w:p>
    <w:p>
      <w:pPr>
        <w:wordWrap w:val="0"/>
        <w:spacing w:before="75" w:after="75"/>
        <w:ind w:firstLine="482"/>
        <w:rPr>
          <w:rFonts w:ascii="宋体" w:hAnsi="宋体" w:eastAsia="宋体" w:cs="Times New Roman"/>
          <w:color w:val="000000"/>
        </w:rPr>
      </w:pPr>
      <w:r>
        <w:rPr>
          <w:rFonts w:ascii="宋体" w:hAnsi="宋体" w:eastAsia="宋体" w:cs="Times New Roman"/>
          <w:color w:val="000000"/>
        </w:rPr>
        <w:t>3.1合同总金额为人民币大写：元（￥）。</w:t>
      </w:r>
    </w:p>
    <w:p>
      <w:pPr>
        <w:wordWrap w:val="0"/>
        <w:spacing w:before="75" w:after="75"/>
        <w:ind w:firstLine="482"/>
        <w:rPr>
          <w:rFonts w:ascii="宋体" w:hAnsi="宋体" w:eastAsia="宋体" w:cs="Times New Roman"/>
          <w:color w:val="000000"/>
        </w:rPr>
      </w:pPr>
      <w:r>
        <w:rPr>
          <w:rFonts w:ascii="宋体" w:hAnsi="宋体" w:eastAsia="宋体" w:cs="Times New Roman"/>
          <w:color w:val="000000"/>
        </w:rPr>
        <w:t>4、合同标的交付时间、地点和条件</w:t>
      </w:r>
    </w:p>
    <w:p>
      <w:pPr>
        <w:wordWrap w:val="0"/>
        <w:spacing w:before="75" w:after="75"/>
        <w:ind w:firstLine="482"/>
        <w:rPr>
          <w:rFonts w:ascii="宋体" w:hAnsi="宋体" w:eastAsia="宋体" w:cs="Times New Roman"/>
          <w:color w:val="000000"/>
        </w:rPr>
      </w:pPr>
      <w:r>
        <w:rPr>
          <w:rFonts w:ascii="宋体" w:hAnsi="宋体" w:eastAsia="宋体" w:cs="Times New Roman"/>
          <w:color w:val="000000"/>
        </w:rPr>
        <w:t>4.1交付时间：；</w:t>
      </w:r>
    </w:p>
    <w:p>
      <w:pPr>
        <w:wordWrap w:val="0"/>
        <w:spacing w:before="75" w:after="75"/>
        <w:ind w:firstLine="482"/>
        <w:rPr>
          <w:rFonts w:ascii="宋体" w:hAnsi="宋体" w:eastAsia="宋体" w:cs="Times New Roman"/>
          <w:color w:val="000000"/>
        </w:rPr>
      </w:pPr>
      <w:r>
        <w:rPr>
          <w:rFonts w:ascii="宋体" w:hAnsi="宋体" w:eastAsia="宋体" w:cs="Times New Roman"/>
          <w:color w:val="000000"/>
        </w:rPr>
        <w:t>4.2交付地点：；</w:t>
      </w:r>
    </w:p>
    <w:p>
      <w:pPr>
        <w:wordWrap w:val="0"/>
        <w:spacing w:before="75" w:after="75"/>
        <w:ind w:firstLine="482"/>
        <w:rPr>
          <w:rFonts w:ascii="宋体" w:hAnsi="宋体" w:eastAsia="宋体" w:cs="Times New Roman"/>
          <w:color w:val="000000"/>
        </w:rPr>
      </w:pPr>
      <w:r>
        <w:rPr>
          <w:rFonts w:ascii="宋体" w:hAnsi="宋体" w:eastAsia="宋体" w:cs="Times New Roman"/>
          <w:color w:val="000000"/>
        </w:rPr>
        <w:t>4.3交付条件：。</w:t>
      </w:r>
    </w:p>
    <w:p>
      <w:pPr>
        <w:wordWrap w:val="0"/>
        <w:spacing w:before="75" w:after="75"/>
        <w:ind w:firstLine="482"/>
        <w:rPr>
          <w:rFonts w:ascii="宋体" w:hAnsi="宋体" w:eastAsia="宋体" w:cs="Times New Roman"/>
          <w:color w:val="000000"/>
        </w:rPr>
      </w:pPr>
      <w:r>
        <w:rPr>
          <w:rFonts w:ascii="宋体" w:hAnsi="宋体" w:eastAsia="宋体" w:cs="Times New Roman"/>
          <w:color w:val="000000"/>
        </w:rPr>
        <w:t>5、合同标的应符合招标文件、乙方投标文件的规定或约定，具体如下：</w:t>
      </w:r>
    </w:p>
    <w:p>
      <w:pPr>
        <w:wordWrap w:val="0"/>
        <w:spacing w:before="75" w:after="75"/>
        <w:ind w:firstLine="482"/>
        <w:rPr>
          <w:rFonts w:ascii="宋体" w:hAnsi="宋体" w:eastAsia="宋体" w:cs="Times New Roman"/>
          <w:color w:val="000000"/>
        </w:rPr>
      </w:pPr>
      <w:r>
        <w:rPr>
          <w:rFonts w:ascii="宋体" w:hAnsi="宋体" w:eastAsia="宋体" w:cs="Times New Roman"/>
          <w:color w:val="000000"/>
          <w:u w:val="single"/>
        </w:rPr>
        <w:t>（按照实际情况编制填写，可以是表格或文字描述）</w:t>
      </w:r>
      <w:r>
        <w:rPr>
          <w:rFonts w:ascii="宋体" w:hAnsi="宋体" w:eastAsia="宋体" w:cs="Times New Roman"/>
          <w:color w:val="000000"/>
        </w:rPr>
        <w:t>。</w:t>
      </w:r>
    </w:p>
    <w:p>
      <w:pPr>
        <w:wordWrap w:val="0"/>
        <w:spacing w:before="75" w:after="75"/>
        <w:ind w:firstLine="482"/>
        <w:rPr>
          <w:rFonts w:ascii="宋体" w:hAnsi="宋体" w:eastAsia="宋体" w:cs="Times New Roman"/>
          <w:color w:val="000000"/>
        </w:rPr>
      </w:pPr>
      <w:r>
        <w:rPr>
          <w:rFonts w:ascii="宋体" w:hAnsi="宋体" w:eastAsia="宋体" w:cs="Times New Roman"/>
          <w:color w:val="000000"/>
        </w:rPr>
        <w:t>6、验收</w:t>
      </w:r>
    </w:p>
    <w:p>
      <w:pPr>
        <w:wordWrap w:val="0"/>
        <w:spacing w:before="75" w:after="75"/>
        <w:ind w:firstLine="482"/>
        <w:rPr>
          <w:rFonts w:ascii="宋体" w:hAnsi="宋体" w:eastAsia="宋体" w:cs="Times New Roman"/>
          <w:color w:val="000000"/>
        </w:rPr>
      </w:pPr>
      <w:r>
        <w:rPr>
          <w:rFonts w:ascii="宋体" w:hAnsi="宋体" w:eastAsia="宋体" w:cs="Times New Roman"/>
          <w:color w:val="000000"/>
        </w:rPr>
        <w:t>6.1验收应按照招标文件、乙方投标文件的规定或约定进行，具体如下：</w:t>
      </w:r>
    </w:p>
    <w:p>
      <w:pPr>
        <w:wordWrap w:val="0"/>
        <w:spacing w:before="75" w:after="75"/>
        <w:ind w:firstLine="482"/>
        <w:rPr>
          <w:rFonts w:ascii="宋体" w:hAnsi="宋体" w:eastAsia="宋体" w:cs="Times New Roman"/>
          <w:color w:val="000000"/>
        </w:rPr>
      </w:pPr>
      <w:r>
        <w:rPr>
          <w:rFonts w:ascii="宋体" w:hAnsi="宋体" w:eastAsia="宋体" w:cs="Times New Roman"/>
          <w:color w:val="000000"/>
          <w:u w:val="single"/>
        </w:rPr>
        <w:t>（按照实际情况编制填写，可以是表格或文字描述）</w:t>
      </w:r>
      <w:r>
        <w:rPr>
          <w:rFonts w:ascii="宋体" w:hAnsi="宋体" w:eastAsia="宋体" w:cs="Times New Roman"/>
          <w:color w:val="000000"/>
        </w:rPr>
        <w:t>。</w:t>
      </w:r>
    </w:p>
    <w:p>
      <w:pPr>
        <w:wordWrap w:val="0"/>
        <w:spacing w:before="75" w:after="75"/>
        <w:ind w:firstLine="482"/>
        <w:rPr>
          <w:rFonts w:ascii="宋体" w:hAnsi="宋体" w:eastAsia="宋体" w:cs="Times New Roman"/>
          <w:color w:val="000000"/>
        </w:rPr>
      </w:pPr>
      <w:r>
        <w:rPr>
          <w:rFonts w:ascii="宋体" w:hAnsi="宋体" w:eastAsia="宋体" w:cs="Times New Roman"/>
          <w:color w:val="000000"/>
        </w:rPr>
        <w:t>6.2本项目是否邀请其他投标人参与验收：</w:t>
      </w:r>
    </w:p>
    <w:p>
      <w:pPr>
        <w:wordWrap w:val="0"/>
        <w:spacing w:before="75" w:after="75"/>
        <w:ind w:firstLine="482"/>
        <w:rPr>
          <w:rFonts w:ascii="宋体" w:hAnsi="宋体" w:eastAsia="宋体" w:cs="Times New Roman"/>
          <w:color w:val="000000"/>
        </w:rPr>
      </w:pPr>
      <w:r>
        <w:rPr>
          <w:rFonts w:ascii="宋体" w:hAnsi="宋体" w:eastAsia="宋体" w:cs="Times New Roman"/>
          <w:color w:val="000000"/>
        </w:rPr>
        <w:t>□不邀请。□邀请，具体如下：</w:t>
      </w:r>
      <w:r>
        <w:rPr>
          <w:rFonts w:ascii="宋体" w:hAnsi="宋体" w:eastAsia="宋体" w:cs="Times New Roman"/>
          <w:color w:val="000000"/>
          <w:u w:val="single"/>
        </w:rPr>
        <w:t>（按照招标文件规定填写）</w:t>
      </w:r>
      <w:r>
        <w:rPr>
          <w:rFonts w:ascii="宋体" w:hAnsi="宋体" w:eastAsia="宋体" w:cs="Times New Roman"/>
          <w:color w:val="000000"/>
        </w:rPr>
        <w:t>。</w:t>
      </w:r>
    </w:p>
    <w:p>
      <w:pPr>
        <w:wordWrap w:val="0"/>
        <w:spacing w:before="75" w:after="75"/>
        <w:ind w:firstLine="482"/>
        <w:rPr>
          <w:rFonts w:ascii="宋体" w:hAnsi="宋体" w:eastAsia="宋体" w:cs="Times New Roman"/>
          <w:color w:val="000000"/>
        </w:rPr>
      </w:pPr>
      <w:r>
        <w:rPr>
          <w:rFonts w:ascii="宋体" w:hAnsi="宋体" w:eastAsia="宋体" w:cs="Times New Roman"/>
          <w:color w:val="000000"/>
        </w:rPr>
        <w:t>7、合同款项的支付应按照招标文件的规定进行，具体如下：</w:t>
      </w:r>
    </w:p>
    <w:p>
      <w:pPr>
        <w:wordWrap w:val="0"/>
        <w:spacing w:before="75" w:after="75"/>
        <w:ind w:firstLine="482"/>
        <w:rPr>
          <w:rFonts w:ascii="宋体" w:hAnsi="宋体" w:eastAsia="宋体" w:cs="Times New Roman"/>
          <w:color w:val="000000"/>
        </w:rPr>
      </w:pPr>
      <w:r>
        <w:rPr>
          <w:rFonts w:ascii="宋体" w:hAnsi="宋体" w:eastAsia="宋体" w:cs="Times New Roman"/>
          <w:color w:val="000000"/>
          <w:u w:val="single"/>
        </w:rPr>
        <w:t>（按照实际情况编制填写，可以是表格或文字描述，包括一次性支付或分期支付等）</w:t>
      </w:r>
      <w:r>
        <w:rPr>
          <w:rFonts w:ascii="宋体" w:hAnsi="宋体" w:eastAsia="宋体" w:cs="Times New Roman"/>
          <w:color w:val="000000"/>
        </w:rPr>
        <w:t>。</w:t>
      </w:r>
    </w:p>
    <w:p>
      <w:pPr>
        <w:wordWrap w:val="0"/>
        <w:spacing w:before="75" w:after="75"/>
        <w:ind w:firstLine="482"/>
        <w:rPr>
          <w:rFonts w:ascii="宋体" w:hAnsi="宋体" w:eastAsia="宋体" w:cs="Times New Roman"/>
          <w:color w:val="000000"/>
        </w:rPr>
      </w:pPr>
      <w:r>
        <w:rPr>
          <w:rFonts w:ascii="宋体" w:hAnsi="宋体" w:eastAsia="宋体" w:cs="Times New Roman"/>
          <w:color w:val="000000"/>
        </w:rPr>
        <w:t>8、履约保证金</w:t>
      </w:r>
    </w:p>
    <w:p>
      <w:pPr>
        <w:wordWrap w:val="0"/>
        <w:spacing w:before="75" w:after="75"/>
        <w:ind w:firstLine="482"/>
        <w:rPr>
          <w:rFonts w:ascii="宋体" w:hAnsi="宋体" w:eastAsia="宋体" w:cs="Times New Roman"/>
          <w:color w:val="000000"/>
        </w:rPr>
      </w:pPr>
      <w:r>
        <w:rPr>
          <w:rFonts w:ascii="宋体" w:hAnsi="宋体" w:eastAsia="宋体" w:cs="Times New Roman"/>
          <w:color w:val="000000"/>
        </w:rPr>
        <w:t>□无。□有，具体如下：</w:t>
      </w:r>
      <w:r>
        <w:rPr>
          <w:rFonts w:ascii="宋体" w:hAnsi="宋体" w:eastAsia="宋体" w:cs="Times New Roman"/>
          <w:color w:val="000000"/>
          <w:u w:val="single"/>
        </w:rPr>
        <w:t>（按照招标文件规定填写）</w:t>
      </w:r>
      <w:r>
        <w:rPr>
          <w:rFonts w:ascii="宋体" w:hAnsi="宋体" w:eastAsia="宋体" w:cs="Times New Roman"/>
          <w:color w:val="000000"/>
        </w:rPr>
        <w:t>。</w:t>
      </w:r>
    </w:p>
    <w:p>
      <w:pPr>
        <w:wordWrap w:val="0"/>
        <w:spacing w:before="75" w:after="75"/>
        <w:ind w:firstLine="482"/>
        <w:rPr>
          <w:rFonts w:ascii="宋体" w:hAnsi="宋体" w:eastAsia="宋体" w:cs="Times New Roman"/>
          <w:color w:val="000000"/>
        </w:rPr>
      </w:pPr>
      <w:r>
        <w:rPr>
          <w:rFonts w:ascii="宋体" w:hAnsi="宋体" w:eastAsia="宋体" w:cs="Times New Roman"/>
          <w:color w:val="000000"/>
        </w:rPr>
        <w:t>9、合同有效期</w:t>
      </w:r>
    </w:p>
    <w:p>
      <w:pPr>
        <w:wordWrap w:val="0"/>
        <w:spacing w:before="75" w:after="75"/>
        <w:ind w:firstLine="482"/>
        <w:rPr>
          <w:rFonts w:ascii="宋体" w:hAnsi="宋体" w:eastAsia="宋体" w:cs="Times New Roman"/>
          <w:color w:val="000000"/>
        </w:rPr>
      </w:pPr>
      <w:r>
        <w:rPr>
          <w:rFonts w:ascii="宋体" w:hAnsi="宋体" w:eastAsia="宋体" w:cs="Times New Roman"/>
          <w:color w:val="000000"/>
          <w:u w:val="single"/>
        </w:rPr>
        <w:t>（按照实际情况编制填写，可以是表格或文字描述）</w:t>
      </w:r>
      <w:r>
        <w:rPr>
          <w:rFonts w:ascii="宋体" w:hAnsi="宋体" w:eastAsia="宋体" w:cs="Times New Roman"/>
          <w:color w:val="000000"/>
        </w:rPr>
        <w:t>。</w:t>
      </w:r>
    </w:p>
    <w:p>
      <w:pPr>
        <w:wordWrap w:val="0"/>
        <w:spacing w:before="75" w:after="75"/>
        <w:ind w:firstLine="482"/>
        <w:rPr>
          <w:rFonts w:ascii="宋体" w:hAnsi="宋体" w:eastAsia="宋体" w:cs="Times New Roman"/>
          <w:color w:val="000000"/>
        </w:rPr>
      </w:pPr>
      <w:r>
        <w:rPr>
          <w:rFonts w:ascii="宋体" w:hAnsi="宋体" w:eastAsia="宋体" w:cs="Times New Roman"/>
          <w:color w:val="000000"/>
        </w:rPr>
        <w:t>10、违约责任</w:t>
      </w:r>
    </w:p>
    <w:p>
      <w:pPr>
        <w:wordWrap w:val="0"/>
        <w:spacing w:before="75" w:after="75"/>
        <w:ind w:firstLine="482"/>
        <w:rPr>
          <w:rFonts w:ascii="宋体" w:hAnsi="宋体" w:eastAsia="宋体" w:cs="Times New Roman"/>
          <w:color w:val="000000"/>
        </w:rPr>
      </w:pPr>
      <w:r>
        <w:rPr>
          <w:rFonts w:ascii="宋体" w:hAnsi="宋体" w:eastAsia="宋体" w:cs="Times New Roman"/>
          <w:color w:val="000000"/>
          <w:u w:val="single"/>
        </w:rPr>
        <w:t>（按照实际情况编制填写，可以是表格或文字描述）</w:t>
      </w:r>
      <w:r>
        <w:rPr>
          <w:rFonts w:ascii="宋体" w:hAnsi="宋体" w:eastAsia="宋体" w:cs="Times New Roman"/>
          <w:color w:val="000000"/>
        </w:rPr>
        <w:t>。</w:t>
      </w:r>
    </w:p>
    <w:p>
      <w:pPr>
        <w:wordWrap w:val="0"/>
        <w:spacing w:before="75" w:after="75"/>
        <w:ind w:firstLine="482"/>
        <w:rPr>
          <w:rFonts w:ascii="宋体" w:hAnsi="宋体" w:eastAsia="宋体" w:cs="Times New Roman"/>
          <w:color w:val="000000"/>
        </w:rPr>
      </w:pPr>
      <w:r>
        <w:rPr>
          <w:rFonts w:ascii="宋体" w:hAnsi="宋体" w:eastAsia="宋体" w:cs="Times New Roman"/>
          <w:color w:val="000000"/>
        </w:rPr>
        <w:t>11、知识产权</w:t>
      </w:r>
    </w:p>
    <w:p>
      <w:pPr>
        <w:wordWrap w:val="0"/>
        <w:spacing w:before="75" w:after="75"/>
        <w:ind w:firstLine="482"/>
        <w:rPr>
          <w:rFonts w:ascii="宋体" w:hAnsi="宋体" w:eastAsia="宋体" w:cs="Times New Roman"/>
          <w:color w:val="000000"/>
        </w:rPr>
      </w:pPr>
      <w:r>
        <w:rPr>
          <w:rFonts w:ascii="宋体" w:hAnsi="宋体" w:eastAsia="宋体" w:cs="Times New Roman"/>
          <w:color w:val="000000"/>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wordWrap w:val="0"/>
        <w:spacing w:before="75" w:after="75"/>
        <w:ind w:firstLine="482"/>
        <w:rPr>
          <w:rFonts w:ascii="宋体" w:hAnsi="宋体" w:eastAsia="宋体" w:cs="Times New Roman"/>
          <w:color w:val="000000"/>
        </w:rPr>
      </w:pPr>
      <w:r>
        <w:rPr>
          <w:rFonts w:ascii="宋体" w:hAnsi="宋体" w:eastAsia="宋体" w:cs="Times New Roman"/>
          <w:color w:val="000000"/>
        </w:rPr>
        <w:t>11.2若乙方提供的采购标的不符合国家知识产权法律、法规的规定或被有关主管机关认定为假冒伪劣品，则乙方中标资格将被取消；甲方还将按照有关法律、法规和规章的规定进行处理，具体如下：</w:t>
      </w:r>
      <w:r>
        <w:rPr>
          <w:rFonts w:ascii="宋体" w:hAnsi="宋体" w:eastAsia="宋体" w:cs="Times New Roman"/>
          <w:color w:val="000000"/>
          <w:u w:val="single"/>
        </w:rPr>
        <w:t>（按照实际情况编制填写）</w:t>
      </w:r>
      <w:r>
        <w:rPr>
          <w:rFonts w:ascii="宋体" w:hAnsi="宋体" w:eastAsia="宋体" w:cs="Times New Roman"/>
          <w:color w:val="000000"/>
        </w:rPr>
        <w:t>。</w:t>
      </w:r>
    </w:p>
    <w:p>
      <w:pPr>
        <w:wordWrap w:val="0"/>
        <w:spacing w:before="75" w:after="75"/>
        <w:ind w:firstLine="482"/>
        <w:rPr>
          <w:rFonts w:ascii="宋体" w:hAnsi="宋体" w:eastAsia="宋体" w:cs="Times New Roman"/>
          <w:color w:val="000000"/>
        </w:rPr>
      </w:pPr>
      <w:r>
        <w:rPr>
          <w:rFonts w:ascii="宋体" w:hAnsi="宋体" w:eastAsia="宋体" w:cs="Times New Roman"/>
          <w:color w:val="000000"/>
        </w:rPr>
        <w:t>12、解决争议的方法</w:t>
      </w:r>
    </w:p>
    <w:p>
      <w:pPr>
        <w:wordWrap w:val="0"/>
        <w:spacing w:before="75" w:after="75"/>
        <w:ind w:firstLine="482"/>
        <w:rPr>
          <w:rFonts w:ascii="宋体" w:hAnsi="宋体" w:eastAsia="宋体" w:cs="Times New Roman"/>
          <w:color w:val="000000"/>
        </w:rPr>
      </w:pPr>
      <w:r>
        <w:rPr>
          <w:rFonts w:ascii="宋体" w:hAnsi="宋体" w:eastAsia="宋体" w:cs="Times New Roman"/>
          <w:color w:val="000000"/>
        </w:rPr>
        <w:t>12.1甲、乙双方协商解决。</w:t>
      </w:r>
    </w:p>
    <w:p>
      <w:pPr>
        <w:wordWrap w:val="0"/>
        <w:spacing w:before="75" w:after="75"/>
        <w:ind w:firstLine="482"/>
        <w:rPr>
          <w:rFonts w:ascii="宋体" w:hAnsi="宋体" w:eastAsia="宋体" w:cs="Times New Roman"/>
          <w:color w:val="000000"/>
        </w:rPr>
      </w:pPr>
      <w:r>
        <w:rPr>
          <w:rFonts w:ascii="宋体" w:hAnsi="宋体" w:eastAsia="宋体" w:cs="Times New Roman"/>
          <w:color w:val="000000"/>
        </w:rPr>
        <w:t>12.2若协商解决不成，则通过下列途径之一解决：</w:t>
      </w:r>
    </w:p>
    <w:p>
      <w:pPr>
        <w:wordWrap w:val="0"/>
        <w:spacing w:before="75" w:after="75"/>
        <w:ind w:firstLine="482"/>
        <w:rPr>
          <w:rFonts w:ascii="宋体" w:hAnsi="宋体" w:eastAsia="宋体" w:cs="Times New Roman"/>
          <w:color w:val="000000"/>
        </w:rPr>
      </w:pPr>
      <w:r>
        <w:rPr>
          <w:rFonts w:ascii="宋体" w:hAnsi="宋体" w:eastAsia="宋体" w:cs="Times New Roman"/>
          <w:color w:val="000000"/>
        </w:rPr>
        <w:t>□提交仲裁委员会仲裁，具体如下：</w:t>
      </w:r>
      <w:r>
        <w:rPr>
          <w:rFonts w:ascii="宋体" w:hAnsi="宋体" w:eastAsia="宋体" w:cs="Times New Roman"/>
          <w:color w:val="000000"/>
          <w:u w:val="single"/>
        </w:rPr>
        <w:t>（按照实际情况编制填写）</w:t>
      </w:r>
      <w:r>
        <w:rPr>
          <w:rFonts w:ascii="宋体" w:hAnsi="宋体" w:eastAsia="宋体" w:cs="Times New Roman"/>
          <w:color w:val="000000"/>
        </w:rPr>
        <w:t>。</w:t>
      </w:r>
    </w:p>
    <w:p>
      <w:pPr>
        <w:wordWrap w:val="0"/>
        <w:spacing w:before="75" w:after="75"/>
        <w:ind w:firstLine="482"/>
        <w:rPr>
          <w:rFonts w:ascii="宋体" w:hAnsi="宋体" w:eastAsia="宋体" w:cs="Times New Roman"/>
          <w:color w:val="000000"/>
        </w:rPr>
      </w:pPr>
      <w:r>
        <w:rPr>
          <w:rFonts w:ascii="宋体" w:hAnsi="宋体" w:eastAsia="宋体" w:cs="Times New Roman"/>
          <w:color w:val="000000"/>
        </w:rPr>
        <w:t>□向人民法院提起诉讼，具体如下：</w:t>
      </w:r>
      <w:r>
        <w:rPr>
          <w:rFonts w:ascii="宋体" w:hAnsi="宋体" w:eastAsia="宋体" w:cs="Times New Roman"/>
          <w:color w:val="000000"/>
          <w:u w:val="single"/>
        </w:rPr>
        <w:t>（按照实际情况编制填写）</w:t>
      </w:r>
      <w:r>
        <w:rPr>
          <w:rFonts w:ascii="宋体" w:hAnsi="宋体" w:eastAsia="宋体" w:cs="Times New Roman"/>
          <w:color w:val="000000"/>
        </w:rPr>
        <w:t>。</w:t>
      </w:r>
    </w:p>
    <w:p>
      <w:pPr>
        <w:wordWrap w:val="0"/>
        <w:spacing w:before="75" w:after="75"/>
        <w:ind w:firstLine="482"/>
        <w:rPr>
          <w:rFonts w:ascii="宋体" w:hAnsi="宋体" w:eastAsia="宋体" w:cs="Times New Roman"/>
          <w:color w:val="000000"/>
        </w:rPr>
      </w:pPr>
      <w:r>
        <w:rPr>
          <w:rFonts w:ascii="宋体" w:hAnsi="宋体" w:eastAsia="宋体" w:cs="Times New Roman"/>
          <w:color w:val="000000"/>
        </w:rPr>
        <w:t>13、不可抗力</w:t>
      </w:r>
    </w:p>
    <w:p>
      <w:pPr>
        <w:wordWrap w:val="0"/>
        <w:spacing w:before="75" w:after="75"/>
        <w:ind w:firstLine="482"/>
        <w:rPr>
          <w:rFonts w:ascii="宋体" w:hAnsi="宋体" w:eastAsia="宋体" w:cs="Times New Roman"/>
          <w:color w:val="000000"/>
        </w:rPr>
      </w:pPr>
      <w:r>
        <w:rPr>
          <w:rFonts w:ascii="宋体" w:hAnsi="宋体" w:eastAsia="宋体" w:cs="Times New Roman"/>
          <w:color w:val="000000"/>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wordWrap w:val="0"/>
        <w:spacing w:before="75" w:after="75"/>
        <w:ind w:firstLine="482"/>
        <w:rPr>
          <w:rFonts w:ascii="宋体" w:hAnsi="宋体" w:eastAsia="宋体" w:cs="Times New Roman"/>
          <w:color w:val="000000"/>
        </w:rPr>
      </w:pPr>
      <w:r>
        <w:rPr>
          <w:rFonts w:ascii="宋体" w:hAnsi="宋体" w:eastAsia="宋体" w:cs="Times New Roman"/>
          <w:color w:val="000000"/>
        </w:rPr>
        <w:t>13.2本合同中的不可抗力指不能预见、不能避免、不能克服的客观情况，包括但不限于：自然灾害如地震、台风、洪水、火灾及政府行为、法律规定或其适用的变化或其他任何无法预见、避免或控制的事件。</w:t>
      </w:r>
    </w:p>
    <w:p>
      <w:pPr>
        <w:wordWrap w:val="0"/>
        <w:spacing w:before="75" w:after="75"/>
        <w:ind w:firstLine="482"/>
        <w:rPr>
          <w:rFonts w:ascii="宋体" w:hAnsi="宋体" w:eastAsia="宋体" w:cs="Times New Roman"/>
          <w:color w:val="000000"/>
        </w:rPr>
      </w:pPr>
      <w:r>
        <w:rPr>
          <w:rFonts w:ascii="宋体" w:hAnsi="宋体" w:eastAsia="宋体" w:cs="Times New Roman"/>
          <w:color w:val="000000"/>
        </w:rPr>
        <w:t>14、合同条款</w:t>
      </w:r>
    </w:p>
    <w:p>
      <w:pPr>
        <w:wordWrap w:val="0"/>
        <w:spacing w:before="75" w:after="75"/>
        <w:ind w:firstLine="482"/>
        <w:rPr>
          <w:rFonts w:ascii="宋体" w:hAnsi="宋体" w:eastAsia="宋体" w:cs="Times New Roman"/>
          <w:color w:val="000000"/>
        </w:rPr>
      </w:pPr>
      <w:r>
        <w:rPr>
          <w:rFonts w:ascii="宋体" w:hAnsi="宋体" w:eastAsia="宋体" w:cs="Times New Roman"/>
          <w:color w:val="000000"/>
          <w:u w:val="single"/>
        </w:rPr>
        <w:t>（按照实际情况编制填写。招标文件已有规定的，双方均不得变更或调整；招标文件未作规定的，双方可通过友好协商进行约定）</w:t>
      </w:r>
      <w:r>
        <w:rPr>
          <w:rFonts w:ascii="宋体" w:hAnsi="宋体" w:eastAsia="宋体" w:cs="Times New Roman"/>
          <w:color w:val="000000"/>
        </w:rPr>
        <w:t>。</w:t>
      </w:r>
    </w:p>
    <w:p>
      <w:pPr>
        <w:wordWrap w:val="0"/>
        <w:spacing w:before="75" w:after="75"/>
        <w:ind w:firstLine="482"/>
        <w:rPr>
          <w:rFonts w:ascii="宋体" w:hAnsi="宋体" w:eastAsia="宋体" w:cs="Times New Roman"/>
          <w:color w:val="000000"/>
        </w:rPr>
      </w:pPr>
      <w:r>
        <w:rPr>
          <w:rFonts w:ascii="宋体" w:hAnsi="宋体" w:eastAsia="宋体" w:cs="Times New Roman"/>
          <w:color w:val="000000"/>
        </w:rPr>
        <w:t>15、其他约定</w:t>
      </w:r>
    </w:p>
    <w:p>
      <w:pPr>
        <w:wordWrap w:val="0"/>
        <w:spacing w:before="75" w:after="75"/>
        <w:ind w:firstLine="482"/>
        <w:rPr>
          <w:rFonts w:ascii="宋体" w:hAnsi="宋体" w:eastAsia="宋体" w:cs="Times New Roman"/>
          <w:color w:val="000000"/>
        </w:rPr>
      </w:pPr>
      <w:r>
        <w:rPr>
          <w:rFonts w:ascii="宋体" w:hAnsi="宋体" w:eastAsia="宋体" w:cs="Times New Roman"/>
          <w:color w:val="000000"/>
        </w:rPr>
        <w:t>15.1合同文件与本合同具有同等法律效力。</w:t>
      </w:r>
    </w:p>
    <w:p>
      <w:pPr>
        <w:wordWrap w:val="0"/>
        <w:spacing w:before="75" w:after="75"/>
        <w:ind w:firstLine="482"/>
        <w:rPr>
          <w:rFonts w:ascii="宋体" w:hAnsi="宋体" w:eastAsia="宋体" w:cs="Times New Roman"/>
          <w:color w:val="000000"/>
        </w:rPr>
      </w:pPr>
      <w:r>
        <w:rPr>
          <w:rFonts w:ascii="宋体" w:hAnsi="宋体" w:eastAsia="宋体" w:cs="Times New Roman"/>
          <w:color w:val="000000"/>
        </w:rPr>
        <w:t>15.2本合同未尽事宜，双方可另行补充。</w:t>
      </w:r>
    </w:p>
    <w:p>
      <w:pPr>
        <w:wordWrap w:val="0"/>
        <w:spacing w:before="75" w:after="75"/>
        <w:ind w:firstLine="482"/>
        <w:rPr>
          <w:rFonts w:ascii="宋体" w:hAnsi="宋体" w:eastAsia="宋体" w:cs="Times New Roman"/>
          <w:color w:val="000000"/>
        </w:rPr>
      </w:pPr>
      <w:r>
        <w:rPr>
          <w:rFonts w:ascii="宋体" w:hAnsi="宋体" w:eastAsia="宋体" w:cs="Times New Roman"/>
          <w:color w:val="000000"/>
        </w:rPr>
        <w:t>15.3合同生效：自签订之日起生效。</w:t>
      </w:r>
    </w:p>
    <w:p>
      <w:pPr>
        <w:wordWrap w:val="0"/>
        <w:spacing w:before="75" w:after="75"/>
        <w:ind w:firstLine="482"/>
        <w:rPr>
          <w:rFonts w:ascii="宋体" w:hAnsi="宋体" w:eastAsia="宋体" w:cs="Times New Roman"/>
          <w:color w:val="000000"/>
        </w:rPr>
      </w:pPr>
      <w:r>
        <w:rPr>
          <w:rFonts w:ascii="宋体" w:hAnsi="宋体" w:eastAsia="宋体" w:cs="Times New Roman"/>
          <w:color w:val="000000"/>
        </w:rPr>
        <w:t>15.4本合同一式</w:t>
      </w:r>
      <w:r>
        <w:rPr>
          <w:rFonts w:ascii="宋体" w:hAnsi="宋体" w:eastAsia="宋体" w:cs="Times New Roman"/>
          <w:color w:val="000000"/>
          <w:u w:val="single"/>
        </w:rPr>
        <w:t>（填写具体份数）</w:t>
      </w:r>
      <w:r>
        <w:rPr>
          <w:rFonts w:ascii="宋体" w:hAnsi="宋体" w:eastAsia="宋体" w:cs="Times New Roman"/>
          <w:color w:val="000000"/>
        </w:rPr>
        <w:t>份，经双方授权代表签字并盖章后生效。甲方、乙方各执</w:t>
      </w:r>
      <w:r>
        <w:rPr>
          <w:rFonts w:ascii="宋体" w:hAnsi="宋体" w:eastAsia="宋体" w:cs="Times New Roman"/>
          <w:color w:val="000000"/>
          <w:u w:val="single"/>
        </w:rPr>
        <w:t>（填写具体份数）</w:t>
      </w:r>
      <w:r>
        <w:rPr>
          <w:rFonts w:ascii="宋体" w:hAnsi="宋体" w:eastAsia="宋体" w:cs="Times New Roman"/>
          <w:color w:val="000000"/>
        </w:rPr>
        <w:t>份，送</w:t>
      </w:r>
      <w:r>
        <w:rPr>
          <w:rFonts w:ascii="宋体" w:hAnsi="宋体" w:eastAsia="宋体" w:cs="Times New Roman"/>
          <w:color w:val="000000"/>
          <w:u w:val="single"/>
        </w:rPr>
        <w:t>（填写需要备案的监管部门的全称）</w:t>
      </w:r>
      <w:r>
        <w:rPr>
          <w:rFonts w:ascii="宋体" w:hAnsi="宋体" w:eastAsia="宋体" w:cs="Times New Roman"/>
          <w:color w:val="000000"/>
        </w:rPr>
        <w:t>备案</w:t>
      </w:r>
      <w:r>
        <w:rPr>
          <w:rFonts w:ascii="宋体" w:hAnsi="宋体" w:eastAsia="宋体" w:cs="Times New Roman"/>
          <w:color w:val="000000"/>
          <w:u w:val="single"/>
        </w:rPr>
        <w:t>（填写具体份数）</w:t>
      </w:r>
      <w:r>
        <w:rPr>
          <w:rFonts w:ascii="宋体" w:hAnsi="宋体" w:eastAsia="宋体" w:cs="Times New Roman"/>
          <w:color w:val="000000"/>
        </w:rPr>
        <w:t>份，具有同等效力。</w:t>
      </w:r>
    </w:p>
    <w:p>
      <w:pPr>
        <w:wordWrap w:val="0"/>
        <w:spacing w:before="75" w:after="75"/>
        <w:ind w:firstLine="482"/>
        <w:rPr>
          <w:rFonts w:ascii="宋体" w:hAnsi="宋体" w:eastAsia="宋体" w:cs="Times New Roman"/>
          <w:color w:val="000000"/>
        </w:rPr>
      </w:pPr>
      <w:r>
        <w:rPr>
          <w:rFonts w:ascii="宋体" w:hAnsi="宋体" w:eastAsia="宋体" w:cs="Times New Roman"/>
          <w:color w:val="000000"/>
        </w:rPr>
        <w:t>15.5其他：□无。□</w:t>
      </w:r>
      <w:r>
        <w:rPr>
          <w:rFonts w:ascii="宋体" w:hAnsi="宋体" w:eastAsia="宋体" w:cs="Times New Roman"/>
          <w:color w:val="000000"/>
          <w:u w:val="single"/>
        </w:rPr>
        <w:t>（按照实际情况编制填写需要增加的内容）</w:t>
      </w:r>
      <w:r>
        <w:rPr>
          <w:rFonts w:ascii="宋体" w:hAnsi="宋体" w:eastAsia="宋体" w:cs="Times New Roman"/>
          <w:color w:val="000000"/>
        </w:rPr>
        <w:t>。</w:t>
      </w:r>
    </w:p>
    <w:p>
      <w:pPr>
        <w:wordWrap w:val="0"/>
        <w:spacing w:before="75" w:after="75"/>
        <w:rPr>
          <w:rFonts w:ascii="宋体" w:hAnsi="宋体" w:eastAsia="宋体" w:cs="Times New Roman"/>
          <w:color w:val="000000"/>
        </w:rPr>
      </w:pPr>
      <w:r>
        <w:rPr>
          <w:rFonts w:ascii="宋体" w:hAnsi="宋体" w:eastAsia="宋体" w:cs="Times New Roman"/>
          <w:color w:val="000000"/>
        </w:rPr>
        <w:t>甲方：乙方：</w:t>
      </w:r>
    </w:p>
    <w:p>
      <w:pPr>
        <w:wordWrap w:val="0"/>
        <w:spacing w:before="75" w:after="75"/>
        <w:rPr>
          <w:rFonts w:ascii="宋体" w:hAnsi="宋体" w:eastAsia="宋体" w:cs="Times New Roman"/>
          <w:color w:val="000000"/>
        </w:rPr>
      </w:pPr>
      <w:r>
        <w:rPr>
          <w:rFonts w:ascii="宋体" w:hAnsi="宋体" w:eastAsia="宋体" w:cs="Times New Roman"/>
          <w:color w:val="000000"/>
        </w:rPr>
        <w:t>住所：住所：</w:t>
      </w:r>
    </w:p>
    <w:p>
      <w:pPr>
        <w:wordWrap w:val="0"/>
        <w:spacing w:before="75" w:after="75"/>
        <w:rPr>
          <w:rFonts w:ascii="宋体" w:hAnsi="宋体" w:eastAsia="宋体" w:cs="Times New Roman"/>
          <w:color w:val="000000"/>
        </w:rPr>
      </w:pPr>
      <w:r>
        <w:rPr>
          <w:rFonts w:hint="eastAsia" w:ascii="宋体" w:hAnsi="宋体" w:eastAsia="宋体" w:cs="Times New Roman"/>
          <w:color w:val="000000"/>
        </w:rPr>
        <w:t>法定代表人（</w:t>
      </w:r>
      <w:r>
        <w:rPr>
          <w:rFonts w:ascii="宋体" w:hAnsi="宋体" w:eastAsia="宋体" w:cs="Times New Roman"/>
          <w:color w:val="000000"/>
        </w:rPr>
        <w:t>单位负责人</w:t>
      </w:r>
      <w:r>
        <w:rPr>
          <w:rFonts w:hint="eastAsia" w:ascii="宋体" w:hAnsi="宋体" w:eastAsia="宋体" w:cs="Times New Roman"/>
          <w:color w:val="000000"/>
        </w:rPr>
        <w:t>）</w:t>
      </w:r>
      <w:r>
        <w:rPr>
          <w:rFonts w:ascii="宋体" w:hAnsi="宋体" w:eastAsia="宋体" w:cs="Times New Roman"/>
          <w:color w:val="000000"/>
        </w:rPr>
        <w:t>：</w:t>
      </w:r>
      <w:r>
        <w:rPr>
          <w:rFonts w:hint="eastAsia" w:ascii="宋体" w:hAnsi="宋体" w:eastAsia="宋体" w:cs="Times New Roman"/>
          <w:color w:val="000000"/>
        </w:rPr>
        <w:t xml:space="preserve">     法定代表人（</w:t>
      </w:r>
      <w:r>
        <w:rPr>
          <w:rFonts w:ascii="宋体" w:hAnsi="宋体" w:eastAsia="宋体" w:cs="Times New Roman"/>
          <w:color w:val="000000"/>
        </w:rPr>
        <w:t>单位负责人</w:t>
      </w:r>
      <w:r>
        <w:rPr>
          <w:rFonts w:hint="eastAsia" w:ascii="宋体" w:hAnsi="宋体" w:eastAsia="宋体" w:cs="Times New Roman"/>
          <w:color w:val="000000"/>
        </w:rPr>
        <w:t>）</w:t>
      </w:r>
      <w:r>
        <w:rPr>
          <w:rFonts w:ascii="宋体" w:hAnsi="宋体" w:eastAsia="宋体" w:cs="Times New Roman"/>
          <w:color w:val="000000"/>
        </w:rPr>
        <w:t>：</w:t>
      </w:r>
    </w:p>
    <w:p>
      <w:pPr>
        <w:wordWrap w:val="0"/>
        <w:spacing w:before="75" w:after="75"/>
        <w:rPr>
          <w:rFonts w:ascii="宋体" w:hAnsi="宋体" w:eastAsia="宋体" w:cs="Times New Roman"/>
          <w:color w:val="000000"/>
        </w:rPr>
      </w:pPr>
      <w:r>
        <w:rPr>
          <w:rFonts w:ascii="宋体" w:hAnsi="宋体" w:eastAsia="宋体" w:cs="Times New Roman"/>
          <w:color w:val="000000"/>
        </w:rPr>
        <w:t>联系方法：联系方法：</w:t>
      </w:r>
    </w:p>
    <w:p>
      <w:pPr>
        <w:wordWrap w:val="0"/>
        <w:spacing w:before="75" w:after="75"/>
        <w:rPr>
          <w:rFonts w:ascii="宋体" w:hAnsi="宋体" w:eastAsia="宋体" w:cs="Times New Roman"/>
          <w:color w:val="000000"/>
        </w:rPr>
      </w:pPr>
      <w:r>
        <w:rPr>
          <w:rFonts w:ascii="宋体" w:hAnsi="宋体" w:eastAsia="宋体" w:cs="Times New Roman"/>
          <w:color w:val="000000"/>
        </w:rPr>
        <w:t>开户银行：开户银行：</w:t>
      </w:r>
    </w:p>
    <w:p>
      <w:pPr>
        <w:wordWrap w:val="0"/>
        <w:spacing w:before="75" w:after="75"/>
        <w:rPr>
          <w:rFonts w:ascii="宋体" w:hAnsi="宋体" w:eastAsia="宋体" w:cs="Times New Roman"/>
          <w:color w:val="000000"/>
        </w:rPr>
      </w:pPr>
      <w:r>
        <w:rPr>
          <w:rFonts w:ascii="宋体" w:hAnsi="宋体" w:eastAsia="宋体" w:cs="Times New Roman"/>
          <w:color w:val="000000"/>
        </w:rPr>
        <w:t>账号：账号：</w:t>
      </w:r>
    </w:p>
    <w:p>
      <w:pPr>
        <w:wordWrap w:val="0"/>
        <w:spacing w:before="75" w:after="75"/>
        <w:rPr>
          <w:rFonts w:ascii="宋体" w:hAnsi="宋体" w:eastAsia="宋体" w:cs="Times New Roman"/>
          <w:color w:val="000000"/>
        </w:rPr>
      </w:pPr>
      <w:r>
        <w:rPr>
          <w:rFonts w:ascii="宋体" w:hAnsi="宋体" w:eastAsia="宋体" w:cs="Times New Roman"/>
          <w:color w:val="000000"/>
        </w:rPr>
        <w:t>签订地点：</w:t>
      </w:r>
    </w:p>
    <w:p>
      <w:pPr>
        <w:wordWrap w:val="0"/>
        <w:spacing w:before="75" w:after="75"/>
        <w:rPr>
          <w:rFonts w:ascii="宋体" w:hAnsi="宋体" w:eastAsia="宋体" w:cs="Times New Roman"/>
          <w:color w:val="000000"/>
        </w:rPr>
      </w:pPr>
      <w:r>
        <w:rPr>
          <w:rFonts w:ascii="宋体" w:hAnsi="宋体" w:eastAsia="宋体" w:cs="Times New Roman"/>
          <w:color w:val="000000"/>
        </w:rPr>
        <w:t>签订日期：年月日</w:t>
      </w:r>
    </w:p>
    <w:p>
      <w:pPr>
        <w:wordWrap w:val="0"/>
        <w:rPr>
          <w:rFonts w:ascii="宋体" w:hAnsi="宋体" w:eastAsia="宋体" w:cs="Times New Roman"/>
          <w:color w:val="000000"/>
        </w:rPr>
      </w:pPr>
      <w:r>
        <w:rPr>
          <w:rFonts w:ascii="宋体" w:hAnsi="宋体" w:eastAsia="宋体" w:cs="Times New Roman"/>
          <w:color w:val="000000"/>
        </w:rPr>
        <w:br w:type="page"/>
      </w:r>
    </w:p>
    <w:p>
      <w:pPr>
        <w:pStyle w:val="5"/>
        <w:wordWrap w:val="0"/>
      </w:pPr>
      <w:r>
        <w:rPr>
          <w:rFonts w:hint="eastAsia"/>
        </w:rPr>
        <w:t>第八章 投标文件有关格式</w:t>
      </w:r>
    </w:p>
    <w:p>
      <w:pPr>
        <w:wordWrap w:val="0"/>
        <w:jc w:val="center"/>
        <w:rPr>
          <w:b/>
          <w:bCs/>
        </w:rPr>
      </w:pPr>
      <w:r>
        <w:rPr>
          <w:rFonts w:hint="eastAsia"/>
          <w:b/>
          <w:bCs/>
        </w:rPr>
        <w:t>（如涉及本项目的提供）</w:t>
      </w:r>
    </w:p>
    <w:p>
      <w:pPr>
        <w:wordWrap w:val="0"/>
        <w:rPr>
          <w:b/>
          <w:bCs/>
        </w:rPr>
      </w:pPr>
      <w:r>
        <w:rPr>
          <w:rFonts w:hint="eastAsia"/>
          <w:b/>
          <w:bCs/>
        </w:rPr>
        <w:t>注：</w:t>
      </w:r>
    </w:p>
    <w:p>
      <w:pPr>
        <w:wordWrap w:val="0"/>
        <w:ind w:firstLine="482" w:firstLineChars="200"/>
        <w:rPr>
          <w:b/>
          <w:bCs/>
        </w:rPr>
      </w:pPr>
      <w:r>
        <w:rPr>
          <w:rFonts w:hint="eastAsia"/>
          <w:b/>
          <w:bCs/>
        </w:rPr>
        <w:t>1.以下的投标文件格式为通用的格式，投标人在制作投标文件时应以招标文件内容要求为准，选择相应的投标文件格式。</w:t>
      </w:r>
    </w:p>
    <w:p>
      <w:pPr>
        <w:wordWrap w:val="0"/>
        <w:ind w:firstLine="482" w:firstLineChars="200"/>
        <w:rPr>
          <w:b/>
          <w:bCs/>
        </w:rPr>
      </w:pPr>
      <w:r>
        <w:rPr>
          <w:rFonts w:hint="eastAsia"/>
          <w:b/>
          <w:bCs/>
        </w:rPr>
        <w:t>2.没有给定格式的，投标人可以自行设计。</w:t>
      </w:r>
    </w:p>
    <w:p>
      <w:pPr>
        <w:wordWrap w:val="0"/>
      </w:pPr>
    </w:p>
    <w:p>
      <w:pPr>
        <w:wordWrap w:val="0"/>
      </w:pPr>
    </w:p>
    <w:p>
      <w:pPr>
        <w:wordWrap w:val="0"/>
      </w:pPr>
    </w:p>
    <w:p>
      <w:pPr>
        <w:wordWrap w:val="0"/>
      </w:pPr>
    </w:p>
    <w:p>
      <w:pPr>
        <w:wordWrap w:val="0"/>
      </w:pPr>
    </w:p>
    <w:p>
      <w:pPr>
        <w:wordWrap w:val="0"/>
      </w:pPr>
    </w:p>
    <w:p>
      <w:pPr>
        <w:wordWrap w:val="0"/>
      </w:pPr>
    </w:p>
    <w:p>
      <w:pPr>
        <w:wordWrap w:val="0"/>
      </w:pPr>
    </w:p>
    <w:p>
      <w:pPr>
        <w:wordWrap w:val="0"/>
      </w:pPr>
      <w:r>
        <w:rPr>
          <w:rFonts w:hint="eastAsia"/>
        </w:rPr>
        <w:br w:type="page"/>
      </w:r>
    </w:p>
    <w:p>
      <w:pPr>
        <w:pStyle w:val="2"/>
        <w:wordWrap w:val="0"/>
      </w:pPr>
    </w:p>
    <w:p>
      <w:pPr>
        <w:pStyle w:val="4"/>
        <w:wordWrap w:val="0"/>
      </w:pPr>
    </w:p>
    <w:p>
      <w:pPr>
        <w:wordWrap w:val="0"/>
        <w:rPr>
          <w:b/>
          <w:bCs/>
        </w:rPr>
      </w:pPr>
    </w:p>
    <w:p>
      <w:pPr>
        <w:wordWrap w:val="0"/>
        <w:rPr>
          <w:b/>
          <w:bCs/>
          <w:sz w:val="36"/>
          <w:szCs w:val="36"/>
        </w:rPr>
      </w:pPr>
      <w:r>
        <w:rPr>
          <w:rFonts w:hint="eastAsia"/>
          <w:b/>
          <w:bCs/>
          <w:sz w:val="36"/>
          <w:szCs w:val="36"/>
        </w:rPr>
        <w:t>（项目名称、标段）</w:t>
      </w:r>
    </w:p>
    <w:p>
      <w:pPr>
        <w:wordWrap w:val="0"/>
        <w:rPr>
          <w:b/>
          <w:bCs/>
        </w:rPr>
      </w:pPr>
    </w:p>
    <w:p>
      <w:pPr>
        <w:wordWrap w:val="0"/>
        <w:rPr>
          <w:b/>
          <w:bCs/>
        </w:rPr>
      </w:pPr>
    </w:p>
    <w:p>
      <w:pPr>
        <w:wordWrap w:val="0"/>
        <w:rPr>
          <w:b/>
          <w:bCs/>
        </w:rPr>
      </w:pPr>
    </w:p>
    <w:p>
      <w:pPr>
        <w:wordWrap w:val="0"/>
        <w:rPr>
          <w:b/>
          <w:bCs/>
        </w:rPr>
      </w:pPr>
    </w:p>
    <w:p>
      <w:pPr>
        <w:wordWrap w:val="0"/>
        <w:rPr>
          <w:b/>
          <w:bCs/>
        </w:rPr>
      </w:pPr>
    </w:p>
    <w:p>
      <w:pPr>
        <w:wordWrap w:val="0"/>
        <w:rPr>
          <w:b/>
          <w:bCs/>
        </w:rPr>
      </w:pPr>
    </w:p>
    <w:p>
      <w:pPr>
        <w:wordWrap w:val="0"/>
        <w:jc w:val="center"/>
        <w:rPr>
          <w:b/>
          <w:bCs/>
          <w:sz w:val="72"/>
          <w:szCs w:val="72"/>
        </w:rPr>
      </w:pPr>
      <w:r>
        <w:rPr>
          <w:rFonts w:hint="eastAsia"/>
          <w:b/>
          <w:bCs/>
          <w:sz w:val="72"/>
          <w:szCs w:val="72"/>
        </w:rPr>
        <w:t>投 标 文 件</w:t>
      </w:r>
    </w:p>
    <w:p>
      <w:pPr>
        <w:wordWrap w:val="0"/>
        <w:rPr>
          <w:b/>
          <w:bCs/>
        </w:rPr>
      </w:pPr>
    </w:p>
    <w:p>
      <w:pPr>
        <w:wordWrap w:val="0"/>
        <w:rPr>
          <w:b/>
          <w:bCs/>
        </w:rPr>
      </w:pPr>
    </w:p>
    <w:p>
      <w:pPr>
        <w:wordWrap w:val="0"/>
        <w:rPr>
          <w:b/>
          <w:bCs/>
        </w:rPr>
      </w:pPr>
    </w:p>
    <w:p>
      <w:pPr>
        <w:wordWrap w:val="0"/>
        <w:rPr>
          <w:b/>
          <w:bCs/>
        </w:rPr>
      </w:pPr>
    </w:p>
    <w:p>
      <w:pPr>
        <w:wordWrap w:val="0"/>
        <w:rPr>
          <w:b/>
          <w:bCs/>
        </w:rPr>
      </w:pPr>
    </w:p>
    <w:p>
      <w:pPr>
        <w:wordWrap w:val="0"/>
        <w:rPr>
          <w:b/>
          <w:bCs/>
        </w:rPr>
      </w:pPr>
    </w:p>
    <w:p>
      <w:pPr>
        <w:wordWrap w:val="0"/>
        <w:rPr>
          <w:b/>
          <w:bCs/>
        </w:rPr>
      </w:pPr>
    </w:p>
    <w:p>
      <w:pPr>
        <w:wordWrap w:val="0"/>
        <w:rPr>
          <w:b/>
          <w:bCs/>
        </w:rPr>
      </w:pPr>
    </w:p>
    <w:p>
      <w:pPr>
        <w:wordWrap w:val="0"/>
        <w:rPr>
          <w:b/>
          <w:bCs/>
        </w:rPr>
      </w:pPr>
    </w:p>
    <w:p>
      <w:pPr>
        <w:wordWrap w:val="0"/>
        <w:rPr>
          <w:b/>
          <w:bCs/>
        </w:rPr>
      </w:pPr>
    </w:p>
    <w:p>
      <w:pPr>
        <w:wordWrap w:val="0"/>
        <w:ind w:firstLine="1445" w:firstLineChars="514"/>
        <w:rPr>
          <w:b/>
          <w:bCs/>
          <w:sz w:val="28"/>
          <w:szCs w:val="28"/>
          <w:u w:val="single"/>
        </w:rPr>
      </w:pPr>
      <w:r>
        <w:rPr>
          <w:rFonts w:hint="eastAsia"/>
          <w:b/>
          <w:bCs/>
          <w:sz w:val="28"/>
          <w:szCs w:val="28"/>
        </w:rPr>
        <w:t>项目编号：</w:t>
      </w:r>
    </w:p>
    <w:p>
      <w:pPr>
        <w:wordWrap w:val="0"/>
        <w:ind w:firstLine="1445" w:firstLineChars="514"/>
        <w:rPr>
          <w:b/>
          <w:bCs/>
          <w:sz w:val="28"/>
          <w:szCs w:val="28"/>
        </w:rPr>
      </w:pPr>
      <w:r>
        <w:rPr>
          <w:rFonts w:hint="eastAsia"/>
          <w:b/>
          <w:bCs/>
          <w:sz w:val="28"/>
          <w:szCs w:val="28"/>
        </w:rPr>
        <w:t>投 标 人：（全称并加盖公章）</w:t>
      </w:r>
    </w:p>
    <w:p>
      <w:pPr>
        <w:wordWrap w:val="0"/>
        <w:ind w:firstLine="1445" w:firstLineChars="514"/>
        <w:rPr>
          <w:b/>
          <w:bCs/>
          <w:sz w:val="28"/>
          <w:szCs w:val="28"/>
        </w:rPr>
      </w:pPr>
      <w:r>
        <w:rPr>
          <w:rFonts w:hint="eastAsia"/>
          <w:b/>
          <w:bCs/>
          <w:sz w:val="28"/>
          <w:szCs w:val="28"/>
        </w:rPr>
        <w:t>法定代表人或委托代理人（签字）：</w:t>
      </w:r>
    </w:p>
    <w:p>
      <w:pPr>
        <w:wordWrap w:val="0"/>
        <w:ind w:firstLine="1445" w:firstLineChars="514"/>
        <w:rPr>
          <w:b/>
          <w:bCs/>
          <w:sz w:val="28"/>
          <w:szCs w:val="28"/>
        </w:rPr>
      </w:pPr>
      <w:r>
        <w:rPr>
          <w:rFonts w:hint="eastAsia"/>
          <w:b/>
          <w:bCs/>
          <w:sz w:val="28"/>
          <w:szCs w:val="28"/>
        </w:rPr>
        <w:t>日    期：年月日</w:t>
      </w:r>
    </w:p>
    <w:p>
      <w:pPr>
        <w:wordWrap w:val="0"/>
      </w:pPr>
      <w:r>
        <w:rPr>
          <w:rFonts w:hint="eastAsia"/>
        </w:rPr>
        <w:br w:type="page"/>
      </w:r>
    </w:p>
    <w:p>
      <w:pPr>
        <w:wordWrap w:val="0"/>
        <w:jc w:val="center"/>
        <w:rPr>
          <w:b/>
          <w:bCs/>
          <w:sz w:val="44"/>
          <w:szCs w:val="44"/>
        </w:rPr>
      </w:pPr>
      <w:r>
        <w:rPr>
          <w:rFonts w:hint="eastAsia"/>
          <w:b/>
          <w:bCs/>
          <w:sz w:val="44"/>
          <w:szCs w:val="44"/>
        </w:rPr>
        <w:t>目 录</w:t>
      </w:r>
    </w:p>
    <w:p>
      <w:pPr>
        <w:wordWrap w:val="0"/>
      </w:pPr>
      <w:r>
        <w:rPr>
          <w:rFonts w:hint="eastAsia"/>
        </w:rPr>
        <w:t>一、投标人应答索引表</w:t>
      </w:r>
    </w:p>
    <w:p>
      <w:pPr>
        <w:wordWrap w:val="0"/>
      </w:pPr>
      <w:r>
        <w:rPr>
          <w:rFonts w:hint="eastAsia"/>
        </w:rPr>
        <w:t>二、开标一览表</w:t>
      </w:r>
    </w:p>
    <w:p>
      <w:pPr>
        <w:wordWrap w:val="0"/>
      </w:pPr>
      <w:r>
        <w:rPr>
          <w:rFonts w:hint="eastAsia"/>
        </w:rPr>
        <w:t>三、资格审查证明材料</w:t>
      </w:r>
    </w:p>
    <w:p>
      <w:pPr>
        <w:wordWrap w:val="0"/>
      </w:pPr>
      <w:r>
        <w:rPr>
          <w:rFonts w:hint="eastAsia"/>
        </w:rPr>
        <w:t>四、符合性审查证明材料</w:t>
      </w:r>
    </w:p>
    <w:p>
      <w:pPr>
        <w:wordWrap w:val="0"/>
      </w:pPr>
      <w:r>
        <w:rPr>
          <w:rFonts w:hint="eastAsia"/>
        </w:rPr>
        <w:t>五、其他资料（若有）</w:t>
      </w:r>
    </w:p>
    <w:p>
      <w:pPr>
        <w:wordWrap w:val="0"/>
      </w:pPr>
      <w:r>
        <w:rPr>
          <w:rFonts w:hint="eastAsia"/>
        </w:rPr>
        <w:br w:type="page"/>
      </w:r>
    </w:p>
    <w:p>
      <w:pPr>
        <w:pStyle w:val="6"/>
        <w:wordWrap w:val="0"/>
        <w:jc w:val="center"/>
      </w:pPr>
      <w:r>
        <w:rPr>
          <w:rFonts w:hint="eastAsia"/>
        </w:rPr>
        <w:t>一、投标人应答索引表</w:t>
      </w:r>
    </w:p>
    <w:tbl>
      <w:tblPr>
        <w:tblStyle w:val="13"/>
        <w:tblW w:w="861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426"/>
        <w:gridCol w:w="283"/>
        <w:gridCol w:w="2726"/>
        <w:gridCol w:w="1484"/>
        <w:gridCol w:w="1550"/>
        <w:gridCol w:w="90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68" w:type="dxa"/>
            <w:vAlign w:val="center"/>
          </w:tcPr>
          <w:p>
            <w:pPr>
              <w:wordWrap w:val="0"/>
              <w:snapToGrid w:val="0"/>
              <w:spacing w:line="400" w:lineRule="exact"/>
              <w:jc w:val="center"/>
              <w:rPr>
                <w:rFonts w:ascii="宋体" w:hAnsi="宋体" w:eastAsia="宋体" w:cs="微软雅黑"/>
                <w:b/>
                <w:szCs w:val="21"/>
              </w:rPr>
            </w:pPr>
            <w:r>
              <w:rPr>
                <w:rFonts w:hint="eastAsia" w:ascii="宋体" w:hAnsi="宋体" w:eastAsia="宋体" w:cs="微软雅黑"/>
                <w:b/>
                <w:szCs w:val="21"/>
              </w:rPr>
              <w:t>序号</w:t>
            </w:r>
          </w:p>
        </w:tc>
        <w:tc>
          <w:tcPr>
            <w:tcW w:w="4209" w:type="dxa"/>
            <w:gridSpan w:val="4"/>
            <w:vAlign w:val="center"/>
          </w:tcPr>
          <w:p>
            <w:pPr>
              <w:wordWrap w:val="0"/>
              <w:snapToGrid w:val="0"/>
              <w:spacing w:line="400" w:lineRule="exact"/>
              <w:jc w:val="center"/>
              <w:rPr>
                <w:rFonts w:ascii="宋体" w:hAnsi="宋体" w:eastAsia="宋体" w:cs="微软雅黑"/>
                <w:b/>
                <w:szCs w:val="21"/>
              </w:rPr>
            </w:pPr>
            <w:r>
              <w:rPr>
                <w:rFonts w:hint="eastAsia" w:ascii="宋体" w:hAnsi="宋体" w:eastAsia="宋体" w:cs="微软雅黑"/>
                <w:b/>
                <w:szCs w:val="21"/>
              </w:rPr>
              <w:t>项  目</w:t>
            </w:r>
          </w:p>
        </w:tc>
        <w:tc>
          <w:tcPr>
            <w:tcW w:w="1484" w:type="dxa"/>
            <w:vAlign w:val="center"/>
          </w:tcPr>
          <w:p>
            <w:pPr>
              <w:wordWrap w:val="0"/>
              <w:snapToGrid w:val="0"/>
              <w:spacing w:line="400" w:lineRule="exact"/>
              <w:jc w:val="center"/>
              <w:rPr>
                <w:rFonts w:ascii="宋体" w:hAnsi="宋体" w:eastAsia="宋体" w:cs="微软雅黑"/>
                <w:b/>
                <w:szCs w:val="21"/>
              </w:rPr>
            </w:pPr>
            <w:r>
              <w:rPr>
                <w:rFonts w:hint="eastAsia" w:ascii="宋体" w:hAnsi="宋体" w:eastAsia="宋体" w:cs="微软雅黑"/>
                <w:b/>
                <w:szCs w:val="21"/>
              </w:rPr>
              <w:t>投标人应答</w:t>
            </w:r>
          </w:p>
          <w:p>
            <w:pPr>
              <w:wordWrap w:val="0"/>
              <w:snapToGrid w:val="0"/>
              <w:spacing w:line="400" w:lineRule="exact"/>
              <w:jc w:val="center"/>
              <w:rPr>
                <w:rFonts w:ascii="宋体" w:hAnsi="宋体" w:eastAsia="宋体" w:cs="微软雅黑"/>
                <w:b/>
                <w:szCs w:val="21"/>
              </w:rPr>
            </w:pPr>
            <w:r>
              <w:rPr>
                <w:rFonts w:hint="eastAsia" w:ascii="宋体" w:hAnsi="宋体" w:eastAsia="宋体" w:cs="微软雅黑"/>
                <w:b/>
                <w:szCs w:val="21"/>
              </w:rPr>
              <w:t>（有/没有）</w:t>
            </w:r>
          </w:p>
        </w:tc>
        <w:tc>
          <w:tcPr>
            <w:tcW w:w="1550" w:type="dxa"/>
            <w:vAlign w:val="center"/>
          </w:tcPr>
          <w:p>
            <w:pPr>
              <w:wordWrap w:val="0"/>
              <w:snapToGrid w:val="0"/>
              <w:spacing w:line="400" w:lineRule="exact"/>
              <w:jc w:val="center"/>
              <w:rPr>
                <w:rFonts w:ascii="宋体" w:hAnsi="宋体" w:eastAsia="宋体" w:cs="微软雅黑"/>
                <w:b/>
                <w:szCs w:val="21"/>
              </w:rPr>
            </w:pPr>
            <w:r>
              <w:rPr>
                <w:rFonts w:hint="eastAsia" w:ascii="宋体" w:hAnsi="宋体" w:eastAsia="宋体" w:cs="微软雅黑"/>
                <w:b/>
                <w:szCs w:val="21"/>
              </w:rPr>
              <w:t>投标文件中所在页码</w:t>
            </w:r>
          </w:p>
        </w:tc>
        <w:tc>
          <w:tcPr>
            <w:tcW w:w="900" w:type="dxa"/>
            <w:vAlign w:val="center"/>
          </w:tcPr>
          <w:p>
            <w:pPr>
              <w:wordWrap w:val="0"/>
              <w:snapToGrid w:val="0"/>
              <w:spacing w:line="400" w:lineRule="exact"/>
              <w:jc w:val="center"/>
              <w:rPr>
                <w:rFonts w:ascii="宋体" w:hAnsi="宋体" w:eastAsia="宋体" w:cs="微软雅黑"/>
                <w:b/>
                <w:szCs w:val="21"/>
              </w:rPr>
            </w:pPr>
            <w:r>
              <w:rPr>
                <w:rFonts w:hint="eastAsia" w:ascii="宋体" w:hAnsi="宋体" w:eastAsia="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468" w:type="dxa"/>
            <w:vAlign w:val="center"/>
          </w:tcPr>
          <w:p>
            <w:pPr>
              <w:wordWrap w:val="0"/>
              <w:adjustRightInd w:val="0"/>
              <w:snapToGrid w:val="0"/>
              <w:spacing w:line="400" w:lineRule="exact"/>
              <w:jc w:val="center"/>
              <w:textAlignment w:val="baseline"/>
              <w:rPr>
                <w:rFonts w:ascii="宋体" w:hAnsi="宋体" w:eastAsia="宋体" w:cs="微软雅黑"/>
                <w:szCs w:val="21"/>
              </w:rPr>
            </w:pPr>
            <w:r>
              <w:rPr>
                <w:rFonts w:hint="eastAsia" w:ascii="宋体" w:hAnsi="宋体" w:eastAsia="宋体" w:cs="微软雅黑"/>
                <w:szCs w:val="21"/>
              </w:rPr>
              <w:t>1</w:t>
            </w:r>
          </w:p>
        </w:tc>
        <w:tc>
          <w:tcPr>
            <w:tcW w:w="4209" w:type="dxa"/>
            <w:gridSpan w:val="4"/>
            <w:vAlign w:val="center"/>
          </w:tcPr>
          <w:p>
            <w:pPr>
              <w:kinsoku w:val="0"/>
              <w:wordWrap w:val="0"/>
              <w:overflowPunct w:val="0"/>
              <w:autoSpaceDE w:val="0"/>
              <w:autoSpaceDN w:val="0"/>
              <w:spacing w:line="320" w:lineRule="exact"/>
              <w:jc w:val="left"/>
              <w:rPr>
                <w:rFonts w:ascii="Calibri" w:hAnsi="宋体" w:eastAsia="宋体" w:cs="微软雅黑"/>
                <w:bCs/>
                <w:kern w:val="0"/>
                <w:szCs w:val="21"/>
              </w:rPr>
            </w:pPr>
            <w:r>
              <w:rPr>
                <w:rFonts w:hint="eastAsia" w:ascii="Calibri" w:hAnsi="宋体" w:eastAsia="宋体" w:cs="Times New Roman"/>
                <w:kern w:val="0"/>
                <w:szCs w:val="21"/>
              </w:rPr>
              <w:t>投标人应答索引表</w:t>
            </w:r>
          </w:p>
        </w:tc>
        <w:tc>
          <w:tcPr>
            <w:tcW w:w="1484" w:type="dxa"/>
            <w:vAlign w:val="center"/>
          </w:tcPr>
          <w:p>
            <w:pPr>
              <w:wordWrap w:val="0"/>
              <w:snapToGrid w:val="0"/>
              <w:spacing w:line="400" w:lineRule="exact"/>
              <w:jc w:val="center"/>
              <w:rPr>
                <w:rFonts w:ascii="宋体" w:hAnsi="宋体" w:eastAsia="宋体" w:cs="微软雅黑"/>
                <w:szCs w:val="21"/>
              </w:rPr>
            </w:pPr>
          </w:p>
        </w:tc>
        <w:tc>
          <w:tcPr>
            <w:tcW w:w="1550" w:type="dxa"/>
            <w:vAlign w:val="center"/>
          </w:tcPr>
          <w:p>
            <w:pPr>
              <w:wordWrap w:val="0"/>
              <w:snapToGrid w:val="0"/>
              <w:spacing w:line="400" w:lineRule="exact"/>
              <w:jc w:val="center"/>
              <w:rPr>
                <w:rFonts w:ascii="宋体" w:hAnsi="宋体" w:eastAsia="宋体" w:cs="微软雅黑"/>
                <w:szCs w:val="21"/>
              </w:rPr>
            </w:pPr>
          </w:p>
        </w:tc>
        <w:tc>
          <w:tcPr>
            <w:tcW w:w="900" w:type="dxa"/>
            <w:vAlign w:val="center"/>
          </w:tcPr>
          <w:p>
            <w:pPr>
              <w:wordWrap w:val="0"/>
              <w:snapToGrid w:val="0"/>
              <w:spacing w:line="400" w:lineRule="exact"/>
              <w:jc w:val="center"/>
              <w:rPr>
                <w:rFonts w:ascii="宋体" w:hAnsi="宋体" w:eastAsia="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468" w:type="dxa"/>
            <w:vAlign w:val="center"/>
          </w:tcPr>
          <w:p>
            <w:pPr>
              <w:wordWrap w:val="0"/>
              <w:adjustRightInd w:val="0"/>
              <w:snapToGrid w:val="0"/>
              <w:spacing w:line="400" w:lineRule="exact"/>
              <w:jc w:val="center"/>
              <w:textAlignment w:val="baseline"/>
              <w:rPr>
                <w:rFonts w:ascii="宋体" w:hAnsi="宋体" w:eastAsia="宋体" w:cs="微软雅黑"/>
                <w:szCs w:val="21"/>
              </w:rPr>
            </w:pPr>
            <w:r>
              <w:rPr>
                <w:rFonts w:hint="eastAsia" w:ascii="宋体" w:hAnsi="宋体" w:eastAsia="宋体" w:cs="微软雅黑"/>
                <w:szCs w:val="21"/>
              </w:rPr>
              <w:t>2</w:t>
            </w:r>
          </w:p>
        </w:tc>
        <w:tc>
          <w:tcPr>
            <w:tcW w:w="4209" w:type="dxa"/>
            <w:gridSpan w:val="4"/>
            <w:vAlign w:val="center"/>
          </w:tcPr>
          <w:p>
            <w:pPr>
              <w:kinsoku w:val="0"/>
              <w:wordWrap w:val="0"/>
              <w:overflowPunct w:val="0"/>
              <w:autoSpaceDE w:val="0"/>
              <w:autoSpaceDN w:val="0"/>
              <w:spacing w:line="320" w:lineRule="exact"/>
              <w:jc w:val="left"/>
              <w:rPr>
                <w:rFonts w:ascii="Calibri" w:hAnsi="宋体" w:eastAsia="宋体" w:cs="Times New Roman"/>
                <w:kern w:val="0"/>
                <w:szCs w:val="21"/>
              </w:rPr>
            </w:pPr>
            <w:r>
              <w:rPr>
                <w:rFonts w:hint="eastAsia" w:ascii="Calibri" w:hAnsi="宋体" w:eastAsia="宋体" w:cs="Times New Roman"/>
                <w:kern w:val="0"/>
                <w:szCs w:val="21"/>
              </w:rPr>
              <w:t>开标一览表</w:t>
            </w:r>
          </w:p>
        </w:tc>
        <w:tc>
          <w:tcPr>
            <w:tcW w:w="1484" w:type="dxa"/>
            <w:vAlign w:val="center"/>
          </w:tcPr>
          <w:p>
            <w:pPr>
              <w:wordWrap w:val="0"/>
              <w:snapToGrid w:val="0"/>
              <w:spacing w:line="400" w:lineRule="exact"/>
              <w:jc w:val="center"/>
              <w:rPr>
                <w:rFonts w:ascii="宋体" w:hAnsi="宋体" w:eastAsia="宋体" w:cs="微软雅黑"/>
                <w:szCs w:val="21"/>
              </w:rPr>
            </w:pPr>
          </w:p>
        </w:tc>
        <w:tc>
          <w:tcPr>
            <w:tcW w:w="1550" w:type="dxa"/>
            <w:vAlign w:val="center"/>
          </w:tcPr>
          <w:p>
            <w:pPr>
              <w:wordWrap w:val="0"/>
              <w:snapToGrid w:val="0"/>
              <w:spacing w:line="400" w:lineRule="exact"/>
              <w:jc w:val="center"/>
              <w:rPr>
                <w:rFonts w:ascii="宋体" w:hAnsi="宋体" w:eastAsia="宋体" w:cs="微软雅黑"/>
                <w:szCs w:val="21"/>
              </w:rPr>
            </w:pPr>
          </w:p>
        </w:tc>
        <w:tc>
          <w:tcPr>
            <w:tcW w:w="900" w:type="dxa"/>
            <w:vAlign w:val="center"/>
          </w:tcPr>
          <w:p>
            <w:pPr>
              <w:wordWrap w:val="0"/>
              <w:snapToGrid w:val="0"/>
              <w:spacing w:line="400" w:lineRule="exact"/>
              <w:jc w:val="center"/>
              <w:rPr>
                <w:rFonts w:ascii="宋体" w:hAnsi="宋体" w:eastAsia="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468" w:type="dxa"/>
            <w:vAlign w:val="center"/>
          </w:tcPr>
          <w:p>
            <w:pPr>
              <w:wordWrap w:val="0"/>
              <w:adjustRightInd w:val="0"/>
              <w:snapToGrid w:val="0"/>
              <w:spacing w:line="400" w:lineRule="exact"/>
              <w:jc w:val="center"/>
              <w:textAlignment w:val="baseline"/>
              <w:rPr>
                <w:rFonts w:ascii="宋体" w:hAnsi="宋体" w:eastAsia="宋体" w:cs="微软雅黑"/>
                <w:szCs w:val="21"/>
              </w:rPr>
            </w:pPr>
            <w:r>
              <w:rPr>
                <w:rFonts w:hint="eastAsia" w:ascii="宋体" w:hAnsi="宋体" w:eastAsia="宋体" w:cs="微软雅黑"/>
                <w:szCs w:val="21"/>
              </w:rPr>
              <w:t>3</w:t>
            </w:r>
          </w:p>
        </w:tc>
        <w:tc>
          <w:tcPr>
            <w:tcW w:w="4209" w:type="dxa"/>
            <w:gridSpan w:val="4"/>
            <w:vAlign w:val="center"/>
          </w:tcPr>
          <w:p>
            <w:pPr>
              <w:kinsoku w:val="0"/>
              <w:wordWrap w:val="0"/>
              <w:overflowPunct w:val="0"/>
              <w:autoSpaceDE w:val="0"/>
              <w:autoSpaceDN w:val="0"/>
              <w:spacing w:line="320" w:lineRule="exact"/>
              <w:jc w:val="left"/>
              <w:rPr>
                <w:rFonts w:ascii="Calibri" w:hAnsi="宋体" w:eastAsia="宋体" w:cs="微软雅黑"/>
                <w:bCs/>
                <w:kern w:val="0"/>
                <w:szCs w:val="21"/>
              </w:rPr>
            </w:pPr>
            <w:r>
              <w:rPr>
                <w:rFonts w:hint="eastAsia" w:ascii="Calibri" w:hAnsi="宋体" w:eastAsia="宋体" w:cs="Times New Roman"/>
                <w:kern w:val="0"/>
                <w:szCs w:val="21"/>
              </w:rPr>
              <w:t>投标函</w:t>
            </w:r>
          </w:p>
        </w:tc>
        <w:tc>
          <w:tcPr>
            <w:tcW w:w="1484" w:type="dxa"/>
            <w:vAlign w:val="center"/>
          </w:tcPr>
          <w:p>
            <w:pPr>
              <w:wordWrap w:val="0"/>
              <w:snapToGrid w:val="0"/>
              <w:spacing w:line="400" w:lineRule="exact"/>
              <w:jc w:val="center"/>
              <w:rPr>
                <w:rFonts w:ascii="宋体" w:hAnsi="宋体" w:eastAsia="宋体" w:cs="微软雅黑"/>
                <w:szCs w:val="21"/>
              </w:rPr>
            </w:pPr>
          </w:p>
        </w:tc>
        <w:tc>
          <w:tcPr>
            <w:tcW w:w="1550" w:type="dxa"/>
            <w:vAlign w:val="center"/>
          </w:tcPr>
          <w:p>
            <w:pPr>
              <w:wordWrap w:val="0"/>
              <w:snapToGrid w:val="0"/>
              <w:spacing w:line="400" w:lineRule="exact"/>
              <w:jc w:val="center"/>
              <w:rPr>
                <w:rFonts w:ascii="宋体" w:hAnsi="宋体" w:eastAsia="宋体" w:cs="微软雅黑"/>
                <w:szCs w:val="21"/>
              </w:rPr>
            </w:pPr>
          </w:p>
        </w:tc>
        <w:tc>
          <w:tcPr>
            <w:tcW w:w="900" w:type="dxa"/>
            <w:vAlign w:val="center"/>
          </w:tcPr>
          <w:p>
            <w:pPr>
              <w:wordWrap w:val="0"/>
              <w:snapToGrid w:val="0"/>
              <w:spacing w:line="400" w:lineRule="exact"/>
              <w:jc w:val="center"/>
              <w:rPr>
                <w:rFonts w:ascii="宋体" w:hAnsi="宋体" w:eastAsia="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468" w:type="dxa"/>
            <w:vAlign w:val="center"/>
          </w:tcPr>
          <w:p>
            <w:pPr>
              <w:wordWrap w:val="0"/>
              <w:adjustRightInd w:val="0"/>
              <w:snapToGrid w:val="0"/>
              <w:spacing w:line="400" w:lineRule="exact"/>
              <w:jc w:val="center"/>
              <w:textAlignment w:val="baseline"/>
              <w:rPr>
                <w:rFonts w:ascii="宋体" w:hAnsi="宋体" w:eastAsia="宋体" w:cs="微软雅黑"/>
                <w:szCs w:val="21"/>
              </w:rPr>
            </w:pPr>
            <w:r>
              <w:rPr>
                <w:rFonts w:hint="eastAsia" w:ascii="宋体" w:hAnsi="宋体" w:eastAsia="宋体" w:cs="微软雅黑"/>
                <w:szCs w:val="21"/>
              </w:rPr>
              <w:t>4</w:t>
            </w:r>
          </w:p>
        </w:tc>
        <w:tc>
          <w:tcPr>
            <w:tcW w:w="4209" w:type="dxa"/>
            <w:gridSpan w:val="4"/>
            <w:vAlign w:val="center"/>
          </w:tcPr>
          <w:p>
            <w:pPr>
              <w:kinsoku w:val="0"/>
              <w:wordWrap w:val="0"/>
              <w:overflowPunct w:val="0"/>
              <w:autoSpaceDE w:val="0"/>
              <w:autoSpaceDN w:val="0"/>
              <w:spacing w:line="320" w:lineRule="exact"/>
              <w:jc w:val="left"/>
              <w:rPr>
                <w:rFonts w:ascii="Calibri" w:hAnsi="宋体" w:eastAsia="宋体" w:cs="Times New Roman"/>
                <w:kern w:val="0"/>
                <w:szCs w:val="21"/>
              </w:rPr>
            </w:pPr>
            <w:r>
              <w:rPr>
                <w:rFonts w:hint="eastAsia" w:ascii="宋体" w:hAnsi="宋体" w:eastAsia="宋体" w:cs="宋体"/>
                <w:bCs/>
                <w:szCs w:val="21"/>
                <w:lang w:val="zh-CN"/>
              </w:rPr>
              <w:t>法定代表人（单位负责人）</w:t>
            </w:r>
            <w:r>
              <w:rPr>
                <w:rFonts w:ascii="宋体" w:hAnsi="宋体" w:eastAsia="宋体" w:cs="宋体"/>
                <w:bCs/>
                <w:szCs w:val="21"/>
                <w:lang w:val="zh-CN"/>
              </w:rPr>
              <w:t>资</w:t>
            </w:r>
            <w:r>
              <w:rPr>
                <w:rFonts w:hint="eastAsia" w:ascii="宋体" w:hAnsi="宋体" w:eastAsia="宋体" w:cs="宋体"/>
                <w:bCs/>
                <w:szCs w:val="21"/>
                <w:lang w:val="zh-CN"/>
              </w:rPr>
              <w:t>格</w:t>
            </w:r>
            <w:r>
              <w:rPr>
                <w:rFonts w:ascii="宋体" w:hAnsi="宋体" w:eastAsia="宋体" w:cs="宋体"/>
                <w:bCs/>
                <w:szCs w:val="21"/>
                <w:lang w:val="zh-CN"/>
              </w:rPr>
              <w:t>证</w:t>
            </w:r>
            <w:r>
              <w:rPr>
                <w:rFonts w:hint="eastAsia" w:ascii="宋体" w:hAnsi="宋体" w:eastAsia="宋体" w:cs="宋体"/>
                <w:bCs/>
                <w:szCs w:val="21"/>
                <w:lang w:val="zh-CN"/>
              </w:rPr>
              <w:t>明</w:t>
            </w:r>
            <w:r>
              <w:rPr>
                <w:rFonts w:ascii="宋体" w:hAnsi="宋体" w:eastAsia="宋体" w:cs="宋体"/>
                <w:bCs/>
                <w:szCs w:val="21"/>
                <w:lang w:val="zh-CN"/>
              </w:rPr>
              <w:t>书</w:t>
            </w:r>
          </w:p>
        </w:tc>
        <w:tc>
          <w:tcPr>
            <w:tcW w:w="1484" w:type="dxa"/>
            <w:vAlign w:val="center"/>
          </w:tcPr>
          <w:p>
            <w:pPr>
              <w:wordWrap w:val="0"/>
              <w:snapToGrid w:val="0"/>
              <w:spacing w:line="400" w:lineRule="exact"/>
              <w:jc w:val="center"/>
              <w:rPr>
                <w:rFonts w:ascii="宋体" w:hAnsi="宋体" w:eastAsia="宋体" w:cs="微软雅黑"/>
                <w:szCs w:val="21"/>
              </w:rPr>
            </w:pPr>
          </w:p>
        </w:tc>
        <w:tc>
          <w:tcPr>
            <w:tcW w:w="1550" w:type="dxa"/>
            <w:vAlign w:val="center"/>
          </w:tcPr>
          <w:p>
            <w:pPr>
              <w:wordWrap w:val="0"/>
              <w:snapToGrid w:val="0"/>
              <w:spacing w:line="400" w:lineRule="exact"/>
              <w:jc w:val="center"/>
              <w:rPr>
                <w:rFonts w:ascii="宋体" w:hAnsi="宋体" w:eastAsia="宋体" w:cs="微软雅黑"/>
                <w:szCs w:val="21"/>
              </w:rPr>
            </w:pPr>
          </w:p>
        </w:tc>
        <w:tc>
          <w:tcPr>
            <w:tcW w:w="900" w:type="dxa"/>
            <w:vAlign w:val="center"/>
          </w:tcPr>
          <w:p>
            <w:pPr>
              <w:wordWrap w:val="0"/>
              <w:snapToGrid w:val="0"/>
              <w:spacing w:line="400" w:lineRule="exact"/>
              <w:jc w:val="center"/>
              <w:rPr>
                <w:rFonts w:ascii="宋体" w:hAnsi="宋体" w:eastAsia="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468" w:type="dxa"/>
            <w:vAlign w:val="center"/>
          </w:tcPr>
          <w:p>
            <w:pPr>
              <w:wordWrap w:val="0"/>
              <w:adjustRightInd w:val="0"/>
              <w:snapToGrid w:val="0"/>
              <w:spacing w:line="400" w:lineRule="exact"/>
              <w:jc w:val="center"/>
              <w:textAlignment w:val="baseline"/>
              <w:rPr>
                <w:rFonts w:ascii="宋体" w:hAnsi="宋体" w:eastAsia="宋体" w:cs="微软雅黑"/>
                <w:szCs w:val="21"/>
              </w:rPr>
            </w:pPr>
            <w:r>
              <w:rPr>
                <w:rFonts w:hint="eastAsia" w:ascii="宋体" w:hAnsi="宋体" w:eastAsia="宋体" w:cs="微软雅黑"/>
                <w:szCs w:val="21"/>
              </w:rPr>
              <w:t>5</w:t>
            </w:r>
          </w:p>
        </w:tc>
        <w:tc>
          <w:tcPr>
            <w:tcW w:w="4209" w:type="dxa"/>
            <w:gridSpan w:val="4"/>
            <w:vAlign w:val="center"/>
          </w:tcPr>
          <w:p>
            <w:pPr>
              <w:kinsoku w:val="0"/>
              <w:wordWrap w:val="0"/>
              <w:overflowPunct w:val="0"/>
              <w:autoSpaceDE w:val="0"/>
              <w:autoSpaceDN w:val="0"/>
              <w:spacing w:line="320" w:lineRule="exact"/>
              <w:jc w:val="left"/>
              <w:rPr>
                <w:rFonts w:ascii="Calibri" w:hAnsi="宋体" w:eastAsia="宋体" w:cs="Times New Roman"/>
                <w:kern w:val="0"/>
                <w:szCs w:val="21"/>
              </w:rPr>
            </w:pPr>
            <w:r>
              <w:rPr>
                <w:rFonts w:hint="eastAsia" w:ascii="Calibri" w:hAnsi="宋体" w:eastAsia="宋体" w:cs="Times New Roman"/>
                <w:kern w:val="0"/>
                <w:szCs w:val="21"/>
              </w:rPr>
              <w:t>法定代表人（单位负责人）授权书</w:t>
            </w:r>
          </w:p>
        </w:tc>
        <w:tc>
          <w:tcPr>
            <w:tcW w:w="1484" w:type="dxa"/>
            <w:vAlign w:val="center"/>
          </w:tcPr>
          <w:p>
            <w:pPr>
              <w:wordWrap w:val="0"/>
              <w:snapToGrid w:val="0"/>
              <w:spacing w:line="400" w:lineRule="exact"/>
              <w:jc w:val="center"/>
              <w:rPr>
                <w:rFonts w:ascii="宋体" w:hAnsi="宋体" w:eastAsia="宋体" w:cs="微软雅黑"/>
                <w:szCs w:val="21"/>
              </w:rPr>
            </w:pPr>
          </w:p>
        </w:tc>
        <w:tc>
          <w:tcPr>
            <w:tcW w:w="1550" w:type="dxa"/>
            <w:vAlign w:val="center"/>
          </w:tcPr>
          <w:p>
            <w:pPr>
              <w:wordWrap w:val="0"/>
              <w:snapToGrid w:val="0"/>
              <w:spacing w:line="400" w:lineRule="exact"/>
              <w:jc w:val="center"/>
              <w:rPr>
                <w:rFonts w:ascii="宋体" w:hAnsi="宋体" w:eastAsia="宋体" w:cs="微软雅黑"/>
                <w:szCs w:val="21"/>
              </w:rPr>
            </w:pPr>
          </w:p>
        </w:tc>
        <w:tc>
          <w:tcPr>
            <w:tcW w:w="900" w:type="dxa"/>
            <w:vAlign w:val="center"/>
          </w:tcPr>
          <w:p>
            <w:pPr>
              <w:wordWrap w:val="0"/>
              <w:snapToGrid w:val="0"/>
              <w:spacing w:line="400" w:lineRule="exact"/>
              <w:jc w:val="center"/>
              <w:rPr>
                <w:rFonts w:ascii="宋体" w:hAnsi="宋体" w:eastAsia="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468" w:type="dxa"/>
            <w:vAlign w:val="center"/>
          </w:tcPr>
          <w:p>
            <w:pPr>
              <w:wordWrap w:val="0"/>
              <w:adjustRightInd w:val="0"/>
              <w:snapToGrid w:val="0"/>
              <w:spacing w:line="400" w:lineRule="exact"/>
              <w:jc w:val="center"/>
              <w:textAlignment w:val="baseline"/>
              <w:rPr>
                <w:rFonts w:ascii="宋体" w:hAnsi="宋体" w:eastAsia="宋体" w:cs="微软雅黑"/>
                <w:szCs w:val="21"/>
              </w:rPr>
            </w:pPr>
            <w:r>
              <w:rPr>
                <w:rFonts w:hint="eastAsia" w:ascii="宋体" w:hAnsi="宋体" w:eastAsia="宋体" w:cs="微软雅黑"/>
                <w:szCs w:val="21"/>
              </w:rPr>
              <w:t>6</w:t>
            </w:r>
          </w:p>
        </w:tc>
        <w:tc>
          <w:tcPr>
            <w:tcW w:w="4209" w:type="dxa"/>
            <w:gridSpan w:val="4"/>
            <w:vAlign w:val="center"/>
          </w:tcPr>
          <w:p>
            <w:pPr>
              <w:kinsoku w:val="0"/>
              <w:wordWrap w:val="0"/>
              <w:overflowPunct w:val="0"/>
              <w:autoSpaceDE w:val="0"/>
              <w:autoSpaceDN w:val="0"/>
              <w:spacing w:line="320" w:lineRule="exact"/>
              <w:jc w:val="left"/>
              <w:rPr>
                <w:rFonts w:ascii="Calibri" w:hAnsi="宋体" w:eastAsia="宋体" w:cs="Times New Roman"/>
                <w:kern w:val="0"/>
                <w:szCs w:val="21"/>
              </w:rPr>
            </w:pPr>
            <w:r>
              <w:rPr>
                <w:rFonts w:hint="eastAsia" w:ascii="Calibri" w:hAnsi="宋体" w:eastAsia="宋体" w:cs="Times New Roman"/>
                <w:kern w:val="0"/>
                <w:szCs w:val="21"/>
              </w:rPr>
              <w:t>营业执照等证明</w:t>
            </w:r>
          </w:p>
        </w:tc>
        <w:tc>
          <w:tcPr>
            <w:tcW w:w="1484" w:type="dxa"/>
            <w:vAlign w:val="center"/>
          </w:tcPr>
          <w:p>
            <w:pPr>
              <w:wordWrap w:val="0"/>
              <w:snapToGrid w:val="0"/>
              <w:spacing w:line="400" w:lineRule="exact"/>
              <w:jc w:val="center"/>
              <w:rPr>
                <w:rFonts w:ascii="宋体" w:hAnsi="宋体" w:eastAsia="宋体" w:cs="微软雅黑"/>
                <w:szCs w:val="21"/>
              </w:rPr>
            </w:pPr>
          </w:p>
        </w:tc>
        <w:tc>
          <w:tcPr>
            <w:tcW w:w="1550" w:type="dxa"/>
            <w:vAlign w:val="center"/>
          </w:tcPr>
          <w:p>
            <w:pPr>
              <w:wordWrap w:val="0"/>
              <w:snapToGrid w:val="0"/>
              <w:spacing w:line="400" w:lineRule="exact"/>
              <w:jc w:val="center"/>
              <w:rPr>
                <w:rFonts w:ascii="宋体" w:hAnsi="宋体" w:eastAsia="宋体" w:cs="微软雅黑"/>
                <w:szCs w:val="21"/>
              </w:rPr>
            </w:pPr>
          </w:p>
        </w:tc>
        <w:tc>
          <w:tcPr>
            <w:tcW w:w="900" w:type="dxa"/>
            <w:vAlign w:val="center"/>
          </w:tcPr>
          <w:p>
            <w:pPr>
              <w:wordWrap w:val="0"/>
              <w:snapToGrid w:val="0"/>
              <w:spacing w:line="400" w:lineRule="exact"/>
              <w:jc w:val="center"/>
              <w:rPr>
                <w:rFonts w:ascii="宋体" w:hAnsi="宋体" w:eastAsia="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468" w:type="dxa"/>
            <w:vAlign w:val="center"/>
          </w:tcPr>
          <w:p>
            <w:pPr>
              <w:wordWrap w:val="0"/>
              <w:adjustRightInd w:val="0"/>
              <w:snapToGrid w:val="0"/>
              <w:spacing w:line="400" w:lineRule="exact"/>
              <w:jc w:val="center"/>
              <w:textAlignment w:val="baseline"/>
              <w:rPr>
                <w:rFonts w:ascii="宋体" w:hAnsi="宋体" w:eastAsia="宋体" w:cs="微软雅黑"/>
                <w:szCs w:val="21"/>
              </w:rPr>
            </w:pPr>
            <w:r>
              <w:rPr>
                <w:rFonts w:hint="eastAsia" w:ascii="宋体" w:hAnsi="宋体" w:eastAsia="宋体" w:cs="微软雅黑"/>
                <w:szCs w:val="21"/>
              </w:rPr>
              <w:t>7</w:t>
            </w:r>
          </w:p>
        </w:tc>
        <w:tc>
          <w:tcPr>
            <w:tcW w:w="4209" w:type="dxa"/>
            <w:gridSpan w:val="4"/>
            <w:vAlign w:val="center"/>
          </w:tcPr>
          <w:p>
            <w:pPr>
              <w:kinsoku w:val="0"/>
              <w:wordWrap w:val="0"/>
              <w:overflowPunct w:val="0"/>
              <w:autoSpaceDE w:val="0"/>
              <w:autoSpaceDN w:val="0"/>
              <w:spacing w:line="320" w:lineRule="exact"/>
              <w:jc w:val="left"/>
              <w:rPr>
                <w:rFonts w:ascii="Calibri" w:hAnsi="宋体" w:eastAsia="宋体" w:cs="Times New Roman"/>
                <w:kern w:val="0"/>
                <w:szCs w:val="21"/>
              </w:rPr>
            </w:pPr>
            <w:r>
              <w:rPr>
                <w:rFonts w:hint="eastAsia" w:ascii="宋体" w:hAnsi="宋体" w:eastAsia="宋体" w:cs="Times New Roman"/>
                <w:bCs/>
                <w:szCs w:val="21"/>
              </w:rPr>
              <w:t>依法纳税凭据</w:t>
            </w:r>
          </w:p>
        </w:tc>
        <w:tc>
          <w:tcPr>
            <w:tcW w:w="1484" w:type="dxa"/>
            <w:vAlign w:val="center"/>
          </w:tcPr>
          <w:p>
            <w:pPr>
              <w:wordWrap w:val="0"/>
              <w:snapToGrid w:val="0"/>
              <w:spacing w:line="400" w:lineRule="exact"/>
              <w:jc w:val="center"/>
              <w:rPr>
                <w:rFonts w:ascii="宋体" w:hAnsi="宋体" w:eastAsia="宋体" w:cs="微软雅黑"/>
                <w:szCs w:val="21"/>
              </w:rPr>
            </w:pPr>
          </w:p>
        </w:tc>
        <w:tc>
          <w:tcPr>
            <w:tcW w:w="1550" w:type="dxa"/>
            <w:vAlign w:val="center"/>
          </w:tcPr>
          <w:p>
            <w:pPr>
              <w:wordWrap w:val="0"/>
              <w:snapToGrid w:val="0"/>
              <w:spacing w:line="400" w:lineRule="exact"/>
              <w:jc w:val="center"/>
              <w:rPr>
                <w:rFonts w:ascii="宋体" w:hAnsi="宋体" w:eastAsia="宋体" w:cs="微软雅黑"/>
                <w:szCs w:val="21"/>
              </w:rPr>
            </w:pPr>
          </w:p>
        </w:tc>
        <w:tc>
          <w:tcPr>
            <w:tcW w:w="900" w:type="dxa"/>
            <w:vAlign w:val="center"/>
          </w:tcPr>
          <w:p>
            <w:pPr>
              <w:wordWrap w:val="0"/>
              <w:snapToGrid w:val="0"/>
              <w:spacing w:line="400" w:lineRule="exact"/>
              <w:jc w:val="center"/>
              <w:rPr>
                <w:rFonts w:ascii="宋体" w:hAnsi="宋体" w:eastAsia="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468" w:type="dxa"/>
            <w:vMerge w:val="restart"/>
            <w:vAlign w:val="center"/>
          </w:tcPr>
          <w:p>
            <w:pPr>
              <w:wordWrap w:val="0"/>
              <w:adjustRightInd w:val="0"/>
              <w:snapToGrid w:val="0"/>
              <w:spacing w:line="400" w:lineRule="exact"/>
              <w:jc w:val="center"/>
              <w:textAlignment w:val="baseline"/>
              <w:rPr>
                <w:rFonts w:ascii="宋体" w:hAnsi="宋体" w:eastAsia="宋体" w:cs="微软雅黑"/>
                <w:szCs w:val="21"/>
              </w:rPr>
            </w:pPr>
            <w:r>
              <w:rPr>
                <w:rFonts w:hint="eastAsia" w:ascii="宋体" w:hAnsi="宋体" w:eastAsia="宋体" w:cs="微软雅黑"/>
                <w:szCs w:val="21"/>
              </w:rPr>
              <w:t>8</w:t>
            </w:r>
          </w:p>
        </w:tc>
        <w:tc>
          <w:tcPr>
            <w:tcW w:w="774" w:type="dxa"/>
            <w:vMerge w:val="restart"/>
            <w:tcBorders>
              <w:right w:val="single" w:color="auto" w:sz="4" w:space="0"/>
            </w:tcBorders>
            <w:vAlign w:val="center"/>
          </w:tcPr>
          <w:p>
            <w:pPr>
              <w:wordWrap w:val="0"/>
              <w:snapToGrid w:val="0"/>
              <w:spacing w:line="400" w:lineRule="exact"/>
              <w:jc w:val="center"/>
              <w:rPr>
                <w:rFonts w:ascii="宋体" w:hAnsi="宋体" w:eastAsia="宋体" w:cs="微软雅黑"/>
                <w:szCs w:val="21"/>
              </w:rPr>
            </w:pPr>
            <w:r>
              <w:rPr>
                <w:rFonts w:hint="eastAsia" w:ascii="宋体" w:hAnsi="宋体" w:eastAsia="宋体" w:cs="微软雅黑"/>
                <w:szCs w:val="21"/>
              </w:rPr>
              <w:t>财务状况报告</w:t>
            </w:r>
          </w:p>
        </w:tc>
        <w:tc>
          <w:tcPr>
            <w:tcW w:w="3435" w:type="dxa"/>
            <w:gridSpan w:val="3"/>
            <w:tcBorders>
              <w:left w:val="single" w:color="auto" w:sz="4" w:space="0"/>
            </w:tcBorders>
            <w:vAlign w:val="center"/>
          </w:tcPr>
          <w:p>
            <w:pPr>
              <w:wordWrap w:val="0"/>
              <w:snapToGrid w:val="0"/>
              <w:spacing w:line="400" w:lineRule="exact"/>
              <w:jc w:val="left"/>
              <w:rPr>
                <w:rFonts w:ascii="宋体" w:hAnsi="宋体" w:eastAsia="宋体" w:cs="微软雅黑"/>
                <w:szCs w:val="21"/>
              </w:rPr>
            </w:pPr>
            <w:r>
              <w:rPr>
                <w:rFonts w:hint="eastAsia" w:ascii="宋体" w:hAnsi="宋体" w:eastAsia="宋体" w:cs="微软雅黑"/>
                <w:szCs w:val="21"/>
              </w:rPr>
              <w:t>经审计财务报告</w:t>
            </w:r>
          </w:p>
        </w:tc>
        <w:tc>
          <w:tcPr>
            <w:tcW w:w="1484" w:type="dxa"/>
            <w:vAlign w:val="center"/>
          </w:tcPr>
          <w:p>
            <w:pPr>
              <w:wordWrap w:val="0"/>
              <w:snapToGrid w:val="0"/>
              <w:spacing w:line="400" w:lineRule="exact"/>
              <w:jc w:val="center"/>
              <w:rPr>
                <w:rFonts w:ascii="宋体" w:hAnsi="宋体" w:eastAsia="宋体" w:cs="微软雅黑"/>
                <w:szCs w:val="21"/>
              </w:rPr>
            </w:pPr>
          </w:p>
        </w:tc>
        <w:tc>
          <w:tcPr>
            <w:tcW w:w="1550" w:type="dxa"/>
            <w:vAlign w:val="center"/>
          </w:tcPr>
          <w:p>
            <w:pPr>
              <w:wordWrap w:val="0"/>
              <w:snapToGrid w:val="0"/>
              <w:spacing w:line="400" w:lineRule="exact"/>
              <w:jc w:val="center"/>
              <w:rPr>
                <w:rFonts w:ascii="宋体" w:hAnsi="宋体" w:eastAsia="宋体" w:cs="微软雅黑"/>
                <w:szCs w:val="21"/>
              </w:rPr>
            </w:pPr>
          </w:p>
        </w:tc>
        <w:tc>
          <w:tcPr>
            <w:tcW w:w="900" w:type="dxa"/>
            <w:vAlign w:val="center"/>
          </w:tcPr>
          <w:p>
            <w:pPr>
              <w:wordWrap w:val="0"/>
              <w:snapToGrid w:val="0"/>
              <w:spacing w:line="400" w:lineRule="exact"/>
              <w:jc w:val="center"/>
              <w:rPr>
                <w:rFonts w:ascii="宋体" w:hAnsi="宋体" w:eastAsia="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468" w:type="dxa"/>
            <w:vMerge w:val="continue"/>
            <w:vAlign w:val="center"/>
          </w:tcPr>
          <w:p>
            <w:pPr>
              <w:numPr>
                <w:ilvl w:val="0"/>
                <w:numId w:val="1"/>
              </w:numPr>
              <w:wordWrap w:val="0"/>
              <w:adjustRightInd w:val="0"/>
              <w:snapToGrid w:val="0"/>
              <w:spacing w:line="400" w:lineRule="exact"/>
              <w:jc w:val="center"/>
              <w:textAlignment w:val="baseline"/>
              <w:rPr>
                <w:rFonts w:ascii="宋体" w:hAnsi="宋体" w:eastAsia="宋体" w:cs="微软雅黑"/>
                <w:szCs w:val="21"/>
              </w:rPr>
            </w:pPr>
          </w:p>
        </w:tc>
        <w:tc>
          <w:tcPr>
            <w:tcW w:w="774" w:type="dxa"/>
            <w:vMerge w:val="continue"/>
            <w:tcBorders>
              <w:right w:val="single" w:color="auto" w:sz="4" w:space="0"/>
            </w:tcBorders>
            <w:vAlign w:val="center"/>
          </w:tcPr>
          <w:p>
            <w:pPr>
              <w:wordWrap w:val="0"/>
              <w:snapToGrid w:val="0"/>
              <w:spacing w:line="400" w:lineRule="exact"/>
              <w:jc w:val="left"/>
              <w:rPr>
                <w:rFonts w:ascii="宋体" w:hAnsi="宋体" w:eastAsia="宋体" w:cs="微软雅黑"/>
                <w:szCs w:val="21"/>
              </w:rPr>
            </w:pPr>
          </w:p>
        </w:tc>
        <w:tc>
          <w:tcPr>
            <w:tcW w:w="3435" w:type="dxa"/>
            <w:gridSpan w:val="3"/>
            <w:tcBorders>
              <w:left w:val="single" w:color="auto" w:sz="4" w:space="0"/>
            </w:tcBorders>
            <w:vAlign w:val="center"/>
          </w:tcPr>
          <w:p>
            <w:pPr>
              <w:wordWrap w:val="0"/>
              <w:snapToGrid w:val="0"/>
              <w:spacing w:line="400" w:lineRule="exact"/>
              <w:jc w:val="left"/>
              <w:rPr>
                <w:rFonts w:ascii="宋体" w:hAnsi="宋体" w:eastAsia="宋体" w:cs="微软雅黑"/>
                <w:szCs w:val="21"/>
              </w:rPr>
            </w:pPr>
            <w:r>
              <w:rPr>
                <w:rFonts w:hint="eastAsia" w:ascii="宋体" w:hAnsi="宋体" w:eastAsia="宋体" w:cs="微软雅黑"/>
                <w:szCs w:val="21"/>
              </w:rPr>
              <w:t>基本开户银行资信证明</w:t>
            </w:r>
          </w:p>
        </w:tc>
        <w:tc>
          <w:tcPr>
            <w:tcW w:w="1484" w:type="dxa"/>
            <w:vAlign w:val="center"/>
          </w:tcPr>
          <w:p>
            <w:pPr>
              <w:wordWrap w:val="0"/>
              <w:snapToGrid w:val="0"/>
              <w:spacing w:line="400" w:lineRule="exact"/>
              <w:jc w:val="center"/>
              <w:rPr>
                <w:rFonts w:ascii="宋体" w:hAnsi="宋体" w:eastAsia="宋体" w:cs="微软雅黑"/>
                <w:szCs w:val="21"/>
              </w:rPr>
            </w:pPr>
          </w:p>
        </w:tc>
        <w:tc>
          <w:tcPr>
            <w:tcW w:w="1550" w:type="dxa"/>
            <w:vAlign w:val="center"/>
          </w:tcPr>
          <w:p>
            <w:pPr>
              <w:wordWrap w:val="0"/>
              <w:snapToGrid w:val="0"/>
              <w:spacing w:line="400" w:lineRule="exact"/>
              <w:jc w:val="center"/>
              <w:rPr>
                <w:rFonts w:ascii="宋体" w:hAnsi="宋体" w:eastAsia="宋体" w:cs="微软雅黑"/>
                <w:szCs w:val="21"/>
              </w:rPr>
            </w:pPr>
          </w:p>
        </w:tc>
        <w:tc>
          <w:tcPr>
            <w:tcW w:w="900" w:type="dxa"/>
            <w:vAlign w:val="center"/>
          </w:tcPr>
          <w:p>
            <w:pPr>
              <w:wordWrap w:val="0"/>
              <w:snapToGrid w:val="0"/>
              <w:spacing w:line="400" w:lineRule="exact"/>
              <w:jc w:val="center"/>
              <w:rPr>
                <w:rFonts w:ascii="宋体" w:hAnsi="宋体" w:eastAsia="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468" w:type="dxa"/>
            <w:vMerge w:val="continue"/>
            <w:vAlign w:val="center"/>
          </w:tcPr>
          <w:p>
            <w:pPr>
              <w:numPr>
                <w:ilvl w:val="0"/>
                <w:numId w:val="1"/>
              </w:numPr>
              <w:wordWrap w:val="0"/>
              <w:adjustRightInd w:val="0"/>
              <w:snapToGrid w:val="0"/>
              <w:spacing w:line="400" w:lineRule="exact"/>
              <w:jc w:val="center"/>
              <w:textAlignment w:val="baseline"/>
              <w:rPr>
                <w:rFonts w:ascii="宋体" w:hAnsi="宋体" w:eastAsia="宋体" w:cs="微软雅黑"/>
                <w:szCs w:val="21"/>
              </w:rPr>
            </w:pPr>
          </w:p>
        </w:tc>
        <w:tc>
          <w:tcPr>
            <w:tcW w:w="774" w:type="dxa"/>
            <w:vMerge w:val="continue"/>
            <w:tcBorders>
              <w:right w:val="single" w:color="auto" w:sz="4" w:space="0"/>
            </w:tcBorders>
            <w:vAlign w:val="center"/>
          </w:tcPr>
          <w:p>
            <w:pPr>
              <w:wordWrap w:val="0"/>
              <w:snapToGrid w:val="0"/>
              <w:spacing w:line="400" w:lineRule="exact"/>
              <w:jc w:val="left"/>
              <w:rPr>
                <w:rFonts w:ascii="宋体" w:hAnsi="宋体" w:eastAsia="宋体" w:cs="微软雅黑"/>
                <w:szCs w:val="21"/>
              </w:rPr>
            </w:pPr>
          </w:p>
        </w:tc>
        <w:tc>
          <w:tcPr>
            <w:tcW w:w="3435" w:type="dxa"/>
            <w:gridSpan w:val="3"/>
            <w:tcBorders>
              <w:left w:val="single" w:color="auto" w:sz="4" w:space="0"/>
            </w:tcBorders>
            <w:vAlign w:val="center"/>
          </w:tcPr>
          <w:p>
            <w:pPr>
              <w:wordWrap w:val="0"/>
              <w:snapToGrid w:val="0"/>
              <w:spacing w:line="400" w:lineRule="exact"/>
              <w:jc w:val="left"/>
              <w:rPr>
                <w:rFonts w:ascii="宋体" w:hAnsi="宋体" w:eastAsia="宋体" w:cs="微软雅黑"/>
                <w:szCs w:val="21"/>
              </w:rPr>
            </w:pPr>
            <w:r>
              <w:rPr>
                <w:rFonts w:hint="eastAsia" w:ascii="宋体" w:hAnsi="宋体" w:eastAsia="宋体" w:cs="微软雅黑"/>
                <w:szCs w:val="21"/>
              </w:rPr>
              <w:t>银行资信证明</w:t>
            </w:r>
          </w:p>
        </w:tc>
        <w:tc>
          <w:tcPr>
            <w:tcW w:w="1484" w:type="dxa"/>
            <w:vAlign w:val="center"/>
          </w:tcPr>
          <w:p>
            <w:pPr>
              <w:wordWrap w:val="0"/>
              <w:snapToGrid w:val="0"/>
              <w:spacing w:line="400" w:lineRule="exact"/>
              <w:jc w:val="center"/>
              <w:rPr>
                <w:rFonts w:ascii="宋体" w:hAnsi="宋体" w:eastAsia="宋体" w:cs="微软雅黑"/>
                <w:szCs w:val="21"/>
              </w:rPr>
            </w:pPr>
          </w:p>
        </w:tc>
        <w:tc>
          <w:tcPr>
            <w:tcW w:w="1550" w:type="dxa"/>
            <w:vAlign w:val="center"/>
          </w:tcPr>
          <w:p>
            <w:pPr>
              <w:wordWrap w:val="0"/>
              <w:snapToGrid w:val="0"/>
              <w:spacing w:line="400" w:lineRule="exact"/>
              <w:jc w:val="center"/>
              <w:rPr>
                <w:rFonts w:ascii="宋体" w:hAnsi="宋体" w:eastAsia="宋体" w:cs="微软雅黑"/>
                <w:szCs w:val="21"/>
              </w:rPr>
            </w:pPr>
          </w:p>
        </w:tc>
        <w:tc>
          <w:tcPr>
            <w:tcW w:w="900" w:type="dxa"/>
            <w:vAlign w:val="center"/>
          </w:tcPr>
          <w:p>
            <w:pPr>
              <w:wordWrap w:val="0"/>
              <w:snapToGrid w:val="0"/>
              <w:spacing w:line="400" w:lineRule="exact"/>
              <w:jc w:val="center"/>
              <w:rPr>
                <w:rFonts w:ascii="宋体" w:hAnsi="宋体" w:eastAsia="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468" w:type="dxa"/>
            <w:vMerge w:val="continue"/>
            <w:vAlign w:val="center"/>
          </w:tcPr>
          <w:p>
            <w:pPr>
              <w:numPr>
                <w:ilvl w:val="0"/>
                <w:numId w:val="1"/>
              </w:numPr>
              <w:wordWrap w:val="0"/>
              <w:adjustRightInd w:val="0"/>
              <w:snapToGrid w:val="0"/>
              <w:spacing w:line="400" w:lineRule="exact"/>
              <w:jc w:val="center"/>
              <w:textAlignment w:val="baseline"/>
              <w:rPr>
                <w:rFonts w:ascii="宋体" w:hAnsi="宋体" w:eastAsia="宋体" w:cs="微软雅黑"/>
                <w:szCs w:val="21"/>
              </w:rPr>
            </w:pPr>
          </w:p>
        </w:tc>
        <w:tc>
          <w:tcPr>
            <w:tcW w:w="774" w:type="dxa"/>
            <w:vMerge w:val="continue"/>
            <w:tcBorders>
              <w:right w:val="single" w:color="auto" w:sz="4" w:space="0"/>
            </w:tcBorders>
            <w:vAlign w:val="center"/>
          </w:tcPr>
          <w:p>
            <w:pPr>
              <w:wordWrap w:val="0"/>
              <w:snapToGrid w:val="0"/>
              <w:spacing w:line="400" w:lineRule="exact"/>
              <w:jc w:val="left"/>
              <w:rPr>
                <w:rFonts w:ascii="宋体" w:hAnsi="宋体" w:eastAsia="宋体" w:cs="微软雅黑"/>
                <w:szCs w:val="21"/>
              </w:rPr>
            </w:pPr>
          </w:p>
        </w:tc>
        <w:tc>
          <w:tcPr>
            <w:tcW w:w="3435" w:type="dxa"/>
            <w:gridSpan w:val="3"/>
            <w:tcBorders>
              <w:left w:val="single" w:color="auto" w:sz="4" w:space="0"/>
            </w:tcBorders>
            <w:vAlign w:val="center"/>
          </w:tcPr>
          <w:p>
            <w:pPr>
              <w:wordWrap w:val="0"/>
              <w:snapToGrid w:val="0"/>
              <w:spacing w:line="400" w:lineRule="exact"/>
              <w:jc w:val="left"/>
              <w:rPr>
                <w:rFonts w:ascii="宋体" w:hAnsi="宋体" w:eastAsia="宋体" w:cs="微软雅黑"/>
                <w:szCs w:val="21"/>
              </w:rPr>
            </w:pPr>
            <w:r>
              <w:rPr>
                <w:rFonts w:hint="eastAsia" w:ascii="宋体" w:hAnsi="宋体" w:eastAsia="宋体" w:cs="微软雅黑"/>
                <w:szCs w:val="21"/>
              </w:rPr>
              <w:t>政府采购投标担保函</w:t>
            </w:r>
          </w:p>
        </w:tc>
        <w:tc>
          <w:tcPr>
            <w:tcW w:w="1484" w:type="dxa"/>
            <w:vAlign w:val="center"/>
          </w:tcPr>
          <w:p>
            <w:pPr>
              <w:wordWrap w:val="0"/>
              <w:snapToGrid w:val="0"/>
              <w:spacing w:line="400" w:lineRule="exact"/>
              <w:jc w:val="center"/>
              <w:rPr>
                <w:rFonts w:ascii="宋体" w:hAnsi="宋体" w:eastAsia="宋体" w:cs="微软雅黑"/>
                <w:szCs w:val="21"/>
              </w:rPr>
            </w:pPr>
          </w:p>
        </w:tc>
        <w:tc>
          <w:tcPr>
            <w:tcW w:w="1550" w:type="dxa"/>
            <w:vAlign w:val="center"/>
          </w:tcPr>
          <w:p>
            <w:pPr>
              <w:wordWrap w:val="0"/>
              <w:snapToGrid w:val="0"/>
              <w:spacing w:line="400" w:lineRule="exact"/>
              <w:jc w:val="center"/>
              <w:rPr>
                <w:rFonts w:ascii="宋体" w:hAnsi="宋体" w:eastAsia="宋体" w:cs="微软雅黑"/>
                <w:szCs w:val="21"/>
              </w:rPr>
            </w:pPr>
          </w:p>
        </w:tc>
        <w:tc>
          <w:tcPr>
            <w:tcW w:w="900" w:type="dxa"/>
            <w:vAlign w:val="center"/>
          </w:tcPr>
          <w:p>
            <w:pPr>
              <w:wordWrap w:val="0"/>
              <w:snapToGrid w:val="0"/>
              <w:spacing w:line="400" w:lineRule="exact"/>
              <w:jc w:val="center"/>
              <w:rPr>
                <w:rFonts w:ascii="宋体" w:hAnsi="宋体" w:eastAsia="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468" w:type="dxa"/>
            <w:vAlign w:val="center"/>
          </w:tcPr>
          <w:p>
            <w:pPr>
              <w:wordWrap w:val="0"/>
              <w:adjustRightInd w:val="0"/>
              <w:snapToGrid w:val="0"/>
              <w:spacing w:line="400" w:lineRule="exact"/>
              <w:jc w:val="center"/>
              <w:textAlignment w:val="baseline"/>
              <w:rPr>
                <w:rFonts w:ascii="宋体" w:hAnsi="宋体" w:eastAsia="宋体" w:cs="微软雅黑"/>
                <w:szCs w:val="21"/>
              </w:rPr>
            </w:pPr>
            <w:r>
              <w:rPr>
                <w:rFonts w:hint="eastAsia" w:ascii="宋体" w:hAnsi="宋体" w:eastAsia="宋体" w:cs="微软雅黑"/>
                <w:szCs w:val="21"/>
              </w:rPr>
              <w:t>9</w:t>
            </w:r>
          </w:p>
        </w:tc>
        <w:tc>
          <w:tcPr>
            <w:tcW w:w="4209" w:type="dxa"/>
            <w:gridSpan w:val="4"/>
            <w:vAlign w:val="center"/>
          </w:tcPr>
          <w:p>
            <w:pPr>
              <w:wordWrap w:val="0"/>
              <w:snapToGrid w:val="0"/>
              <w:spacing w:line="400" w:lineRule="exact"/>
              <w:jc w:val="left"/>
              <w:rPr>
                <w:rFonts w:ascii="宋体" w:hAnsi="宋体" w:eastAsia="宋体" w:cs="微软雅黑"/>
                <w:szCs w:val="21"/>
              </w:rPr>
            </w:pPr>
            <w:r>
              <w:rPr>
                <w:rFonts w:hint="eastAsia" w:ascii="宋体" w:hAnsi="宋体" w:eastAsia="宋体" w:cs="Times New Roman"/>
                <w:bCs/>
                <w:szCs w:val="21"/>
              </w:rPr>
              <w:t>依法缴纳社会保险凭据</w:t>
            </w:r>
          </w:p>
        </w:tc>
        <w:tc>
          <w:tcPr>
            <w:tcW w:w="1484" w:type="dxa"/>
            <w:vAlign w:val="center"/>
          </w:tcPr>
          <w:p>
            <w:pPr>
              <w:wordWrap w:val="0"/>
              <w:snapToGrid w:val="0"/>
              <w:spacing w:line="400" w:lineRule="exact"/>
              <w:jc w:val="center"/>
              <w:rPr>
                <w:rFonts w:ascii="宋体" w:hAnsi="宋体" w:eastAsia="宋体" w:cs="微软雅黑"/>
                <w:szCs w:val="21"/>
              </w:rPr>
            </w:pPr>
          </w:p>
        </w:tc>
        <w:tc>
          <w:tcPr>
            <w:tcW w:w="1550" w:type="dxa"/>
            <w:vAlign w:val="center"/>
          </w:tcPr>
          <w:p>
            <w:pPr>
              <w:wordWrap w:val="0"/>
              <w:snapToGrid w:val="0"/>
              <w:spacing w:line="400" w:lineRule="exact"/>
              <w:jc w:val="center"/>
              <w:rPr>
                <w:rFonts w:ascii="宋体" w:hAnsi="宋体" w:eastAsia="宋体" w:cs="微软雅黑"/>
                <w:szCs w:val="21"/>
              </w:rPr>
            </w:pPr>
          </w:p>
        </w:tc>
        <w:tc>
          <w:tcPr>
            <w:tcW w:w="900" w:type="dxa"/>
            <w:vAlign w:val="center"/>
          </w:tcPr>
          <w:p>
            <w:pPr>
              <w:wordWrap w:val="0"/>
              <w:snapToGrid w:val="0"/>
              <w:spacing w:line="400" w:lineRule="exact"/>
              <w:jc w:val="center"/>
              <w:rPr>
                <w:rFonts w:ascii="宋体" w:hAnsi="宋体" w:eastAsia="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68" w:type="dxa"/>
            <w:vMerge w:val="restart"/>
            <w:vAlign w:val="center"/>
          </w:tcPr>
          <w:p>
            <w:pPr>
              <w:wordWrap w:val="0"/>
              <w:adjustRightInd w:val="0"/>
              <w:snapToGrid w:val="0"/>
              <w:spacing w:line="400" w:lineRule="exact"/>
              <w:jc w:val="center"/>
              <w:textAlignment w:val="baseline"/>
              <w:rPr>
                <w:rFonts w:ascii="宋体" w:hAnsi="宋体" w:eastAsia="宋体" w:cs="微软雅黑"/>
                <w:szCs w:val="21"/>
              </w:rPr>
            </w:pPr>
            <w:r>
              <w:rPr>
                <w:rFonts w:hint="eastAsia" w:ascii="宋体" w:hAnsi="宋体" w:eastAsia="宋体" w:cs="微软雅黑"/>
                <w:szCs w:val="21"/>
              </w:rPr>
              <w:t>10</w:t>
            </w:r>
          </w:p>
        </w:tc>
        <w:tc>
          <w:tcPr>
            <w:tcW w:w="774" w:type="dxa"/>
            <w:vMerge w:val="restart"/>
            <w:tcBorders>
              <w:right w:val="single" w:color="auto" w:sz="6" w:space="0"/>
            </w:tcBorders>
            <w:vAlign w:val="center"/>
          </w:tcPr>
          <w:p>
            <w:pPr>
              <w:wordWrap w:val="0"/>
              <w:snapToGrid w:val="0"/>
              <w:spacing w:line="400" w:lineRule="exact"/>
              <w:jc w:val="center"/>
              <w:rPr>
                <w:rFonts w:ascii="宋体" w:hAnsi="宋体" w:eastAsia="宋体" w:cs="微软雅黑"/>
                <w:szCs w:val="21"/>
              </w:rPr>
            </w:pPr>
            <w:r>
              <w:rPr>
                <w:rFonts w:hint="eastAsia" w:ascii="宋体" w:hAnsi="宋体" w:eastAsia="宋体" w:cs="微软雅黑"/>
                <w:szCs w:val="21"/>
              </w:rPr>
              <w:t>履行合同能力</w:t>
            </w:r>
          </w:p>
        </w:tc>
        <w:tc>
          <w:tcPr>
            <w:tcW w:w="709" w:type="dxa"/>
            <w:gridSpan w:val="2"/>
            <w:vMerge w:val="restart"/>
            <w:tcBorders>
              <w:left w:val="single" w:color="auto" w:sz="6" w:space="0"/>
              <w:right w:val="single" w:color="auto" w:sz="6" w:space="0"/>
            </w:tcBorders>
            <w:vAlign w:val="center"/>
          </w:tcPr>
          <w:p>
            <w:pPr>
              <w:wordWrap w:val="0"/>
              <w:snapToGrid w:val="0"/>
              <w:spacing w:line="400" w:lineRule="exact"/>
              <w:jc w:val="center"/>
              <w:rPr>
                <w:rFonts w:ascii="宋体" w:hAnsi="宋体" w:eastAsia="宋体" w:cs="微软雅黑"/>
                <w:szCs w:val="21"/>
              </w:rPr>
            </w:pPr>
            <w:r>
              <w:rPr>
                <w:rFonts w:hint="eastAsia" w:ascii="宋体" w:hAnsi="宋体" w:eastAsia="宋体" w:cs="微软雅黑"/>
                <w:szCs w:val="21"/>
              </w:rPr>
              <w:t>证明材料</w:t>
            </w:r>
          </w:p>
        </w:tc>
        <w:tc>
          <w:tcPr>
            <w:tcW w:w="2726" w:type="dxa"/>
            <w:tcBorders>
              <w:left w:val="single" w:color="auto" w:sz="6" w:space="0"/>
            </w:tcBorders>
            <w:vAlign w:val="center"/>
          </w:tcPr>
          <w:p>
            <w:pPr>
              <w:wordWrap w:val="0"/>
              <w:snapToGrid w:val="0"/>
              <w:spacing w:line="400" w:lineRule="exact"/>
              <w:jc w:val="left"/>
              <w:rPr>
                <w:rFonts w:ascii="宋体" w:hAnsi="宋体" w:eastAsia="宋体" w:cs="微软雅黑"/>
                <w:szCs w:val="21"/>
              </w:rPr>
            </w:pPr>
            <w:r>
              <w:rPr>
                <w:rFonts w:hint="eastAsia" w:ascii="宋体" w:hAnsi="宋体" w:eastAsia="宋体" w:cs="微软雅黑"/>
                <w:szCs w:val="21"/>
              </w:rPr>
              <w:t>设备购置发票</w:t>
            </w:r>
          </w:p>
        </w:tc>
        <w:tc>
          <w:tcPr>
            <w:tcW w:w="1484" w:type="dxa"/>
            <w:vAlign w:val="center"/>
          </w:tcPr>
          <w:p>
            <w:pPr>
              <w:wordWrap w:val="0"/>
              <w:jc w:val="center"/>
              <w:rPr>
                <w:rFonts w:ascii="Calibri" w:hAnsi="Calibri" w:eastAsia="宋体" w:cs="Times New Roman"/>
                <w:szCs w:val="21"/>
              </w:rPr>
            </w:pPr>
          </w:p>
        </w:tc>
        <w:tc>
          <w:tcPr>
            <w:tcW w:w="1550" w:type="dxa"/>
            <w:vAlign w:val="center"/>
          </w:tcPr>
          <w:p>
            <w:pPr>
              <w:wordWrap w:val="0"/>
              <w:snapToGrid w:val="0"/>
              <w:spacing w:line="400" w:lineRule="exact"/>
              <w:jc w:val="center"/>
              <w:rPr>
                <w:rFonts w:ascii="宋体" w:hAnsi="宋体" w:eastAsia="宋体" w:cs="微软雅黑"/>
                <w:szCs w:val="21"/>
              </w:rPr>
            </w:pPr>
          </w:p>
        </w:tc>
        <w:tc>
          <w:tcPr>
            <w:tcW w:w="900" w:type="dxa"/>
            <w:vAlign w:val="center"/>
          </w:tcPr>
          <w:p>
            <w:pPr>
              <w:wordWrap w:val="0"/>
              <w:snapToGrid w:val="0"/>
              <w:spacing w:line="400" w:lineRule="exact"/>
              <w:jc w:val="center"/>
              <w:rPr>
                <w:rFonts w:ascii="宋体" w:hAnsi="宋体" w:eastAsia="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68" w:type="dxa"/>
            <w:vMerge w:val="continue"/>
            <w:vAlign w:val="center"/>
          </w:tcPr>
          <w:p>
            <w:pPr>
              <w:numPr>
                <w:ilvl w:val="0"/>
                <w:numId w:val="1"/>
              </w:numPr>
              <w:wordWrap w:val="0"/>
              <w:adjustRightInd w:val="0"/>
              <w:snapToGrid w:val="0"/>
              <w:spacing w:line="400" w:lineRule="exact"/>
              <w:jc w:val="center"/>
              <w:textAlignment w:val="baseline"/>
              <w:rPr>
                <w:rFonts w:ascii="宋体" w:hAnsi="宋体" w:eastAsia="宋体" w:cs="微软雅黑"/>
                <w:szCs w:val="21"/>
              </w:rPr>
            </w:pPr>
          </w:p>
        </w:tc>
        <w:tc>
          <w:tcPr>
            <w:tcW w:w="774" w:type="dxa"/>
            <w:vMerge w:val="continue"/>
            <w:tcBorders>
              <w:right w:val="single" w:color="auto" w:sz="6" w:space="0"/>
            </w:tcBorders>
            <w:vAlign w:val="center"/>
          </w:tcPr>
          <w:p>
            <w:pPr>
              <w:kinsoku w:val="0"/>
              <w:wordWrap w:val="0"/>
              <w:overflowPunct w:val="0"/>
              <w:autoSpaceDE w:val="0"/>
              <w:autoSpaceDN w:val="0"/>
              <w:spacing w:line="320" w:lineRule="exact"/>
              <w:jc w:val="left"/>
              <w:rPr>
                <w:rFonts w:ascii="Calibri" w:hAnsi="宋体" w:eastAsia="宋体" w:cs="微软雅黑"/>
                <w:bCs/>
                <w:kern w:val="0"/>
                <w:szCs w:val="21"/>
              </w:rPr>
            </w:pPr>
          </w:p>
        </w:tc>
        <w:tc>
          <w:tcPr>
            <w:tcW w:w="709" w:type="dxa"/>
            <w:gridSpan w:val="2"/>
            <w:vMerge w:val="continue"/>
            <w:tcBorders>
              <w:left w:val="single" w:color="auto" w:sz="6" w:space="0"/>
              <w:right w:val="single" w:color="auto" w:sz="6" w:space="0"/>
            </w:tcBorders>
            <w:vAlign w:val="center"/>
          </w:tcPr>
          <w:p>
            <w:pPr>
              <w:kinsoku w:val="0"/>
              <w:wordWrap w:val="0"/>
              <w:overflowPunct w:val="0"/>
              <w:autoSpaceDE w:val="0"/>
              <w:autoSpaceDN w:val="0"/>
              <w:spacing w:line="320" w:lineRule="exact"/>
              <w:jc w:val="left"/>
              <w:rPr>
                <w:rFonts w:ascii="Calibri" w:hAnsi="宋体" w:eastAsia="宋体" w:cs="微软雅黑"/>
                <w:bCs/>
                <w:kern w:val="0"/>
                <w:szCs w:val="21"/>
              </w:rPr>
            </w:pPr>
          </w:p>
        </w:tc>
        <w:tc>
          <w:tcPr>
            <w:tcW w:w="2726" w:type="dxa"/>
            <w:tcBorders>
              <w:left w:val="single" w:color="auto" w:sz="6" w:space="0"/>
            </w:tcBorders>
            <w:vAlign w:val="center"/>
          </w:tcPr>
          <w:p>
            <w:pPr>
              <w:kinsoku w:val="0"/>
              <w:wordWrap w:val="0"/>
              <w:overflowPunct w:val="0"/>
              <w:autoSpaceDE w:val="0"/>
              <w:autoSpaceDN w:val="0"/>
              <w:spacing w:line="320" w:lineRule="exact"/>
              <w:jc w:val="left"/>
              <w:rPr>
                <w:rFonts w:ascii="Calibri" w:hAnsi="宋体" w:eastAsia="宋体" w:cs="微软雅黑"/>
                <w:bCs/>
                <w:kern w:val="0"/>
                <w:szCs w:val="21"/>
              </w:rPr>
            </w:pPr>
            <w:r>
              <w:rPr>
                <w:rFonts w:hint="eastAsia" w:ascii="Calibri" w:hAnsi="宋体" w:eastAsia="宋体" w:cs="微软雅黑"/>
                <w:bCs/>
                <w:kern w:val="0"/>
                <w:szCs w:val="21"/>
              </w:rPr>
              <w:t>技术人员职称证书</w:t>
            </w:r>
          </w:p>
        </w:tc>
        <w:tc>
          <w:tcPr>
            <w:tcW w:w="1484" w:type="dxa"/>
            <w:vAlign w:val="center"/>
          </w:tcPr>
          <w:p>
            <w:pPr>
              <w:wordWrap w:val="0"/>
              <w:jc w:val="center"/>
              <w:rPr>
                <w:rFonts w:ascii="Calibri" w:hAnsi="Calibri" w:eastAsia="宋体" w:cs="Times New Roman"/>
                <w:szCs w:val="21"/>
              </w:rPr>
            </w:pPr>
          </w:p>
        </w:tc>
        <w:tc>
          <w:tcPr>
            <w:tcW w:w="1550" w:type="dxa"/>
            <w:vAlign w:val="center"/>
          </w:tcPr>
          <w:p>
            <w:pPr>
              <w:wordWrap w:val="0"/>
              <w:snapToGrid w:val="0"/>
              <w:spacing w:line="400" w:lineRule="exact"/>
              <w:jc w:val="center"/>
              <w:rPr>
                <w:rFonts w:ascii="宋体" w:hAnsi="宋体" w:eastAsia="宋体" w:cs="微软雅黑"/>
                <w:szCs w:val="21"/>
              </w:rPr>
            </w:pPr>
          </w:p>
        </w:tc>
        <w:tc>
          <w:tcPr>
            <w:tcW w:w="900" w:type="dxa"/>
            <w:vAlign w:val="center"/>
          </w:tcPr>
          <w:p>
            <w:pPr>
              <w:kinsoku w:val="0"/>
              <w:wordWrap w:val="0"/>
              <w:overflowPunct w:val="0"/>
              <w:autoSpaceDE w:val="0"/>
              <w:autoSpaceDN w:val="0"/>
              <w:spacing w:line="320" w:lineRule="exact"/>
              <w:jc w:val="center"/>
              <w:rPr>
                <w:rFonts w:ascii="Calibri" w:hAnsi="宋体" w:eastAsia="宋体" w:cs="微软雅黑"/>
                <w:bCs/>
                <w:kern w:val="0"/>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68" w:type="dxa"/>
            <w:vMerge w:val="continue"/>
            <w:vAlign w:val="center"/>
          </w:tcPr>
          <w:p>
            <w:pPr>
              <w:numPr>
                <w:ilvl w:val="0"/>
                <w:numId w:val="1"/>
              </w:numPr>
              <w:wordWrap w:val="0"/>
              <w:adjustRightInd w:val="0"/>
              <w:snapToGrid w:val="0"/>
              <w:spacing w:line="400" w:lineRule="exact"/>
              <w:jc w:val="center"/>
              <w:textAlignment w:val="baseline"/>
              <w:rPr>
                <w:rFonts w:ascii="宋体" w:hAnsi="宋体" w:eastAsia="宋体" w:cs="微软雅黑"/>
                <w:szCs w:val="21"/>
              </w:rPr>
            </w:pPr>
          </w:p>
        </w:tc>
        <w:tc>
          <w:tcPr>
            <w:tcW w:w="774" w:type="dxa"/>
            <w:vMerge w:val="continue"/>
            <w:tcBorders>
              <w:right w:val="single" w:color="auto" w:sz="6" w:space="0"/>
            </w:tcBorders>
            <w:vAlign w:val="center"/>
          </w:tcPr>
          <w:p>
            <w:pPr>
              <w:kinsoku w:val="0"/>
              <w:wordWrap w:val="0"/>
              <w:overflowPunct w:val="0"/>
              <w:autoSpaceDE w:val="0"/>
              <w:autoSpaceDN w:val="0"/>
              <w:spacing w:line="320" w:lineRule="exact"/>
              <w:jc w:val="left"/>
              <w:rPr>
                <w:rFonts w:ascii="Calibri" w:hAnsi="宋体" w:eastAsia="宋体" w:cs="微软雅黑"/>
                <w:bCs/>
                <w:kern w:val="0"/>
                <w:szCs w:val="21"/>
              </w:rPr>
            </w:pPr>
          </w:p>
        </w:tc>
        <w:tc>
          <w:tcPr>
            <w:tcW w:w="709" w:type="dxa"/>
            <w:gridSpan w:val="2"/>
            <w:vMerge w:val="continue"/>
            <w:tcBorders>
              <w:left w:val="single" w:color="auto" w:sz="6" w:space="0"/>
              <w:right w:val="single" w:color="auto" w:sz="6" w:space="0"/>
            </w:tcBorders>
            <w:vAlign w:val="center"/>
          </w:tcPr>
          <w:p>
            <w:pPr>
              <w:kinsoku w:val="0"/>
              <w:wordWrap w:val="0"/>
              <w:overflowPunct w:val="0"/>
              <w:autoSpaceDE w:val="0"/>
              <w:autoSpaceDN w:val="0"/>
              <w:spacing w:line="320" w:lineRule="exact"/>
              <w:jc w:val="left"/>
              <w:rPr>
                <w:rFonts w:ascii="Calibri" w:hAnsi="宋体" w:eastAsia="宋体" w:cs="微软雅黑"/>
                <w:bCs/>
                <w:kern w:val="0"/>
                <w:szCs w:val="21"/>
              </w:rPr>
            </w:pPr>
          </w:p>
        </w:tc>
        <w:tc>
          <w:tcPr>
            <w:tcW w:w="2726" w:type="dxa"/>
            <w:tcBorders>
              <w:left w:val="single" w:color="auto" w:sz="6" w:space="0"/>
            </w:tcBorders>
            <w:vAlign w:val="center"/>
          </w:tcPr>
          <w:p>
            <w:pPr>
              <w:kinsoku w:val="0"/>
              <w:wordWrap w:val="0"/>
              <w:overflowPunct w:val="0"/>
              <w:autoSpaceDE w:val="0"/>
              <w:autoSpaceDN w:val="0"/>
              <w:spacing w:line="320" w:lineRule="exact"/>
              <w:jc w:val="left"/>
              <w:rPr>
                <w:rFonts w:ascii="Calibri" w:hAnsi="宋体" w:eastAsia="宋体" w:cs="微软雅黑"/>
                <w:bCs/>
                <w:kern w:val="0"/>
                <w:szCs w:val="21"/>
              </w:rPr>
            </w:pPr>
            <w:r>
              <w:rPr>
                <w:rFonts w:hint="eastAsia" w:ascii="Calibri" w:hAnsi="宋体" w:eastAsia="宋体" w:cs="微软雅黑"/>
                <w:bCs/>
                <w:kern w:val="0"/>
                <w:szCs w:val="21"/>
              </w:rPr>
              <w:t>用工合同</w:t>
            </w:r>
          </w:p>
        </w:tc>
        <w:tc>
          <w:tcPr>
            <w:tcW w:w="1484" w:type="dxa"/>
            <w:vAlign w:val="center"/>
          </w:tcPr>
          <w:p>
            <w:pPr>
              <w:wordWrap w:val="0"/>
              <w:jc w:val="center"/>
              <w:rPr>
                <w:rFonts w:ascii="Calibri" w:hAnsi="Calibri" w:eastAsia="宋体" w:cs="Times New Roman"/>
                <w:szCs w:val="21"/>
              </w:rPr>
            </w:pPr>
          </w:p>
        </w:tc>
        <w:tc>
          <w:tcPr>
            <w:tcW w:w="1550" w:type="dxa"/>
            <w:vAlign w:val="center"/>
          </w:tcPr>
          <w:p>
            <w:pPr>
              <w:wordWrap w:val="0"/>
              <w:snapToGrid w:val="0"/>
              <w:spacing w:line="400" w:lineRule="exact"/>
              <w:jc w:val="center"/>
              <w:rPr>
                <w:rFonts w:ascii="宋体" w:hAnsi="宋体" w:eastAsia="宋体" w:cs="微软雅黑"/>
                <w:szCs w:val="21"/>
              </w:rPr>
            </w:pPr>
          </w:p>
        </w:tc>
        <w:tc>
          <w:tcPr>
            <w:tcW w:w="900" w:type="dxa"/>
            <w:vAlign w:val="center"/>
          </w:tcPr>
          <w:p>
            <w:pPr>
              <w:kinsoku w:val="0"/>
              <w:wordWrap w:val="0"/>
              <w:overflowPunct w:val="0"/>
              <w:autoSpaceDE w:val="0"/>
              <w:autoSpaceDN w:val="0"/>
              <w:spacing w:line="320" w:lineRule="exact"/>
              <w:jc w:val="center"/>
              <w:rPr>
                <w:rFonts w:ascii="Calibri" w:hAnsi="宋体" w:eastAsia="宋体" w:cs="微软雅黑"/>
                <w:bCs/>
                <w:kern w:val="0"/>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68" w:type="dxa"/>
            <w:vMerge w:val="continue"/>
            <w:vAlign w:val="center"/>
          </w:tcPr>
          <w:p>
            <w:pPr>
              <w:numPr>
                <w:ilvl w:val="0"/>
                <w:numId w:val="1"/>
              </w:numPr>
              <w:wordWrap w:val="0"/>
              <w:adjustRightInd w:val="0"/>
              <w:snapToGrid w:val="0"/>
              <w:spacing w:line="400" w:lineRule="exact"/>
              <w:jc w:val="center"/>
              <w:textAlignment w:val="baseline"/>
              <w:rPr>
                <w:rFonts w:ascii="宋体" w:hAnsi="宋体" w:eastAsia="宋体" w:cs="微软雅黑"/>
                <w:szCs w:val="21"/>
              </w:rPr>
            </w:pPr>
          </w:p>
        </w:tc>
        <w:tc>
          <w:tcPr>
            <w:tcW w:w="774" w:type="dxa"/>
            <w:vMerge w:val="continue"/>
            <w:tcBorders>
              <w:right w:val="single" w:color="auto" w:sz="6" w:space="0"/>
            </w:tcBorders>
            <w:vAlign w:val="center"/>
          </w:tcPr>
          <w:p>
            <w:pPr>
              <w:kinsoku w:val="0"/>
              <w:wordWrap w:val="0"/>
              <w:overflowPunct w:val="0"/>
              <w:autoSpaceDE w:val="0"/>
              <w:autoSpaceDN w:val="0"/>
              <w:spacing w:line="320" w:lineRule="exact"/>
              <w:jc w:val="left"/>
              <w:rPr>
                <w:rFonts w:ascii="Calibri" w:hAnsi="宋体" w:eastAsia="宋体" w:cs="微软雅黑"/>
                <w:bCs/>
                <w:kern w:val="0"/>
                <w:szCs w:val="21"/>
              </w:rPr>
            </w:pPr>
          </w:p>
        </w:tc>
        <w:tc>
          <w:tcPr>
            <w:tcW w:w="3435" w:type="dxa"/>
            <w:gridSpan w:val="3"/>
            <w:tcBorders>
              <w:left w:val="single" w:color="auto" w:sz="6" w:space="0"/>
            </w:tcBorders>
            <w:vAlign w:val="center"/>
          </w:tcPr>
          <w:p>
            <w:pPr>
              <w:kinsoku w:val="0"/>
              <w:wordWrap w:val="0"/>
              <w:overflowPunct w:val="0"/>
              <w:autoSpaceDE w:val="0"/>
              <w:autoSpaceDN w:val="0"/>
              <w:spacing w:line="320" w:lineRule="exact"/>
              <w:jc w:val="left"/>
              <w:rPr>
                <w:rFonts w:ascii="Calibri" w:hAnsi="宋体" w:eastAsia="宋体" w:cs="微软雅黑"/>
                <w:bCs/>
                <w:kern w:val="0"/>
                <w:szCs w:val="21"/>
              </w:rPr>
            </w:pPr>
            <w:r>
              <w:rPr>
                <w:rFonts w:hint="eastAsia" w:ascii="宋体" w:hAnsi="宋体" w:eastAsia="宋体" w:cs="Times New Roman"/>
                <w:bCs/>
                <w:szCs w:val="21"/>
              </w:rPr>
              <w:t>投标人相关承诺函或声明</w:t>
            </w:r>
          </w:p>
        </w:tc>
        <w:tc>
          <w:tcPr>
            <w:tcW w:w="1484" w:type="dxa"/>
            <w:vAlign w:val="center"/>
          </w:tcPr>
          <w:p>
            <w:pPr>
              <w:wordWrap w:val="0"/>
              <w:jc w:val="center"/>
              <w:rPr>
                <w:rFonts w:ascii="Calibri" w:hAnsi="Calibri" w:eastAsia="宋体" w:cs="Times New Roman"/>
                <w:szCs w:val="21"/>
              </w:rPr>
            </w:pPr>
          </w:p>
        </w:tc>
        <w:tc>
          <w:tcPr>
            <w:tcW w:w="1550" w:type="dxa"/>
            <w:vAlign w:val="center"/>
          </w:tcPr>
          <w:p>
            <w:pPr>
              <w:wordWrap w:val="0"/>
              <w:snapToGrid w:val="0"/>
              <w:spacing w:line="400" w:lineRule="exact"/>
              <w:jc w:val="center"/>
              <w:rPr>
                <w:rFonts w:ascii="宋体" w:hAnsi="宋体" w:eastAsia="宋体" w:cs="微软雅黑"/>
                <w:szCs w:val="21"/>
              </w:rPr>
            </w:pPr>
          </w:p>
        </w:tc>
        <w:tc>
          <w:tcPr>
            <w:tcW w:w="900" w:type="dxa"/>
            <w:vAlign w:val="center"/>
          </w:tcPr>
          <w:p>
            <w:pPr>
              <w:wordWrap w:val="0"/>
              <w:snapToGrid w:val="0"/>
              <w:spacing w:line="400" w:lineRule="exact"/>
              <w:jc w:val="center"/>
              <w:rPr>
                <w:rFonts w:ascii="宋体" w:hAnsi="宋体" w:eastAsia="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468" w:type="dxa"/>
            <w:vAlign w:val="center"/>
          </w:tcPr>
          <w:p>
            <w:pPr>
              <w:wordWrap w:val="0"/>
              <w:adjustRightInd w:val="0"/>
              <w:snapToGrid w:val="0"/>
              <w:spacing w:line="400" w:lineRule="exact"/>
              <w:jc w:val="center"/>
              <w:textAlignment w:val="baseline"/>
              <w:rPr>
                <w:rFonts w:ascii="宋体" w:hAnsi="宋体" w:eastAsia="宋体" w:cs="微软雅黑"/>
                <w:szCs w:val="21"/>
              </w:rPr>
            </w:pPr>
            <w:r>
              <w:rPr>
                <w:rFonts w:hint="eastAsia" w:ascii="宋体" w:hAnsi="宋体" w:eastAsia="宋体" w:cs="微软雅黑"/>
                <w:szCs w:val="21"/>
              </w:rPr>
              <w:t>11</w:t>
            </w:r>
          </w:p>
        </w:tc>
        <w:tc>
          <w:tcPr>
            <w:tcW w:w="4209" w:type="dxa"/>
            <w:gridSpan w:val="4"/>
            <w:vAlign w:val="center"/>
          </w:tcPr>
          <w:p>
            <w:pPr>
              <w:kinsoku w:val="0"/>
              <w:wordWrap w:val="0"/>
              <w:overflowPunct w:val="0"/>
              <w:autoSpaceDE w:val="0"/>
              <w:autoSpaceDN w:val="0"/>
              <w:spacing w:line="320" w:lineRule="exact"/>
              <w:jc w:val="left"/>
              <w:rPr>
                <w:rFonts w:ascii="Calibri" w:hAnsi="宋体" w:eastAsia="宋体" w:cs="微软雅黑"/>
                <w:bCs/>
                <w:kern w:val="0"/>
                <w:szCs w:val="21"/>
              </w:rPr>
            </w:pPr>
            <w:r>
              <w:rPr>
                <w:rFonts w:hint="eastAsia" w:ascii="Calibri" w:hAnsi="宋体" w:eastAsia="宋体" w:cs="Times New Roman"/>
                <w:kern w:val="0"/>
                <w:szCs w:val="21"/>
              </w:rPr>
              <w:t>没有重大违法记录的声明</w:t>
            </w:r>
          </w:p>
        </w:tc>
        <w:tc>
          <w:tcPr>
            <w:tcW w:w="1484" w:type="dxa"/>
            <w:vAlign w:val="center"/>
          </w:tcPr>
          <w:p>
            <w:pPr>
              <w:wordWrap w:val="0"/>
              <w:jc w:val="center"/>
              <w:rPr>
                <w:rFonts w:ascii="Calibri" w:hAnsi="Calibri" w:eastAsia="宋体" w:cs="Times New Roman"/>
                <w:szCs w:val="21"/>
              </w:rPr>
            </w:pPr>
          </w:p>
        </w:tc>
        <w:tc>
          <w:tcPr>
            <w:tcW w:w="1550" w:type="dxa"/>
            <w:vAlign w:val="center"/>
          </w:tcPr>
          <w:p>
            <w:pPr>
              <w:wordWrap w:val="0"/>
              <w:snapToGrid w:val="0"/>
              <w:spacing w:line="400" w:lineRule="exact"/>
              <w:jc w:val="center"/>
              <w:rPr>
                <w:rFonts w:ascii="宋体" w:hAnsi="宋体" w:eastAsia="宋体" w:cs="微软雅黑"/>
                <w:szCs w:val="21"/>
              </w:rPr>
            </w:pPr>
          </w:p>
        </w:tc>
        <w:tc>
          <w:tcPr>
            <w:tcW w:w="900" w:type="dxa"/>
            <w:vAlign w:val="center"/>
          </w:tcPr>
          <w:p>
            <w:pPr>
              <w:wordWrap w:val="0"/>
              <w:snapToGrid w:val="0"/>
              <w:spacing w:line="400" w:lineRule="exact"/>
              <w:jc w:val="center"/>
              <w:rPr>
                <w:rFonts w:ascii="宋体" w:hAnsi="宋体" w:eastAsia="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468" w:type="dxa"/>
            <w:vAlign w:val="center"/>
          </w:tcPr>
          <w:p>
            <w:pPr>
              <w:wordWrap w:val="0"/>
              <w:adjustRightInd w:val="0"/>
              <w:snapToGrid w:val="0"/>
              <w:spacing w:line="400" w:lineRule="exact"/>
              <w:jc w:val="center"/>
              <w:textAlignment w:val="baseline"/>
              <w:rPr>
                <w:rFonts w:ascii="宋体" w:hAnsi="宋体" w:eastAsia="宋体" w:cs="微软雅黑"/>
                <w:szCs w:val="21"/>
              </w:rPr>
            </w:pPr>
            <w:r>
              <w:rPr>
                <w:rFonts w:hint="eastAsia" w:ascii="宋体" w:hAnsi="宋体" w:eastAsia="宋体" w:cs="微软雅黑"/>
                <w:szCs w:val="21"/>
              </w:rPr>
              <w:t>12</w:t>
            </w:r>
          </w:p>
        </w:tc>
        <w:tc>
          <w:tcPr>
            <w:tcW w:w="4209" w:type="dxa"/>
            <w:gridSpan w:val="4"/>
            <w:vAlign w:val="center"/>
          </w:tcPr>
          <w:p>
            <w:pPr>
              <w:kinsoku w:val="0"/>
              <w:wordWrap w:val="0"/>
              <w:overflowPunct w:val="0"/>
              <w:autoSpaceDE w:val="0"/>
              <w:autoSpaceDN w:val="0"/>
              <w:spacing w:line="320" w:lineRule="exact"/>
              <w:jc w:val="left"/>
              <w:rPr>
                <w:rFonts w:ascii="Calibri" w:hAnsi="宋体" w:eastAsia="宋体" w:cs="Times New Roman"/>
                <w:kern w:val="0"/>
                <w:szCs w:val="21"/>
              </w:rPr>
            </w:pPr>
            <w:r>
              <w:rPr>
                <w:rFonts w:hint="eastAsia" w:ascii="Calibri" w:hAnsi="宋体" w:eastAsia="宋体" w:cs="微软雅黑"/>
                <w:bCs/>
                <w:kern w:val="0"/>
                <w:szCs w:val="21"/>
              </w:rPr>
              <w:t>投标人须具备的特殊资质证书</w:t>
            </w:r>
          </w:p>
        </w:tc>
        <w:tc>
          <w:tcPr>
            <w:tcW w:w="1484" w:type="dxa"/>
            <w:vAlign w:val="center"/>
          </w:tcPr>
          <w:p>
            <w:pPr>
              <w:wordWrap w:val="0"/>
              <w:jc w:val="center"/>
              <w:rPr>
                <w:rFonts w:ascii="Calibri" w:hAnsi="Calibri" w:eastAsia="宋体" w:cs="Times New Roman"/>
                <w:szCs w:val="21"/>
              </w:rPr>
            </w:pPr>
          </w:p>
        </w:tc>
        <w:tc>
          <w:tcPr>
            <w:tcW w:w="1550" w:type="dxa"/>
            <w:vAlign w:val="center"/>
          </w:tcPr>
          <w:p>
            <w:pPr>
              <w:wordWrap w:val="0"/>
              <w:snapToGrid w:val="0"/>
              <w:spacing w:line="400" w:lineRule="exact"/>
              <w:jc w:val="center"/>
              <w:rPr>
                <w:rFonts w:ascii="宋体" w:hAnsi="宋体" w:eastAsia="宋体" w:cs="微软雅黑"/>
                <w:szCs w:val="21"/>
              </w:rPr>
            </w:pPr>
          </w:p>
        </w:tc>
        <w:tc>
          <w:tcPr>
            <w:tcW w:w="900" w:type="dxa"/>
            <w:vAlign w:val="center"/>
          </w:tcPr>
          <w:p>
            <w:pPr>
              <w:wordWrap w:val="0"/>
              <w:snapToGrid w:val="0"/>
              <w:spacing w:line="400" w:lineRule="exact"/>
              <w:jc w:val="center"/>
              <w:rPr>
                <w:rFonts w:ascii="宋体" w:hAnsi="宋体" w:eastAsia="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468" w:type="dxa"/>
            <w:vAlign w:val="center"/>
          </w:tcPr>
          <w:p>
            <w:pPr>
              <w:wordWrap w:val="0"/>
              <w:adjustRightInd w:val="0"/>
              <w:snapToGrid w:val="0"/>
              <w:spacing w:line="400" w:lineRule="exact"/>
              <w:jc w:val="center"/>
              <w:textAlignment w:val="baseline"/>
              <w:rPr>
                <w:rFonts w:ascii="宋体" w:hAnsi="宋体" w:eastAsia="宋体" w:cs="微软雅黑"/>
                <w:szCs w:val="21"/>
              </w:rPr>
            </w:pPr>
            <w:r>
              <w:rPr>
                <w:rFonts w:hint="eastAsia" w:ascii="宋体" w:hAnsi="宋体" w:eastAsia="宋体" w:cs="微软雅黑"/>
                <w:szCs w:val="21"/>
              </w:rPr>
              <w:t>13</w:t>
            </w:r>
          </w:p>
        </w:tc>
        <w:tc>
          <w:tcPr>
            <w:tcW w:w="4209" w:type="dxa"/>
            <w:gridSpan w:val="4"/>
            <w:vAlign w:val="center"/>
          </w:tcPr>
          <w:p>
            <w:pPr>
              <w:kinsoku w:val="0"/>
              <w:wordWrap w:val="0"/>
              <w:overflowPunct w:val="0"/>
              <w:autoSpaceDE w:val="0"/>
              <w:autoSpaceDN w:val="0"/>
              <w:spacing w:line="320" w:lineRule="exact"/>
              <w:jc w:val="left"/>
              <w:rPr>
                <w:rFonts w:ascii="Calibri" w:hAnsi="宋体" w:eastAsia="宋体" w:cs="微软雅黑"/>
                <w:bCs/>
                <w:kern w:val="0"/>
                <w:szCs w:val="21"/>
              </w:rPr>
            </w:pPr>
            <w:r>
              <w:rPr>
                <w:rFonts w:hint="eastAsia" w:ascii="宋体" w:hAnsi="宋体" w:eastAsia="宋体" w:cs="宋体"/>
                <w:bCs/>
                <w:szCs w:val="21"/>
                <w:lang w:val="zh-CN"/>
              </w:rPr>
              <w:t>投标承诺函</w:t>
            </w:r>
          </w:p>
        </w:tc>
        <w:tc>
          <w:tcPr>
            <w:tcW w:w="1484" w:type="dxa"/>
            <w:vAlign w:val="center"/>
          </w:tcPr>
          <w:p>
            <w:pPr>
              <w:wordWrap w:val="0"/>
              <w:jc w:val="center"/>
              <w:rPr>
                <w:rFonts w:ascii="Calibri" w:hAnsi="Calibri" w:eastAsia="宋体" w:cs="Times New Roman"/>
                <w:szCs w:val="21"/>
              </w:rPr>
            </w:pPr>
          </w:p>
        </w:tc>
        <w:tc>
          <w:tcPr>
            <w:tcW w:w="1550" w:type="dxa"/>
            <w:vAlign w:val="center"/>
          </w:tcPr>
          <w:p>
            <w:pPr>
              <w:wordWrap w:val="0"/>
              <w:snapToGrid w:val="0"/>
              <w:spacing w:line="400" w:lineRule="exact"/>
              <w:jc w:val="center"/>
              <w:rPr>
                <w:rFonts w:ascii="宋体" w:hAnsi="宋体" w:eastAsia="宋体" w:cs="微软雅黑"/>
                <w:szCs w:val="21"/>
              </w:rPr>
            </w:pPr>
          </w:p>
        </w:tc>
        <w:tc>
          <w:tcPr>
            <w:tcW w:w="900" w:type="dxa"/>
            <w:vAlign w:val="center"/>
          </w:tcPr>
          <w:p>
            <w:pPr>
              <w:wordWrap w:val="0"/>
              <w:snapToGrid w:val="0"/>
              <w:spacing w:line="400" w:lineRule="exact"/>
              <w:jc w:val="center"/>
              <w:rPr>
                <w:rFonts w:ascii="宋体" w:hAnsi="宋体" w:eastAsia="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468" w:type="dxa"/>
            <w:vAlign w:val="center"/>
          </w:tcPr>
          <w:p>
            <w:pPr>
              <w:wordWrap w:val="0"/>
              <w:adjustRightInd w:val="0"/>
              <w:snapToGrid w:val="0"/>
              <w:spacing w:line="400" w:lineRule="exact"/>
              <w:jc w:val="center"/>
              <w:textAlignment w:val="baseline"/>
              <w:rPr>
                <w:rFonts w:ascii="宋体" w:hAnsi="宋体" w:eastAsia="宋体" w:cs="宋体"/>
                <w:bCs/>
                <w:szCs w:val="21"/>
                <w:lang w:val="zh-CN"/>
              </w:rPr>
            </w:pPr>
            <w:r>
              <w:rPr>
                <w:rFonts w:hint="eastAsia" w:ascii="宋体" w:hAnsi="宋体" w:eastAsia="宋体" w:cs="宋体"/>
                <w:bCs/>
                <w:szCs w:val="21"/>
                <w:lang w:val="zh-CN"/>
              </w:rPr>
              <w:t>14</w:t>
            </w:r>
          </w:p>
        </w:tc>
        <w:tc>
          <w:tcPr>
            <w:tcW w:w="4209" w:type="dxa"/>
            <w:gridSpan w:val="4"/>
            <w:vAlign w:val="center"/>
          </w:tcPr>
          <w:p>
            <w:pPr>
              <w:kinsoku w:val="0"/>
              <w:wordWrap w:val="0"/>
              <w:overflowPunct w:val="0"/>
              <w:autoSpaceDE w:val="0"/>
              <w:autoSpaceDN w:val="0"/>
              <w:spacing w:line="320" w:lineRule="exact"/>
              <w:jc w:val="left"/>
              <w:rPr>
                <w:rFonts w:ascii="宋体" w:hAnsi="宋体" w:eastAsia="宋体" w:cs="宋体"/>
                <w:bCs/>
                <w:szCs w:val="21"/>
                <w:lang w:val="zh-CN"/>
              </w:rPr>
            </w:pPr>
            <w:r>
              <w:rPr>
                <w:rFonts w:hint="eastAsia" w:ascii="宋体" w:hAnsi="宋体" w:eastAsia="宋体" w:cs="宋体"/>
                <w:bCs/>
                <w:szCs w:val="21"/>
                <w:lang w:val="zh-CN"/>
              </w:rPr>
              <w:t>联合体协议</w:t>
            </w:r>
          </w:p>
        </w:tc>
        <w:tc>
          <w:tcPr>
            <w:tcW w:w="1484" w:type="dxa"/>
            <w:vAlign w:val="center"/>
          </w:tcPr>
          <w:p>
            <w:pPr>
              <w:wordWrap w:val="0"/>
              <w:jc w:val="center"/>
              <w:rPr>
                <w:rFonts w:ascii="Calibri" w:hAnsi="Calibri" w:eastAsia="宋体" w:cs="Times New Roman"/>
                <w:szCs w:val="21"/>
              </w:rPr>
            </w:pPr>
          </w:p>
        </w:tc>
        <w:tc>
          <w:tcPr>
            <w:tcW w:w="1550" w:type="dxa"/>
            <w:vAlign w:val="center"/>
          </w:tcPr>
          <w:p>
            <w:pPr>
              <w:wordWrap w:val="0"/>
              <w:snapToGrid w:val="0"/>
              <w:spacing w:line="400" w:lineRule="exact"/>
              <w:jc w:val="center"/>
              <w:rPr>
                <w:rFonts w:ascii="宋体" w:hAnsi="宋体" w:eastAsia="宋体" w:cs="微软雅黑"/>
                <w:szCs w:val="21"/>
              </w:rPr>
            </w:pPr>
          </w:p>
        </w:tc>
        <w:tc>
          <w:tcPr>
            <w:tcW w:w="900" w:type="dxa"/>
            <w:vAlign w:val="center"/>
          </w:tcPr>
          <w:p>
            <w:pPr>
              <w:wordWrap w:val="0"/>
              <w:snapToGrid w:val="0"/>
              <w:spacing w:line="400" w:lineRule="exact"/>
              <w:jc w:val="center"/>
              <w:rPr>
                <w:rFonts w:ascii="宋体" w:hAnsi="宋体" w:eastAsia="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468" w:type="dxa"/>
            <w:vAlign w:val="center"/>
          </w:tcPr>
          <w:p>
            <w:pPr>
              <w:wordWrap w:val="0"/>
              <w:adjustRightInd w:val="0"/>
              <w:snapToGrid w:val="0"/>
              <w:spacing w:line="400" w:lineRule="exact"/>
              <w:jc w:val="center"/>
              <w:textAlignment w:val="baseline"/>
              <w:rPr>
                <w:rFonts w:ascii="宋体" w:hAnsi="宋体" w:eastAsia="宋体" w:cs="宋体"/>
                <w:bCs/>
                <w:szCs w:val="21"/>
                <w:lang w:val="zh-CN"/>
              </w:rPr>
            </w:pPr>
            <w:r>
              <w:rPr>
                <w:rFonts w:hint="eastAsia" w:ascii="宋体" w:hAnsi="宋体" w:eastAsia="宋体" w:cs="宋体"/>
                <w:bCs/>
                <w:szCs w:val="21"/>
                <w:lang w:val="zh-CN"/>
              </w:rPr>
              <w:t>15</w:t>
            </w:r>
          </w:p>
        </w:tc>
        <w:tc>
          <w:tcPr>
            <w:tcW w:w="4209" w:type="dxa"/>
            <w:gridSpan w:val="4"/>
            <w:vAlign w:val="center"/>
          </w:tcPr>
          <w:p>
            <w:pPr>
              <w:kinsoku w:val="0"/>
              <w:wordWrap w:val="0"/>
              <w:overflowPunct w:val="0"/>
              <w:autoSpaceDE w:val="0"/>
              <w:autoSpaceDN w:val="0"/>
              <w:spacing w:line="320" w:lineRule="exact"/>
              <w:jc w:val="left"/>
              <w:rPr>
                <w:rFonts w:ascii="宋体" w:hAnsi="宋体" w:eastAsia="宋体" w:cs="宋体"/>
                <w:bCs/>
                <w:szCs w:val="21"/>
                <w:lang w:val="zh-CN"/>
              </w:rPr>
            </w:pPr>
            <w:r>
              <w:rPr>
                <w:rFonts w:hint="eastAsia" w:ascii="宋体" w:hAnsi="宋体" w:eastAsia="宋体" w:cs="宋体"/>
                <w:bCs/>
                <w:szCs w:val="21"/>
                <w:lang w:val="zh-CN"/>
              </w:rPr>
              <w:t>投标人与参加本项目投标的其他供应商之间，单位负责人不为同一人并且不存在直接控股、管理关系承诺函</w:t>
            </w:r>
          </w:p>
        </w:tc>
        <w:tc>
          <w:tcPr>
            <w:tcW w:w="1484" w:type="dxa"/>
            <w:vAlign w:val="center"/>
          </w:tcPr>
          <w:p>
            <w:pPr>
              <w:wordWrap w:val="0"/>
              <w:jc w:val="center"/>
              <w:rPr>
                <w:rFonts w:ascii="Calibri" w:hAnsi="Calibri" w:eastAsia="宋体" w:cs="Times New Roman"/>
                <w:szCs w:val="21"/>
              </w:rPr>
            </w:pPr>
          </w:p>
        </w:tc>
        <w:tc>
          <w:tcPr>
            <w:tcW w:w="1550" w:type="dxa"/>
            <w:vAlign w:val="center"/>
          </w:tcPr>
          <w:p>
            <w:pPr>
              <w:wordWrap w:val="0"/>
              <w:snapToGrid w:val="0"/>
              <w:spacing w:line="400" w:lineRule="exact"/>
              <w:jc w:val="center"/>
              <w:rPr>
                <w:rFonts w:ascii="宋体" w:hAnsi="宋体" w:eastAsia="宋体" w:cs="微软雅黑"/>
                <w:szCs w:val="21"/>
              </w:rPr>
            </w:pPr>
          </w:p>
        </w:tc>
        <w:tc>
          <w:tcPr>
            <w:tcW w:w="900" w:type="dxa"/>
            <w:vAlign w:val="center"/>
          </w:tcPr>
          <w:p>
            <w:pPr>
              <w:wordWrap w:val="0"/>
              <w:snapToGrid w:val="0"/>
              <w:spacing w:line="400" w:lineRule="exact"/>
              <w:jc w:val="center"/>
              <w:rPr>
                <w:rFonts w:ascii="宋体" w:hAnsi="宋体" w:eastAsia="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468" w:type="dxa"/>
            <w:vAlign w:val="center"/>
          </w:tcPr>
          <w:p>
            <w:pPr>
              <w:wordWrap w:val="0"/>
              <w:adjustRightInd w:val="0"/>
              <w:snapToGrid w:val="0"/>
              <w:spacing w:line="400" w:lineRule="exact"/>
              <w:jc w:val="center"/>
              <w:textAlignment w:val="baseline"/>
              <w:rPr>
                <w:rFonts w:ascii="宋体" w:hAnsi="宋体" w:eastAsia="宋体" w:cs="宋体"/>
                <w:bCs/>
                <w:szCs w:val="21"/>
                <w:lang w:val="zh-CN"/>
              </w:rPr>
            </w:pPr>
            <w:r>
              <w:rPr>
                <w:rFonts w:hint="eastAsia" w:ascii="宋体" w:hAnsi="宋体" w:eastAsia="宋体" w:cs="宋体"/>
                <w:bCs/>
                <w:szCs w:val="21"/>
                <w:lang w:val="zh-CN"/>
              </w:rPr>
              <w:t>16</w:t>
            </w:r>
          </w:p>
        </w:tc>
        <w:tc>
          <w:tcPr>
            <w:tcW w:w="4209" w:type="dxa"/>
            <w:gridSpan w:val="4"/>
            <w:vAlign w:val="center"/>
          </w:tcPr>
          <w:p>
            <w:pPr>
              <w:kinsoku w:val="0"/>
              <w:wordWrap w:val="0"/>
              <w:overflowPunct w:val="0"/>
              <w:autoSpaceDE w:val="0"/>
              <w:autoSpaceDN w:val="0"/>
              <w:spacing w:line="320" w:lineRule="exact"/>
              <w:jc w:val="left"/>
              <w:rPr>
                <w:rFonts w:ascii="宋体" w:hAnsi="宋体" w:eastAsia="宋体" w:cs="宋体"/>
                <w:bCs/>
                <w:szCs w:val="21"/>
                <w:lang w:val="zh-CN"/>
              </w:rPr>
            </w:pPr>
            <w:r>
              <w:rPr>
                <w:rFonts w:hint="eastAsia" w:ascii="宋体" w:hAnsi="宋体" w:eastAsia="宋体" w:cs="仿宋_GB2312"/>
                <w:szCs w:val="21"/>
                <w:lang w:val="zh-CN"/>
              </w:rPr>
              <w:t>投标人未为本项目提供整体设计、规范编制或者项目管理、监理、检测等服务承诺函</w:t>
            </w:r>
          </w:p>
        </w:tc>
        <w:tc>
          <w:tcPr>
            <w:tcW w:w="1484" w:type="dxa"/>
            <w:vAlign w:val="center"/>
          </w:tcPr>
          <w:p>
            <w:pPr>
              <w:wordWrap w:val="0"/>
              <w:jc w:val="center"/>
              <w:rPr>
                <w:rFonts w:ascii="Calibri" w:hAnsi="Calibri" w:eastAsia="宋体" w:cs="Times New Roman"/>
                <w:szCs w:val="21"/>
              </w:rPr>
            </w:pPr>
          </w:p>
        </w:tc>
        <w:tc>
          <w:tcPr>
            <w:tcW w:w="1550" w:type="dxa"/>
            <w:vAlign w:val="center"/>
          </w:tcPr>
          <w:p>
            <w:pPr>
              <w:wordWrap w:val="0"/>
              <w:snapToGrid w:val="0"/>
              <w:spacing w:line="400" w:lineRule="exact"/>
              <w:jc w:val="center"/>
              <w:rPr>
                <w:rFonts w:ascii="宋体" w:hAnsi="宋体" w:eastAsia="宋体" w:cs="微软雅黑"/>
                <w:szCs w:val="21"/>
              </w:rPr>
            </w:pPr>
          </w:p>
        </w:tc>
        <w:tc>
          <w:tcPr>
            <w:tcW w:w="900" w:type="dxa"/>
            <w:vAlign w:val="center"/>
          </w:tcPr>
          <w:p>
            <w:pPr>
              <w:wordWrap w:val="0"/>
              <w:snapToGrid w:val="0"/>
              <w:spacing w:line="400" w:lineRule="exact"/>
              <w:jc w:val="center"/>
              <w:rPr>
                <w:rFonts w:ascii="宋体" w:hAnsi="宋体" w:eastAsia="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468" w:type="dxa"/>
            <w:tcBorders>
              <w:top w:val="double" w:color="auto" w:sz="4" w:space="0"/>
            </w:tcBorders>
            <w:vAlign w:val="center"/>
          </w:tcPr>
          <w:p>
            <w:pPr>
              <w:wordWrap w:val="0"/>
              <w:adjustRightInd w:val="0"/>
              <w:snapToGrid w:val="0"/>
              <w:spacing w:line="400" w:lineRule="exact"/>
              <w:jc w:val="center"/>
              <w:textAlignment w:val="baseline"/>
              <w:rPr>
                <w:rFonts w:ascii="宋体" w:hAnsi="宋体" w:eastAsia="宋体" w:cs="微软雅黑"/>
                <w:szCs w:val="21"/>
              </w:rPr>
            </w:pPr>
            <w:r>
              <w:rPr>
                <w:rFonts w:hint="eastAsia" w:ascii="宋体" w:hAnsi="宋体" w:eastAsia="宋体" w:cs="微软雅黑"/>
                <w:szCs w:val="21"/>
              </w:rPr>
              <w:t>17</w:t>
            </w:r>
          </w:p>
        </w:tc>
        <w:tc>
          <w:tcPr>
            <w:tcW w:w="4209" w:type="dxa"/>
            <w:gridSpan w:val="4"/>
            <w:tcBorders>
              <w:top w:val="double" w:color="auto" w:sz="4" w:space="0"/>
            </w:tcBorders>
            <w:vAlign w:val="center"/>
          </w:tcPr>
          <w:p>
            <w:pPr>
              <w:kinsoku w:val="0"/>
              <w:wordWrap w:val="0"/>
              <w:overflowPunct w:val="0"/>
              <w:autoSpaceDE w:val="0"/>
              <w:autoSpaceDN w:val="0"/>
              <w:spacing w:line="320" w:lineRule="exact"/>
              <w:jc w:val="left"/>
              <w:rPr>
                <w:rFonts w:ascii="Calibri" w:hAnsi="宋体" w:eastAsia="宋体" w:cs="微软雅黑"/>
                <w:bCs/>
                <w:kern w:val="0"/>
                <w:szCs w:val="21"/>
              </w:rPr>
            </w:pPr>
            <w:r>
              <w:rPr>
                <w:rFonts w:hint="eastAsia" w:ascii="Calibri" w:hAnsi="宋体" w:eastAsia="宋体" w:cs="微软雅黑"/>
                <w:bCs/>
                <w:kern w:val="0"/>
                <w:szCs w:val="21"/>
              </w:rPr>
              <w:t>投标分项报价表</w:t>
            </w:r>
          </w:p>
        </w:tc>
        <w:tc>
          <w:tcPr>
            <w:tcW w:w="1484" w:type="dxa"/>
            <w:tcBorders>
              <w:top w:val="double" w:color="auto" w:sz="4" w:space="0"/>
            </w:tcBorders>
            <w:vAlign w:val="center"/>
          </w:tcPr>
          <w:p>
            <w:pPr>
              <w:wordWrap w:val="0"/>
              <w:jc w:val="center"/>
              <w:rPr>
                <w:rFonts w:ascii="Calibri" w:hAnsi="Calibri" w:eastAsia="宋体" w:cs="Times New Roman"/>
                <w:szCs w:val="21"/>
              </w:rPr>
            </w:pPr>
          </w:p>
        </w:tc>
        <w:tc>
          <w:tcPr>
            <w:tcW w:w="1550" w:type="dxa"/>
            <w:tcBorders>
              <w:top w:val="double" w:color="auto" w:sz="4" w:space="0"/>
            </w:tcBorders>
            <w:vAlign w:val="center"/>
          </w:tcPr>
          <w:p>
            <w:pPr>
              <w:wordWrap w:val="0"/>
              <w:snapToGrid w:val="0"/>
              <w:spacing w:line="400" w:lineRule="exact"/>
              <w:jc w:val="center"/>
              <w:rPr>
                <w:rFonts w:ascii="宋体" w:hAnsi="宋体" w:eastAsia="宋体" w:cs="微软雅黑"/>
                <w:szCs w:val="21"/>
              </w:rPr>
            </w:pPr>
          </w:p>
        </w:tc>
        <w:tc>
          <w:tcPr>
            <w:tcW w:w="900" w:type="dxa"/>
            <w:tcBorders>
              <w:top w:val="double" w:color="auto" w:sz="4" w:space="0"/>
            </w:tcBorders>
            <w:vAlign w:val="center"/>
          </w:tcPr>
          <w:p>
            <w:pPr>
              <w:wordWrap w:val="0"/>
              <w:snapToGrid w:val="0"/>
              <w:spacing w:line="400" w:lineRule="exact"/>
              <w:jc w:val="center"/>
              <w:rPr>
                <w:rFonts w:ascii="宋体" w:hAnsi="宋体" w:eastAsia="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468" w:type="dxa"/>
            <w:vAlign w:val="center"/>
          </w:tcPr>
          <w:p>
            <w:pPr>
              <w:wordWrap w:val="0"/>
              <w:adjustRightInd w:val="0"/>
              <w:snapToGrid w:val="0"/>
              <w:spacing w:line="400" w:lineRule="exact"/>
              <w:jc w:val="center"/>
              <w:textAlignment w:val="baseline"/>
              <w:rPr>
                <w:rFonts w:ascii="宋体" w:hAnsi="宋体" w:eastAsia="宋体" w:cs="微软雅黑"/>
                <w:szCs w:val="21"/>
              </w:rPr>
            </w:pPr>
            <w:r>
              <w:rPr>
                <w:rFonts w:hint="eastAsia" w:ascii="宋体" w:hAnsi="宋体" w:eastAsia="宋体" w:cs="微软雅黑"/>
                <w:szCs w:val="21"/>
              </w:rPr>
              <w:t>18</w:t>
            </w:r>
          </w:p>
        </w:tc>
        <w:tc>
          <w:tcPr>
            <w:tcW w:w="4209" w:type="dxa"/>
            <w:gridSpan w:val="4"/>
            <w:vAlign w:val="center"/>
          </w:tcPr>
          <w:p>
            <w:pPr>
              <w:kinsoku w:val="0"/>
              <w:wordWrap w:val="0"/>
              <w:overflowPunct w:val="0"/>
              <w:autoSpaceDE w:val="0"/>
              <w:autoSpaceDN w:val="0"/>
              <w:spacing w:line="320" w:lineRule="exact"/>
              <w:jc w:val="left"/>
              <w:rPr>
                <w:rFonts w:ascii="Calibri" w:hAnsi="宋体" w:eastAsia="宋体" w:cs="微软雅黑"/>
                <w:bCs/>
                <w:kern w:val="0"/>
                <w:szCs w:val="21"/>
              </w:rPr>
            </w:pPr>
            <w:r>
              <w:rPr>
                <w:rFonts w:hint="eastAsia" w:ascii="Calibri" w:hAnsi="宋体" w:eastAsia="宋体" w:cs="微软雅黑"/>
                <w:bCs/>
                <w:kern w:val="0"/>
                <w:szCs w:val="21"/>
              </w:rPr>
              <w:t>技术规格偏离表</w:t>
            </w:r>
          </w:p>
        </w:tc>
        <w:tc>
          <w:tcPr>
            <w:tcW w:w="1484" w:type="dxa"/>
            <w:vAlign w:val="center"/>
          </w:tcPr>
          <w:p>
            <w:pPr>
              <w:wordWrap w:val="0"/>
              <w:jc w:val="center"/>
              <w:rPr>
                <w:rFonts w:ascii="Calibri" w:hAnsi="Calibri" w:eastAsia="宋体" w:cs="Times New Roman"/>
                <w:szCs w:val="21"/>
              </w:rPr>
            </w:pPr>
          </w:p>
        </w:tc>
        <w:tc>
          <w:tcPr>
            <w:tcW w:w="1550" w:type="dxa"/>
            <w:vAlign w:val="center"/>
          </w:tcPr>
          <w:p>
            <w:pPr>
              <w:wordWrap w:val="0"/>
              <w:snapToGrid w:val="0"/>
              <w:spacing w:line="400" w:lineRule="exact"/>
              <w:jc w:val="center"/>
              <w:rPr>
                <w:rFonts w:ascii="宋体" w:hAnsi="宋体" w:eastAsia="宋体" w:cs="微软雅黑"/>
                <w:szCs w:val="21"/>
              </w:rPr>
            </w:pPr>
          </w:p>
        </w:tc>
        <w:tc>
          <w:tcPr>
            <w:tcW w:w="900" w:type="dxa"/>
            <w:vAlign w:val="center"/>
          </w:tcPr>
          <w:p>
            <w:pPr>
              <w:wordWrap w:val="0"/>
              <w:snapToGrid w:val="0"/>
              <w:spacing w:line="400" w:lineRule="exact"/>
              <w:jc w:val="center"/>
              <w:rPr>
                <w:rFonts w:ascii="宋体" w:hAnsi="宋体" w:eastAsia="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468" w:type="dxa"/>
            <w:vAlign w:val="center"/>
          </w:tcPr>
          <w:p>
            <w:pPr>
              <w:wordWrap w:val="0"/>
              <w:adjustRightInd w:val="0"/>
              <w:snapToGrid w:val="0"/>
              <w:spacing w:line="400" w:lineRule="exact"/>
              <w:jc w:val="center"/>
              <w:textAlignment w:val="baseline"/>
              <w:rPr>
                <w:rFonts w:ascii="宋体" w:hAnsi="宋体" w:eastAsia="宋体" w:cs="微软雅黑"/>
                <w:szCs w:val="21"/>
              </w:rPr>
            </w:pPr>
            <w:r>
              <w:rPr>
                <w:rFonts w:hint="eastAsia" w:ascii="宋体" w:hAnsi="宋体" w:eastAsia="宋体" w:cs="微软雅黑"/>
                <w:szCs w:val="21"/>
              </w:rPr>
              <w:t>19</w:t>
            </w:r>
          </w:p>
        </w:tc>
        <w:tc>
          <w:tcPr>
            <w:tcW w:w="4209" w:type="dxa"/>
            <w:gridSpan w:val="4"/>
            <w:vAlign w:val="center"/>
          </w:tcPr>
          <w:p>
            <w:pPr>
              <w:kinsoku w:val="0"/>
              <w:wordWrap w:val="0"/>
              <w:overflowPunct w:val="0"/>
              <w:autoSpaceDE w:val="0"/>
              <w:autoSpaceDN w:val="0"/>
              <w:spacing w:line="320" w:lineRule="exact"/>
              <w:jc w:val="left"/>
              <w:rPr>
                <w:rFonts w:ascii="Calibri" w:hAnsi="宋体" w:eastAsia="宋体" w:cs="微软雅黑"/>
                <w:bCs/>
                <w:kern w:val="0"/>
                <w:szCs w:val="21"/>
              </w:rPr>
            </w:pPr>
            <w:r>
              <w:rPr>
                <w:rFonts w:hint="eastAsia" w:ascii="Calibri" w:hAnsi="宋体" w:eastAsia="宋体" w:cs="微软雅黑"/>
                <w:bCs/>
                <w:kern w:val="0"/>
                <w:szCs w:val="21"/>
              </w:rPr>
              <w:t>技术方案（实施方案）</w:t>
            </w:r>
          </w:p>
        </w:tc>
        <w:tc>
          <w:tcPr>
            <w:tcW w:w="1484" w:type="dxa"/>
            <w:vAlign w:val="center"/>
          </w:tcPr>
          <w:p>
            <w:pPr>
              <w:wordWrap w:val="0"/>
              <w:jc w:val="center"/>
              <w:rPr>
                <w:rFonts w:ascii="Calibri" w:hAnsi="Calibri" w:eastAsia="宋体" w:cs="Times New Roman"/>
                <w:szCs w:val="21"/>
              </w:rPr>
            </w:pPr>
          </w:p>
        </w:tc>
        <w:tc>
          <w:tcPr>
            <w:tcW w:w="1550" w:type="dxa"/>
            <w:tcBorders>
              <w:top w:val="single" w:color="auto" w:sz="4" w:space="0"/>
            </w:tcBorders>
            <w:vAlign w:val="center"/>
          </w:tcPr>
          <w:p>
            <w:pPr>
              <w:wordWrap w:val="0"/>
              <w:snapToGrid w:val="0"/>
              <w:spacing w:line="400" w:lineRule="exact"/>
              <w:jc w:val="center"/>
              <w:rPr>
                <w:rFonts w:ascii="宋体" w:hAnsi="宋体" w:eastAsia="宋体" w:cs="微软雅黑"/>
                <w:szCs w:val="21"/>
              </w:rPr>
            </w:pPr>
          </w:p>
        </w:tc>
        <w:tc>
          <w:tcPr>
            <w:tcW w:w="900" w:type="dxa"/>
            <w:tcBorders>
              <w:top w:val="single" w:color="auto" w:sz="4" w:space="0"/>
            </w:tcBorders>
            <w:vAlign w:val="center"/>
          </w:tcPr>
          <w:p>
            <w:pPr>
              <w:wordWrap w:val="0"/>
              <w:snapToGrid w:val="0"/>
              <w:spacing w:line="400" w:lineRule="exact"/>
              <w:jc w:val="center"/>
              <w:rPr>
                <w:rFonts w:ascii="宋体" w:hAnsi="宋体" w:eastAsia="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468" w:type="dxa"/>
            <w:vAlign w:val="center"/>
          </w:tcPr>
          <w:p>
            <w:pPr>
              <w:wordWrap w:val="0"/>
              <w:adjustRightInd w:val="0"/>
              <w:snapToGrid w:val="0"/>
              <w:spacing w:line="400" w:lineRule="exact"/>
              <w:jc w:val="center"/>
              <w:textAlignment w:val="baseline"/>
              <w:rPr>
                <w:rFonts w:ascii="宋体" w:hAnsi="宋体" w:eastAsia="宋体" w:cs="微软雅黑"/>
                <w:szCs w:val="21"/>
              </w:rPr>
            </w:pPr>
            <w:r>
              <w:rPr>
                <w:rFonts w:hint="eastAsia" w:ascii="宋体" w:hAnsi="宋体" w:eastAsia="宋体" w:cs="微软雅黑"/>
                <w:szCs w:val="21"/>
              </w:rPr>
              <w:t>20</w:t>
            </w:r>
          </w:p>
        </w:tc>
        <w:tc>
          <w:tcPr>
            <w:tcW w:w="4209" w:type="dxa"/>
            <w:gridSpan w:val="4"/>
            <w:vAlign w:val="center"/>
          </w:tcPr>
          <w:p>
            <w:pPr>
              <w:kinsoku w:val="0"/>
              <w:wordWrap w:val="0"/>
              <w:overflowPunct w:val="0"/>
              <w:autoSpaceDE w:val="0"/>
              <w:autoSpaceDN w:val="0"/>
              <w:spacing w:line="320" w:lineRule="exact"/>
              <w:jc w:val="left"/>
              <w:rPr>
                <w:rFonts w:ascii="Calibri" w:hAnsi="宋体" w:eastAsia="宋体" w:cs="微软雅黑"/>
                <w:bCs/>
                <w:kern w:val="0"/>
                <w:szCs w:val="21"/>
              </w:rPr>
            </w:pPr>
            <w:r>
              <w:rPr>
                <w:rFonts w:hint="eastAsia" w:ascii="Calibri" w:hAnsi="宋体" w:eastAsia="宋体" w:cs="微软雅黑"/>
                <w:bCs/>
                <w:kern w:val="0"/>
                <w:szCs w:val="21"/>
              </w:rPr>
              <w:t>售后服务方案</w:t>
            </w:r>
          </w:p>
        </w:tc>
        <w:tc>
          <w:tcPr>
            <w:tcW w:w="1484" w:type="dxa"/>
            <w:vAlign w:val="center"/>
          </w:tcPr>
          <w:p>
            <w:pPr>
              <w:wordWrap w:val="0"/>
              <w:jc w:val="center"/>
              <w:rPr>
                <w:rFonts w:ascii="Calibri" w:hAnsi="Calibri" w:eastAsia="宋体" w:cs="Times New Roman"/>
                <w:szCs w:val="21"/>
              </w:rPr>
            </w:pPr>
          </w:p>
        </w:tc>
        <w:tc>
          <w:tcPr>
            <w:tcW w:w="1550" w:type="dxa"/>
            <w:vAlign w:val="center"/>
          </w:tcPr>
          <w:p>
            <w:pPr>
              <w:wordWrap w:val="0"/>
              <w:snapToGrid w:val="0"/>
              <w:spacing w:line="400" w:lineRule="exact"/>
              <w:jc w:val="center"/>
              <w:rPr>
                <w:rFonts w:ascii="宋体" w:hAnsi="宋体" w:eastAsia="宋体" w:cs="微软雅黑"/>
                <w:szCs w:val="21"/>
              </w:rPr>
            </w:pPr>
          </w:p>
        </w:tc>
        <w:tc>
          <w:tcPr>
            <w:tcW w:w="900" w:type="dxa"/>
            <w:vAlign w:val="center"/>
          </w:tcPr>
          <w:p>
            <w:pPr>
              <w:wordWrap w:val="0"/>
              <w:snapToGrid w:val="0"/>
              <w:spacing w:line="400" w:lineRule="exact"/>
              <w:jc w:val="center"/>
              <w:rPr>
                <w:rFonts w:ascii="宋体" w:hAnsi="宋体" w:eastAsia="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468" w:type="dxa"/>
            <w:vAlign w:val="center"/>
          </w:tcPr>
          <w:p>
            <w:pPr>
              <w:wordWrap w:val="0"/>
              <w:adjustRightInd w:val="0"/>
              <w:snapToGrid w:val="0"/>
              <w:spacing w:line="400" w:lineRule="exact"/>
              <w:jc w:val="center"/>
              <w:textAlignment w:val="baseline"/>
              <w:rPr>
                <w:rFonts w:ascii="宋体" w:hAnsi="宋体" w:eastAsia="宋体" w:cs="微软雅黑"/>
                <w:szCs w:val="21"/>
              </w:rPr>
            </w:pPr>
            <w:r>
              <w:rPr>
                <w:rFonts w:hint="eastAsia" w:ascii="宋体" w:hAnsi="宋体" w:eastAsia="宋体" w:cs="微软雅黑"/>
                <w:szCs w:val="21"/>
              </w:rPr>
              <w:t>21</w:t>
            </w:r>
          </w:p>
        </w:tc>
        <w:tc>
          <w:tcPr>
            <w:tcW w:w="4209" w:type="dxa"/>
            <w:gridSpan w:val="4"/>
            <w:vAlign w:val="center"/>
          </w:tcPr>
          <w:p>
            <w:pPr>
              <w:kinsoku w:val="0"/>
              <w:wordWrap w:val="0"/>
              <w:overflowPunct w:val="0"/>
              <w:autoSpaceDE w:val="0"/>
              <w:autoSpaceDN w:val="0"/>
              <w:spacing w:line="320" w:lineRule="exact"/>
              <w:jc w:val="left"/>
              <w:rPr>
                <w:rFonts w:ascii="Calibri" w:hAnsi="宋体" w:eastAsia="宋体" w:cs="微软雅黑"/>
                <w:bCs/>
                <w:kern w:val="0"/>
                <w:szCs w:val="21"/>
              </w:rPr>
            </w:pPr>
            <w:r>
              <w:rPr>
                <w:rFonts w:hint="eastAsia" w:ascii="Calibri" w:hAnsi="宋体" w:eastAsia="宋体" w:cs="微软雅黑"/>
                <w:bCs/>
                <w:kern w:val="0"/>
                <w:szCs w:val="21"/>
              </w:rPr>
              <w:t>业绩情况表</w:t>
            </w:r>
          </w:p>
        </w:tc>
        <w:tc>
          <w:tcPr>
            <w:tcW w:w="1484" w:type="dxa"/>
            <w:vAlign w:val="center"/>
          </w:tcPr>
          <w:p>
            <w:pPr>
              <w:wordWrap w:val="0"/>
              <w:jc w:val="center"/>
              <w:rPr>
                <w:rFonts w:ascii="Calibri" w:hAnsi="Calibri" w:eastAsia="宋体" w:cs="Times New Roman"/>
                <w:szCs w:val="21"/>
              </w:rPr>
            </w:pPr>
          </w:p>
        </w:tc>
        <w:tc>
          <w:tcPr>
            <w:tcW w:w="1550" w:type="dxa"/>
            <w:vAlign w:val="center"/>
          </w:tcPr>
          <w:p>
            <w:pPr>
              <w:wordWrap w:val="0"/>
              <w:snapToGrid w:val="0"/>
              <w:spacing w:line="400" w:lineRule="exact"/>
              <w:jc w:val="center"/>
              <w:rPr>
                <w:rFonts w:ascii="宋体" w:hAnsi="宋体" w:eastAsia="宋体" w:cs="微软雅黑"/>
                <w:szCs w:val="21"/>
              </w:rPr>
            </w:pPr>
          </w:p>
        </w:tc>
        <w:tc>
          <w:tcPr>
            <w:tcW w:w="900" w:type="dxa"/>
            <w:vAlign w:val="center"/>
          </w:tcPr>
          <w:p>
            <w:pPr>
              <w:wordWrap w:val="0"/>
              <w:snapToGrid w:val="0"/>
              <w:spacing w:line="400" w:lineRule="exact"/>
              <w:jc w:val="center"/>
              <w:rPr>
                <w:rFonts w:ascii="宋体" w:hAnsi="宋体" w:eastAsia="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468" w:type="dxa"/>
            <w:vAlign w:val="center"/>
          </w:tcPr>
          <w:p>
            <w:pPr>
              <w:wordWrap w:val="0"/>
              <w:adjustRightInd w:val="0"/>
              <w:snapToGrid w:val="0"/>
              <w:spacing w:line="400" w:lineRule="exact"/>
              <w:jc w:val="center"/>
              <w:textAlignment w:val="baseline"/>
              <w:rPr>
                <w:rFonts w:ascii="宋体" w:hAnsi="宋体" w:eastAsia="宋体" w:cs="微软雅黑"/>
                <w:szCs w:val="21"/>
              </w:rPr>
            </w:pPr>
            <w:r>
              <w:rPr>
                <w:rFonts w:hint="eastAsia" w:ascii="宋体" w:hAnsi="宋体" w:eastAsia="宋体" w:cs="微软雅黑"/>
                <w:szCs w:val="21"/>
              </w:rPr>
              <w:t>22</w:t>
            </w:r>
          </w:p>
        </w:tc>
        <w:tc>
          <w:tcPr>
            <w:tcW w:w="4209" w:type="dxa"/>
            <w:gridSpan w:val="4"/>
            <w:vAlign w:val="center"/>
          </w:tcPr>
          <w:p>
            <w:pPr>
              <w:kinsoku w:val="0"/>
              <w:wordWrap w:val="0"/>
              <w:overflowPunct w:val="0"/>
              <w:autoSpaceDE w:val="0"/>
              <w:autoSpaceDN w:val="0"/>
              <w:spacing w:line="320" w:lineRule="exact"/>
              <w:jc w:val="left"/>
              <w:rPr>
                <w:rFonts w:ascii="Calibri" w:hAnsi="宋体" w:eastAsia="宋体" w:cs="微软雅黑"/>
                <w:bCs/>
                <w:kern w:val="0"/>
                <w:szCs w:val="21"/>
              </w:rPr>
            </w:pPr>
            <w:r>
              <w:rPr>
                <w:rFonts w:hint="eastAsia" w:ascii="Calibri" w:hAnsi="宋体" w:eastAsia="宋体" w:cs="微软雅黑"/>
                <w:bCs/>
                <w:kern w:val="0"/>
                <w:szCs w:val="21"/>
              </w:rPr>
              <w:t>政府强制采购节能产品品目清单情况</w:t>
            </w:r>
          </w:p>
        </w:tc>
        <w:tc>
          <w:tcPr>
            <w:tcW w:w="1484" w:type="dxa"/>
            <w:vAlign w:val="center"/>
          </w:tcPr>
          <w:p>
            <w:pPr>
              <w:wordWrap w:val="0"/>
              <w:jc w:val="center"/>
              <w:rPr>
                <w:rFonts w:ascii="Calibri" w:hAnsi="Calibri" w:eastAsia="宋体" w:cs="Times New Roman"/>
                <w:szCs w:val="21"/>
              </w:rPr>
            </w:pPr>
          </w:p>
        </w:tc>
        <w:tc>
          <w:tcPr>
            <w:tcW w:w="1550" w:type="dxa"/>
            <w:vAlign w:val="center"/>
          </w:tcPr>
          <w:p>
            <w:pPr>
              <w:wordWrap w:val="0"/>
              <w:snapToGrid w:val="0"/>
              <w:spacing w:line="400" w:lineRule="exact"/>
              <w:jc w:val="center"/>
              <w:rPr>
                <w:rFonts w:ascii="宋体" w:hAnsi="宋体" w:eastAsia="宋体" w:cs="微软雅黑"/>
                <w:szCs w:val="21"/>
              </w:rPr>
            </w:pPr>
          </w:p>
        </w:tc>
        <w:tc>
          <w:tcPr>
            <w:tcW w:w="900" w:type="dxa"/>
            <w:vAlign w:val="center"/>
          </w:tcPr>
          <w:p>
            <w:pPr>
              <w:wordWrap w:val="0"/>
              <w:snapToGrid w:val="0"/>
              <w:spacing w:line="400" w:lineRule="exact"/>
              <w:jc w:val="center"/>
              <w:rPr>
                <w:rFonts w:ascii="宋体" w:hAnsi="宋体" w:eastAsia="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468" w:type="dxa"/>
            <w:vAlign w:val="center"/>
          </w:tcPr>
          <w:p>
            <w:pPr>
              <w:wordWrap w:val="0"/>
              <w:adjustRightInd w:val="0"/>
              <w:snapToGrid w:val="0"/>
              <w:spacing w:line="400" w:lineRule="exact"/>
              <w:jc w:val="center"/>
              <w:textAlignment w:val="baseline"/>
              <w:rPr>
                <w:rFonts w:ascii="宋体" w:hAnsi="宋体" w:eastAsia="宋体" w:cs="微软雅黑"/>
                <w:szCs w:val="21"/>
              </w:rPr>
            </w:pPr>
            <w:r>
              <w:rPr>
                <w:rFonts w:hint="eastAsia" w:ascii="宋体" w:hAnsi="宋体" w:eastAsia="宋体" w:cs="微软雅黑"/>
                <w:szCs w:val="21"/>
              </w:rPr>
              <w:t>23</w:t>
            </w:r>
          </w:p>
        </w:tc>
        <w:tc>
          <w:tcPr>
            <w:tcW w:w="4209" w:type="dxa"/>
            <w:gridSpan w:val="4"/>
            <w:vAlign w:val="center"/>
          </w:tcPr>
          <w:p>
            <w:pPr>
              <w:kinsoku w:val="0"/>
              <w:wordWrap w:val="0"/>
              <w:overflowPunct w:val="0"/>
              <w:autoSpaceDE w:val="0"/>
              <w:autoSpaceDN w:val="0"/>
              <w:spacing w:line="320" w:lineRule="exact"/>
              <w:jc w:val="left"/>
              <w:rPr>
                <w:rFonts w:ascii="Calibri" w:hAnsi="宋体" w:eastAsia="宋体" w:cs="微软雅黑"/>
                <w:bCs/>
                <w:kern w:val="0"/>
                <w:szCs w:val="21"/>
              </w:rPr>
            </w:pPr>
            <w:r>
              <w:rPr>
                <w:rFonts w:hint="eastAsia" w:ascii="Calibri" w:hAnsi="宋体" w:eastAsia="宋体" w:cs="微软雅黑"/>
                <w:bCs/>
                <w:kern w:val="0"/>
                <w:szCs w:val="21"/>
              </w:rPr>
              <w:t>优先采购节能产品政府采购品目清单情况</w:t>
            </w:r>
          </w:p>
        </w:tc>
        <w:tc>
          <w:tcPr>
            <w:tcW w:w="1484" w:type="dxa"/>
            <w:vAlign w:val="center"/>
          </w:tcPr>
          <w:p>
            <w:pPr>
              <w:wordWrap w:val="0"/>
              <w:jc w:val="center"/>
              <w:rPr>
                <w:rFonts w:ascii="Calibri" w:hAnsi="Calibri" w:eastAsia="宋体" w:cs="Times New Roman"/>
                <w:szCs w:val="21"/>
              </w:rPr>
            </w:pPr>
          </w:p>
        </w:tc>
        <w:tc>
          <w:tcPr>
            <w:tcW w:w="1550" w:type="dxa"/>
            <w:vAlign w:val="center"/>
          </w:tcPr>
          <w:p>
            <w:pPr>
              <w:wordWrap w:val="0"/>
              <w:snapToGrid w:val="0"/>
              <w:spacing w:line="400" w:lineRule="exact"/>
              <w:jc w:val="center"/>
              <w:rPr>
                <w:rFonts w:ascii="宋体" w:hAnsi="宋体" w:eastAsia="宋体" w:cs="微软雅黑"/>
                <w:szCs w:val="21"/>
              </w:rPr>
            </w:pPr>
          </w:p>
        </w:tc>
        <w:tc>
          <w:tcPr>
            <w:tcW w:w="900" w:type="dxa"/>
            <w:vAlign w:val="center"/>
          </w:tcPr>
          <w:p>
            <w:pPr>
              <w:wordWrap w:val="0"/>
              <w:snapToGrid w:val="0"/>
              <w:spacing w:line="400" w:lineRule="exact"/>
              <w:jc w:val="center"/>
              <w:rPr>
                <w:rFonts w:ascii="宋体" w:hAnsi="宋体" w:eastAsia="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468" w:type="dxa"/>
            <w:vAlign w:val="center"/>
          </w:tcPr>
          <w:p>
            <w:pPr>
              <w:wordWrap w:val="0"/>
              <w:adjustRightInd w:val="0"/>
              <w:snapToGrid w:val="0"/>
              <w:spacing w:line="400" w:lineRule="exact"/>
              <w:jc w:val="center"/>
              <w:textAlignment w:val="baseline"/>
              <w:rPr>
                <w:rFonts w:ascii="宋体" w:hAnsi="宋体" w:eastAsia="宋体" w:cs="微软雅黑"/>
                <w:szCs w:val="21"/>
              </w:rPr>
            </w:pPr>
            <w:r>
              <w:rPr>
                <w:rFonts w:hint="eastAsia" w:ascii="宋体" w:hAnsi="宋体" w:eastAsia="宋体" w:cs="微软雅黑"/>
                <w:szCs w:val="21"/>
              </w:rPr>
              <w:t>24</w:t>
            </w:r>
          </w:p>
        </w:tc>
        <w:tc>
          <w:tcPr>
            <w:tcW w:w="4209" w:type="dxa"/>
            <w:gridSpan w:val="4"/>
            <w:vAlign w:val="center"/>
          </w:tcPr>
          <w:p>
            <w:pPr>
              <w:kinsoku w:val="0"/>
              <w:wordWrap w:val="0"/>
              <w:overflowPunct w:val="0"/>
              <w:autoSpaceDE w:val="0"/>
              <w:autoSpaceDN w:val="0"/>
              <w:spacing w:line="320" w:lineRule="exact"/>
              <w:jc w:val="left"/>
              <w:rPr>
                <w:rFonts w:ascii="Calibri" w:hAnsi="宋体" w:eastAsia="宋体" w:cs="微软雅黑"/>
                <w:bCs/>
                <w:kern w:val="0"/>
                <w:szCs w:val="21"/>
              </w:rPr>
            </w:pPr>
            <w:r>
              <w:rPr>
                <w:rFonts w:hint="eastAsia" w:ascii="宋体" w:hAnsi="宋体" w:eastAsia="宋体" w:cs="Times New Roman"/>
                <w:color w:val="000000"/>
                <w:szCs w:val="21"/>
                <w:lang w:val="en-GB"/>
              </w:rPr>
              <w:t>优先采购环境标志产品政府采购品目清单情况</w:t>
            </w:r>
          </w:p>
        </w:tc>
        <w:tc>
          <w:tcPr>
            <w:tcW w:w="1484" w:type="dxa"/>
            <w:vAlign w:val="center"/>
          </w:tcPr>
          <w:p>
            <w:pPr>
              <w:wordWrap w:val="0"/>
              <w:jc w:val="center"/>
              <w:rPr>
                <w:rFonts w:ascii="Calibri" w:hAnsi="Calibri" w:eastAsia="宋体" w:cs="Times New Roman"/>
                <w:szCs w:val="21"/>
              </w:rPr>
            </w:pPr>
          </w:p>
        </w:tc>
        <w:tc>
          <w:tcPr>
            <w:tcW w:w="1550" w:type="dxa"/>
            <w:vAlign w:val="center"/>
          </w:tcPr>
          <w:p>
            <w:pPr>
              <w:wordWrap w:val="0"/>
              <w:snapToGrid w:val="0"/>
              <w:spacing w:line="400" w:lineRule="exact"/>
              <w:jc w:val="center"/>
              <w:rPr>
                <w:rFonts w:ascii="宋体" w:hAnsi="宋体" w:eastAsia="宋体" w:cs="微软雅黑"/>
                <w:szCs w:val="21"/>
              </w:rPr>
            </w:pPr>
          </w:p>
        </w:tc>
        <w:tc>
          <w:tcPr>
            <w:tcW w:w="900" w:type="dxa"/>
            <w:vAlign w:val="center"/>
          </w:tcPr>
          <w:p>
            <w:pPr>
              <w:wordWrap w:val="0"/>
              <w:snapToGrid w:val="0"/>
              <w:spacing w:line="400" w:lineRule="exact"/>
              <w:jc w:val="center"/>
              <w:rPr>
                <w:rFonts w:ascii="宋体" w:hAnsi="宋体" w:eastAsia="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468" w:type="dxa"/>
            <w:vAlign w:val="center"/>
          </w:tcPr>
          <w:p>
            <w:pPr>
              <w:wordWrap w:val="0"/>
              <w:adjustRightInd w:val="0"/>
              <w:snapToGrid w:val="0"/>
              <w:spacing w:line="400" w:lineRule="exact"/>
              <w:jc w:val="center"/>
              <w:textAlignment w:val="baseline"/>
              <w:rPr>
                <w:rFonts w:ascii="宋体" w:hAnsi="宋体" w:eastAsia="宋体" w:cs="微软雅黑"/>
                <w:szCs w:val="21"/>
              </w:rPr>
            </w:pPr>
            <w:r>
              <w:rPr>
                <w:rFonts w:hint="eastAsia" w:ascii="宋体" w:hAnsi="宋体" w:eastAsia="宋体" w:cs="微软雅黑"/>
                <w:szCs w:val="21"/>
              </w:rPr>
              <w:t>25</w:t>
            </w:r>
          </w:p>
        </w:tc>
        <w:tc>
          <w:tcPr>
            <w:tcW w:w="4209" w:type="dxa"/>
            <w:gridSpan w:val="4"/>
            <w:vAlign w:val="center"/>
          </w:tcPr>
          <w:p>
            <w:pPr>
              <w:kinsoku w:val="0"/>
              <w:wordWrap w:val="0"/>
              <w:overflowPunct w:val="0"/>
              <w:autoSpaceDE w:val="0"/>
              <w:autoSpaceDN w:val="0"/>
              <w:spacing w:line="320" w:lineRule="exact"/>
              <w:jc w:val="left"/>
              <w:rPr>
                <w:rFonts w:ascii="Calibri" w:hAnsi="宋体" w:eastAsia="宋体" w:cs="微软雅黑"/>
                <w:bCs/>
                <w:kern w:val="0"/>
                <w:szCs w:val="21"/>
              </w:rPr>
            </w:pPr>
            <w:r>
              <w:rPr>
                <w:rFonts w:hint="eastAsia" w:ascii="Calibri" w:hAnsi="宋体" w:eastAsia="宋体" w:cs="微软雅黑"/>
                <w:bCs/>
                <w:kern w:val="0"/>
                <w:szCs w:val="21"/>
              </w:rPr>
              <w:t>中小企业声明函</w:t>
            </w:r>
          </w:p>
        </w:tc>
        <w:tc>
          <w:tcPr>
            <w:tcW w:w="1484" w:type="dxa"/>
            <w:vAlign w:val="center"/>
          </w:tcPr>
          <w:p>
            <w:pPr>
              <w:wordWrap w:val="0"/>
              <w:jc w:val="center"/>
              <w:rPr>
                <w:rFonts w:ascii="Calibri" w:hAnsi="Calibri" w:eastAsia="宋体" w:cs="Times New Roman"/>
                <w:szCs w:val="21"/>
              </w:rPr>
            </w:pPr>
          </w:p>
        </w:tc>
        <w:tc>
          <w:tcPr>
            <w:tcW w:w="1550" w:type="dxa"/>
            <w:vAlign w:val="center"/>
          </w:tcPr>
          <w:p>
            <w:pPr>
              <w:wordWrap w:val="0"/>
              <w:snapToGrid w:val="0"/>
              <w:spacing w:line="400" w:lineRule="exact"/>
              <w:jc w:val="center"/>
              <w:rPr>
                <w:rFonts w:ascii="宋体" w:hAnsi="宋体" w:eastAsia="宋体" w:cs="微软雅黑"/>
                <w:szCs w:val="21"/>
              </w:rPr>
            </w:pPr>
          </w:p>
        </w:tc>
        <w:tc>
          <w:tcPr>
            <w:tcW w:w="900" w:type="dxa"/>
            <w:vAlign w:val="center"/>
          </w:tcPr>
          <w:p>
            <w:pPr>
              <w:wordWrap w:val="0"/>
              <w:snapToGrid w:val="0"/>
              <w:spacing w:line="400" w:lineRule="exact"/>
              <w:jc w:val="center"/>
              <w:rPr>
                <w:rFonts w:ascii="宋体" w:hAnsi="宋体" w:eastAsia="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468" w:type="dxa"/>
            <w:vAlign w:val="center"/>
          </w:tcPr>
          <w:p>
            <w:pPr>
              <w:wordWrap w:val="0"/>
              <w:adjustRightInd w:val="0"/>
              <w:snapToGrid w:val="0"/>
              <w:spacing w:line="400" w:lineRule="exact"/>
              <w:jc w:val="center"/>
              <w:textAlignment w:val="baseline"/>
              <w:rPr>
                <w:rFonts w:ascii="宋体" w:hAnsi="宋体" w:eastAsia="宋体" w:cs="微软雅黑"/>
                <w:szCs w:val="21"/>
              </w:rPr>
            </w:pPr>
            <w:r>
              <w:rPr>
                <w:rFonts w:hint="eastAsia" w:ascii="宋体" w:hAnsi="宋体" w:eastAsia="宋体" w:cs="微软雅黑"/>
                <w:szCs w:val="21"/>
              </w:rPr>
              <w:t>26</w:t>
            </w:r>
          </w:p>
        </w:tc>
        <w:tc>
          <w:tcPr>
            <w:tcW w:w="4209" w:type="dxa"/>
            <w:gridSpan w:val="4"/>
            <w:vAlign w:val="center"/>
          </w:tcPr>
          <w:p>
            <w:pPr>
              <w:kinsoku w:val="0"/>
              <w:wordWrap w:val="0"/>
              <w:overflowPunct w:val="0"/>
              <w:autoSpaceDE w:val="0"/>
              <w:autoSpaceDN w:val="0"/>
              <w:spacing w:line="320" w:lineRule="exact"/>
              <w:jc w:val="left"/>
              <w:rPr>
                <w:rFonts w:ascii="Calibri" w:hAnsi="宋体" w:eastAsia="宋体" w:cs="微软雅黑"/>
                <w:bCs/>
                <w:kern w:val="0"/>
                <w:szCs w:val="21"/>
              </w:rPr>
            </w:pPr>
            <w:r>
              <w:rPr>
                <w:rFonts w:hint="eastAsia" w:ascii="宋体" w:hAnsi="宋体" w:eastAsia="宋体" w:cs="仿宋_GB2312"/>
                <w:szCs w:val="21"/>
                <w:lang w:val="zh-CN"/>
              </w:rPr>
              <w:t>残疾人福利性单位声明函</w:t>
            </w:r>
          </w:p>
        </w:tc>
        <w:tc>
          <w:tcPr>
            <w:tcW w:w="1484" w:type="dxa"/>
            <w:vAlign w:val="center"/>
          </w:tcPr>
          <w:p>
            <w:pPr>
              <w:wordWrap w:val="0"/>
              <w:jc w:val="center"/>
              <w:rPr>
                <w:rFonts w:ascii="Calibri" w:hAnsi="Calibri" w:eastAsia="宋体" w:cs="Times New Roman"/>
                <w:szCs w:val="21"/>
              </w:rPr>
            </w:pPr>
          </w:p>
        </w:tc>
        <w:tc>
          <w:tcPr>
            <w:tcW w:w="1550" w:type="dxa"/>
            <w:vAlign w:val="center"/>
          </w:tcPr>
          <w:p>
            <w:pPr>
              <w:wordWrap w:val="0"/>
              <w:snapToGrid w:val="0"/>
              <w:spacing w:line="400" w:lineRule="exact"/>
              <w:jc w:val="center"/>
              <w:rPr>
                <w:rFonts w:ascii="宋体" w:hAnsi="宋体" w:eastAsia="宋体" w:cs="微软雅黑"/>
                <w:szCs w:val="21"/>
              </w:rPr>
            </w:pPr>
          </w:p>
        </w:tc>
        <w:tc>
          <w:tcPr>
            <w:tcW w:w="900" w:type="dxa"/>
            <w:vAlign w:val="center"/>
          </w:tcPr>
          <w:p>
            <w:pPr>
              <w:wordWrap w:val="0"/>
              <w:snapToGrid w:val="0"/>
              <w:spacing w:line="400" w:lineRule="exact"/>
              <w:jc w:val="center"/>
              <w:rPr>
                <w:rFonts w:ascii="宋体" w:hAnsi="宋体" w:eastAsia="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468" w:type="dxa"/>
            <w:vAlign w:val="center"/>
          </w:tcPr>
          <w:p>
            <w:pPr>
              <w:wordWrap w:val="0"/>
              <w:adjustRightInd w:val="0"/>
              <w:snapToGrid w:val="0"/>
              <w:spacing w:line="400" w:lineRule="exact"/>
              <w:jc w:val="center"/>
              <w:textAlignment w:val="baseline"/>
              <w:rPr>
                <w:rFonts w:ascii="宋体" w:hAnsi="宋体" w:eastAsia="宋体" w:cs="微软雅黑"/>
                <w:szCs w:val="21"/>
              </w:rPr>
            </w:pPr>
            <w:r>
              <w:rPr>
                <w:rFonts w:hint="eastAsia" w:ascii="宋体" w:hAnsi="宋体" w:eastAsia="宋体" w:cs="微软雅黑"/>
                <w:szCs w:val="21"/>
              </w:rPr>
              <w:t>27</w:t>
            </w:r>
          </w:p>
        </w:tc>
        <w:tc>
          <w:tcPr>
            <w:tcW w:w="4209" w:type="dxa"/>
            <w:gridSpan w:val="4"/>
            <w:vAlign w:val="center"/>
          </w:tcPr>
          <w:p>
            <w:pPr>
              <w:kinsoku w:val="0"/>
              <w:wordWrap w:val="0"/>
              <w:overflowPunct w:val="0"/>
              <w:autoSpaceDE w:val="0"/>
              <w:autoSpaceDN w:val="0"/>
              <w:spacing w:line="320" w:lineRule="exact"/>
              <w:jc w:val="left"/>
              <w:rPr>
                <w:rFonts w:ascii="Calibri" w:hAnsi="宋体" w:eastAsia="宋体" w:cs="微软雅黑"/>
                <w:bCs/>
                <w:kern w:val="0"/>
                <w:szCs w:val="21"/>
              </w:rPr>
            </w:pPr>
            <w:r>
              <w:rPr>
                <w:rFonts w:hint="eastAsia" w:ascii="Calibri" w:hAnsi="宋体" w:eastAsia="宋体" w:cs="微软雅黑"/>
                <w:bCs/>
                <w:kern w:val="0"/>
                <w:szCs w:val="21"/>
              </w:rPr>
              <w:t>监狱企业证明文件</w:t>
            </w:r>
          </w:p>
        </w:tc>
        <w:tc>
          <w:tcPr>
            <w:tcW w:w="1484" w:type="dxa"/>
            <w:vAlign w:val="center"/>
          </w:tcPr>
          <w:p>
            <w:pPr>
              <w:wordWrap w:val="0"/>
              <w:jc w:val="center"/>
              <w:rPr>
                <w:rFonts w:ascii="Calibri" w:hAnsi="Calibri" w:eastAsia="宋体" w:cs="Times New Roman"/>
                <w:szCs w:val="21"/>
              </w:rPr>
            </w:pPr>
          </w:p>
        </w:tc>
        <w:tc>
          <w:tcPr>
            <w:tcW w:w="1550" w:type="dxa"/>
            <w:vAlign w:val="center"/>
          </w:tcPr>
          <w:p>
            <w:pPr>
              <w:wordWrap w:val="0"/>
              <w:snapToGrid w:val="0"/>
              <w:spacing w:line="400" w:lineRule="exact"/>
              <w:jc w:val="center"/>
              <w:rPr>
                <w:rFonts w:ascii="宋体" w:hAnsi="宋体" w:eastAsia="宋体" w:cs="微软雅黑"/>
                <w:szCs w:val="21"/>
              </w:rPr>
            </w:pPr>
          </w:p>
        </w:tc>
        <w:tc>
          <w:tcPr>
            <w:tcW w:w="900" w:type="dxa"/>
            <w:vAlign w:val="center"/>
          </w:tcPr>
          <w:p>
            <w:pPr>
              <w:wordWrap w:val="0"/>
              <w:snapToGrid w:val="0"/>
              <w:spacing w:line="400" w:lineRule="exact"/>
              <w:jc w:val="center"/>
              <w:rPr>
                <w:rFonts w:ascii="宋体" w:hAnsi="宋体" w:eastAsia="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14" w:hRule="atLeast"/>
          <w:jc w:val="center"/>
        </w:trPr>
        <w:tc>
          <w:tcPr>
            <w:tcW w:w="468" w:type="dxa"/>
            <w:vAlign w:val="center"/>
          </w:tcPr>
          <w:p>
            <w:pPr>
              <w:wordWrap w:val="0"/>
              <w:adjustRightInd w:val="0"/>
              <w:snapToGrid w:val="0"/>
              <w:spacing w:line="400" w:lineRule="exact"/>
              <w:jc w:val="center"/>
              <w:textAlignment w:val="baseline"/>
              <w:rPr>
                <w:rFonts w:ascii="宋体" w:hAnsi="宋体" w:eastAsia="宋体" w:cs="微软雅黑"/>
                <w:szCs w:val="21"/>
              </w:rPr>
            </w:pPr>
            <w:r>
              <w:rPr>
                <w:rFonts w:hint="eastAsia" w:ascii="宋体" w:hAnsi="宋体" w:eastAsia="宋体" w:cs="微软雅黑"/>
                <w:szCs w:val="21"/>
              </w:rPr>
              <w:t>28</w:t>
            </w:r>
          </w:p>
        </w:tc>
        <w:tc>
          <w:tcPr>
            <w:tcW w:w="1200" w:type="dxa"/>
            <w:gridSpan w:val="2"/>
            <w:tcBorders>
              <w:right w:val="single" w:color="auto" w:sz="4" w:space="0"/>
            </w:tcBorders>
            <w:vAlign w:val="center"/>
          </w:tcPr>
          <w:p>
            <w:pPr>
              <w:kinsoku w:val="0"/>
              <w:wordWrap w:val="0"/>
              <w:overflowPunct w:val="0"/>
              <w:autoSpaceDE w:val="0"/>
              <w:autoSpaceDN w:val="0"/>
              <w:spacing w:line="320" w:lineRule="exact"/>
              <w:jc w:val="center"/>
              <w:rPr>
                <w:rFonts w:ascii="Calibri" w:hAnsi="宋体" w:eastAsia="宋体" w:cs="微软雅黑"/>
                <w:bCs/>
                <w:kern w:val="0"/>
                <w:szCs w:val="21"/>
              </w:rPr>
            </w:pPr>
            <w:r>
              <w:rPr>
                <w:rFonts w:hint="eastAsia" w:ascii="Calibri" w:hAnsi="宋体" w:eastAsia="宋体" w:cs="微软雅黑"/>
                <w:bCs/>
                <w:kern w:val="0"/>
                <w:szCs w:val="21"/>
              </w:rPr>
              <w:t>CCC强制性产品认证</w:t>
            </w:r>
          </w:p>
        </w:tc>
        <w:tc>
          <w:tcPr>
            <w:tcW w:w="3009" w:type="dxa"/>
            <w:gridSpan w:val="2"/>
            <w:tcBorders>
              <w:left w:val="single" w:color="auto" w:sz="4" w:space="0"/>
            </w:tcBorders>
            <w:vAlign w:val="center"/>
          </w:tcPr>
          <w:p>
            <w:pPr>
              <w:kinsoku w:val="0"/>
              <w:wordWrap w:val="0"/>
              <w:overflowPunct w:val="0"/>
              <w:autoSpaceDE w:val="0"/>
              <w:autoSpaceDN w:val="0"/>
              <w:spacing w:line="320" w:lineRule="exact"/>
              <w:jc w:val="left"/>
              <w:rPr>
                <w:rFonts w:ascii="Calibri" w:hAnsi="宋体" w:eastAsia="宋体" w:cs="微软雅黑"/>
                <w:bCs/>
                <w:kern w:val="0"/>
                <w:szCs w:val="21"/>
              </w:rPr>
            </w:pPr>
            <w:r>
              <w:rPr>
                <w:rFonts w:hint="eastAsia" w:ascii="宋体" w:hAnsi="宋体" w:eastAsia="宋体" w:cs="宋体"/>
                <w:bCs/>
                <w:szCs w:val="21"/>
                <w:lang w:val="zh-CN"/>
              </w:rPr>
              <w:t>所投产品符合国家强制性要求承诺函</w:t>
            </w:r>
          </w:p>
        </w:tc>
        <w:tc>
          <w:tcPr>
            <w:tcW w:w="1484" w:type="dxa"/>
            <w:vAlign w:val="center"/>
          </w:tcPr>
          <w:p>
            <w:pPr>
              <w:wordWrap w:val="0"/>
              <w:jc w:val="center"/>
              <w:rPr>
                <w:rFonts w:ascii="Calibri" w:hAnsi="Calibri" w:eastAsia="宋体" w:cs="Times New Roman"/>
                <w:szCs w:val="21"/>
              </w:rPr>
            </w:pPr>
          </w:p>
        </w:tc>
        <w:tc>
          <w:tcPr>
            <w:tcW w:w="1550" w:type="dxa"/>
            <w:vAlign w:val="center"/>
          </w:tcPr>
          <w:p>
            <w:pPr>
              <w:wordWrap w:val="0"/>
              <w:snapToGrid w:val="0"/>
              <w:spacing w:line="400" w:lineRule="exact"/>
              <w:jc w:val="center"/>
              <w:rPr>
                <w:rFonts w:ascii="宋体" w:hAnsi="宋体" w:eastAsia="宋体" w:cs="微软雅黑"/>
                <w:szCs w:val="21"/>
              </w:rPr>
            </w:pPr>
          </w:p>
        </w:tc>
        <w:tc>
          <w:tcPr>
            <w:tcW w:w="900" w:type="dxa"/>
            <w:vAlign w:val="center"/>
          </w:tcPr>
          <w:p>
            <w:pPr>
              <w:wordWrap w:val="0"/>
              <w:snapToGrid w:val="0"/>
              <w:spacing w:line="400" w:lineRule="exact"/>
              <w:jc w:val="center"/>
              <w:rPr>
                <w:rFonts w:ascii="宋体" w:hAnsi="宋体" w:eastAsia="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468" w:type="dxa"/>
            <w:vMerge w:val="restart"/>
            <w:vAlign w:val="center"/>
          </w:tcPr>
          <w:p>
            <w:pPr>
              <w:wordWrap w:val="0"/>
              <w:adjustRightInd w:val="0"/>
              <w:snapToGrid w:val="0"/>
              <w:spacing w:line="400" w:lineRule="exact"/>
              <w:jc w:val="center"/>
              <w:textAlignment w:val="baseline"/>
              <w:rPr>
                <w:rFonts w:ascii="宋体" w:hAnsi="宋体" w:eastAsia="宋体" w:cs="微软雅黑"/>
                <w:szCs w:val="21"/>
              </w:rPr>
            </w:pPr>
            <w:r>
              <w:rPr>
                <w:rFonts w:hint="eastAsia" w:ascii="宋体" w:hAnsi="宋体" w:eastAsia="宋体" w:cs="微软雅黑"/>
                <w:szCs w:val="21"/>
              </w:rPr>
              <w:t>29</w:t>
            </w:r>
          </w:p>
        </w:tc>
        <w:tc>
          <w:tcPr>
            <w:tcW w:w="1200" w:type="dxa"/>
            <w:gridSpan w:val="2"/>
            <w:vMerge w:val="restart"/>
            <w:tcBorders>
              <w:right w:val="single" w:color="auto" w:sz="4" w:space="0"/>
            </w:tcBorders>
            <w:vAlign w:val="center"/>
          </w:tcPr>
          <w:p>
            <w:pPr>
              <w:kinsoku w:val="0"/>
              <w:wordWrap w:val="0"/>
              <w:overflowPunct w:val="0"/>
              <w:autoSpaceDE w:val="0"/>
              <w:autoSpaceDN w:val="0"/>
              <w:spacing w:line="320" w:lineRule="exact"/>
              <w:jc w:val="center"/>
              <w:rPr>
                <w:rFonts w:ascii="宋体" w:hAnsi="宋体" w:eastAsia="宋体" w:cs="宋体"/>
                <w:kern w:val="0"/>
                <w:szCs w:val="21"/>
              </w:rPr>
            </w:pPr>
            <w:r>
              <w:rPr>
                <w:rFonts w:ascii="宋体" w:hAnsi="宋体" w:eastAsia="宋体" w:cs="宋体"/>
                <w:kern w:val="0"/>
                <w:szCs w:val="21"/>
              </w:rPr>
              <w:t>信息安全产品强制性认证</w:t>
            </w:r>
          </w:p>
        </w:tc>
        <w:tc>
          <w:tcPr>
            <w:tcW w:w="3009" w:type="dxa"/>
            <w:gridSpan w:val="2"/>
            <w:tcBorders>
              <w:left w:val="single" w:color="auto" w:sz="4" w:space="0"/>
            </w:tcBorders>
            <w:vAlign w:val="center"/>
          </w:tcPr>
          <w:p>
            <w:pPr>
              <w:kinsoku w:val="0"/>
              <w:wordWrap w:val="0"/>
              <w:overflowPunct w:val="0"/>
              <w:autoSpaceDE w:val="0"/>
              <w:autoSpaceDN w:val="0"/>
              <w:spacing w:line="320" w:lineRule="exact"/>
              <w:jc w:val="left"/>
              <w:rPr>
                <w:rFonts w:ascii="宋体" w:hAnsi="宋体" w:eastAsia="宋体" w:cs="宋体"/>
                <w:bCs/>
                <w:szCs w:val="21"/>
                <w:lang w:val="zh-CN"/>
              </w:rPr>
            </w:pPr>
            <w:r>
              <w:rPr>
                <w:rFonts w:hint="eastAsia" w:ascii="宋体" w:hAnsi="宋体" w:eastAsia="宋体" w:cs="宋体"/>
                <w:kern w:val="0"/>
                <w:szCs w:val="21"/>
              </w:rPr>
              <w:t>认证机构颁发的认证证书</w:t>
            </w:r>
          </w:p>
        </w:tc>
        <w:tc>
          <w:tcPr>
            <w:tcW w:w="1484" w:type="dxa"/>
            <w:vAlign w:val="center"/>
          </w:tcPr>
          <w:p>
            <w:pPr>
              <w:wordWrap w:val="0"/>
              <w:jc w:val="center"/>
              <w:rPr>
                <w:rFonts w:ascii="Calibri" w:hAnsi="Calibri" w:eastAsia="宋体" w:cs="Times New Roman"/>
                <w:szCs w:val="21"/>
              </w:rPr>
            </w:pPr>
          </w:p>
        </w:tc>
        <w:tc>
          <w:tcPr>
            <w:tcW w:w="1550" w:type="dxa"/>
            <w:vAlign w:val="center"/>
          </w:tcPr>
          <w:p>
            <w:pPr>
              <w:wordWrap w:val="0"/>
              <w:snapToGrid w:val="0"/>
              <w:spacing w:line="400" w:lineRule="exact"/>
              <w:jc w:val="center"/>
              <w:rPr>
                <w:rFonts w:ascii="宋体" w:hAnsi="宋体" w:eastAsia="宋体" w:cs="微软雅黑"/>
                <w:szCs w:val="21"/>
              </w:rPr>
            </w:pPr>
          </w:p>
        </w:tc>
        <w:tc>
          <w:tcPr>
            <w:tcW w:w="900" w:type="dxa"/>
            <w:vAlign w:val="center"/>
          </w:tcPr>
          <w:p>
            <w:pPr>
              <w:wordWrap w:val="0"/>
              <w:snapToGrid w:val="0"/>
              <w:spacing w:line="400" w:lineRule="exact"/>
              <w:jc w:val="center"/>
              <w:rPr>
                <w:rFonts w:ascii="宋体" w:hAnsi="宋体" w:eastAsia="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468" w:type="dxa"/>
            <w:vMerge w:val="continue"/>
            <w:vAlign w:val="center"/>
          </w:tcPr>
          <w:p>
            <w:pPr>
              <w:wordWrap w:val="0"/>
              <w:adjustRightInd w:val="0"/>
              <w:snapToGrid w:val="0"/>
              <w:spacing w:line="400" w:lineRule="exact"/>
              <w:jc w:val="center"/>
              <w:textAlignment w:val="baseline"/>
              <w:rPr>
                <w:rFonts w:ascii="宋体" w:hAnsi="宋体" w:eastAsia="宋体" w:cs="微软雅黑"/>
                <w:szCs w:val="21"/>
              </w:rPr>
            </w:pPr>
          </w:p>
        </w:tc>
        <w:tc>
          <w:tcPr>
            <w:tcW w:w="1200" w:type="dxa"/>
            <w:gridSpan w:val="2"/>
            <w:vMerge w:val="continue"/>
            <w:tcBorders>
              <w:right w:val="single" w:color="auto" w:sz="4" w:space="0"/>
            </w:tcBorders>
            <w:vAlign w:val="center"/>
          </w:tcPr>
          <w:p>
            <w:pPr>
              <w:kinsoku w:val="0"/>
              <w:wordWrap w:val="0"/>
              <w:overflowPunct w:val="0"/>
              <w:autoSpaceDE w:val="0"/>
              <w:autoSpaceDN w:val="0"/>
              <w:spacing w:line="320" w:lineRule="exact"/>
              <w:jc w:val="left"/>
              <w:rPr>
                <w:rFonts w:ascii="宋体" w:hAnsi="宋体" w:eastAsia="宋体" w:cs="宋体"/>
                <w:bCs/>
                <w:szCs w:val="21"/>
                <w:lang w:val="zh-CN"/>
              </w:rPr>
            </w:pPr>
          </w:p>
        </w:tc>
        <w:tc>
          <w:tcPr>
            <w:tcW w:w="3009" w:type="dxa"/>
            <w:gridSpan w:val="2"/>
            <w:tcBorders>
              <w:left w:val="single" w:color="auto" w:sz="4" w:space="0"/>
            </w:tcBorders>
            <w:vAlign w:val="center"/>
          </w:tcPr>
          <w:p>
            <w:pPr>
              <w:kinsoku w:val="0"/>
              <w:wordWrap w:val="0"/>
              <w:overflowPunct w:val="0"/>
              <w:autoSpaceDE w:val="0"/>
              <w:autoSpaceDN w:val="0"/>
              <w:spacing w:line="320" w:lineRule="exact"/>
              <w:jc w:val="left"/>
              <w:rPr>
                <w:rFonts w:ascii="宋体" w:hAnsi="宋体" w:eastAsia="宋体" w:cs="宋体"/>
                <w:bCs/>
                <w:szCs w:val="21"/>
                <w:lang w:val="zh-CN"/>
              </w:rPr>
            </w:pPr>
            <w:r>
              <w:rPr>
                <w:rFonts w:hint="eastAsia" w:ascii="宋体" w:hAnsi="宋体" w:eastAsia="宋体" w:cs="宋体"/>
                <w:kern w:val="0"/>
                <w:szCs w:val="21"/>
              </w:rPr>
              <w:t>中国信息安全认证中心官网产品查询结果截图</w:t>
            </w:r>
          </w:p>
        </w:tc>
        <w:tc>
          <w:tcPr>
            <w:tcW w:w="1484" w:type="dxa"/>
            <w:vAlign w:val="center"/>
          </w:tcPr>
          <w:p>
            <w:pPr>
              <w:wordWrap w:val="0"/>
              <w:jc w:val="center"/>
              <w:rPr>
                <w:rFonts w:ascii="Calibri" w:hAnsi="Calibri" w:eastAsia="宋体" w:cs="Times New Roman"/>
                <w:szCs w:val="21"/>
              </w:rPr>
            </w:pPr>
          </w:p>
        </w:tc>
        <w:tc>
          <w:tcPr>
            <w:tcW w:w="1550" w:type="dxa"/>
            <w:vAlign w:val="center"/>
          </w:tcPr>
          <w:p>
            <w:pPr>
              <w:wordWrap w:val="0"/>
              <w:snapToGrid w:val="0"/>
              <w:spacing w:line="400" w:lineRule="exact"/>
              <w:jc w:val="center"/>
              <w:rPr>
                <w:rFonts w:ascii="宋体" w:hAnsi="宋体" w:eastAsia="宋体" w:cs="微软雅黑"/>
                <w:szCs w:val="21"/>
              </w:rPr>
            </w:pPr>
          </w:p>
        </w:tc>
        <w:tc>
          <w:tcPr>
            <w:tcW w:w="900" w:type="dxa"/>
            <w:vAlign w:val="center"/>
          </w:tcPr>
          <w:p>
            <w:pPr>
              <w:wordWrap w:val="0"/>
              <w:snapToGrid w:val="0"/>
              <w:spacing w:line="400" w:lineRule="exact"/>
              <w:jc w:val="center"/>
              <w:rPr>
                <w:rFonts w:ascii="宋体" w:hAnsi="宋体" w:eastAsia="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468" w:type="dxa"/>
            <w:tcBorders>
              <w:bottom w:val="single" w:color="auto" w:sz="4" w:space="0"/>
            </w:tcBorders>
            <w:vAlign w:val="center"/>
          </w:tcPr>
          <w:p>
            <w:pPr>
              <w:wordWrap w:val="0"/>
              <w:adjustRightInd w:val="0"/>
              <w:snapToGrid w:val="0"/>
              <w:spacing w:line="400" w:lineRule="exact"/>
              <w:jc w:val="center"/>
              <w:textAlignment w:val="baseline"/>
              <w:rPr>
                <w:rFonts w:ascii="宋体" w:hAnsi="宋体" w:eastAsia="宋体" w:cs="微软雅黑"/>
                <w:szCs w:val="21"/>
              </w:rPr>
            </w:pPr>
            <w:r>
              <w:rPr>
                <w:rFonts w:hint="eastAsia" w:ascii="宋体" w:hAnsi="宋体" w:eastAsia="宋体" w:cs="微软雅黑"/>
                <w:szCs w:val="21"/>
              </w:rPr>
              <w:t>30</w:t>
            </w:r>
          </w:p>
        </w:tc>
        <w:tc>
          <w:tcPr>
            <w:tcW w:w="4209" w:type="dxa"/>
            <w:gridSpan w:val="4"/>
            <w:tcBorders>
              <w:bottom w:val="single" w:color="auto" w:sz="4" w:space="0"/>
            </w:tcBorders>
            <w:vAlign w:val="center"/>
          </w:tcPr>
          <w:p>
            <w:pPr>
              <w:kinsoku w:val="0"/>
              <w:wordWrap w:val="0"/>
              <w:overflowPunct w:val="0"/>
              <w:autoSpaceDE w:val="0"/>
              <w:autoSpaceDN w:val="0"/>
              <w:spacing w:line="320" w:lineRule="exact"/>
              <w:jc w:val="left"/>
              <w:rPr>
                <w:rFonts w:ascii="Calibri" w:hAnsi="宋体" w:eastAsia="宋体" w:cs="微软雅黑"/>
                <w:bCs/>
                <w:kern w:val="0"/>
                <w:szCs w:val="21"/>
              </w:rPr>
            </w:pPr>
            <w:r>
              <w:rPr>
                <w:rFonts w:hint="eastAsia" w:ascii="Calibri" w:hAnsi="宋体" w:eastAsia="宋体" w:cs="微软雅黑"/>
                <w:bCs/>
                <w:kern w:val="0"/>
                <w:szCs w:val="21"/>
              </w:rPr>
              <w:t>国家级贫困县域注册地证明材料</w:t>
            </w:r>
          </w:p>
        </w:tc>
        <w:tc>
          <w:tcPr>
            <w:tcW w:w="1484" w:type="dxa"/>
            <w:vAlign w:val="center"/>
          </w:tcPr>
          <w:p>
            <w:pPr>
              <w:wordWrap w:val="0"/>
              <w:jc w:val="center"/>
              <w:rPr>
                <w:rFonts w:ascii="Calibri" w:hAnsi="Calibri" w:eastAsia="宋体" w:cs="Times New Roman"/>
                <w:szCs w:val="21"/>
              </w:rPr>
            </w:pPr>
          </w:p>
        </w:tc>
        <w:tc>
          <w:tcPr>
            <w:tcW w:w="1550" w:type="dxa"/>
            <w:vAlign w:val="center"/>
          </w:tcPr>
          <w:p>
            <w:pPr>
              <w:wordWrap w:val="0"/>
              <w:snapToGrid w:val="0"/>
              <w:spacing w:line="400" w:lineRule="exact"/>
              <w:jc w:val="center"/>
              <w:rPr>
                <w:rFonts w:ascii="宋体" w:hAnsi="宋体" w:eastAsia="宋体" w:cs="微软雅黑"/>
                <w:szCs w:val="21"/>
              </w:rPr>
            </w:pPr>
          </w:p>
        </w:tc>
        <w:tc>
          <w:tcPr>
            <w:tcW w:w="900" w:type="dxa"/>
            <w:vAlign w:val="center"/>
          </w:tcPr>
          <w:p>
            <w:pPr>
              <w:wordWrap w:val="0"/>
              <w:snapToGrid w:val="0"/>
              <w:spacing w:line="400" w:lineRule="exact"/>
              <w:jc w:val="center"/>
              <w:rPr>
                <w:rFonts w:ascii="宋体" w:hAnsi="宋体" w:eastAsia="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468" w:type="dxa"/>
            <w:tcBorders>
              <w:top w:val="single" w:color="auto" w:sz="4" w:space="0"/>
              <w:bottom w:val="single" w:color="auto" w:sz="4" w:space="0"/>
            </w:tcBorders>
            <w:vAlign w:val="center"/>
          </w:tcPr>
          <w:p>
            <w:pPr>
              <w:wordWrap w:val="0"/>
              <w:adjustRightInd w:val="0"/>
              <w:snapToGrid w:val="0"/>
              <w:spacing w:line="400" w:lineRule="exact"/>
              <w:jc w:val="center"/>
              <w:textAlignment w:val="baseline"/>
              <w:rPr>
                <w:rFonts w:ascii="宋体" w:hAnsi="宋体" w:eastAsia="宋体" w:cs="微软雅黑"/>
                <w:szCs w:val="21"/>
              </w:rPr>
            </w:pPr>
            <w:r>
              <w:rPr>
                <w:rFonts w:hint="eastAsia" w:ascii="宋体" w:hAnsi="宋体" w:eastAsia="宋体" w:cs="微软雅黑"/>
                <w:szCs w:val="21"/>
              </w:rPr>
              <w:t>31</w:t>
            </w:r>
          </w:p>
        </w:tc>
        <w:tc>
          <w:tcPr>
            <w:tcW w:w="4209" w:type="dxa"/>
            <w:gridSpan w:val="4"/>
            <w:tcBorders>
              <w:top w:val="single" w:color="auto" w:sz="4" w:space="0"/>
              <w:bottom w:val="single" w:color="auto" w:sz="4" w:space="0"/>
            </w:tcBorders>
            <w:vAlign w:val="center"/>
          </w:tcPr>
          <w:p>
            <w:pPr>
              <w:kinsoku w:val="0"/>
              <w:wordWrap w:val="0"/>
              <w:overflowPunct w:val="0"/>
              <w:autoSpaceDE w:val="0"/>
              <w:autoSpaceDN w:val="0"/>
              <w:spacing w:line="320" w:lineRule="exact"/>
              <w:jc w:val="left"/>
              <w:rPr>
                <w:rFonts w:ascii="Calibri" w:hAnsi="宋体" w:eastAsia="宋体" w:cs="微软雅黑"/>
                <w:bCs/>
                <w:kern w:val="0"/>
                <w:szCs w:val="21"/>
              </w:rPr>
            </w:pPr>
            <w:r>
              <w:rPr>
                <w:rFonts w:hint="eastAsia" w:ascii="宋体" w:hAnsi="宋体" w:eastAsia="宋体" w:cs="Times New Roman"/>
                <w:color w:val="000000"/>
                <w:szCs w:val="21"/>
                <w:lang w:val="en-GB"/>
              </w:rPr>
              <w:t>扶贫部门出具的聘用建档立卡贫困人员身份证明</w:t>
            </w:r>
          </w:p>
        </w:tc>
        <w:tc>
          <w:tcPr>
            <w:tcW w:w="1484" w:type="dxa"/>
            <w:vAlign w:val="center"/>
          </w:tcPr>
          <w:p>
            <w:pPr>
              <w:wordWrap w:val="0"/>
              <w:jc w:val="center"/>
              <w:rPr>
                <w:rFonts w:ascii="Calibri" w:hAnsi="Calibri" w:eastAsia="宋体" w:cs="Times New Roman"/>
                <w:szCs w:val="21"/>
              </w:rPr>
            </w:pPr>
          </w:p>
        </w:tc>
        <w:tc>
          <w:tcPr>
            <w:tcW w:w="1550" w:type="dxa"/>
            <w:vAlign w:val="center"/>
          </w:tcPr>
          <w:p>
            <w:pPr>
              <w:wordWrap w:val="0"/>
              <w:snapToGrid w:val="0"/>
              <w:spacing w:line="400" w:lineRule="exact"/>
              <w:jc w:val="center"/>
              <w:rPr>
                <w:rFonts w:ascii="宋体" w:hAnsi="宋体" w:eastAsia="宋体" w:cs="微软雅黑"/>
                <w:szCs w:val="21"/>
              </w:rPr>
            </w:pPr>
          </w:p>
        </w:tc>
        <w:tc>
          <w:tcPr>
            <w:tcW w:w="900" w:type="dxa"/>
            <w:vAlign w:val="center"/>
          </w:tcPr>
          <w:p>
            <w:pPr>
              <w:wordWrap w:val="0"/>
              <w:snapToGrid w:val="0"/>
              <w:spacing w:line="400" w:lineRule="exact"/>
              <w:jc w:val="center"/>
              <w:rPr>
                <w:rFonts w:ascii="宋体" w:hAnsi="宋体" w:eastAsia="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468" w:type="dxa"/>
            <w:tcBorders>
              <w:top w:val="single" w:color="auto" w:sz="4" w:space="0"/>
            </w:tcBorders>
            <w:vAlign w:val="center"/>
          </w:tcPr>
          <w:p>
            <w:pPr>
              <w:wordWrap w:val="0"/>
              <w:adjustRightInd w:val="0"/>
              <w:snapToGrid w:val="0"/>
              <w:spacing w:line="400" w:lineRule="exact"/>
              <w:jc w:val="center"/>
              <w:textAlignment w:val="baseline"/>
              <w:rPr>
                <w:rFonts w:ascii="宋体" w:hAnsi="宋体" w:eastAsia="宋体" w:cs="微软雅黑"/>
                <w:szCs w:val="21"/>
              </w:rPr>
            </w:pPr>
            <w:r>
              <w:rPr>
                <w:rFonts w:hint="eastAsia" w:ascii="宋体" w:hAnsi="宋体" w:eastAsia="宋体" w:cs="微软雅黑"/>
                <w:szCs w:val="21"/>
              </w:rPr>
              <w:t>32</w:t>
            </w:r>
          </w:p>
        </w:tc>
        <w:tc>
          <w:tcPr>
            <w:tcW w:w="4209" w:type="dxa"/>
            <w:gridSpan w:val="4"/>
            <w:tcBorders>
              <w:top w:val="single" w:color="auto" w:sz="4" w:space="0"/>
            </w:tcBorders>
            <w:vAlign w:val="center"/>
          </w:tcPr>
          <w:p>
            <w:pPr>
              <w:kinsoku w:val="0"/>
              <w:wordWrap w:val="0"/>
              <w:overflowPunct w:val="0"/>
              <w:autoSpaceDE w:val="0"/>
              <w:autoSpaceDN w:val="0"/>
              <w:spacing w:line="320" w:lineRule="exact"/>
              <w:jc w:val="left"/>
              <w:rPr>
                <w:rFonts w:ascii="Calibri" w:hAnsi="宋体" w:eastAsia="宋体" w:cs="微软雅黑"/>
                <w:bCs/>
                <w:kern w:val="0"/>
                <w:szCs w:val="21"/>
              </w:rPr>
            </w:pPr>
            <w:r>
              <w:rPr>
                <w:rFonts w:hint="eastAsia" w:ascii="宋体" w:hAnsi="宋体" w:eastAsia="宋体" w:cs="Times New Roman"/>
                <w:color w:val="000000"/>
                <w:szCs w:val="21"/>
                <w:lang w:val="en-GB"/>
              </w:rPr>
              <w:t>建档立卡贫困人员社保材料</w:t>
            </w:r>
          </w:p>
        </w:tc>
        <w:tc>
          <w:tcPr>
            <w:tcW w:w="1484" w:type="dxa"/>
            <w:vAlign w:val="center"/>
          </w:tcPr>
          <w:p>
            <w:pPr>
              <w:wordWrap w:val="0"/>
              <w:jc w:val="center"/>
              <w:rPr>
                <w:rFonts w:ascii="Calibri" w:hAnsi="Calibri" w:eastAsia="宋体" w:cs="Times New Roman"/>
                <w:szCs w:val="21"/>
              </w:rPr>
            </w:pPr>
          </w:p>
        </w:tc>
        <w:tc>
          <w:tcPr>
            <w:tcW w:w="1550" w:type="dxa"/>
            <w:vAlign w:val="center"/>
          </w:tcPr>
          <w:p>
            <w:pPr>
              <w:wordWrap w:val="0"/>
              <w:snapToGrid w:val="0"/>
              <w:spacing w:line="400" w:lineRule="exact"/>
              <w:jc w:val="center"/>
              <w:rPr>
                <w:rFonts w:ascii="宋体" w:hAnsi="宋体" w:eastAsia="宋体" w:cs="微软雅黑"/>
                <w:szCs w:val="21"/>
              </w:rPr>
            </w:pPr>
          </w:p>
        </w:tc>
        <w:tc>
          <w:tcPr>
            <w:tcW w:w="900" w:type="dxa"/>
            <w:vAlign w:val="center"/>
          </w:tcPr>
          <w:p>
            <w:pPr>
              <w:wordWrap w:val="0"/>
              <w:snapToGrid w:val="0"/>
              <w:spacing w:line="400" w:lineRule="exact"/>
              <w:jc w:val="center"/>
              <w:rPr>
                <w:rFonts w:ascii="宋体" w:hAnsi="宋体" w:eastAsia="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468" w:type="dxa"/>
            <w:vAlign w:val="center"/>
          </w:tcPr>
          <w:p>
            <w:pPr>
              <w:wordWrap w:val="0"/>
              <w:adjustRightInd w:val="0"/>
              <w:snapToGrid w:val="0"/>
              <w:spacing w:line="400" w:lineRule="exact"/>
              <w:jc w:val="center"/>
              <w:textAlignment w:val="baseline"/>
              <w:rPr>
                <w:rFonts w:ascii="宋体" w:hAnsi="宋体" w:eastAsia="宋体" w:cs="微软雅黑"/>
                <w:szCs w:val="21"/>
              </w:rPr>
            </w:pPr>
            <w:r>
              <w:rPr>
                <w:rFonts w:hint="eastAsia" w:ascii="宋体" w:hAnsi="宋体" w:eastAsia="宋体" w:cs="微软雅黑"/>
                <w:szCs w:val="21"/>
              </w:rPr>
              <w:t>33</w:t>
            </w:r>
          </w:p>
        </w:tc>
        <w:tc>
          <w:tcPr>
            <w:tcW w:w="4209" w:type="dxa"/>
            <w:gridSpan w:val="4"/>
            <w:vAlign w:val="center"/>
          </w:tcPr>
          <w:p>
            <w:pPr>
              <w:kinsoku w:val="0"/>
              <w:wordWrap w:val="0"/>
              <w:overflowPunct w:val="0"/>
              <w:autoSpaceDE w:val="0"/>
              <w:autoSpaceDN w:val="0"/>
              <w:spacing w:line="320" w:lineRule="exact"/>
              <w:jc w:val="left"/>
              <w:rPr>
                <w:rFonts w:ascii="Calibri" w:hAnsi="宋体" w:eastAsia="宋体" w:cs="微软雅黑"/>
                <w:bCs/>
                <w:kern w:val="0"/>
                <w:szCs w:val="21"/>
              </w:rPr>
            </w:pPr>
            <w:r>
              <w:rPr>
                <w:rFonts w:hint="eastAsia" w:ascii="Calibri" w:hAnsi="宋体" w:eastAsia="宋体" w:cs="微软雅黑"/>
                <w:bCs/>
                <w:kern w:val="0"/>
                <w:szCs w:val="21"/>
              </w:rPr>
              <w:t>其它资料</w:t>
            </w:r>
          </w:p>
        </w:tc>
        <w:tc>
          <w:tcPr>
            <w:tcW w:w="1484" w:type="dxa"/>
            <w:vAlign w:val="center"/>
          </w:tcPr>
          <w:p>
            <w:pPr>
              <w:wordWrap w:val="0"/>
              <w:jc w:val="center"/>
              <w:rPr>
                <w:rFonts w:ascii="Calibri" w:hAnsi="Calibri" w:eastAsia="宋体" w:cs="Times New Roman"/>
                <w:szCs w:val="21"/>
              </w:rPr>
            </w:pPr>
          </w:p>
        </w:tc>
        <w:tc>
          <w:tcPr>
            <w:tcW w:w="1550" w:type="dxa"/>
            <w:vAlign w:val="center"/>
          </w:tcPr>
          <w:p>
            <w:pPr>
              <w:wordWrap w:val="0"/>
              <w:snapToGrid w:val="0"/>
              <w:spacing w:line="400" w:lineRule="exact"/>
              <w:jc w:val="center"/>
              <w:rPr>
                <w:rFonts w:ascii="宋体" w:hAnsi="宋体" w:eastAsia="宋体" w:cs="微软雅黑"/>
                <w:szCs w:val="21"/>
              </w:rPr>
            </w:pPr>
          </w:p>
        </w:tc>
        <w:tc>
          <w:tcPr>
            <w:tcW w:w="900" w:type="dxa"/>
            <w:vAlign w:val="center"/>
          </w:tcPr>
          <w:p>
            <w:pPr>
              <w:wordWrap w:val="0"/>
              <w:snapToGrid w:val="0"/>
              <w:spacing w:line="400" w:lineRule="exact"/>
              <w:jc w:val="center"/>
              <w:rPr>
                <w:rFonts w:ascii="宋体" w:hAnsi="宋体" w:eastAsia="宋体" w:cs="微软雅黑"/>
                <w:szCs w:val="21"/>
              </w:rPr>
            </w:pPr>
          </w:p>
        </w:tc>
      </w:tr>
    </w:tbl>
    <w:p>
      <w:pPr>
        <w:wordWrap w:val="0"/>
      </w:pPr>
      <w:r>
        <w:rPr>
          <w:rFonts w:hint="eastAsia"/>
        </w:rPr>
        <w:t>注：①本表序号8请按照本招标文件“第六章资格审查与评标”资格审查表中序号3要求，根据所提供经审计财务报告、基本开户银行资信证明、银行资信证明、政府采购投标担保函情况填写其中一项即可。</w:t>
      </w:r>
    </w:p>
    <w:p>
      <w:pPr>
        <w:wordWrap w:val="0"/>
      </w:pPr>
      <w:r>
        <w:rPr>
          <w:rFonts w:hint="eastAsia"/>
        </w:rPr>
        <w:t>②本表序号10请按照本招标文件 “第六章资格审查与评标”资格审查表中序号6要求提供，根据所提供证明材料或承诺函（声明）情况填写其中一项即可。</w:t>
      </w:r>
    </w:p>
    <w:p>
      <w:pPr>
        <w:wordWrap w:val="0"/>
      </w:pPr>
      <w:r>
        <w:rPr>
          <w:rFonts w:hint="eastAsia"/>
        </w:rPr>
        <w:t>③本表序号29请根据所投产品提供证书或截图情况填写其中一项即可。</w:t>
      </w:r>
    </w:p>
    <w:p>
      <w:pPr>
        <w:wordWrap w:val="0"/>
      </w:pPr>
      <w:r>
        <w:rPr>
          <w:rFonts w:hint="eastAsia"/>
        </w:rPr>
        <w:t>④本表序号30～32仅适用于物业项目。</w:t>
      </w:r>
    </w:p>
    <w:p>
      <w:pPr>
        <w:wordWrap w:val="0"/>
      </w:pPr>
      <w:r>
        <w:rPr>
          <w:rFonts w:hint="eastAsia"/>
        </w:rPr>
        <w:br w:type="page"/>
      </w:r>
    </w:p>
    <w:p>
      <w:pPr>
        <w:pStyle w:val="6"/>
        <w:wordWrap w:val="0"/>
        <w:jc w:val="center"/>
      </w:pPr>
      <w:r>
        <w:rPr>
          <w:rFonts w:hint="eastAsia"/>
        </w:rPr>
        <w:t>二、开标一览表</w:t>
      </w:r>
    </w:p>
    <w:p>
      <w:pPr>
        <w:wordWrap w:val="0"/>
      </w:pPr>
      <w:r>
        <w:rPr>
          <w:rFonts w:hint="eastAsia"/>
        </w:rPr>
        <w:t>项目编号：</w:t>
      </w:r>
    </w:p>
    <w:p>
      <w:pPr>
        <w:wordWrap w:val="0"/>
      </w:pPr>
      <w:r>
        <w:rPr>
          <w:rFonts w:hint="eastAsia"/>
        </w:rPr>
        <w:t>项目名称：                                 单位：元（人民币）</w:t>
      </w:r>
    </w:p>
    <w:tbl>
      <w:tblPr>
        <w:tblStyle w:val="13"/>
        <w:tblW w:w="9356" w:type="dxa"/>
        <w:jc w:val="center"/>
        <w:tblLayout w:type="fixed"/>
        <w:tblCellMar>
          <w:top w:w="0" w:type="dxa"/>
          <w:left w:w="108" w:type="dxa"/>
          <w:bottom w:w="0" w:type="dxa"/>
          <w:right w:w="108" w:type="dxa"/>
        </w:tblCellMar>
      </w:tblPr>
      <w:tblGrid>
        <w:gridCol w:w="851"/>
        <w:gridCol w:w="2268"/>
        <w:gridCol w:w="3261"/>
        <w:gridCol w:w="1417"/>
        <w:gridCol w:w="1559"/>
      </w:tblGrid>
      <w:tr>
        <w:tblPrEx>
          <w:tblCellMar>
            <w:top w:w="0" w:type="dxa"/>
            <w:left w:w="108" w:type="dxa"/>
            <w:bottom w:w="0" w:type="dxa"/>
            <w:right w:w="108" w:type="dxa"/>
          </w:tblCellMar>
        </w:tblPrEx>
        <w:trPr>
          <w:trHeight w:val="851" w:hRule="atLeast"/>
          <w:jc w:val="center"/>
        </w:trPr>
        <w:tc>
          <w:tcPr>
            <w:tcW w:w="851"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wordWrap w:val="0"/>
              <w:jc w:val="center"/>
              <w:rPr>
                <w:lang w:val="zh-CN"/>
              </w:rPr>
            </w:pPr>
            <w:r>
              <w:rPr>
                <w:rFonts w:hint="eastAsia"/>
                <w:lang w:val="zh-CN"/>
              </w:rPr>
              <w:t>标段</w:t>
            </w:r>
          </w:p>
        </w:tc>
        <w:tc>
          <w:tcPr>
            <w:tcW w:w="2268"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wordWrap w:val="0"/>
              <w:jc w:val="center"/>
              <w:rPr>
                <w:lang w:val="zh-CN"/>
              </w:rPr>
            </w:pPr>
            <w:r>
              <w:rPr>
                <w:rFonts w:hint="eastAsia"/>
                <w:lang w:val="zh-CN"/>
              </w:rPr>
              <w:t>项目名称</w:t>
            </w:r>
          </w:p>
        </w:tc>
        <w:tc>
          <w:tcPr>
            <w:tcW w:w="3261"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wordWrap w:val="0"/>
              <w:jc w:val="center"/>
              <w:rPr>
                <w:lang w:val="zh-CN"/>
              </w:rPr>
            </w:pPr>
            <w:r>
              <w:rPr>
                <w:rFonts w:hint="eastAsia"/>
                <w:lang w:val="zh-CN"/>
              </w:rPr>
              <w:t>投标报价</w:t>
            </w:r>
          </w:p>
        </w:tc>
        <w:tc>
          <w:tcPr>
            <w:tcW w:w="1417" w:type="dxa"/>
            <w:tcBorders>
              <w:top w:val="single" w:color="auto" w:sz="6" w:space="0"/>
              <w:left w:val="single" w:color="auto" w:sz="4" w:space="0"/>
              <w:bottom w:val="single" w:color="auto" w:sz="6" w:space="0"/>
              <w:right w:val="single" w:color="auto" w:sz="4" w:space="0"/>
            </w:tcBorders>
            <w:shd w:val="clear" w:color="auto" w:fill="BCE1C0" w:themeFill="background1" w:themeFillShade="F2"/>
            <w:vAlign w:val="center"/>
          </w:tcPr>
          <w:p>
            <w:pPr>
              <w:wordWrap w:val="0"/>
              <w:jc w:val="center"/>
              <w:rPr>
                <w:lang w:val="zh-CN"/>
              </w:rPr>
            </w:pPr>
            <w:r>
              <w:rPr>
                <w:rFonts w:hint="eastAsia"/>
                <w:lang w:val="zh-CN"/>
              </w:rPr>
              <w:t>交付日期</w:t>
            </w:r>
          </w:p>
        </w:tc>
        <w:tc>
          <w:tcPr>
            <w:tcW w:w="1559"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wordWrap w:val="0"/>
              <w:jc w:val="center"/>
              <w:rPr>
                <w:lang w:val="zh-CN"/>
              </w:rPr>
            </w:pPr>
            <w:r>
              <w:rPr>
                <w:rFonts w:hint="eastAsia"/>
                <w:lang w:val="zh-CN"/>
              </w:rPr>
              <w:t>备注</w:t>
            </w:r>
          </w:p>
        </w:tc>
      </w:tr>
      <w:tr>
        <w:tblPrEx>
          <w:tblCellMar>
            <w:top w:w="0" w:type="dxa"/>
            <w:left w:w="108" w:type="dxa"/>
            <w:bottom w:w="0" w:type="dxa"/>
            <w:right w:w="108" w:type="dxa"/>
          </w:tblCellMar>
        </w:tblPrEx>
        <w:trPr>
          <w:trHeight w:val="851" w:hRule="atLeast"/>
          <w:jc w:val="center"/>
        </w:trPr>
        <w:tc>
          <w:tcPr>
            <w:tcW w:w="851" w:type="dxa"/>
            <w:tcBorders>
              <w:top w:val="single" w:color="auto" w:sz="6" w:space="0"/>
              <w:left w:val="single" w:color="auto" w:sz="6" w:space="0"/>
              <w:bottom w:val="single" w:color="auto" w:sz="6" w:space="0"/>
              <w:right w:val="single" w:color="auto" w:sz="6" w:space="0"/>
            </w:tcBorders>
            <w:vAlign w:val="center"/>
          </w:tcPr>
          <w:p>
            <w:pPr>
              <w:wordWrap w:val="0"/>
              <w:jc w:val="center"/>
            </w:pPr>
          </w:p>
        </w:tc>
        <w:tc>
          <w:tcPr>
            <w:tcW w:w="2268" w:type="dxa"/>
            <w:tcBorders>
              <w:top w:val="single" w:color="auto" w:sz="6" w:space="0"/>
              <w:left w:val="single" w:color="auto" w:sz="6" w:space="0"/>
              <w:bottom w:val="single" w:color="auto" w:sz="6" w:space="0"/>
              <w:right w:val="single" w:color="auto" w:sz="6" w:space="0"/>
            </w:tcBorders>
            <w:vAlign w:val="center"/>
          </w:tcPr>
          <w:p>
            <w:pPr>
              <w:wordWrap w:val="0"/>
              <w:jc w:val="center"/>
            </w:pPr>
          </w:p>
        </w:tc>
        <w:tc>
          <w:tcPr>
            <w:tcW w:w="3261" w:type="dxa"/>
            <w:tcBorders>
              <w:top w:val="single" w:color="auto" w:sz="6" w:space="0"/>
              <w:left w:val="single" w:color="auto" w:sz="6" w:space="0"/>
              <w:bottom w:val="single" w:color="auto" w:sz="6" w:space="0"/>
              <w:right w:val="single" w:color="auto" w:sz="6" w:space="0"/>
            </w:tcBorders>
            <w:vAlign w:val="center"/>
          </w:tcPr>
          <w:p>
            <w:pPr>
              <w:wordWrap w:val="0"/>
              <w:jc w:val="left"/>
              <w:rPr>
                <w:lang w:val="zh-CN"/>
              </w:rPr>
            </w:pPr>
            <w:r>
              <w:rPr>
                <w:rFonts w:hint="eastAsia"/>
                <w:lang w:val="zh-CN"/>
              </w:rPr>
              <w:t>大写：</w:t>
            </w:r>
          </w:p>
          <w:p>
            <w:pPr>
              <w:wordWrap w:val="0"/>
              <w:jc w:val="left"/>
              <w:rPr>
                <w:lang w:val="zh-CN"/>
              </w:rPr>
            </w:pPr>
            <w:r>
              <w:rPr>
                <w:rFonts w:hint="eastAsia"/>
                <w:lang w:val="zh-CN"/>
              </w:rPr>
              <w:t>小写：</w:t>
            </w:r>
          </w:p>
        </w:tc>
        <w:tc>
          <w:tcPr>
            <w:tcW w:w="1417" w:type="dxa"/>
            <w:tcBorders>
              <w:top w:val="single" w:color="auto" w:sz="6" w:space="0"/>
              <w:left w:val="single" w:color="auto" w:sz="4" w:space="0"/>
              <w:bottom w:val="single" w:color="auto" w:sz="6" w:space="0"/>
              <w:right w:val="single" w:color="auto" w:sz="4" w:space="0"/>
            </w:tcBorders>
            <w:vAlign w:val="center"/>
          </w:tcPr>
          <w:p>
            <w:pPr>
              <w:wordWrap w:val="0"/>
              <w:jc w:val="center"/>
              <w:rPr>
                <w:lang w:val="zh-CN"/>
              </w:rPr>
            </w:pPr>
          </w:p>
        </w:tc>
        <w:tc>
          <w:tcPr>
            <w:tcW w:w="1559" w:type="dxa"/>
            <w:tcBorders>
              <w:top w:val="single" w:color="auto" w:sz="6" w:space="0"/>
              <w:left w:val="single" w:color="auto" w:sz="6" w:space="0"/>
              <w:bottom w:val="single" w:color="auto" w:sz="6" w:space="0"/>
              <w:right w:val="single" w:color="auto" w:sz="6" w:space="0"/>
            </w:tcBorders>
            <w:vAlign w:val="center"/>
          </w:tcPr>
          <w:p>
            <w:pPr>
              <w:wordWrap w:val="0"/>
              <w:jc w:val="center"/>
              <w:rPr>
                <w:lang w:val="zh-CN"/>
              </w:rPr>
            </w:pPr>
          </w:p>
        </w:tc>
      </w:tr>
      <w:tr>
        <w:tblPrEx>
          <w:tblCellMar>
            <w:top w:w="0" w:type="dxa"/>
            <w:left w:w="108" w:type="dxa"/>
            <w:bottom w:w="0" w:type="dxa"/>
            <w:right w:w="108" w:type="dxa"/>
          </w:tblCellMar>
        </w:tblPrEx>
        <w:trPr>
          <w:trHeight w:val="851" w:hRule="atLeast"/>
          <w:jc w:val="center"/>
        </w:trPr>
        <w:tc>
          <w:tcPr>
            <w:tcW w:w="851" w:type="dxa"/>
            <w:tcBorders>
              <w:top w:val="single" w:color="auto" w:sz="6" w:space="0"/>
              <w:left w:val="single" w:color="auto" w:sz="6" w:space="0"/>
              <w:bottom w:val="single" w:color="auto" w:sz="6" w:space="0"/>
              <w:right w:val="single" w:color="auto" w:sz="6" w:space="0"/>
            </w:tcBorders>
            <w:vAlign w:val="center"/>
          </w:tcPr>
          <w:p>
            <w:pPr>
              <w:wordWrap w:val="0"/>
              <w:jc w:val="center"/>
            </w:pPr>
            <w:r>
              <w:t>…</w:t>
            </w:r>
          </w:p>
        </w:tc>
        <w:tc>
          <w:tcPr>
            <w:tcW w:w="2268" w:type="dxa"/>
            <w:tcBorders>
              <w:top w:val="single" w:color="auto" w:sz="6" w:space="0"/>
              <w:left w:val="single" w:color="auto" w:sz="6" w:space="0"/>
              <w:bottom w:val="single" w:color="auto" w:sz="6" w:space="0"/>
              <w:right w:val="single" w:color="auto" w:sz="6" w:space="0"/>
            </w:tcBorders>
            <w:vAlign w:val="center"/>
          </w:tcPr>
          <w:p>
            <w:pPr>
              <w:wordWrap w:val="0"/>
              <w:jc w:val="center"/>
            </w:pPr>
          </w:p>
        </w:tc>
        <w:tc>
          <w:tcPr>
            <w:tcW w:w="3261" w:type="dxa"/>
            <w:tcBorders>
              <w:top w:val="single" w:color="auto" w:sz="6" w:space="0"/>
              <w:left w:val="single" w:color="auto" w:sz="6" w:space="0"/>
              <w:bottom w:val="single" w:color="auto" w:sz="6" w:space="0"/>
              <w:right w:val="single" w:color="auto" w:sz="6" w:space="0"/>
            </w:tcBorders>
            <w:vAlign w:val="center"/>
          </w:tcPr>
          <w:p>
            <w:pPr>
              <w:wordWrap w:val="0"/>
              <w:jc w:val="center"/>
              <w:rPr>
                <w:lang w:val="zh-CN"/>
              </w:rPr>
            </w:pPr>
          </w:p>
        </w:tc>
        <w:tc>
          <w:tcPr>
            <w:tcW w:w="1417" w:type="dxa"/>
            <w:tcBorders>
              <w:top w:val="single" w:color="auto" w:sz="6" w:space="0"/>
              <w:left w:val="single" w:color="auto" w:sz="4" w:space="0"/>
              <w:bottom w:val="single" w:color="auto" w:sz="6" w:space="0"/>
              <w:right w:val="single" w:color="auto" w:sz="4" w:space="0"/>
            </w:tcBorders>
            <w:vAlign w:val="center"/>
          </w:tcPr>
          <w:p>
            <w:pPr>
              <w:wordWrap w:val="0"/>
              <w:jc w:val="center"/>
              <w:rPr>
                <w:lang w:val="zh-CN"/>
              </w:rPr>
            </w:pPr>
          </w:p>
        </w:tc>
        <w:tc>
          <w:tcPr>
            <w:tcW w:w="1559" w:type="dxa"/>
            <w:tcBorders>
              <w:top w:val="single" w:color="auto" w:sz="6" w:space="0"/>
              <w:left w:val="single" w:color="auto" w:sz="6" w:space="0"/>
              <w:bottom w:val="single" w:color="auto" w:sz="6" w:space="0"/>
              <w:right w:val="single" w:color="auto" w:sz="6" w:space="0"/>
            </w:tcBorders>
            <w:vAlign w:val="center"/>
          </w:tcPr>
          <w:p>
            <w:pPr>
              <w:wordWrap w:val="0"/>
              <w:jc w:val="center"/>
              <w:rPr>
                <w:lang w:val="zh-CN"/>
              </w:rPr>
            </w:pPr>
          </w:p>
        </w:tc>
      </w:tr>
    </w:tbl>
    <w:p>
      <w:pPr>
        <w:wordWrap w:val="0"/>
        <w:rPr>
          <w:lang w:val="zh-CN"/>
        </w:rPr>
      </w:pPr>
    </w:p>
    <w:p>
      <w:pPr>
        <w:wordWrap w:val="0"/>
        <w:rPr>
          <w:lang w:val="zh-CN"/>
        </w:rPr>
      </w:pPr>
      <w:r>
        <w:rPr>
          <w:rFonts w:hint="eastAsia"/>
          <w:lang w:val="zh-CN"/>
        </w:rPr>
        <w:t>投标人名称：</w:t>
      </w:r>
      <w:r>
        <w:rPr>
          <w:rFonts w:hint="eastAsia"/>
          <w:u w:val="single"/>
          <w:lang w:val="zh-CN"/>
        </w:rPr>
        <w:t xml:space="preserve">     （全称）   </w:t>
      </w:r>
      <w:r>
        <w:rPr>
          <w:rFonts w:hint="eastAsia"/>
          <w:lang w:val="zh-CN"/>
        </w:rPr>
        <w:t>（公章）：</w:t>
      </w:r>
    </w:p>
    <w:p>
      <w:pPr>
        <w:wordWrap w:val="0"/>
        <w:rPr>
          <w:lang w:val="zh-CN"/>
        </w:rPr>
      </w:pPr>
      <w:r>
        <w:rPr>
          <w:rFonts w:hint="eastAsia"/>
          <w:lang w:val="zh-CN"/>
        </w:rPr>
        <w:t>投标人法定代表人（或授权代表）签字：</w:t>
      </w:r>
    </w:p>
    <w:p>
      <w:pPr>
        <w:wordWrap w:val="0"/>
        <w:rPr>
          <w:lang w:val="zh-CN"/>
        </w:rPr>
      </w:pPr>
      <w:r>
        <w:rPr>
          <w:rFonts w:hint="eastAsia"/>
          <w:lang w:val="zh-CN"/>
        </w:rPr>
        <w:t>日期：</w:t>
      </w:r>
    </w:p>
    <w:p>
      <w:pPr>
        <w:wordWrap w:val="0"/>
        <w:rPr>
          <w:lang w:val="zh-CN"/>
        </w:rPr>
      </w:pPr>
      <w:r>
        <w:rPr>
          <w:rFonts w:hint="eastAsia"/>
          <w:lang w:val="zh-CN"/>
        </w:rPr>
        <w:t>注：1、交付日期指完成该项目的最终时间。</w:t>
      </w:r>
    </w:p>
    <w:p>
      <w:pPr>
        <w:wordWrap w:val="0"/>
        <w:rPr>
          <w:lang w:val="zh-CN"/>
        </w:rPr>
      </w:pPr>
      <w:r>
        <w:rPr>
          <w:rFonts w:hint="eastAsia"/>
          <w:lang w:val="zh-CN"/>
        </w:rPr>
        <w:t>2、如招标公告明确项目交付日期以年为单位，本表应填写完成该项目的年限。</w:t>
      </w:r>
    </w:p>
    <w:p>
      <w:pPr>
        <w:wordWrap w:val="0"/>
      </w:pPr>
      <w:r>
        <w:rPr>
          <w:rFonts w:hint="eastAsia"/>
        </w:rPr>
        <w:br w:type="page"/>
      </w:r>
    </w:p>
    <w:p>
      <w:pPr>
        <w:pStyle w:val="6"/>
        <w:wordWrap w:val="0"/>
        <w:jc w:val="center"/>
      </w:pPr>
      <w:r>
        <w:rPr>
          <w:rFonts w:hint="eastAsia"/>
        </w:rPr>
        <w:t>三、资格审查证明材料</w:t>
      </w:r>
    </w:p>
    <w:p>
      <w:pPr>
        <w:wordWrap w:val="0"/>
        <w:jc w:val="center"/>
        <w:rPr>
          <w:b/>
          <w:bCs/>
        </w:rPr>
      </w:pPr>
      <w:r>
        <w:rPr>
          <w:rFonts w:hint="eastAsia"/>
          <w:b/>
          <w:bCs/>
        </w:rPr>
        <w:t>3.1 投 标 函</w:t>
      </w:r>
    </w:p>
    <w:p>
      <w:pPr>
        <w:wordWrap w:val="0"/>
      </w:pPr>
      <w:r>
        <w:rPr>
          <w:rFonts w:hint="eastAsia"/>
        </w:rPr>
        <w:t>致：</w:t>
      </w:r>
      <w:r>
        <w:rPr>
          <w:rFonts w:hint="eastAsia"/>
          <w:u w:val="single"/>
        </w:rPr>
        <w:t>（采购人）</w:t>
      </w:r>
    </w:p>
    <w:p>
      <w:pPr>
        <w:wordWrap w:val="0"/>
        <w:ind w:firstLine="480" w:firstLineChars="200"/>
      </w:pPr>
      <w:r>
        <w:rPr>
          <w:rFonts w:hint="eastAsia"/>
        </w:rPr>
        <w:t>根据贵方（项目名称、标段、项目编号）采购的招标公告及投标邀请，（姓名和职务）被正式授权并代表投标人（投标人名称、地址）提交。</w:t>
      </w:r>
    </w:p>
    <w:p>
      <w:pPr>
        <w:wordWrap w:val="0"/>
        <w:ind w:firstLine="480" w:firstLineChars="200"/>
      </w:pPr>
      <w:r>
        <w:rPr>
          <w:rFonts w:hint="eastAsia"/>
        </w:rPr>
        <w:t>我方确认收到贵方提供的（项目名称、标段、项目编号）招标文件的全部内容。</w:t>
      </w:r>
    </w:p>
    <w:p>
      <w:pPr>
        <w:wordWrap w:val="0"/>
        <w:ind w:firstLine="480" w:firstLineChars="200"/>
      </w:pPr>
      <w:r>
        <w:rPr>
          <w:rFonts w:hint="eastAsia"/>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已完全理解并接受招标文件的各项规定和要求及资金支付规定，对招标文件的合理性、合法性不再有异议，并承诺在发生争议时不会以对《招标文件》存在误解、不明白的条款为由，对贵中心行使任何法律上的抗辩权。</w:t>
      </w:r>
    </w:p>
    <w:p>
      <w:pPr>
        <w:wordWrap w:val="0"/>
        <w:ind w:firstLine="480" w:firstLineChars="200"/>
      </w:pPr>
      <w:r>
        <w:rPr>
          <w:rFonts w:hint="eastAsia"/>
        </w:rPr>
        <w:t>（投标人名称）作为投标人正式授权（授权代表全名,职务）代表我方全权处理有关本投标的一切事宜。</w:t>
      </w:r>
    </w:p>
    <w:p>
      <w:pPr>
        <w:wordWrap w:val="0"/>
        <w:ind w:firstLine="480" w:firstLineChars="200"/>
      </w:pPr>
      <w:r>
        <w:rPr>
          <w:rFonts w:hint="eastAsia"/>
        </w:rPr>
        <w:t>拟投入（项目名称、标段）的项目经理姓名：</w:t>
      </w:r>
    </w:p>
    <w:p>
      <w:pPr>
        <w:wordWrap w:val="0"/>
        <w:ind w:firstLine="480" w:firstLineChars="200"/>
      </w:pPr>
      <w:r>
        <w:rPr>
          <w:rFonts w:hint="eastAsia"/>
        </w:rPr>
        <w:t>技术负责人姓名：</w:t>
      </w:r>
    </w:p>
    <w:p>
      <w:pPr>
        <w:wordWrap w:val="0"/>
        <w:ind w:firstLine="480" w:firstLineChars="200"/>
      </w:pPr>
      <w:r>
        <w:rPr>
          <w:rFonts w:hint="eastAsia"/>
        </w:rPr>
        <w:t>我方已完全明白招标文件的所有条款要求，并申明如下：</w:t>
      </w:r>
    </w:p>
    <w:p>
      <w:pPr>
        <w:wordWrap w:val="0"/>
        <w:ind w:firstLine="480" w:firstLineChars="200"/>
      </w:pPr>
      <w:r>
        <w:rPr>
          <w:rFonts w:hint="eastAsia"/>
        </w:rPr>
        <w:t>一、按招标文件提供的全部货物与相关服务的投标总价详见《开标一览表》。</w:t>
      </w:r>
    </w:p>
    <w:p>
      <w:pPr>
        <w:wordWrap w:val="0"/>
        <w:ind w:firstLine="480" w:firstLineChars="200"/>
      </w:pPr>
      <w:r>
        <w:rPr>
          <w:rFonts w:hint="eastAsia"/>
        </w:rPr>
        <w:t>二、我方同意在本项目招标文件中规定的开标日起90天内遵守本投标文件中的承诺且在此期限期满之前均具有约束力。我方同意并遵守本招标文件“投标人须知”中第十四条第三款关于延长投标有效期的规定。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wordWrap w:val="0"/>
        <w:ind w:firstLine="480" w:firstLineChars="200"/>
      </w:pPr>
      <w:r>
        <w:rPr>
          <w:rFonts w:hint="eastAsia"/>
        </w:rPr>
        <w:t>三、我方明白并同意，在规定的开标日之后，投标有效期之内撤销投标的，则我方承担违背投标承诺的责任追究。</w:t>
      </w:r>
    </w:p>
    <w:p>
      <w:pPr>
        <w:wordWrap w:val="0"/>
        <w:ind w:firstLine="480" w:firstLineChars="200"/>
      </w:pPr>
      <w:r>
        <w:rPr>
          <w:rFonts w:hint="eastAsia"/>
        </w:rPr>
        <w:t>四、我方同意按照贵方可能提出的要求而提供与投标有关的任何其它数据、信息或资料。</w:t>
      </w:r>
    </w:p>
    <w:p>
      <w:pPr>
        <w:wordWrap w:val="0"/>
        <w:ind w:firstLine="480" w:firstLineChars="200"/>
      </w:pPr>
      <w:r>
        <w:rPr>
          <w:rFonts w:hint="eastAsia"/>
        </w:rPr>
        <w:t>五、我方理解贵方不一定接受最低投标价或任何贵方可能收到的投标。</w:t>
      </w:r>
    </w:p>
    <w:p>
      <w:pPr>
        <w:wordWrap w:val="0"/>
        <w:ind w:firstLine="480" w:firstLineChars="200"/>
      </w:pPr>
      <w:r>
        <w:rPr>
          <w:rFonts w:hint="eastAsia"/>
        </w:rPr>
        <w:t>六、我方如果中标，将保证履行招标文件及其澄清、修改文件（如果有）中的全部责任和义务，按质、按量、按期完成《项目需求》及《合同书》中的全部任务。</w:t>
      </w:r>
    </w:p>
    <w:p>
      <w:pPr>
        <w:wordWrap w:val="0"/>
        <w:ind w:firstLine="480" w:firstLineChars="200"/>
      </w:pPr>
      <w:r>
        <w:rPr>
          <w:rFonts w:hint="eastAsia"/>
        </w:rPr>
        <w:t>七、我方在此保证所提交的所有文件和全部说明是真实的和正确的</w:t>
      </w:r>
      <w:r>
        <w:t>,</w:t>
      </w:r>
      <w:r>
        <w:rPr>
          <w:rFonts w:hint="eastAsia"/>
        </w:rPr>
        <w:t>未提供虚假的资格证书及业绩证明材料谋取中标，若存在虚假证书或者业绩证明材料的违规违法行为，承担法律责任，接受财政部门的处罚。</w:t>
      </w:r>
    </w:p>
    <w:p>
      <w:pPr>
        <w:wordWrap w:val="0"/>
        <w:ind w:firstLine="480" w:firstLineChars="200"/>
      </w:pPr>
      <w:r>
        <w:rPr>
          <w:rFonts w:hint="eastAsia"/>
        </w:rPr>
        <w:t xml:space="preserve">八、我方投标报价已包含应向知识产权所有权人支付的所有相关税费，并保证采购人在中国使用我方提供的货物时，如有第三方提出侵犯其知识产权主张的，责任由我方承担。 </w:t>
      </w:r>
    </w:p>
    <w:p>
      <w:pPr>
        <w:wordWrap w:val="0"/>
        <w:ind w:firstLine="480" w:firstLineChars="200"/>
      </w:pPr>
      <w:r>
        <w:rPr>
          <w:rFonts w:hint="eastAsia"/>
        </w:rPr>
        <w:t>九、我方具备《政府采购法》第二十二条规定的条件；承诺如下：</w:t>
      </w:r>
    </w:p>
    <w:p>
      <w:pPr>
        <w:wordWrap w:val="0"/>
        <w:ind w:firstLine="480" w:firstLineChars="200"/>
      </w:pPr>
      <w:r>
        <w:rPr>
          <w:rFonts w:hint="eastAsia"/>
        </w:rPr>
        <w:t>（1）具有独立承担民事责任能力的在中华人民共和国境内注册的法人或其他组织或自然人，有效的营业执照（或事业法人登记证或身份证等相关证明）。</w:t>
      </w:r>
    </w:p>
    <w:p>
      <w:pPr>
        <w:wordWrap w:val="0"/>
        <w:ind w:firstLine="480" w:firstLineChars="200"/>
      </w:pPr>
      <w:r>
        <w:rPr>
          <w:rFonts w:hint="eastAsia"/>
        </w:rPr>
        <w:t>（2）我方已依法缴纳了各项税费及社会保险费用，如有需要，可随时向采购人提供近三个月内的相关缴费证明，以便核查。</w:t>
      </w:r>
    </w:p>
    <w:p>
      <w:pPr>
        <w:wordWrap w:val="0"/>
        <w:ind w:firstLine="480" w:firstLineChars="200"/>
      </w:pPr>
      <w:r>
        <w:rPr>
          <w:rFonts w:hint="eastAsia"/>
        </w:rPr>
        <w:t>（3）我方已依法建立健全的财务会计制度，如有需要，可随时向采购人提供相关证明材料，以便核查。</w:t>
      </w:r>
    </w:p>
    <w:p>
      <w:pPr>
        <w:wordWrap w:val="0"/>
        <w:ind w:firstLine="480" w:firstLineChars="200"/>
      </w:pPr>
      <w:r>
        <w:rPr>
          <w:rFonts w:hint="eastAsia"/>
        </w:rPr>
        <w:t>（4）参加政府采购活动前三年内，在经营活动中没有重大违法记录。</w:t>
      </w:r>
    </w:p>
    <w:p>
      <w:pPr>
        <w:wordWrap w:val="0"/>
        <w:ind w:firstLine="480" w:firstLineChars="200"/>
      </w:pPr>
      <w:r>
        <w:rPr>
          <w:rFonts w:hint="eastAsia"/>
        </w:rPr>
        <w:t>（5）符合法律、行政法规规定的其他条件。</w:t>
      </w:r>
    </w:p>
    <w:p>
      <w:pPr>
        <w:wordWrap w:val="0"/>
        <w:ind w:firstLine="480" w:firstLineChars="200"/>
      </w:pPr>
      <w:r>
        <w:rPr>
          <w:rFonts w:hint="eastAsia"/>
        </w:rPr>
        <w:t>以上内容如有虚假或与事实不符的，评审委员会可将我方做无效投标处理，我方愿意承担相应的法律责任。</w:t>
      </w:r>
    </w:p>
    <w:p>
      <w:pPr>
        <w:wordWrap w:val="0"/>
        <w:ind w:firstLine="480" w:firstLineChars="200"/>
      </w:pPr>
      <w:r>
        <w:rPr>
          <w:rFonts w:hint="eastAsia"/>
        </w:rPr>
        <w:t>十、我方具备履行合同所必需的设备和专业技术能力。</w:t>
      </w:r>
    </w:p>
    <w:p>
      <w:pPr>
        <w:wordWrap w:val="0"/>
        <w:ind w:firstLine="480" w:firstLineChars="200"/>
      </w:pPr>
      <w:r>
        <w:rPr>
          <w:rFonts w:hint="eastAsia"/>
        </w:rPr>
        <w:t>十一、若我方中标，愿意按国家计委计价格【2002】1980号文件规定向代理机构支付招标代理服务费。</w:t>
      </w:r>
    </w:p>
    <w:p>
      <w:pPr>
        <w:wordWrap w:val="0"/>
        <w:ind w:firstLine="480" w:firstLineChars="200"/>
      </w:pPr>
      <w:r>
        <w:rPr>
          <w:rFonts w:hint="eastAsia"/>
        </w:rPr>
        <w:t>十二、我方对在本函及投标文件中所作的所有承诺承担法律责任。</w:t>
      </w:r>
    </w:p>
    <w:p>
      <w:pPr>
        <w:wordWrap w:val="0"/>
      </w:pPr>
    </w:p>
    <w:p>
      <w:pPr>
        <w:pStyle w:val="2"/>
        <w:wordWrap w:val="0"/>
      </w:pPr>
    </w:p>
    <w:p>
      <w:pPr>
        <w:pStyle w:val="4"/>
        <w:wordWrap w:val="0"/>
      </w:pPr>
    </w:p>
    <w:p>
      <w:pPr>
        <w:wordWrap w:val="0"/>
      </w:pPr>
    </w:p>
    <w:p>
      <w:pPr>
        <w:wordWrap w:val="0"/>
      </w:pPr>
      <w:r>
        <w:rPr>
          <w:rFonts w:hint="eastAsia"/>
        </w:rPr>
        <w:t>所有与本招标有关的一切正式往来请寄：</w:t>
      </w:r>
    </w:p>
    <w:p>
      <w:pPr>
        <w:wordWrap w:val="0"/>
      </w:pPr>
      <w:r>
        <w:rPr>
          <w:rFonts w:hint="eastAsia"/>
        </w:rPr>
        <w:t>地    址：.  邮政编码：.</w:t>
      </w:r>
    </w:p>
    <w:p>
      <w:pPr>
        <w:wordWrap w:val="0"/>
      </w:pPr>
      <w:r>
        <w:rPr>
          <w:rFonts w:hint="eastAsia"/>
        </w:rPr>
        <w:t>电    话：.  传    真：.</w:t>
      </w:r>
    </w:p>
    <w:p>
      <w:pPr>
        <w:wordWrap w:val="0"/>
      </w:pPr>
      <w:r>
        <w:rPr>
          <w:rFonts w:hint="eastAsia"/>
        </w:rPr>
        <w:t>投标人代表姓名：.  职    务：.</w:t>
      </w:r>
    </w:p>
    <w:p>
      <w:pPr>
        <w:wordWrap w:val="0"/>
      </w:pPr>
      <w:r>
        <w:rPr>
          <w:rFonts w:hint="eastAsia"/>
        </w:rPr>
        <w:t>投标人法定代表人（或法定代表人授权代表）签字或盖章：</w:t>
      </w:r>
    </w:p>
    <w:p>
      <w:pPr>
        <w:wordWrap w:val="0"/>
      </w:pPr>
      <w:r>
        <w:rPr>
          <w:rFonts w:hint="eastAsia"/>
        </w:rPr>
        <w:t>投标人名称（盖章）：</w:t>
      </w:r>
    </w:p>
    <w:p>
      <w:pPr>
        <w:wordWrap w:val="0"/>
      </w:pPr>
      <w:r>
        <w:rPr>
          <w:rFonts w:hint="eastAsia"/>
        </w:rPr>
        <w:t>日期：年月日</w:t>
      </w:r>
    </w:p>
    <w:p>
      <w:pPr>
        <w:wordWrap w:val="0"/>
      </w:pPr>
      <w:r>
        <w:rPr>
          <w:rFonts w:hint="eastAsia"/>
        </w:rPr>
        <w:br w:type="page"/>
      </w:r>
    </w:p>
    <w:p>
      <w:pPr>
        <w:wordWrap w:val="0"/>
        <w:jc w:val="center"/>
        <w:rPr>
          <w:b/>
          <w:bCs/>
        </w:rPr>
      </w:pPr>
      <w:r>
        <w:rPr>
          <w:rFonts w:hint="eastAsia"/>
          <w:b/>
          <w:bCs/>
        </w:rPr>
        <w:t>3.2 法定代表人（单位负责人）资格证明书</w:t>
      </w:r>
    </w:p>
    <w:p>
      <w:pPr>
        <w:wordWrap w:val="0"/>
      </w:pPr>
    </w:p>
    <w:p>
      <w:pPr>
        <w:wordWrap w:val="0"/>
        <w:ind w:firstLine="480" w:firstLineChars="200"/>
      </w:pPr>
      <w:r>
        <w:rPr>
          <w:rFonts w:hint="eastAsia"/>
        </w:rPr>
        <w:t>单位名称：</w:t>
      </w:r>
    </w:p>
    <w:p>
      <w:pPr>
        <w:wordWrap w:val="0"/>
        <w:ind w:firstLine="480" w:firstLineChars="200"/>
      </w:pPr>
      <w:r>
        <w:rPr>
          <w:rFonts w:hint="eastAsia"/>
        </w:rPr>
        <w:t>地址：</w:t>
      </w:r>
    </w:p>
    <w:p>
      <w:pPr>
        <w:wordWrap w:val="0"/>
        <w:ind w:firstLine="480" w:firstLineChars="200"/>
      </w:pPr>
      <w:r>
        <w:rPr>
          <w:rFonts w:hint="eastAsia"/>
        </w:rPr>
        <w:t>姓名： 性别： 年龄： 职务：</w:t>
      </w:r>
    </w:p>
    <w:p>
      <w:pPr>
        <w:wordWrap w:val="0"/>
        <w:ind w:firstLine="480" w:firstLineChars="200"/>
      </w:pPr>
      <w:r>
        <w:rPr>
          <w:rFonts w:hint="eastAsia"/>
        </w:rPr>
        <w:t>本人系（投标人名称）的法定代表人（单位负责人）。就参加贵方招标编号为（项目编号）的（项目名称、标段）公开招标项目的投标报价，签署上述项目的投标文件及合同的执行、完成、服务和保修，签署合同和处理与之有关的一切事务。</w:t>
      </w:r>
    </w:p>
    <w:p>
      <w:pPr>
        <w:wordWrap w:val="0"/>
        <w:ind w:firstLine="480" w:firstLineChars="200"/>
      </w:pPr>
      <w:r>
        <w:rPr>
          <w:rFonts w:hint="eastAsia"/>
        </w:rPr>
        <w:t>特此证明。</w:t>
      </w:r>
    </w:p>
    <w:p>
      <w:pPr>
        <w:wordWrap w:val="0"/>
        <w:ind w:firstLine="480" w:firstLineChars="200"/>
      </w:pPr>
      <w:r>
        <w:rPr>
          <w:rFonts w:hint="eastAsia"/>
        </w:rPr>
        <w:t>法定代表人（单位负责人）联系电话（手机）：</w:t>
      </w:r>
    </w:p>
    <w:p>
      <w:pPr>
        <w:wordWrap w:val="0"/>
      </w:pPr>
    </w:p>
    <w:p>
      <w:pPr>
        <w:wordWrap w:val="0"/>
        <w:jc w:val="center"/>
      </w:pPr>
      <w:r>
        <w:rPr>
          <w:rFonts w:hint="eastAsia"/>
        </w:rPr>
        <w:t>【此处请粘贴法定代表人（单位负责人）身份证复印件，需清晰反映身份证有效期限】</w:t>
      </w:r>
    </w:p>
    <w:p>
      <w:pPr>
        <w:wordWrap w:val="0"/>
      </w:pPr>
    </w:p>
    <w:p>
      <w:pPr>
        <w:wordWrap w:val="0"/>
        <w:ind w:firstLine="3120" w:firstLineChars="1300"/>
      </w:pPr>
      <w:r>
        <w:rPr>
          <w:rFonts w:hint="eastAsia"/>
        </w:rPr>
        <w:t>投标人名称（并加盖公章）：</w:t>
      </w:r>
    </w:p>
    <w:p>
      <w:pPr>
        <w:wordWrap w:val="0"/>
        <w:ind w:firstLine="3120" w:firstLineChars="1300"/>
      </w:pPr>
      <w:r>
        <w:rPr>
          <w:rFonts w:hint="eastAsia"/>
        </w:rPr>
        <w:t>签署日期：   年   月  日</w:t>
      </w:r>
    </w:p>
    <w:p>
      <w:pPr>
        <w:wordWrap w:val="0"/>
      </w:pPr>
    </w:p>
    <w:p>
      <w:pPr>
        <w:wordWrap w:val="0"/>
      </w:pPr>
      <w:r>
        <w:rPr>
          <w:rFonts w:hint="eastAsia"/>
        </w:rPr>
        <w:t>说明：法定代表人（单位负责人）参加本招标项目投标的，仅须出具此证明书。</w:t>
      </w:r>
    </w:p>
    <w:p>
      <w:pPr>
        <w:wordWrap w:val="0"/>
      </w:pPr>
    </w:p>
    <w:p>
      <w:pPr>
        <w:wordWrap w:val="0"/>
      </w:pPr>
      <w:r>
        <w:rPr>
          <w:rFonts w:hint="eastAsia"/>
        </w:rPr>
        <w:br w:type="page"/>
      </w:r>
    </w:p>
    <w:p>
      <w:pPr>
        <w:wordWrap w:val="0"/>
        <w:jc w:val="center"/>
        <w:rPr>
          <w:b/>
          <w:bCs/>
        </w:rPr>
      </w:pPr>
      <w:r>
        <w:rPr>
          <w:rFonts w:hint="eastAsia"/>
          <w:b/>
          <w:bCs/>
        </w:rPr>
        <w:t>3.3 法定代表人（单位负责人）授权书</w:t>
      </w:r>
    </w:p>
    <w:p>
      <w:pPr>
        <w:wordWrap w:val="0"/>
      </w:pPr>
    </w:p>
    <w:p>
      <w:pPr>
        <w:wordWrap w:val="0"/>
      </w:pPr>
      <w:r>
        <w:rPr>
          <w:rFonts w:hint="eastAsia"/>
        </w:rPr>
        <w:t>本人（法人姓名）系（投标人名）的法定代表人（单位负责人），现委托（姓名，职务）以我方的名义参加贵方项目的投标活动，并代表我方全权办理针对上述项目的投标、开标、投标文件澄清、签约等一切具体事务和签署相关文件。</w:t>
      </w:r>
    </w:p>
    <w:p>
      <w:pPr>
        <w:wordWrap w:val="0"/>
      </w:pPr>
      <w:r>
        <w:rPr>
          <w:rFonts w:hint="eastAsia"/>
        </w:rPr>
        <w:t>我方对被授权人的签名事项负全部责任。</w:t>
      </w:r>
    </w:p>
    <w:p>
      <w:pPr>
        <w:wordWrap w:val="0"/>
      </w:pPr>
      <w:r>
        <w:rPr>
          <w:rFonts w:hint="eastAsia"/>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wordWrap w:val="0"/>
      </w:pPr>
      <w:r>
        <w:rPr>
          <w:rFonts w:hint="eastAsia"/>
        </w:rPr>
        <w:t>被授权人无转委托权，特此委托。</w:t>
      </w:r>
    </w:p>
    <w:p>
      <w:pPr>
        <w:wordWrap w:val="0"/>
      </w:pPr>
      <w:r>
        <w:rPr>
          <w:rFonts w:hint="eastAsia"/>
        </w:rPr>
        <w:t>投标人名称：</w:t>
      </w:r>
      <w:r>
        <w:rPr>
          <w:rFonts w:hint="eastAsia"/>
          <w:u w:val="single"/>
        </w:rPr>
        <w:t xml:space="preserve">  （全称）   </w:t>
      </w:r>
      <w:r>
        <w:rPr>
          <w:rFonts w:hint="eastAsia"/>
        </w:rPr>
        <w:t>（盖单位公章）</w:t>
      </w:r>
    </w:p>
    <w:p>
      <w:pPr>
        <w:wordWrap w:val="0"/>
      </w:pPr>
      <w:r>
        <w:rPr>
          <w:rFonts w:hint="eastAsia"/>
        </w:rPr>
        <w:t>法定代表人（单位负责人）：（签字或加盖名章）</w:t>
      </w:r>
    </w:p>
    <w:p>
      <w:pPr>
        <w:wordWrap w:val="0"/>
      </w:pPr>
      <w:r>
        <w:rPr>
          <w:rFonts w:hint="eastAsia"/>
        </w:rPr>
        <w:t>法定代表人（单位负责人）授权代表：（签字或加盖名章）</w:t>
      </w:r>
    </w:p>
    <w:p>
      <w:pPr>
        <w:wordWrap w:val="0"/>
      </w:pPr>
      <w:r>
        <w:rPr>
          <w:rFonts w:hint="eastAsia"/>
        </w:rPr>
        <w:t>法定代表人（单位负责人）授权代表联系电话（手机）：</w:t>
      </w:r>
    </w:p>
    <w:tbl>
      <w:tblPr>
        <w:tblStyle w:val="13"/>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pPr>
            <w:r>
              <w:rPr>
                <w:rFonts w:hint="eastAsia"/>
              </w:rPr>
              <w:t>法定代表人（单位负责人）身份证（正面）</w:t>
            </w:r>
          </w:p>
        </w:tc>
        <w:tc>
          <w:tcPr>
            <w:tcW w:w="4485" w:type="dxa"/>
            <w:gridSpan w:val="2"/>
            <w:vAlign w:val="center"/>
          </w:tcPr>
          <w:p>
            <w:pPr>
              <w:jc w:val="center"/>
            </w:pPr>
            <w:r>
              <w:rPr>
                <w:rFonts w:hint="eastAsia"/>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4491" w:type="dxa"/>
            <w:gridSpan w:val="2"/>
            <w:vAlign w:val="center"/>
          </w:tcPr>
          <w:p>
            <w:pPr>
              <w:jc w:val="center"/>
            </w:pPr>
            <w:bookmarkStart w:id="1" w:name="_资格证明文件"/>
            <w:bookmarkEnd w:id="1"/>
            <w:bookmarkStart w:id="2" w:name="_Toc364329026"/>
            <w:r>
              <w:rPr>
                <w:rFonts w:hint="eastAsia"/>
              </w:rPr>
              <w:t>法定代表人（单位负责人）授权代表身份证（正面）</w:t>
            </w:r>
            <w:bookmarkEnd w:id="2"/>
          </w:p>
        </w:tc>
        <w:tc>
          <w:tcPr>
            <w:tcW w:w="4492" w:type="dxa"/>
            <w:gridSpan w:val="2"/>
            <w:vAlign w:val="center"/>
          </w:tcPr>
          <w:p>
            <w:pPr>
              <w:jc w:val="center"/>
            </w:pPr>
            <w:bookmarkStart w:id="3" w:name="_Toc364329027"/>
            <w:r>
              <w:rPr>
                <w:rFonts w:hint="eastAsia"/>
              </w:rPr>
              <w:t>法定代表人（单位负责人）授权代表身份证（反面）</w:t>
            </w:r>
            <w:bookmarkEnd w:id="3"/>
          </w:p>
        </w:tc>
      </w:tr>
    </w:tbl>
    <w:p>
      <w:r>
        <w:rPr>
          <w:rFonts w:hint="eastAsia"/>
        </w:rPr>
        <w:br w:type="page"/>
      </w:r>
    </w:p>
    <w:p>
      <w:pPr>
        <w:wordWrap w:val="0"/>
        <w:jc w:val="center"/>
        <w:rPr>
          <w:b/>
          <w:bCs/>
        </w:rPr>
      </w:pPr>
      <w:r>
        <w:rPr>
          <w:rFonts w:hint="eastAsia"/>
          <w:b/>
          <w:bCs/>
        </w:rPr>
        <w:t>3.4 没有重大违法记录的声明</w:t>
      </w:r>
    </w:p>
    <w:p>
      <w:pPr>
        <w:wordWrap w:val="0"/>
        <w:jc w:val="center"/>
        <w:rPr>
          <w:b/>
          <w:bCs/>
        </w:rPr>
      </w:pPr>
      <w:r>
        <w:rPr>
          <w:rFonts w:hint="eastAsia"/>
          <w:b/>
          <w:bCs/>
        </w:rPr>
        <w:t>声  明</w:t>
      </w:r>
    </w:p>
    <w:p>
      <w:pPr>
        <w:wordWrap w:val="0"/>
        <w:ind w:firstLine="480" w:firstLineChars="200"/>
      </w:pPr>
      <w:r>
        <w:rPr>
          <w:rFonts w:hint="eastAsia"/>
        </w:rPr>
        <w:t>本公司参加本次政府采购活动前三年内，在经营活动中没有重大违法记录。（重大违法记录，是指因违法经营受到刑事处罚或者责令停产停业、吊销许可证或者执照、较大数额罚款等行政处罚。）</w:t>
      </w:r>
    </w:p>
    <w:p>
      <w:pPr>
        <w:wordWrap w:val="0"/>
        <w:ind w:firstLine="480" w:firstLineChars="200"/>
      </w:pPr>
      <w:r>
        <w:rPr>
          <w:rFonts w:hint="eastAsia"/>
        </w:rPr>
        <w:t>特此声明。</w:t>
      </w:r>
    </w:p>
    <w:p>
      <w:pPr>
        <w:wordWrap w:val="0"/>
        <w:ind w:firstLine="480" w:firstLineChars="200"/>
      </w:pPr>
      <w:r>
        <w:rPr>
          <w:rFonts w:hint="eastAsia"/>
        </w:rPr>
        <w:t>本公司对上述声明的真实性负责。如有虚假，将依法承担相应责任。</w:t>
      </w:r>
    </w:p>
    <w:p>
      <w:pPr>
        <w:wordWrap w:val="0"/>
      </w:pPr>
    </w:p>
    <w:p>
      <w:pPr>
        <w:wordWrap w:val="0"/>
        <w:ind w:firstLine="3120" w:firstLineChars="1300"/>
      </w:pPr>
      <w:r>
        <w:rPr>
          <w:rFonts w:hint="eastAsia"/>
        </w:rPr>
        <w:t>投标人名称（并加盖公章）：</w:t>
      </w:r>
    </w:p>
    <w:p>
      <w:pPr>
        <w:wordWrap w:val="0"/>
        <w:ind w:firstLine="3120" w:firstLineChars="1300"/>
      </w:pPr>
      <w:r>
        <w:rPr>
          <w:rFonts w:hint="eastAsia"/>
        </w:rPr>
        <w:t>签署日期：   年   月  日</w:t>
      </w:r>
    </w:p>
    <w:p>
      <w:r>
        <w:rPr>
          <w:rFonts w:hint="eastAsia"/>
        </w:rPr>
        <w:br w:type="page"/>
      </w:r>
    </w:p>
    <w:p>
      <w:pPr>
        <w:wordWrap w:val="0"/>
        <w:jc w:val="center"/>
        <w:rPr>
          <w:b/>
          <w:bCs/>
        </w:rPr>
      </w:pPr>
      <w:r>
        <w:rPr>
          <w:rFonts w:hint="eastAsia"/>
          <w:b/>
          <w:bCs/>
        </w:rPr>
        <w:t>3.5 投标承诺函</w:t>
      </w:r>
    </w:p>
    <w:p>
      <w:pPr>
        <w:wordWrap w:val="0"/>
      </w:pPr>
      <w:r>
        <w:rPr>
          <w:rFonts w:hint="eastAsia"/>
        </w:rPr>
        <w:t>本企业郑重承诺：</w:t>
      </w:r>
    </w:p>
    <w:p>
      <w:pPr>
        <w:wordWrap w:val="0"/>
        <w:ind w:firstLine="480" w:firstLineChars="200"/>
      </w:pPr>
      <w:r>
        <w:rPr>
          <w:rFonts w:hint="eastAsia"/>
        </w:rPr>
        <w:t>一、将遵循公开、公平、公正和诚实信用的原则参加（具体采购项目名称）的投标;</w:t>
      </w:r>
    </w:p>
    <w:p>
      <w:pPr>
        <w:wordWrap w:val="0"/>
        <w:ind w:firstLine="480" w:firstLineChars="200"/>
      </w:pPr>
      <w:r>
        <w:rPr>
          <w:rFonts w:hint="eastAsia"/>
        </w:rPr>
        <w:t xml:space="preserve">二、本次投标所提供的一切材料都是真实、有效、合法的; </w:t>
      </w:r>
    </w:p>
    <w:p>
      <w:pPr>
        <w:wordWrap w:val="0"/>
        <w:ind w:firstLine="480" w:firstLineChars="200"/>
      </w:pPr>
      <w:r>
        <w:rPr>
          <w:rFonts w:hint="eastAsia"/>
        </w:rPr>
        <w:t>三、不与其他投标人相互串通投标报价，不排挤其他投标人的公平竞争，不损害采购人或其他投标人的合法权益;</w:t>
      </w:r>
    </w:p>
    <w:p>
      <w:pPr>
        <w:wordWrap w:val="0"/>
        <w:ind w:firstLine="480" w:firstLineChars="200"/>
      </w:pPr>
      <w:r>
        <w:rPr>
          <w:rFonts w:hint="eastAsia"/>
        </w:rPr>
        <w:t>四、不与采购人或集中采购机构串通投标，不损害国家利益、社会公共利益或者他人的合法权益;</w:t>
      </w:r>
    </w:p>
    <w:p>
      <w:pPr>
        <w:wordWrap w:val="0"/>
        <w:ind w:firstLine="480" w:firstLineChars="200"/>
      </w:pPr>
      <w:r>
        <w:rPr>
          <w:rFonts w:hint="eastAsia"/>
        </w:rPr>
        <w:t>五、不向采购人或者评标委员会成员行贿以牟取中标;</w:t>
      </w:r>
    </w:p>
    <w:p>
      <w:pPr>
        <w:wordWrap w:val="0"/>
        <w:ind w:firstLine="480" w:firstLineChars="200"/>
      </w:pPr>
      <w:r>
        <w:rPr>
          <w:rFonts w:hint="eastAsia"/>
        </w:rPr>
        <w:t>六、不以他人名义投标或者以其他方式弄虚作假，骗取中标;</w:t>
      </w:r>
    </w:p>
    <w:p>
      <w:pPr>
        <w:wordWrap w:val="0"/>
        <w:ind w:firstLine="480" w:firstLineChars="200"/>
      </w:pPr>
      <w:r>
        <w:rPr>
          <w:rFonts w:hint="eastAsia"/>
        </w:rPr>
        <w:t>七、不扰乱禹州市政府采购市场秩序;</w:t>
      </w:r>
    </w:p>
    <w:p>
      <w:pPr>
        <w:wordWrap w:val="0"/>
        <w:ind w:firstLine="480" w:firstLineChars="200"/>
      </w:pPr>
      <w:r>
        <w:rPr>
          <w:rFonts w:hint="eastAsia"/>
        </w:rPr>
        <w:t>八、不在开标后进行虚假恶意投诉;</w:t>
      </w:r>
    </w:p>
    <w:p>
      <w:pPr>
        <w:wordWrap w:val="0"/>
        <w:ind w:firstLine="480" w:firstLineChars="200"/>
      </w:pPr>
      <w:r>
        <w:rPr>
          <w:rFonts w:hint="eastAsia"/>
        </w:rPr>
        <w:t>九、中标后不得将招标文件规定不予转包、分包的项目转包、分包于他人。</w:t>
      </w:r>
    </w:p>
    <w:p>
      <w:pPr>
        <w:wordWrap w:val="0"/>
        <w:ind w:firstLine="480" w:firstLineChars="200"/>
      </w:pPr>
      <w:r>
        <w:rPr>
          <w:rFonts w:hint="eastAsia"/>
        </w:rPr>
        <w:t>本公司若有违反本承诺内容的行为，愿意承担法律责任，包括：愿意接受相关行政主管部门作出的处罚，愿意接受监督管理部门作出的罚没履约保证金或者现金处罚、限制交易和停止交易等市场准入与清出的处理。</w:t>
      </w:r>
    </w:p>
    <w:p>
      <w:pPr>
        <w:wordWrap w:val="0"/>
      </w:pPr>
    </w:p>
    <w:p>
      <w:pPr>
        <w:wordWrap w:val="0"/>
        <w:ind w:firstLine="3120" w:firstLineChars="1300"/>
      </w:pPr>
      <w:r>
        <w:rPr>
          <w:rFonts w:hint="eastAsia"/>
        </w:rPr>
        <w:t>投标人名称（并加盖公章）：</w:t>
      </w:r>
    </w:p>
    <w:p>
      <w:pPr>
        <w:wordWrap w:val="0"/>
        <w:ind w:firstLine="3120" w:firstLineChars="1300"/>
      </w:pPr>
      <w:r>
        <w:rPr>
          <w:rFonts w:hint="eastAsia"/>
        </w:rPr>
        <w:t>签署日期：   年   月  日</w:t>
      </w:r>
    </w:p>
    <w:p>
      <w:r>
        <w:rPr>
          <w:rFonts w:hint="eastAsia"/>
        </w:rPr>
        <w:br w:type="page"/>
      </w:r>
    </w:p>
    <w:p>
      <w:pPr>
        <w:wordWrap w:val="0"/>
        <w:jc w:val="center"/>
        <w:rPr>
          <w:b/>
          <w:bCs/>
        </w:rPr>
      </w:pPr>
      <w:r>
        <w:rPr>
          <w:rFonts w:hint="eastAsia"/>
          <w:b/>
          <w:bCs/>
        </w:rPr>
        <w:t>3.6 投标人提供与参加本项目投标的其他供应商之间，单位负责人不为同一人并且不存在直接控股、管理关系承诺函</w:t>
      </w:r>
    </w:p>
    <w:p>
      <w:pPr>
        <w:wordWrap w:val="0"/>
        <w:jc w:val="center"/>
      </w:pPr>
      <w:r>
        <w:rPr>
          <w:rFonts w:hint="eastAsia"/>
        </w:rPr>
        <w:t>（承诺函格式自拟）</w:t>
      </w:r>
    </w:p>
    <w:p>
      <w:pPr>
        <w:wordWrap w:val="0"/>
      </w:pPr>
    </w:p>
    <w:p>
      <w:pPr>
        <w:wordWrap w:val="0"/>
      </w:pPr>
    </w:p>
    <w:p>
      <w:pPr>
        <w:wordWrap w:val="0"/>
      </w:pPr>
    </w:p>
    <w:p>
      <w:pPr>
        <w:wordWrap w:val="0"/>
      </w:pPr>
    </w:p>
    <w:p>
      <w:pPr>
        <w:wordWrap w:val="0"/>
      </w:pPr>
    </w:p>
    <w:p>
      <w:pPr>
        <w:wordWrap w:val="0"/>
        <w:jc w:val="center"/>
        <w:rPr>
          <w:b/>
          <w:bCs/>
        </w:rPr>
      </w:pPr>
      <w:r>
        <w:rPr>
          <w:rFonts w:hint="eastAsia"/>
          <w:b/>
          <w:bCs/>
        </w:rPr>
        <w:t>3.7.投标人提供未为本项目提供整体设计、规范编制或者项目管理、监理、检测等服务承诺函</w:t>
      </w:r>
    </w:p>
    <w:p>
      <w:pPr>
        <w:wordWrap w:val="0"/>
        <w:jc w:val="center"/>
      </w:pPr>
      <w:r>
        <w:rPr>
          <w:rFonts w:hint="eastAsia"/>
        </w:rPr>
        <w:t>（承诺函格式自拟）</w:t>
      </w:r>
    </w:p>
    <w:p>
      <w:pPr>
        <w:wordWrap w:val="0"/>
      </w:pPr>
    </w:p>
    <w:p>
      <w:pPr>
        <w:wordWrap w:val="0"/>
      </w:pPr>
    </w:p>
    <w:p>
      <w:pPr>
        <w:wordWrap w:val="0"/>
      </w:pPr>
    </w:p>
    <w:p>
      <w:pPr>
        <w:wordWrap w:val="0"/>
      </w:pPr>
    </w:p>
    <w:p>
      <w:pPr>
        <w:wordWrap w:val="0"/>
        <w:jc w:val="center"/>
        <w:rPr>
          <w:b/>
          <w:bCs/>
        </w:rPr>
      </w:pPr>
      <w:r>
        <w:rPr>
          <w:rFonts w:hint="eastAsia"/>
          <w:b/>
          <w:bCs/>
        </w:rPr>
        <w:t>3.8其他资格证书或材料</w:t>
      </w:r>
    </w:p>
    <w:p>
      <w:r>
        <w:rPr>
          <w:rFonts w:hint="eastAsia"/>
        </w:rPr>
        <w:br w:type="page"/>
      </w:r>
    </w:p>
    <w:p>
      <w:pPr>
        <w:pStyle w:val="6"/>
        <w:jc w:val="center"/>
      </w:pPr>
      <w:r>
        <w:rPr>
          <w:rFonts w:hint="eastAsia"/>
        </w:rPr>
        <w:t>四、符合性审查证明材料</w:t>
      </w:r>
    </w:p>
    <w:p>
      <w:pPr>
        <w:wordWrap w:val="0"/>
        <w:jc w:val="center"/>
        <w:rPr>
          <w:b/>
          <w:bCs/>
        </w:rPr>
      </w:pPr>
      <w:r>
        <w:rPr>
          <w:rFonts w:hint="eastAsia"/>
          <w:b/>
          <w:bCs/>
        </w:rPr>
        <w:t>4.1投标分项报价表</w:t>
      </w:r>
    </w:p>
    <w:p>
      <w:pPr>
        <w:wordWrap w:val="0"/>
        <w:jc w:val="center"/>
      </w:pPr>
      <w:r>
        <w:rPr>
          <w:rFonts w:hint="eastAsia"/>
        </w:rPr>
        <w:t>（投标人根据采购清单格式自行编制）</w:t>
      </w:r>
    </w:p>
    <w:p>
      <w:r>
        <w:rPr>
          <w:rFonts w:hint="eastAsia"/>
        </w:rPr>
        <w:br w:type="page"/>
      </w:r>
    </w:p>
    <w:p>
      <w:pPr>
        <w:wordWrap w:val="0"/>
        <w:jc w:val="center"/>
        <w:rPr>
          <w:b/>
          <w:bCs/>
        </w:rPr>
      </w:pPr>
      <w:r>
        <w:rPr>
          <w:rFonts w:hint="eastAsia"/>
          <w:b/>
          <w:bCs/>
        </w:rPr>
        <w:t>4.2技术服务要求响应表</w:t>
      </w:r>
    </w:p>
    <w:p>
      <w:pPr>
        <w:wordWrap w:val="0"/>
      </w:pPr>
    </w:p>
    <w:p>
      <w:pPr>
        <w:wordWrap w:val="0"/>
      </w:pPr>
      <w:r>
        <w:rPr>
          <w:rFonts w:hint="eastAsia"/>
        </w:rPr>
        <w:t>招标项目名称：</w:t>
      </w:r>
    </w:p>
    <w:p>
      <w:pPr>
        <w:wordWrap w:val="0"/>
      </w:pPr>
      <w:r>
        <w:rPr>
          <w:rFonts w:hint="eastAsia"/>
        </w:rPr>
        <w:t>招标项目编号：</w:t>
      </w:r>
    </w:p>
    <w:tbl>
      <w:tblPr>
        <w:tblStyle w:val="13"/>
        <w:tblW w:w="9804"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82"/>
        <w:gridCol w:w="1586"/>
        <w:gridCol w:w="2410"/>
        <w:gridCol w:w="1870"/>
        <w:gridCol w:w="1957"/>
        <w:gridCol w:w="1199"/>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82" w:type="dxa"/>
            <w:tcBorders>
              <w:right w:val="single" w:color="auto" w:sz="4" w:space="0"/>
            </w:tcBorders>
            <w:vAlign w:val="center"/>
          </w:tcPr>
          <w:p>
            <w:pPr>
              <w:autoSpaceDE w:val="0"/>
              <w:autoSpaceDN w:val="0"/>
              <w:adjustRightInd w:val="0"/>
              <w:jc w:val="center"/>
              <w:rPr>
                <w:rFonts w:ascii="宋体" w:hAnsi="宋体" w:eastAsia="宋体" w:cs="Arial"/>
                <w:color w:val="000000"/>
              </w:rPr>
            </w:pPr>
            <w:r>
              <w:rPr>
                <w:rFonts w:ascii="宋体" w:hAnsi="宋体" w:eastAsia="宋体" w:cs="Arial"/>
                <w:color w:val="000000"/>
              </w:rPr>
              <w:t>序号</w:t>
            </w:r>
          </w:p>
        </w:tc>
        <w:tc>
          <w:tcPr>
            <w:tcW w:w="1586" w:type="dxa"/>
            <w:tcBorders>
              <w:left w:val="single" w:color="auto" w:sz="4" w:space="0"/>
              <w:right w:val="single" w:color="auto" w:sz="4" w:space="0"/>
            </w:tcBorders>
            <w:vAlign w:val="center"/>
          </w:tcPr>
          <w:p>
            <w:pPr>
              <w:autoSpaceDE w:val="0"/>
              <w:autoSpaceDN w:val="0"/>
              <w:adjustRightInd w:val="0"/>
              <w:jc w:val="center"/>
              <w:rPr>
                <w:rFonts w:ascii="宋体" w:hAnsi="宋体" w:eastAsia="宋体" w:cs="Arial"/>
                <w:color w:val="000000"/>
              </w:rPr>
            </w:pPr>
            <w:r>
              <w:rPr>
                <w:rFonts w:hint="eastAsia" w:ascii="宋体" w:hAnsi="宋体" w:eastAsia="宋体" w:cs="Arial"/>
                <w:color w:val="000000"/>
              </w:rPr>
              <w:t>分项名称</w:t>
            </w:r>
          </w:p>
        </w:tc>
        <w:tc>
          <w:tcPr>
            <w:tcW w:w="2410" w:type="dxa"/>
            <w:tcBorders>
              <w:left w:val="single" w:color="auto" w:sz="4" w:space="0"/>
            </w:tcBorders>
            <w:vAlign w:val="center"/>
          </w:tcPr>
          <w:p>
            <w:pPr>
              <w:autoSpaceDE w:val="0"/>
              <w:autoSpaceDN w:val="0"/>
              <w:adjustRightInd w:val="0"/>
              <w:jc w:val="center"/>
              <w:rPr>
                <w:rFonts w:ascii="宋体" w:hAnsi="宋体" w:eastAsia="宋体" w:cs="Arial"/>
                <w:color w:val="000000"/>
              </w:rPr>
            </w:pPr>
            <w:r>
              <w:rPr>
                <w:rFonts w:hint="eastAsia" w:ascii="宋体" w:hAnsi="宋体" w:eastAsia="宋体" w:cs="Arial"/>
                <w:color w:val="000000"/>
              </w:rPr>
              <w:t>招</w:t>
            </w:r>
            <w:r>
              <w:rPr>
                <w:rFonts w:ascii="宋体" w:hAnsi="宋体" w:eastAsia="宋体" w:cs="Arial"/>
                <w:color w:val="000000"/>
              </w:rPr>
              <w:t>标</w:t>
            </w:r>
            <w:r>
              <w:rPr>
                <w:rFonts w:hint="eastAsia" w:ascii="宋体" w:hAnsi="宋体" w:eastAsia="宋体" w:cs="Arial"/>
                <w:color w:val="000000"/>
              </w:rPr>
              <w:t>文件的技</w:t>
            </w:r>
            <w:r>
              <w:rPr>
                <w:rFonts w:ascii="宋体" w:hAnsi="宋体" w:eastAsia="宋体" w:cs="Arial"/>
                <w:color w:val="000000"/>
              </w:rPr>
              <w:t>术</w:t>
            </w:r>
            <w:r>
              <w:rPr>
                <w:rFonts w:hint="eastAsia" w:ascii="宋体" w:hAnsi="宋体" w:eastAsia="宋体" w:cs="Arial"/>
                <w:color w:val="000000"/>
              </w:rPr>
              <w:t>指标</w:t>
            </w:r>
          </w:p>
        </w:tc>
        <w:tc>
          <w:tcPr>
            <w:tcW w:w="1870" w:type="dxa"/>
            <w:vAlign w:val="center"/>
          </w:tcPr>
          <w:p>
            <w:pPr>
              <w:autoSpaceDE w:val="0"/>
              <w:autoSpaceDN w:val="0"/>
              <w:adjustRightInd w:val="0"/>
              <w:jc w:val="center"/>
              <w:rPr>
                <w:rFonts w:ascii="宋体" w:hAnsi="宋体" w:eastAsia="宋体" w:cs="Arial"/>
                <w:color w:val="000000"/>
              </w:rPr>
            </w:pPr>
            <w:r>
              <w:rPr>
                <w:rFonts w:hint="eastAsia" w:ascii="宋体" w:hAnsi="宋体" w:eastAsia="宋体" w:cs="Arial"/>
                <w:color w:val="000000"/>
              </w:rPr>
              <w:t>投</w:t>
            </w:r>
            <w:r>
              <w:rPr>
                <w:rFonts w:ascii="宋体" w:hAnsi="宋体" w:eastAsia="宋体" w:cs="Arial"/>
                <w:color w:val="000000"/>
              </w:rPr>
              <w:t>标</w:t>
            </w:r>
            <w:r>
              <w:rPr>
                <w:rFonts w:hint="eastAsia" w:ascii="宋体" w:hAnsi="宋体" w:eastAsia="宋体" w:cs="Arial"/>
                <w:color w:val="000000"/>
              </w:rPr>
              <w:t>文件的技</w:t>
            </w:r>
            <w:r>
              <w:rPr>
                <w:rFonts w:ascii="宋体" w:hAnsi="宋体" w:eastAsia="宋体" w:cs="Arial"/>
                <w:color w:val="000000"/>
              </w:rPr>
              <w:t>术</w:t>
            </w:r>
            <w:r>
              <w:rPr>
                <w:rFonts w:hint="eastAsia" w:ascii="宋体" w:hAnsi="宋体" w:eastAsia="宋体" w:cs="Arial"/>
                <w:color w:val="000000"/>
              </w:rPr>
              <w:t>指标</w:t>
            </w:r>
          </w:p>
        </w:tc>
        <w:tc>
          <w:tcPr>
            <w:tcW w:w="1957" w:type="dxa"/>
            <w:vAlign w:val="center"/>
          </w:tcPr>
          <w:p>
            <w:pPr>
              <w:autoSpaceDE w:val="0"/>
              <w:autoSpaceDN w:val="0"/>
              <w:adjustRightInd w:val="0"/>
              <w:jc w:val="center"/>
              <w:rPr>
                <w:rFonts w:ascii="宋体" w:hAnsi="宋体" w:eastAsia="宋体" w:cs="Arial"/>
                <w:color w:val="000000"/>
              </w:rPr>
            </w:pPr>
            <w:r>
              <w:rPr>
                <w:rFonts w:hint="eastAsia" w:ascii="宋体" w:hAnsi="宋体" w:eastAsia="宋体" w:cs="Arial"/>
                <w:color w:val="000000"/>
              </w:rPr>
              <w:t>偏离</w:t>
            </w:r>
          </w:p>
          <w:p>
            <w:pPr>
              <w:autoSpaceDE w:val="0"/>
              <w:autoSpaceDN w:val="0"/>
              <w:adjustRightInd w:val="0"/>
              <w:jc w:val="center"/>
              <w:rPr>
                <w:rFonts w:ascii="宋体" w:hAnsi="宋体" w:eastAsia="宋体" w:cs="Arial"/>
                <w:color w:val="000000"/>
              </w:rPr>
            </w:pPr>
            <w:r>
              <w:rPr>
                <w:rFonts w:hint="eastAsia" w:ascii="宋体" w:hAnsi="宋体" w:eastAsia="宋体" w:cs="Arial"/>
                <w:color w:val="000000"/>
              </w:rPr>
              <w:t>（无偏离</w:t>
            </w:r>
            <w:r>
              <w:rPr>
                <w:rFonts w:ascii="宋体" w:hAnsi="宋体" w:eastAsia="宋体" w:cs="Arial"/>
                <w:color w:val="000000"/>
              </w:rPr>
              <w:t>/正偏离/负偏离）</w:t>
            </w:r>
          </w:p>
        </w:tc>
        <w:tc>
          <w:tcPr>
            <w:tcW w:w="1199" w:type="dxa"/>
            <w:vAlign w:val="center"/>
          </w:tcPr>
          <w:p>
            <w:pPr>
              <w:jc w:val="center"/>
              <w:rPr>
                <w:rFonts w:ascii="宋体" w:hAnsi="宋体" w:eastAsia="宋体" w:cs="Arial"/>
                <w:color w:val="000000"/>
              </w:rPr>
            </w:pPr>
            <w:r>
              <w:rPr>
                <w:rFonts w:hint="eastAsia" w:ascii="宋体" w:hAnsi="宋体" w:eastAsia="宋体" w:cs="Arial"/>
                <w:color w:val="000000"/>
              </w:rPr>
              <w:t>偏离内容</w:t>
            </w:r>
          </w:p>
          <w:p>
            <w:pPr>
              <w:autoSpaceDE w:val="0"/>
              <w:autoSpaceDN w:val="0"/>
              <w:adjustRightInd w:val="0"/>
              <w:jc w:val="center"/>
              <w:rPr>
                <w:rFonts w:ascii="宋体" w:hAnsi="宋体" w:eastAsia="宋体" w:cs="Arial"/>
                <w:color w:val="000000"/>
              </w:rPr>
            </w:pPr>
            <w:r>
              <w:rPr>
                <w:rFonts w:hint="eastAsia" w:ascii="宋体" w:hAnsi="宋体" w:eastAsia="宋体" w:cs="Arial"/>
                <w:color w:val="000000"/>
              </w:rPr>
              <w:t>说明</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82" w:type="dxa"/>
            <w:tcBorders>
              <w:right w:val="single" w:color="auto" w:sz="4" w:space="0"/>
            </w:tcBorders>
            <w:vAlign w:val="center"/>
          </w:tcPr>
          <w:p>
            <w:pPr>
              <w:autoSpaceDE w:val="0"/>
              <w:autoSpaceDN w:val="0"/>
              <w:adjustRightInd w:val="0"/>
              <w:jc w:val="center"/>
              <w:rPr>
                <w:rFonts w:ascii="宋体" w:hAnsi="宋体" w:eastAsia="宋体" w:cs="Arial"/>
                <w:color w:val="000000"/>
              </w:rPr>
            </w:pPr>
            <w:r>
              <w:rPr>
                <w:rFonts w:ascii="宋体" w:hAnsi="宋体" w:eastAsia="宋体" w:cs="Arial"/>
                <w:color w:val="000000"/>
              </w:rPr>
              <w:t>1</w:t>
            </w:r>
          </w:p>
        </w:tc>
        <w:tc>
          <w:tcPr>
            <w:tcW w:w="1586" w:type="dxa"/>
            <w:tcBorders>
              <w:left w:val="single" w:color="auto" w:sz="4" w:space="0"/>
            </w:tcBorders>
            <w:vAlign w:val="center"/>
          </w:tcPr>
          <w:p>
            <w:pPr>
              <w:autoSpaceDE w:val="0"/>
              <w:autoSpaceDN w:val="0"/>
              <w:adjustRightInd w:val="0"/>
              <w:jc w:val="center"/>
              <w:rPr>
                <w:rFonts w:ascii="宋体" w:hAnsi="宋体" w:eastAsia="宋体" w:cs="Arial"/>
                <w:color w:val="000000"/>
              </w:rPr>
            </w:pPr>
          </w:p>
        </w:tc>
        <w:tc>
          <w:tcPr>
            <w:tcW w:w="2410" w:type="dxa"/>
            <w:vAlign w:val="center"/>
          </w:tcPr>
          <w:p>
            <w:pPr>
              <w:autoSpaceDE w:val="0"/>
              <w:autoSpaceDN w:val="0"/>
              <w:adjustRightInd w:val="0"/>
              <w:jc w:val="center"/>
              <w:rPr>
                <w:rFonts w:ascii="宋体" w:hAnsi="宋体" w:eastAsia="宋体" w:cs="Arial"/>
                <w:color w:val="000000"/>
              </w:rPr>
            </w:pPr>
          </w:p>
        </w:tc>
        <w:tc>
          <w:tcPr>
            <w:tcW w:w="1870" w:type="dxa"/>
            <w:vAlign w:val="center"/>
          </w:tcPr>
          <w:p>
            <w:pPr>
              <w:autoSpaceDE w:val="0"/>
              <w:autoSpaceDN w:val="0"/>
              <w:adjustRightInd w:val="0"/>
              <w:jc w:val="center"/>
              <w:rPr>
                <w:rFonts w:ascii="宋体" w:hAnsi="宋体" w:eastAsia="宋体" w:cs="Arial"/>
                <w:color w:val="000000"/>
              </w:rPr>
            </w:pPr>
          </w:p>
        </w:tc>
        <w:tc>
          <w:tcPr>
            <w:tcW w:w="1957" w:type="dxa"/>
            <w:vAlign w:val="center"/>
          </w:tcPr>
          <w:p>
            <w:pPr>
              <w:autoSpaceDE w:val="0"/>
              <w:autoSpaceDN w:val="0"/>
              <w:adjustRightInd w:val="0"/>
              <w:jc w:val="center"/>
              <w:rPr>
                <w:rFonts w:ascii="宋体" w:hAnsi="宋体" w:eastAsia="宋体" w:cs="Arial"/>
                <w:color w:val="000000"/>
              </w:rPr>
            </w:pPr>
          </w:p>
        </w:tc>
        <w:tc>
          <w:tcPr>
            <w:tcW w:w="1199" w:type="dxa"/>
            <w:vAlign w:val="center"/>
          </w:tcPr>
          <w:p>
            <w:pPr>
              <w:autoSpaceDE w:val="0"/>
              <w:autoSpaceDN w:val="0"/>
              <w:adjustRightInd w:val="0"/>
              <w:jc w:val="center"/>
              <w:rPr>
                <w:rFonts w:ascii="宋体" w:hAnsi="宋体" w:eastAsia="宋体" w:cs="Arial"/>
                <w:color w:val="000000"/>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82" w:type="dxa"/>
            <w:tcBorders>
              <w:right w:val="single" w:color="auto" w:sz="4" w:space="0"/>
            </w:tcBorders>
            <w:vAlign w:val="center"/>
          </w:tcPr>
          <w:p>
            <w:pPr>
              <w:autoSpaceDE w:val="0"/>
              <w:autoSpaceDN w:val="0"/>
              <w:adjustRightInd w:val="0"/>
              <w:jc w:val="center"/>
              <w:rPr>
                <w:rFonts w:ascii="宋体" w:hAnsi="宋体" w:cs="Arial"/>
                <w:color w:val="000000"/>
              </w:rPr>
            </w:pPr>
            <w:r>
              <w:rPr>
                <w:rFonts w:ascii="宋体" w:hAnsi="宋体" w:cs="Arial"/>
                <w:color w:val="000000"/>
              </w:rPr>
              <w:t>2</w:t>
            </w:r>
          </w:p>
        </w:tc>
        <w:tc>
          <w:tcPr>
            <w:tcW w:w="1586" w:type="dxa"/>
            <w:tcBorders>
              <w:left w:val="single" w:color="auto" w:sz="4" w:space="0"/>
            </w:tcBorders>
            <w:vAlign w:val="center"/>
          </w:tcPr>
          <w:p>
            <w:pPr>
              <w:autoSpaceDE w:val="0"/>
              <w:autoSpaceDN w:val="0"/>
              <w:adjustRightInd w:val="0"/>
              <w:jc w:val="center"/>
              <w:rPr>
                <w:rFonts w:ascii="宋体" w:hAnsi="宋体" w:cs="Arial"/>
                <w:color w:val="000000"/>
              </w:rPr>
            </w:pPr>
          </w:p>
        </w:tc>
        <w:tc>
          <w:tcPr>
            <w:tcW w:w="2410" w:type="dxa"/>
            <w:vAlign w:val="center"/>
          </w:tcPr>
          <w:p>
            <w:pPr>
              <w:autoSpaceDE w:val="0"/>
              <w:autoSpaceDN w:val="0"/>
              <w:adjustRightInd w:val="0"/>
              <w:jc w:val="center"/>
              <w:rPr>
                <w:rFonts w:ascii="宋体" w:hAnsi="宋体" w:cs="Arial"/>
                <w:color w:val="000000"/>
              </w:rPr>
            </w:pPr>
          </w:p>
        </w:tc>
        <w:tc>
          <w:tcPr>
            <w:tcW w:w="1870" w:type="dxa"/>
            <w:vAlign w:val="center"/>
          </w:tcPr>
          <w:p>
            <w:pPr>
              <w:autoSpaceDE w:val="0"/>
              <w:autoSpaceDN w:val="0"/>
              <w:adjustRightInd w:val="0"/>
              <w:jc w:val="center"/>
              <w:rPr>
                <w:rFonts w:ascii="宋体" w:hAnsi="宋体" w:cs="Arial"/>
                <w:color w:val="000000"/>
              </w:rPr>
            </w:pPr>
          </w:p>
        </w:tc>
        <w:tc>
          <w:tcPr>
            <w:tcW w:w="1957" w:type="dxa"/>
            <w:vAlign w:val="center"/>
          </w:tcPr>
          <w:p>
            <w:pPr>
              <w:autoSpaceDE w:val="0"/>
              <w:autoSpaceDN w:val="0"/>
              <w:adjustRightInd w:val="0"/>
              <w:jc w:val="center"/>
              <w:rPr>
                <w:rFonts w:ascii="宋体" w:hAnsi="宋体" w:cs="Arial"/>
                <w:color w:val="000000"/>
              </w:rPr>
            </w:pPr>
          </w:p>
        </w:tc>
        <w:tc>
          <w:tcPr>
            <w:tcW w:w="1199" w:type="dxa"/>
            <w:vAlign w:val="center"/>
          </w:tcPr>
          <w:p>
            <w:pPr>
              <w:autoSpaceDE w:val="0"/>
              <w:autoSpaceDN w:val="0"/>
              <w:adjustRightInd w:val="0"/>
              <w:jc w:val="center"/>
              <w:rPr>
                <w:rFonts w:ascii="宋体" w:hAnsi="宋体" w:cs="Arial"/>
                <w:color w:val="000000"/>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82" w:type="dxa"/>
            <w:tcBorders>
              <w:right w:val="single" w:color="auto" w:sz="4" w:space="0"/>
            </w:tcBorders>
            <w:vAlign w:val="center"/>
          </w:tcPr>
          <w:p>
            <w:pPr>
              <w:autoSpaceDE w:val="0"/>
              <w:autoSpaceDN w:val="0"/>
              <w:adjustRightInd w:val="0"/>
              <w:jc w:val="center"/>
              <w:rPr>
                <w:rFonts w:ascii="宋体" w:hAnsi="宋体" w:cs="Arial"/>
                <w:color w:val="000000"/>
              </w:rPr>
            </w:pPr>
            <w:r>
              <w:rPr>
                <w:rFonts w:ascii="宋体" w:hAnsi="宋体" w:cs="Arial"/>
                <w:color w:val="000000"/>
              </w:rPr>
              <w:t>3</w:t>
            </w:r>
          </w:p>
        </w:tc>
        <w:tc>
          <w:tcPr>
            <w:tcW w:w="1586" w:type="dxa"/>
            <w:tcBorders>
              <w:left w:val="single" w:color="auto" w:sz="4" w:space="0"/>
            </w:tcBorders>
            <w:vAlign w:val="center"/>
          </w:tcPr>
          <w:p>
            <w:pPr>
              <w:autoSpaceDE w:val="0"/>
              <w:autoSpaceDN w:val="0"/>
              <w:adjustRightInd w:val="0"/>
              <w:jc w:val="center"/>
              <w:rPr>
                <w:rFonts w:ascii="宋体" w:hAnsi="宋体" w:cs="Arial"/>
                <w:color w:val="000000"/>
              </w:rPr>
            </w:pPr>
          </w:p>
        </w:tc>
        <w:tc>
          <w:tcPr>
            <w:tcW w:w="2410" w:type="dxa"/>
            <w:vAlign w:val="center"/>
          </w:tcPr>
          <w:p>
            <w:pPr>
              <w:autoSpaceDE w:val="0"/>
              <w:autoSpaceDN w:val="0"/>
              <w:adjustRightInd w:val="0"/>
              <w:jc w:val="center"/>
              <w:rPr>
                <w:rFonts w:ascii="宋体" w:hAnsi="宋体" w:cs="Arial"/>
                <w:color w:val="000000"/>
              </w:rPr>
            </w:pPr>
          </w:p>
        </w:tc>
        <w:tc>
          <w:tcPr>
            <w:tcW w:w="1870" w:type="dxa"/>
            <w:vAlign w:val="center"/>
          </w:tcPr>
          <w:p>
            <w:pPr>
              <w:autoSpaceDE w:val="0"/>
              <w:autoSpaceDN w:val="0"/>
              <w:adjustRightInd w:val="0"/>
              <w:jc w:val="center"/>
              <w:rPr>
                <w:rFonts w:ascii="宋体" w:hAnsi="宋体" w:cs="Arial"/>
                <w:color w:val="000000"/>
              </w:rPr>
            </w:pPr>
          </w:p>
        </w:tc>
        <w:tc>
          <w:tcPr>
            <w:tcW w:w="1957" w:type="dxa"/>
            <w:vAlign w:val="center"/>
          </w:tcPr>
          <w:p>
            <w:pPr>
              <w:autoSpaceDE w:val="0"/>
              <w:autoSpaceDN w:val="0"/>
              <w:adjustRightInd w:val="0"/>
              <w:jc w:val="center"/>
              <w:rPr>
                <w:rFonts w:ascii="宋体" w:hAnsi="宋体" w:cs="Arial"/>
                <w:color w:val="000000"/>
              </w:rPr>
            </w:pPr>
          </w:p>
        </w:tc>
        <w:tc>
          <w:tcPr>
            <w:tcW w:w="1199" w:type="dxa"/>
            <w:vAlign w:val="center"/>
          </w:tcPr>
          <w:p>
            <w:pPr>
              <w:autoSpaceDE w:val="0"/>
              <w:autoSpaceDN w:val="0"/>
              <w:adjustRightInd w:val="0"/>
              <w:jc w:val="center"/>
              <w:rPr>
                <w:rFonts w:ascii="宋体" w:hAnsi="宋体" w:cs="Arial"/>
                <w:color w:val="000000"/>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82" w:type="dxa"/>
            <w:tcBorders>
              <w:right w:val="single" w:color="auto" w:sz="4" w:space="0"/>
            </w:tcBorders>
            <w:vAlign w:val="center"/>
          </w:tcPr>
          <w:p>
            <w:pPr>
              <w:autoSpaceDE w:val="0"/>
              <w:autoSpaceDN w:val="0"/>
              <w:adjustRightInd w:val="0"/>
              <w:jc w:val="center"/>
              <w:rPr>
                <w:rFonts w:ascii="宋体" w:hAnsi="宋体" w:cs="Arial"/>
                <w:color w:val="000000"/>
              </w:rPr>
            </w:pPr>
            <w:r>
              <w:rPr>
                <w:rFonts w:ascii="宋体" w:hAnsi="宋体" w:cs="Arial"/>
                <w:color w:val="000000"/>
              </w:rPr>
              <w:t>4</w:t>
            </w:r>
          </w:p>
        </w:tc>
        <w:tc>
          <w:tcPr>
            <w:tcW w:w="1586" w:type="dxa"/>
            <w:tcBorders>
              <w:left w:val="single" w:color="auto" w:sz="4" w:space="0"/>
            </w:tcBorders>
            <w:vAlign w:val="center"/>
          </w:tcPr>
          <w:p>
            <w:pPr>
              <w:autoSpaceDE w:val="0"/>
              <w:autoSpaceDN w:val="0"/>
              <w:adjustRightInd w:val="0"/>
              <w:jc w:val="center"/>
              <w:rPr>
                <w:rFonts w:ascii="宋体" w:hAnsi="宋体" w:cs="Arial"/>
                <w:color w:val="000000"/>
              </w:rPr>
            </w:pPr>
          </w:p>
        </w:tc>
        <w:tc>
          <w:tcPr>
            <w:tcW w:w="2410" w:type="dxa"/>
            <w:vAlign w:val="center"/>
          </w:tcPr>
          <w:p>
            <w:pPr>
              <w:autoSpaceDE w:val="0"/>
              <w:autoSpaceDN w:val="0"/>
              <w:adjustRightInd w:val="0"/>
              <w:jc w:val="center"/>
              <w:rPr>
                <w:rFonts w:ascii="宋体" w:hAnsi="宋体" w:cs="Arial"/>
                <w:color w:val="000000"/>
              </w:rPr>
            </w:pPr>
          </w:p>
        </w:tc>
        <w:tc>
          <w:tcPr>
            <w:tcW w:w="1870" w:type="dxa"/>
            <w:vAlign w:val="center"/>
          </w:tcPr>
          <w:p>
            <w:pPr>
              <w:autoSpaceDE w:val="0"/>
              <w:autoSpaceDN w:val="0"/>
              <w:adjustRightInd w:val="0"/>
              <w:jc w:val="center"/>
              <w:rPr>
                <w:rFonts w:ascii="宋体" w:hAnsi="宋体" w:cs="Arial"/>
                <w:color w:val="000000"/>
              </w:rPr>
            </w:pPr>
          </w:p>
        </w:tc>
        <w:tc>
          <w:tcPr>
            <w:tcW w:w="1957" w:type="dxa"/>
            <w:vAlign w:val="center"/>
          </w:tcPr>
          <w:p>
            <w:pPr>
              <w:autoSpaceDE w:val="0"/>
              <w:autoSpaceDN w:val="0"/>
              <w:adjustRightInd w:val="0"/>
              <w:jc w:val="center"/>
              <w:rPr>
                <w:rFonts w:ascii="宋体" w:hAnsi="宋体" w:cs="Arial"/>
                <w:color w:val="000000"/>
              </w:rPr>
            </w:pPr>
          </w:p>
        </w:tc>
        <w:tc>
          <w:tcPr>
            <w:tcW w:w="1199" w:type="dxa"/>
            <w:vAlign w:val="center"/>
          </w:tcPr>
          <w:p>
            <w:pPr>
              <w:autoSpaceDE w:val="0"/>
              <w:autoSpaceDN w:val="0"/>
              <w:adjustRightInd w:val="0"/>
              <w:jc w:val="center"/>
              <w:rPr>
                <w:rFonts w:ascii="宋体" w:hAnsi="宋体" w:cs="Arial"/>
                <w:color w:val="000000"/>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82" w:type="dxa"/>
            <w:tcBorders>
              <w:right w:val="single" w:color="auto" w:sz="4" w:space="0"/>
            </w:tcBorders>
            <w:vAlign w:val="center"/>
          </w:tcPr>
          <w:p>
            <w:pPr>
              <w:autoSpaceDE w:val="0"/>
              <w:autoSpaceDN w:val="0"/>
              <w:adjustRightInd w:val="0"/>
              <w:jc w:val="center"/>
              <w:rPr>
                <w:rFonts w:ascii="宋体" w:hAnsi="宋体" w:cs="Arial"/>
                <w:color w:val="000000"/>
              </w:rPr>
            </w:pPr>
            <w:r>
              <w:rPr>
                <w:rFonts w:ascii="宋体" w:hAnsi="宋体" w:cs="Arial"/>
                <w:color w:val="000000"/>
              </w:rPr>
              <w:t>5</w:t>
            </w:r>
          </w:p>
        </w:tc>
        <w:tc>
          <w:tcPr>
            <w:tcW w:w="1586" w:type="dxa"/>
            <w:tcBorders>
              <w:left w:val="single" w:color="auto" w:sz="4" w:space="0"/>
            </w:tcBorders>
            <w:vAlign w:val="center"/>
          </w:tcPr>
          <w:p>
            <w:pPr>
              <w:autoSpaceDE w:val="0"/>
              <w:autoSpaceDN w:val="0"/>
              <w:adjustRightInd w:val="0"/>
              <w:jc w:val="center"/>
              <w:rPr>
                <w:rFonts w:ascii="宋体" w:hAnsi="宋体" w:cs="Arial"/>
                <w:color w:val="000000"/>
              </w:rPr>
            </w:pPr>
          </w:p>
        </w:tc>
        <w:tc>
          <w:tcPr>
            <w:tcW w:w="2410" w:type="dxa"/>
            <w:vAlign w:val="center"/>
          </w:tcPr>
          <w:p>
            <w:pPr>
              <w:autoSpaceDE w:val="0"/>
              <w:autoSpaceDN w:val="0"/>
              <w:adjustRightInd w:val="0"/>
              <w:jc w:val="center"/>
              <w:rPr>
                <w:rFonts w:ascii="宋体" w:hAnsi="宋体" w:cs="Arial"/>
                <w:color w:val="000000"/>
              </w:rPr>
            </w:pPr>
          </w:p>
        </w:tc>
        <w:tc>
          <w:tcPr>
            <w:tcW w:w="1870" w:type="dxa"/>
            <w:vAlign w:val="center"/>
          </w:tcPr>
          <w:p>
            <w:pPr>
              <w:autoSpaceDE w:val="0"/>
              <w:autoSpaceDN w:val="0"/>
              <w:adjustRightInd w:val="0"/>
              <w:jc w:val="center"/>
              <w:rPr>
                <w:rFonts w:ascii="宋体" w:hAnsi="宋体" w:cs="Arial"/>
                <w:color w:val="000000"/>
              </w:rPr>
            </w:pPr>
          </w:p>
        </w:tc>
        <w:tc>
          <w:tcPr>
            <w:tcW w:w="1957" w:type="dxa"/>
            <w:vAlign w:val="center"/>
          </w:tcPr>
          <w:p>
            <w:pPr>
              <w:autoSpaceDE w:val="0"/>
              <w:autoSpaceDN w:val="0"/>
              <w:adjustRightInd w:val="0"/>
              <w:jc w:val="center"/>
              <w:rPr>
                <w:rFonts w:ascii="宋体" w:hAnsi="宋体" w:cs="Arial"/>
                <w:color w:val="000000"/>
              </w:rPr>
            </w:pPr>
          </w:p>
        </w:tc>
        <w:tc>
          <w:tcPr>
            <w:tcW w:w="1199" w:type="dxa"/>
            <w:vAlign w:val="center"/>
          </w:tcPr>
          <w:p>
            <w:pPr>
              <w:autoSpaceDE w:val="0"/>
              <w:autoSpaceDN w:val="0"/>
              <w:adjustRightInd w:val="0"/>
              <w:jc w:val="center"/>
              <w:rPr>
                <w:rFonts w:ascii="宋体" w:hAnsi="宋体" w:cs="Arial"/>
                <w:color w:val="000000"/>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82" w:type="dxa"/>
            <w:tcBorders>
              <w:right w:val="single" w:color="auto" w:sz="4" w:space="0"/>
            </w:tcBorders>
            <w:vAlign w:val="center"/>
          </w:tcPr>
          <w:p>
            <w:pPr>
              <w:autoSpaceDE w:val="0"/>
              <w:autoSpaceDN w:val="0"/>
              <w:adjustRightInd w:val="0"/>
              <w:jc w:val="center"/>
              <w:rPr>
                <w:rFonts w:ascii="宋体" w:hAnsi="宋体" w:cs="Arial"/>
                <w:color w:val="000000"/>
              </w:rPr>
            </w:pPr>
            <w:r>
              <w:rPr>
                <w:rFonts w:hint="eastAsia" w:ascii="宋体" w:hAnsi="宋体" w:cs="Arial"/>
                <w:color w:val="000000"/>
              </w:rPr>
              <w:t>6</w:t>
            </w:r>
          </w:p>
        </w:tc>
        <w:tc>
          <w:tcPr>
            <w:tcW w:w="1586" w:type="dxa"/>
            <w:tcBorders>
              <w:left w:val="single" w:color="auto" w:sz="4" w:space="0"/>
            </w:tcBorders>
            <w:vAlign w:val="center"/>
          </w:tcPr>
          <w:p>
            <w:pPr>
              <w:autoSpaceDE w:val="0"/>
              <w:autoSpaceDN w:val="0"/>
              <w:adjustRightInd w:val="0"/>
              <w:jc w:val="center"/>
              <w:rPr>
                <w:rFonts w:ascii="宋体" w:hAnsi="宋体" w:cs="Arial"/>
                <w:color w:val="000000"/>
              </w:rPr>
            </w:pPr>
          </w:p>
        </w:tc>
        <w:tc>
          <w:tcPr>
            <w:tcW w:w="2410" w:type="dxa"/>
            <w:vAlign w:val="center"/>
          </w:tcPr>
          <w:p>
            <w:pPr>
              <w:autoSpaceDE w:val="0"/>
              <w:autoSpaceDN w:val="0"/>
              <w:adjustRightInd w:val="0"/>
              <w:jc w:val="center"/>
              <w:rPr>
                <w:rFonts w:ascii="宋体" w:hAnsi="宋体" w:cs="Arial"/>
                <w:color w:val="000000"/>
              </w:rPr>
            </w:pPr>
          </w:p>
        </w:tc>
        <w:tc>
          <w:tcPr>
            <w:tcW w:w="1870" w:type="dxa"/>
            <w:vAlign w:val="center"/>
          </w:tcPr>
          <w:p>
            <w:pPr>
              <w:autoSpaceDE w:val="0"/>
              <w:autoSpaceDN w:val="0"/>
              <w:adjustRightInd w:val="0"/>
              <w:jc w:val="center"/>
              <w:rPr>
                <w:rFonts w:ascii="宋体" w:hAnsi="宋体" w:cs="Arial"/>
                <w:color w:val="000000"/>
              </w:rPr>
            </w:pPr>
          </w:p>
        </w:tc>
        <w:tc>
          <w:tcPr>
            <w:tcW w:w="1957" w:type="dxa"/>
            <w:vAlign w:val="center"/>
          </w:tcPr>
          <w:p>
            <w:pPr>
              <w:autoSpaceDE w:val="0"/>
              <w:autoSpaceDN w:val="0"/>
              <w:adjustRightInd w:val="0"/>
              <w:jc w:val="center"/>
              <w:rPr>
                <w:rFonts w:ascii="宋体" w:hAnsi="宋体" w:cs="Arial"/>
                <w:color w:val="000000"/>
              </w:rPr>
            </w:pPr>
          </w:p>
        </w:tc>
        <w:tc>
          <w:tcPr>
            <w:tcW w:w="1199" w:type="dxa"/>
            <w:vAlign w:val="center"/>
          </w:tcPr>
          <w:p>
            <w:pPr>
              <w:autoSpaceDE w:val="0"/>
              <w:autoSpaceDN w:val="0"/>
              <w:adjustRightInd w:val="0"/>
              <w:jc w:val="center"/>
              <w:rPr>
                <w:rFonts w:ascii="宋体" w:hAnsi="宋体" w:cs="Arial"/>
                <w:color w:val="000000"/>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82" w:type="dxa"/>
            <w:tcBorders>
              <w:right w:val="single" w:color="auto" w:sz="4" w:space="0"/>
            </w:tcBorders>
            <w:vAlign w:val="center"/>
          </w:tcPr>
          <w:p>
            <w:pPr>
              <w:autoSpaceDE w:val="0"/>
              <w:autoSpaceDN w:val="0"/>
              <w:adjustRightInd w:val="0"/>
              <w:jc w:val="center"/>
              <w:rPr>
                <w:rFonts w:ascii="宋体" w:hAnsi="宋体" w:cs="Arial"/>
                <w:color w:val="000000"/>
              </w:rPr>
            </w:pPr>
            <w:r>
              <w:rPr>
                <w:rFonts w:hint="eastAsia" w:ascii="宋体" w:hAnsi="宋体" w:cs="Arial"/>
                <w:color w:val="000000"/>
              </w:rPr>
              <w:t>……</w:t>
            </w:r>
          </w:p>
        </w:tc>
        <w:tc>
          <w:tcPr>
            <w:tcW w:w="1586" w:type="dxa"/>
            <w:tcBorders>
              <w:left w:val="single" w:color="auto" w:sz="4" w:space="0"/>
            </w:tcBorders>
            <w:vAlign w:val="center"/>
          </w:tcPr>
          <w:p>
            <w:pPr>
              <w:autoSpaceDE w:val="0"/>
              <w:autoSpaceDN w:val="0"/>
              <w:adjustRightInd w:val="0"/>
              <w:jc w:val="center"/>
              <w:rPr>
                <w:rFonts w:ascii="宋体" w:hAnsi="宋体" w:cs="Arial"/>
                <w:color w:val="000000"/>
              </w:rPr>
            </w:pPr>
          </w:p>
        </w:tc>
        <w:tc>
          <w:tcPr>
            <w:tcW w:w="2410" w:type="dxa"/>
            <w:vAlign w:val="center"/>
          </w:tcPr>
          <w:p>
            <w:pPr>
              <w:autoSpaceDE w:val="0"/>
              <w:autoSpaceDN w:val="0"/>
              <w:adjustRightInd w:val="0"/>
              <w:jc w:val="center"/>
              <w:rPr>
                <w:rFonts w:ascii="宋体" w:hAnsi="宋体" w:cs="Arial"/>
                <w:color w:val="000000"/>
              </w:rPr>
            </w:pPr>
          </w:p>
        </w:tc>
        <w:tc>
          <w:tcPr>
            <w:tcW w:w="1870" w:type="dxa"/>
            <w:vAlign w:val="center"/>
          </w:tcPr>
          <w:p>
            <w:pPr>
              <w:autoSpaceDE w:val="0"/>
              <w:autoSpaceDN w:val="0"/>
              <w:adjustRightInd w:val="0"/>
              <w:jc w:val="center"/>
              <w:rPr>
                <w:rFonts w:ascii="宋体" w:hAnsi="宋体" w:cs="Arial"/>
                <w:color w:val="000000"/>
              </w:rPr>
            </w:pPr>
          </w:p>
        </w:tc>
        <w:tc>
          <w:tcPr>
            <w:tcW w:w="1957" w:type="dxa"/>
            <w:vAlign w:val="center"/>
          </w:tcPr>
          <w:p>
            <w:pPr>
              <w:autoSpaceDE w:val="0"/>
              <w:autoSpaceDN w:val="0"/>
              <w:adjustRightInd w:val="0"/>
              <w:jc w:val="center"/>
              <w:rPr>
                <w:rFonts w:ascii="宋体" w:hAnsi="宋体" w:cs="Arial"/>
                <w:color w:val="000000"/>
              </w:rPr>
            </w:pPr>
          </w:p>
        </w:tc>
        <w:tc>
          <w:tcPr>
            <w:tcW w:w="1199" w:type="dxa"/>
            <w:vAlign w:val="center"/>
          </w:tcPr>
          <w:p>
            <w:pPr>
              <w:autoSpaceDE w:val="0"/>
              <w:autoSpaceDN w:val="0"/>
              <w:adjustRightInd w:val="0"/>
              <w:jc w:val="center"/>
              <w:rPr>
                <w:rFonts w:ascii="宋体" w:hAnsi="宋体" w:cs="Arial"/>
                <w:color w:val="000000"/>
              </w:rPr>
            </w:pPr>
          </w:p>
        </w:tc>
      </w:tr>
    </w:tbl>
    <w:p>
      <w:pPr>
        <w:wordWrap w:val="0"/>
      </w:pPr>
      <w:r>
        <w:rPr>
          <w:rFonts w:hint="eastAsia"/>
        </w:rPr>
        <w:t>我们承诺本技术指标响应表的内容真实有效，无任何虚假之处，并且愿意承担因不满足此承诺而引起的相应的法律责任并接受相关部门的处罚。</w:t>
      </w:r>
    </w:p>
    <w:p>
      <w:pPr>
        <w:wordWrap w:val="0"/>
        <w:rPr>
          <w:lang w:val="zh-CN"/>
        </w:rPr>
      </w:pPr>
    </w:p>
    <w:p>
      <w:pPr>
        <w:wordWrap w:val="0"/>
        <w:rPr>
          <w:lang w:val="zh-CN"/>
        </w:rPr>
      </w:pPr>
      <w:r>
        <w:rPr>
          <w:rFonts w:hint="eastAsia"/>
          <w:lang w:val="zh-CN"/>
        </w:rPr>
        <w:t>投标人名称：</w:t>
      </w:r>
      <w:r>
        <w:rPr>
          <w:rFonts w:hint="eastAsia"/>
          <w:u w:val="single"/>
          <w:lang w:val="zh-CN"/>
        </w:rPr>
        <w:t xml:space="preserve">     （全称）   </w:t>
      </w:r>
      <w:r>
        <w:rPr>
          <w:rFonts w:hint="eastAsia"/>
          <w:lang w:val="zh-CN"/>
        </w:rPr>
        <w:t>（公章）：</w:t>
      </w:r>
    </w:p>
    <w:p>
      <w:pPr>
        <w:wordWrap w:val="0"/>
        <w:rPr>
          <w:lang w:val="zh-CN"/>
        </w:rPr>
      </w:pPr>
      <w:r>
        <w:rPr>
          <w:rFonts w:hint="eastAsia"/>
          <w:lang w:val="zh-CN"/>
        </w:rPr>
        <w:t>投标人法定代表人（或授权代表）签字：</w:t>
      </w:r>
    </w:p>
    <w:p>
      <w:pPr>
        <w:wordWrap w:val="0"/>
        <w:rPr>
          <w:lang w:val="zh-CN"/>
        </w:rPr>
      </w:pPr>
      <w:r>
        <w:rPr>
          <w:rFonts w:hint="eastAsia"/>
          <w:lang w:val="zh-CN"/>
        </w:rPr>
        <w:t>日期：</w:t>
      </w:r>
    </w:p>
    <w:p>
      <w:r>
        <w:rPr>
          <w:rFonts w:hint="eastAsia"/>
        </w:rPr>
        <w:br w:type="page"/>
      </w:r>
    </w:p>
    <w:p>
      <w:pPr>
        <w:wordWrap w:val="0"/>
        <w:jc w:val="center"/>
        <w:rPr>
          <w:b/>
          <w:bCs/>
        </w:rPr>
      </w:pPr>
      <w:r>
        <w:rPr>
          <w:rFonts w:hint="eastAsia"/>
          <w:b/>
          <w:bCs/>
        </w:rPr>
        <w:t>4.3 技术方案（实施方案）</w:t>
      </w:r>
    </w:p>
    <w:p>
      <w:pPr>
        <w:wordWrap w:val="0"/>
      </w:pPr>
    </w:p>
    <w:p>
      <w:pPr>
        <w:wordWrap w:val="0"/>
        <w:jc w:val="center"/>
      </w:pPr>
      <w:r>
        <w:rPr>
          <w:rFonts w:hint="eastAsia"/>
        </w:rPr>
        <w:t>（投标人根据招标文件要求自行编制）</w:t>
      </w:r>
    </w:p>
    <w:p>
      <w:r>
        <w:rPr>
          <w:rFonts w:hint="eastAsia"/>
        </w:rPr>
        <w:br w:type="page"/>
      </w:r>
    </w:p>
    <w:p>
      <w:pPr>
        <w:wordWrap w:val="0"/>
        <w:jc w:val="center"/>
        <w:rPr>
          <w:b/>
          <w:bCs/>
        </w:rPr>
      </w:pPr>
      <w:r>
        <w:rPr>
          <w:rFonts w:hint="eastAsia"/>
          <w:b/>
          <w:bCs/>
        </w:rPr>
        <w:t>4.4 业绩情况表</w:t>
      </w:r>
    </w:p>
    <w:p>
      <w:pPr>
        <w:wordWrap w:val="0"/>
      </w:pPr>
      <w:r>
        <w:rPr>
          <w:rFonts w:hint="eastAsia"/>
        </w:rPr>
        <w:t>项目编号：</w:t>
      </w:r>
    </w:p>
    <w:p>
      <w:pPr>
        <w:wordWrap w:val="0"/>
      </w:pPr>
      <w:r>
        <w:rPr>
          <w:rFonts w:hint="eastAsia"/>
        </w:rPr>
        <w:t>项目名称：</w:t>
      </w:r>
    </w:p>
    <w:tbl>
      <w:tblPr>
        <w:tblStyle w:val="13"/>
        <w:tblW w:w="92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2118"/>
        <w:gridCol w:w="326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712" w:type="dxa"/>
            <w:shd w:val="clear" w:color="auto" w:fill="F3F3F3"/>
            <w:vAlign w:val="center"/>
          </w:tcPr>
          <w:p>
            <w:pPr>
              <w:pStyle w:val="8"/>
              <w:jc w:val="center"/>
              <w:rPr>
                <w:rFonts w:ascii="宋体" w:hAnsi="宋体" w:eastAsia="宋体" w:cs="Times New Roman"/>
                <w:b/>
                <w:bCs/>
                <w:sz w:val="24"/>
                <w:szCs w:val="24"/>
              </w:rPr>
            </w:pPr>
            <w:r>
              <w:rPr>
                <w:rFonts w:hint="eastAsia" w:ascii="宋体" w:hAnsi="宋体" w:eastAsia="宋体" w:cs="宋体"/>
                <w:b/>
                <w:bCs/>
                <w:sz w:val="24"/>
                <w:szCs w:val="24"/>
              </w:rPr>
              <w:t>序号</w:t>
            </w:r>
          </w:p>
        </w:tc>
        <w:tc>
          <w:tcPr>
            <w:tcW w:w="2118" w:type="dxa"/>
            <w:shd w:val="clear" w:color="auto" w:fill="F3F3F3"/>
            <w:vAlign w:val="center"/>
          </w:tcPr>
          <w:p>
            <w:pPr>
              <w:pStyle w:val="8"/>
              <w:jc w:val="center"/>
              <w:rPr>
                <w:rFonts w:ascii="宋体" w:hAnsi="宋体" w:eastAsia="宋体" w:cs="Times New Roman"/>
                <w:b/>
                <w:bCs/>
                <w:sz w:val="24"/>
                <w:szCs w:val="24"/>
              </w:rPr>
            </w:pPr>
            <w:r>
              <w:rPr>
                <w:rFonts w:hint="eastAsia" w:ascii="宋体" w:hAnsi="宋体" w:eastAsia="宋体" w:cs="宋体"/>
                <w:b/>
                <w:bCs/>
                <w:sz w:val="24"/>
                <w:szCs w:val="24"/>
              </w:rPr>
              <w:t>客户单位名称</w:t>
            </w:r>
          </w:p>
        </w:tc>
        <w:tc>
          <w:tcPr>
            <w:tcW w:w="3269" w:type="dxa"/>
            <w:shd w:val="clear" w:color="auto" w:fill="F3F3F3"/>
            <w:vAlign w:val="center"/>
          </w:tcPr>
          <w:p>
            <w:pPr>
              <w:pStyle w:val="8"/>
              <w:jc w:val="center"/>
              <w:rPr>
                <w:rFonts w:ascii="宋体" w:hAnsi="宋体" w:eastAsia="宋体" w:cs="Times New Roman"/>
                <w:b/>
                <w:bCs/>
                <w:sz w:val="24"/>
                <w:szCs w:val="24"/>
              </w:rPr>
            </w:pPr>
            <w:r>
              <w:rPr>
                <w:rFonts w:hint="eastAsia" w:ascii="宋体" w:hAnsi="宋体" w:eastAsia="宋体" w:cs="宋体"/>
                <w:b/>
                <w:bCs/>
                <w:sz w:val="24"/>
                <w:szCs w:val="24"/>
              </w:rPr>
              <w:t>项目名称及主要内容</w:t>
            </w:r>
          </w:p>
        </w:tc>
        <w:tc>
          <w:tcPr>
            <w:tcW w:w="1440" w:type="dxa"/>
            <w:shd w:val="clear" w:color="auto" w:fill="F3F3F3"/>
            <w:vAlign w:val="center"/>
          </w:tcPr>
          <w:p>
            <w:pPr>
              <w:pStyle w:val="8"/>
              <w:jc w:val="center"/>
              <w:rPr>
                <w:rFonts w:ascii="宋体" w:hAnsi="宋体" w:eastAsia="宋体" w:cs="Times New Roman"/>
                <w:b/>
                <w:bCs/>
                <w:sz w:val="24"/>
                <w:szCs w:val="24"/>
              </w:rPr>
            </w:pPr>
            <w:r>
              <w:rPr>
                <w:rFonts w:hint="eastAsia" w:ascii="宋体" w:hAnsi="宋体" w:eastAsia="宋体" w:cs="宋体"/>
                <w:b/>
                <w:bCs/>
                <w:sz w:val="24"/>
                <w:szCs w:val="24"/>
              </w:rPr>
              <w:t>合同金额（万元）</w:t>
            </w:r>
          </w:p>
        </w:tc>
        <w:tc>
          <w:tcPr>
            <w:tcW w:w="1706" w:type="dxa"/>
            <w:shd w:val="clear" w:color="auto" w:fill="F3F3F3"/>
            <w:vAlign w:val="center"/>
          </w:tcPr>
          <w:p>
            <w:pPr>
              <w:pStyle w:val="8"/>
              <w:jc w:val="center"/>
              <w:rPr>
                <w:rFonts w:ascii="宋体" w:hAnsi="宋体" w:eastAsia="宋体" w:cs="Times New Roman"/>
                <w:b/>
                <w:bCs/>
                <w:sz w:val="24"/>
                <w:szCs w:val="24"/>
              </w:rPr>
            </w:pPr>
            <w:r>
              <w:rPr>
                <w:rFonts w:hint="eastAsia" w:ascii="宋体" w:hAnsi="宋体" w:eastAsia="宋体" w:cs="宋体"/>
                <w:b/>
                <w:bCs/>
                <w:sz w:val="24"/>
                <w:szCs w:val="24"/>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12" w:type="dxa"/>
            <w:vAlign w:val="center"/>
          </w:tcPr>
          <w:p>
            <w:pPr>
              <w:pStyle w:val="8"/>
              <w:jc w:val="center"/>
              <w:rPr>
                <w:rFonts w:ascii="宋体" w:hAnsi="宋体" w:eastAsia="宋体" w:cs="宋体"/>
                <w:sz w:val="24"/>
                <w:szCs w:val="24"/>
              </w:rPr>
            </w:pPr>
            <w:r>
              <w:rPr>
                <w:rFonts w:ascii="宋体" w:hAnsi="宋体" w:eastAsia="宋体" w:cs="宋体"/>
                <w:sz w:val="24"/>
                <w:szCs w:val="24"/>
              </w:rPr>
              <w:t>1</w:t>
            </w:r>
          </w:p>
        </w:tc>
        <w:tc>
          <w:tcPr>
            <w:tcW w:w="2118" w:type="dxa"/>
            <w:vAlign w:val="center"/>
          </w:tcPr>
          <w:p>
            <w:pPr>
              <w:pStyle w:val="8"/>
              <w:jc w:val="center"/>
              <w:rPr>
                <w:rFonts w:ascii="宋体" w:hAnsi="宋体" w:eastAsia="宋体" w:cs="Times New Roman"/>
                <w:sz w:val="24"/>
                <w:szCs w:val="24"/>
              </w:rPr>
            </w:pPr>
          </w:p>
        </w:tc>
        <w:tc>
          <w:tcPr>
            <w:tcW w:w="3269" w:type="dxa"/>
            <w:vAlign w:val="center"/>
          </w:tcPr>
          <w:p>
            <w:pPr>
              <w:pStyle w:val="8"/>
              <w:jc w:val="center"/>
              <w:rPr>
                <w:rFonts w:ascii="宋体" w:hAnsi="宋体" w:eastAsia="宋体" w:cs="Times New Roman"/>
                <w:sz w:val="24"/>
                <w:szCs w:val="24"/>
              </w:rPr>
            </w:pPr>
          </w:p>
        </w:tc>
        <w:tc>
          <w:tcPr>
            <w:tcW w:w="1440" w:type="dxa"/>
            <w:vAlign w:val="center"/>
          </w:tcPr>
          <w:p>
            <w:pPr>
              <w:pStyle w:val="8"/>
              <w:jc w:val="center"/>
              <w:rPr>
                <w:rFonts w:ascii="宋体" w:hAnsi="宋体" w:eastAsia="宋体" w:cs="Times New Roman"/>
                <w:sz w:val="24"/>
                <w:szCs w:val="24"/>
              </w:rPr>
            </w:pPr>
          </w:p>
        </w:tc>
        <w:tc>
          <w:tcPr>
            <w:tcW w:w="1706" w:type="dxa"/>
            <w:vAlign w:val="center"/>
          </w:tcPr>
          <w:p>
            <w:pPr>
              <w:pStyle w:val="8"/>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12" w:type="dxa"/>
            <w:vAlign w:val="center"/>
          </w:tcPr>
          <w:p>
            <w:pPr>
              <w:pStyle w:val="8"/>
              <w:jc w:val="center"/>
              <w:rPr>
                <w:rFonts w:ascii="宋体" w:hAnsi="宋体" w:eastAsia="宋体" w:cs="宋体"/>
                <w:sz w:val="24"/>
                <w:szCs w:val="24"/>
              </w:rPr>
            </w:pPr>
            <w:r>
              <w:rPr>
                <w:rFonts w:ascii="宋体" w:hAnsi="宋体" w:eastAsia="宋体" w:cs="宋体"/>
                <w:sz w:val="24"/>
                <w:szCs w:val="24"/>
              </w:rPr>
              <w:t>2</w:t>
            </w:r>
          </w:p>
        </w:tc>
        <w:tc>
          <w:tcPr>
            <w:tcW w:w="2118" w:type="dxa"/>
            <w:vAlign w:val="center"/>
          </w:tcPr>
          <w:p>
            <w:pPr>
              <w:pStyle w:val="8"/>
              <w:jc w:val="center"/>
              <w:rPr>
                <w:rFonts w:ascii="宋体" w:hAnsi="宋体" w:eastAsia="宋体" w:cs="Times New Roman"/>
                <w:sz w:val="24"/>
                <w:szCs w:val="24"/>
              </w:rPr>
            </w:pPr>
          </w:p>
        </w:tc>
        <w:tc>
          <w:tcPr>
            <w:tcW w:w="3269" w:type="dxa"/>
            <w:vAlign w:val="center"/>
          </w:tcPr>
          <w:p>
            <w:pPr>
              <w:pStyle w:val="8"/>
              <w:jc w:val="center"/>
              <w:rPr>
                <w:rFonts w:ascii="宋体" w:hAnsi="宋体" w:eastAsia="宋体" w:cs="Times New Roman"/>
                <w:sz w:val="24"/>
                <w:szCs w:val="24"/>
              </w:rPr>
            </w:pPr>
          </w:p>
        </w:tc>
        <w:tc>
          <w:tcPr>
            <w:tcW w:w="1440" w:type="dxa"/>
            <w:vAlign w:val="center"/>
          </w:tcPr>
          <w:p>
            <w:pPr>
              <w:pStyle w:val="8"/>
              <w:jc w:val="center"/>
              <w:rPr>
                <w:rFonts w:ascii="宋体" w:hAnsi="宋体" w:eastAsia="宋体" w:cs="Times New Roman"/>
                <w:sz w:val="24"/>
                <w:szCs w:val="24"/>
              </w:rPr>
            </w:pPr>
          </w:p>
        </w:tc>
        <w:tc>
          <w:tcPr>
            <w:tcW w:w="1706" w:type="dxa"/>
            <w:vAlign w:val="center"/>
          </w:tcPr>
          <w:p>
            <w:pPr>
              <w:pStyle w:val="8"/>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12" w:type="dxa"/>
            <w:vAlign w:val="center"/>
          </w:tcPr>
          <w:p>
            <w:pPr>
              <w:pStyle w:val="8"/>
              <w:jc w:val="center"/>
              <w:rPr>
                <w:rFonts w:ascii="宋体" w:hAnsi="宋体" w:eastAsia="宋体" w:cs="宋体"/>
                <w:sz w:val="24"/>
                <w:szCs w:val="24"/>
              </w:rPr>
            </w:pPr>
            <w:r>
              <w:rPr>
                <w:rFonts w:ascii="宋体" w:hAnsi="宋体" w:eastAsia="宋体" w:cs="宋体"/>
                <w:sz w:val="24"/>
                <w:szCs w:val="24"/>
              </w:rPr>
              <w:t>3</w:t>
            </w:r>
          </w:p>
        </w:tc>
        <w:tc>
          <w:tcPr>
            <w:tcW w:w="2118" w:type="dxa"/>
            <w:vAlign w:val="center"/>
          </w:tcPr>
          <w:p>
            <w:pPr>
              <w:pStyle w:val="8"/>
              <w:jc w:val="center"/>
              <w:rPr>
                <w:rFonts w:ascii="宋体" w:hAnsi="宋体" w:eastAsia="宋体" w:cs="Times New Roman"/>
                <w:sz w:val="24"/>
                <w:szCs w:val="24"/>
              </w:rPr>
            </w:pPr>
          </w:p>
        </w:tc>
        <w:tc>
          <w:tcPr>
            <w:tcW w:w="3269" w:type="dxa"/>
            <w:vAlign w:val="center"/>
          </w:tcPr>
          <w:p>
            <w:pPr>
              <w:pStyle w:val="8"/>
              <w:jc w:val="center"/>
              <w:rPr>
                <w:rFonts w:ascii="宋体" w:hAnsi="宋体" w:eastAsia="宋体" w:cs="Times New Roman"/>
                <w:sz w:val="24"/>
                <w:szCs w:val="24"/>
              </w:rPr>
            </w:pPr>
          </w:p>
        </w:tc>
        <w:tc>
          <w:tcPr>
            <w:tcW w:w="1440" w:type="dxa"/>
            <w:vAlign w:val="center"/>
          </w:tcPr>
          <w:p>
            <w:pPr>
              <w:pStyle w:val="8"/>
              <w:jc w:val="center"/>
              <w:rPr>
                <w:rFonts w:ascii="宋体" w:hAnsi="宋体" w:eastAsia="宋体" w:cs="Times New Roman"/>
                <w:sz w:val="24"/>
                <w:szCs w:val="24"/>
              </w:rPr>
            </w:pPr>
          </w:p>
        </w:tc>
        <w:tc>
          <w:tcPr>
            <w:tcW w:w="1706" w:type="dxa"/>
            <w:vAlign w:val="center"/>
          </w:tcPr>
          <w:p>
            <w:pPr>
              <w:pStyle w:val="8"/>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12" w:type="dxa"/>
            <w:vAlign w:val="center"/>
          </w:tcPr>
          <w:p>
            <w:pPr>
              <w:pStyle w:val="8"/>
              <w:jc w:val="center"/>
              <w:rPr>
                <w:rFonts w:ascii="宋体" w:hAnsi="宋体" w:eastAsia="宋体" w:cs="宋体"/>
                <w:sz w:val="24"/>
                <w:szCs w:val="24"/>
              </w:rPr>
            </w:pPr>
            <w:r>
              <w:rPr>
                <w:rFonts w:ascii="宋体" w:hAnsi="宋体" w:eastAsia="宋体" w:cs="宋体"/>
                <w:sz w:val="24"/>
                <w:szCs w:val="24"/>
              </w:rPr>
              <w:t>4</w:t>
            </w:r>
          </w:p>
        </w:tc>
        <w:tc>
          <w:tcPr>
            <w:tcW w:w="2118" w:type="dxa"/>
            <w:vAlign w:val="center"/>
          </w:tcPr>
          <w:p>
            <w:pPr>
              <w:jc w:val="center"/>
              <w:rPr>
                <w:rFonts w:ascii="宋体"/>
              </w:rPr>
            </w:pPr>
          </w:p>
        </w:tc>
        <w:tc>
          <w:tcPr>
            <w:tcW w:w="3269" w:type="dxa"/>
            <w:vAlign w:val="center"/>
          </w:tcPr>
          <w:p>
            <w:pPr>
              <w:jc w:val="center"/>
              <w:rPr>
                <w:rFonts w:ascii="宋体"/>
              </w:rPr>
            </w:pPr>
          </w:p>
        </w:tc>
        <w:tc>
          <w:tcPr>
            <w:tcW w:w="1440" w:type="dxa"/>
            <w:vAlign w:val="center"/>
          </w:tcPr>
          <w:p>
            <w:pPr>
              <w:jc w:val="center"/>
              <w:rPr>
                <w:rFonts w:ascii="宋体"/>
              </w:rPr>
            </w:pPr>
          </w:p>
        </w:tc>
        <w:tc>
          <w:tcPr>
            <w:tcW w:w="1706" w:type="dxa"/>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12" w:type="dxa"/>
            <w:vAlign w:val="center"/>
          </w:tcPr>
          <w:p>
            <w:pPr>
              <w:pStyle w:val="8"/>
              <w:jc w:val="center"/>
              <w:rPr>
                <w:rFonts w:ascii="宋体" w:hAnsi="宋体" w:eastAsia="宋体" w:cs="Times New Roman"/>
                <w:sz w:val="24"/>
                <w:szCs w:val="24"/>
              </w:rPr>
            </w:pPr>
            <w:r>
              <w:rPr>
                <w:rFonts w:hint="eastAsia" w:ascii="宋体" w:hAnsi="宋体" w:eastAsia="宋体" w:cs="宋体"/>
                <w:sz w:val="24"/>
                <w:szCs w:val="24"/>
              </w:rPr>
              <w:t>……</w:t>
            </w:r>
          </w:p>
        </w:tc>
        <w:tc>
          <w:tcPr>
            <w:tcW w:w="2118" w:type="dxa"/>
            <w:vAlign w:val="center"/>
          </w:tcPr>
          <w:p>
            <w:pPr>
              <w:jc w:val="center"/>
              <w:rPr>
                <w:rFonts w:ascii="宋体"/>
              </w:rPr>
            </w:pPr>
          </w:p>
        </w:tc>
        <w:tc>
          <w:tcPr>
            <w:tcW w:w="3269" w:type="dxa"/>
            <w:vAlign w:val="center"/>
          </w:tcPr>
          <w:p>
            <w:pPr>
              <w:jc w:val="center"/>
              <w:rPr>
                <w:rFonts w:ascii="宋体"/>
              </w:rPr>
            </w:pPr>
          </w:p>
        </w:tc>
        <w:tc>
          <w:tcPr>
            <w:tcW w:w="1440" w:type="dxa"/>
            <w:vAlign w:val="center"/>
          </w:tcPr>
          <w:p>
            <w:pPr>
              <w:jc w:val="center"/>
              <w:rPr>
                <w:rFonts w:ascii="宋体"/>
              </w:rPr>
            </w:pPr>
          </w:p>
        </w:tc>
        <w:tc>
          <w:tcPr>
            <w:tcW w:w="1706" w:type="dxa"/>
            <w:vAlign w:val="center"/>
          </w:tcPr>
          <w:p>
            <w:pPr>
              <w:jc w:val="center"/>
              <w:rPr>
                <w:rFonts w:ascii="宋体"/>
              </w:rPr>
            </w:pPr>
          </w:p>
        </w:tc>
      </w:tr>
    </w:tbl>
    <w:p>
      <w:pPr>
        <w:wordWrap w:val="0"/>
      </w:pPr>
    </w:p>
    <w:p>
      <w:pPr>
        <w:wordWrap w:val="0"/>
      </w:pPr>
    </w:p>
    <w:p>
      <w:pPr>
        <w:wordWrap w:val="0"/>
        <w:rPr>
          <w:lang w:val="zh-CN"/>
        </w:rPr>
      </w:pPr>
    </w:p>
    <w:p>
      <w:pPr>
        <w:wordWrap w:val="0"/>
        <w:rPr>
          <w:lang w:val="zh-CN"/>
        </w:rPr>
      </w:pPr>
      <w:r>
        <w:rPr>
          <w:rFonts w:hint="eastAsia"/>
          <w:lang w:val="zh-CN"/>
        </w:rPr>
        <w:t>投标人名称：</w:t>
      </w:r>
      <w:r>
        <w:rPr>
          <w:rFonts w:hint="eastAsia"/>
          <w:u w:val="single"/>
          <w:lang w:val="zh-CN"/>
        </w:rPr>
        <w:t xml:space="preserve">     （全称）   </w:t>
      </w:r>
      <w:r>
        <w:rPr>
          <w:rFonts w:hint="eastAsia"/>
          <w:lang w:val="zh-CN"/>
        </w:rPr>
        <w:t>（公章）：</w:t>
      </w:r>
    </w:p>
    <w:p>
      <w:pPr>
        <w:wordWrap w:val="0"/>
        <w:rPr>
          <w:lang w:val="zh-CN"/>
        </w:rPr>
      </w:pPr>
      <w:r>
        <w:rPr>
          <w:rFonts w:hint="eastAsia"/>
          <w:lang w:val="zh-CN"/>
        </w:rPr>
        <w:t>投标人法定代表人（或授权代表）签字：</w:t>
      </w:r>
    </w:p>
    <w:p>
      <w:pPr>
        <w:wordWrap w:val="0"/>
        <w:rPr>
          <w:lang w:val="zh-CN"/>
        </w:rPr>
      </w:pPr>
      <w:r>
        <w:rPr>
          <w:rFonts w:hint="eastAsia"/>
          <w:lang w:val="zh-CN"/>
        </w:rPr>
        <w:t>日期：</w:t>
      </w:r>
    </w:p>
    <w:p>
      <w:r>
        <w:rPr>
          <w:rFonts w:hint="eastAsia"/>
        </w:rPr>
        <w:br w:type="page"/>
      </w:r>
    </w:p>
    <w:p>
      <w:pPr>
        <w:wordWrap w:val="0"/>
        <w:jc w:val="center"/>
        <w:rPr>
          <w:b/>
          <w:bCs/>
        </w:rPr>
      </w:pPr>
      <w:r>
        <w:rPr>
          <w:rFonts w:hint="eastAsia"/>
          <w:b/>
          <w:bCs/>
        </w:rPr>
        <w:t>4.5 售后服务方案</w:t>
      </w:r>
    </w:p>
    <w:p>
      <w:pPr>
        <w:wordWrap w:val="0"/>
        <w:jc w:val="center"/>
      </w:pPr>
      <w:r>
        <w:rPr>
          <w:rFonts w:hint="eastAsia"/>
        </w:rPr>
        <w:t>（投标人根据招标文件要求自行编制）</w:t>
      </w:r>
    </w:p>
    <w:p>
      <w:r>
        <w:rPr>
          <w:rFonts w:hint="eastAsia"/>
        </w:rPr>
        <w:br w:type="page"/>
      </w:r>
    </w:p>
    <w:p>
      <w:pPr>
        <w:wordWrap w:val="0"/>
        <w:jc w:val="center"/>
        <w:rPr>
          <w:b/>
          <w:bCs/>
        </w:rPr>
      </w:pPr>
      <w:r>
        <w:rPr>
          <w:rFonts w:hint="eastAsia"/>
          <w:b/>
          <w:bCs/>
        </w:rPr>
        <w:t>4.6 中小企业声明函（货物）</w:t>
      </w:r>
    </w:p>
    <w:p>
      <w:pPr>
        <w:wordWrap w:val="0"/>
        <w:ind w:firstLine="480" w:firstLineChars="200"/>
      </w:pPr>
      <w:r>
        <w:rPr>
          <w:rFonts w:hint="eastAsia"/>
        </w:rPr>
        <w:t>本公司郑重声明，根据《政府采购促进中小企业发展管理办法》（财库[2020]46号）的规定，本公司参加</w:t>
      </w:r>
      <w:r>
        <w:rPr>
          <w:rFonts w:hint="eastAsia"/>
          <w:u w:val="single"/>
        </w:rPr>
        <w:t xml:space="preserve">（招标单位名称）  </w:t>
      </w:r>
      <w:r>
        <w:rPr>
          <w:rFonts w:hint="eastAsia"/>
        </w:rPr>
        <w:t>的</w:t>
      </w:r>
      <w:r>
        <w:rPr>
          <w:rFonts w:hint="eastAsia"/>
          <w:u w:val="single"/>
        </w:rPr>
        <w:t xml:space="preserve">（项目名称）  </w:t>
      </w:r>
      <w:r>
        <w:rPr>
          <w:rFonts w:hint="eastAsia"/>
        </w:rPr>
        <w:t>采购活动，提供的货物全部由符合政策要求的中小企业制造。相关企业的具体情况如下：</w:t>
      </w:r>
    </w:p>
    <w:p>
      <w:pPr>
        <w:wordWrap w:val="0"/>
        <w:ind w:firstLine="480" w:firstLineChars="200"/>
      </w:pPr>
      <w:r>
        <w:rPr>
          <w:rFonts w:hint="eastAsia"/>
        </w:rPr>
        <w:t>1.</w:t>
      </w:r>
      <w:r>
        <w:rPr>
          <w:rFonts w:hint="eastAsia"/>
          <w:u w:val="single"/>
        </w:rPr>
        <w:t xml:space="preserve"> 变压器及附件采购及安装</w:t>
      </w:r>
      <w:r>
        <w:rPr>
          <w:rFonts w:hint="eastAsia"/>
        </w:rPr>
        <w:t>，属于</w:t>
      </w:r>
      <w:r>
        <w:rPr>
          <w:rFonts w:hint="eastAsia"/>
          <w:u w:val="single"/>
        </w:rPr>
        <w:t xml:space="preserve"> 零售业</w:t>
      </w:r>
      <w:r>
        <w:rPr>
          <w:rFonts w:hint="eastAsia"/>
        </w:rPr>
        <w:t>行业；制造商为</w:t>
      </w:r>
      <w:r>
        <w:rPr>
          <w:rFonts w:hint="eastAsia"/>
          <w:u w:val="single"/>
        </w:rPr>
        <w:t>（企业名称）</w:t>
      </w:r>
      <w:r>
        <w:rPr>
          <w:rFonts w:hint="eastAsia"/>
        </w:rPr>
        <w:t>，从业人员人，营业收入为万元，资产总额为万元，属于（中型企业、小型企业、微型企业）；</w:t>
      </w:r>
    </w:p>
    <w:p>
      <w:pPr>
        <w:wordWrap w:val="0"/>
        <w:ind w:firstLine="480" w:firstLineChars="200"/>
      </w:pPr>
      <w:r>
        <w:rPr>
          <w:rFonts w:hint="eastAsia"/>
        </w:rPr>
        <w:t xml:space="preserve">以上企业，不属于大企业的分支机构，不存在控股股东为大企业的情形，也不存在与大企业的负责人为同一人的情形。 </w:t>
      </w:r>
    </w:p>
    <w:p>
      <w:pPr>
        <w:wordWrap w:val="0"/>
        <w:ind w:firstLine="480" w:firstLineChars="200"/>
      </w:pPr>
      <w:r>
        <w:rPr>
          <w:rFonts w:hint="eastAsia"/>
        </w:rPr>
        <w:t>本企业对上述声明内容的真实性负责。如有虚假，将依法承担相应责任。</w:t>
      </w:r>
    </w:p>
    <w:p>
      <w:pPr>
        <w:wordWrap w:val="0"/>
      </w:pPr>
    </w:p>
    <w:p>
      <w:pPr>
        <w:wordWrap w:val="0"/>
      </w:pPr>
    </w:p>
    <w:p>
      <w:pPr>
        <w:wordWrap w:val="0"/>
        <w:jc w:val="right"/>
      </w:pPr>
      <w:r>
        <w:rPr>
          <w:rFonts w:hint="eastAsia"/>
        </w:rPr>
        <w:t>供应商：（全称并加盖公章）</w:t>
      </w:r>
    </w:p>
    <w:p>
      <w:pPr>
        <w:wordWrap w:val="0"/>
        <w:jc w:val="right"/>
      </w:pPr>
      <w:r>
        <w:rPr>
          <w:rFonts w:hint="eastAsia"/>
        </w:rPr>
        <w:t>年  月  日</w:t>
      </w:r>
    </w:p>
    <w:p>
      <w:pPr>
        <w:wordWrap w:val="0"/>
      </w:pPr>
      <w:r>
        <w:rPr>
          <w:rFonts w:hint="eastAsia"/>
        </w:rPr>
        <w:t>说明：</w:t>
      </w:r>
    </w:p>
    <w:p>
      <w:pPr>
        <w:wordWrap w:val="0"/>
      </w:pPr>
      <w:r>
        <w:rPr>
          <w:rFonts w:hint="eastAsia"/>
        </w:rPr>
        <w:t>1、从业人员、营业收入、资产总额填报上一年度数据，无上一年度数据的新成立企业可不填报。</w:t>
      </w:r>
    </w:p>
    <w:p>
      <w:pPr>
        <w:wordWrap w:val="0"/>
      </w:pPr>
      <w:r>
        <w:rPr>
          <w:rFonts w:hint="eastAsia"/>
        </w:rPr>
        <w:t>2、中小企业参加政府采购活动，应当出具《中小企业声明函》及相关证明材料，否则不得享受相关中小企业扶持政策。</w:t>
      </w:r>
    </w:p>
    <w:p>
      <w:r>
        <w:rPr>
          <w:rFonts w:hint="eastAsia"/>
        </w:rPr>
        <w:br w:type="page"/>
      </w:r>
    </w:p>
    <w:p>
      <w:pPr>
        <w:wordWrap w:val="0"/>
        <w:jc w:val="center"/>
        <w:rPr>
          <w:b/>
          <w:bCs/>
        </w:rPr>
      </w:pPr>
      <w:r>
        <w:rPr>
          <w:rFonts w:hint="eastAsia"/>
          <w:b/>
          <w:bCs/>
        </w:rPr>
        <w:t>4.7残疾人福利性单位声明函（若是）</w:t>
      </w:r>
    </w:p>
    <w:p>
      <w:pPr>
        <w:wordWrap w:val="0"/>
      </w:pPr>
    </w:p>
    <w:p>
      <w:pPr>
        <w:wordWrap w:val="0"/>
        <w:ind w:firstLine="480" w:firstLineChars="200"/>
      </w:pPr>
      <w:r>
        <w:rPr>
          <w:rFonts w:hint="eastAsia"/>
        </w:rPr>
        <w:t>本单位郑重声明，根据《财政部 民政部 中国残疾人联合会关于促进残疾人就业政府采购政策的通知》（财库〔2017〕141号）的规定，本单位为（□符合/□不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wordWrap w:val="0"/>
        <w:ind w:firstLine="480" w:firstLineChars="200"/>
      </w:pPr>
      <w:r>
        <w:rPr>
          <w:rFonts w:hint="eastAsia"/>
        </w:rPr>
        <w:t>本单位对上述声明的真实性负责。如有虚假，将依法承担相应责任。</w:t>
      </w:r>
    </w:p>
    <w:p>
      <w:pPr>
        <w:wordWrap w:val="0"/>
      </w:pPr>
    </w:p>
    <w:p>
      <w:pPr>
        <w:wordWrap w:val="0"/>
      </w:pPr>
    </w:p>
    <w:p>
      <w:pPr>
        <w:wordWrap w:val="0"/>
      </w:pPr>
      <w:r>
        <w:rPr>
          <w:rFonts w:hint="eastAsia"/>
        </w:rPr>
        <w:t xml:space="preserve">                                    单位名称（盖章）：</w:t>
      </w:r>
    </w:p>
    <w:p>
      <w:pPr>
        <w:wordWrap w:val="0"/>
      </w:pPr>
      <w:r>
        <w:rPr>
          <w:rFonts w:hint="eastAsia"/>
        </w:rPr>
        <w:t xml:space="preserve">                                    日    期：      年    月    日</w:t>
      </w:r>
    </w:p>
    <w:p>
      <w:r>
        <w:rPr>
          <w:rFonts w:hint="eastAsia"/>
        </w:rPr>
        <w:br w:type="page"/>
      </w:r>
    </w:p>
    <w:p>
      <w:pPr>
        <w:pStyle w:val="6"/>
        <w:jc w:val="center"/>
      </w:pPr>
      <w:r>
        <w:rPr>
          <w:rFonts w:hint="eastAsia"/>
        </w:rPr>
        <w:t>五、其他资料（若有）</w:t>
      </w:r>
    </w:p>
    <w:p>
      <w:pPr>
        <w:wordWrap w:val="0"/>
      </w:pPr>
    </w:p>
    <w:p>
      <w:pPr>
        <w:wordWrap w:val="0"/>
        <w:jc w:val="center"/>
        <w:rPr>
          <w:b/>
          <w:bCs/>
        </w:rPr>
      </w:pPr>
      <w:r>
        <w:rPr>
          <w:rFonts w:hint="eastAsia"/>
          <w:b/>
          <w:bCs/>
        </w:rPr>
        <w:t>除招标文件另有规定外，投标人认为需要提交的其他证明材料或资料加盖投标人的单位公章后应在此项下提交。</w:t>
      </w:r>
    </w:p>
    <w:p>
      <w:pPr>
        <w:wordWrap w:val="0"/>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简隶书">
    <w:altName w:val="黑体"/>
    <w:panose1 w:val="00000000000000000000"/>
    <w:charset w:val="86"/>
    <w:family w:val="auto"/>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CD71197"/>
    <w:rsid w:val="00236A5E"/>
    <w:rsid w:val="00270F46"/>
    <w:rsid w:val="002A4B2E"/>
    <w:rsid w:val="00392565"/>
    <w:rsid w:val="00397E58"/>
    <w:rsid w:val="004F0FA9"/>
    <w:rsid w:val="006D6F99"/>
    <w:rsid w:val="0097336D"/>
    <w:rsid w:val="009A0E6D"/>
    <w:rsid w:val="00AB5BCD"/>
    <w:rsid w:val="00B00839"/>
    <w:rsid w:val="00D75717"/>
    <w:rsid w:val="00E754A6"/>
    <w:rsid w:val="00E76B73"/>
    <w:rsid w:val="00F94831"/>
    <w:rsid w:val="0E5C78DF"/>
    <w:rsid w:val="19232EEF"/>
    <w:rsid w:val="19DC5FF6"/>
    <w:rsid w:val="1CD71197"/>
    <w:rsid w:val="22207C66"/>
    <w:rsid w:val="2D347B9C"/>
    <w:rsid w:val="491D1A29"/>
    <w:rsid w:val="5017071B"/>
    <w:rsid w:val="6CC63793"/>
    <w:rsid w:val="7F1557F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nhideWhenUsed="0" w:uiPriority="0"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jc w:val="both"/>
    </w:pPr>
    <w:rPr>
      <w:rFonts w:asciiTheme="minorHAnsi" w:hAnsiTheme="minorHAnsi" w:eastAsiaTheme="minorEastAsia" w:cstheme="minorBidi"/>
      <w:kern w:val="2"/>
      <w:sz w:val="24"/>
      <w:szCs w:val="24"/>
      <w:lang w:val="en-US" w:eastAsia="zh-CN" w:bidi="ar-SA"/>
    </w:rPr>
  </w:style>
  <w:style w:type="paragraph" w:styleId="5">
    <w:name w:val="heading 1"/>
    <w:basedOn w:val="1"/>
    <w:next w:val="1"/>
    <w:qFormat/>
    <w:uiPriority w:val="0"/>
    <w:pPr>
      <w:keepNext/>
      <w:keepLines/>
      <w:jc w:val="center"/>
      <w:outlineLvl w:val="0"/>
    </w:pPr>
    <w:rPr>
      <w:b/>
      <w:kern w:val="44"/>
      <w:sz w:val="36"/>
    </w:rPr>
  </w:style>
  <w:style w:type="paragraph" w:styleId="6">
    <w:name w:val="heading 2"/>
    <w:basedOn w:val="1"/>
    <w:next w:val="1"/>
    <w:unhideWhenUsed/>
    <w:qFormat/>
    <w:uiPriority w:val="0"/>
    <w:pPr>
      <w:keepNext/>
      <w:keepLines/>
      <w:jc w:val="left"/>
      <w:outlineLvl w:val="1"/>
    </w:pPr>
    <w:rPr>
      <w:rFonts w:ascii="Arial" w:hAnsi="Arial" w:eastAsia="宋体"/>
      <w:b/>
    </w:rPr>
  </w:style>
  <w:style w:type="paragraph" w:styleId="7">
    <w:name w:val="heading 3"/>
    <w:basedOn w:val="1"/>
    <w:next w:val="1"/>
    <w:unhideWhenUsed/>
    <w:qFormat/>
    <w:uiPriority w:val="0"/>
    <w:pPr>
      <w:keepNext/>
      <w:keepLines/>
      <w:spacing w:line="413" w:lineRule="auto"/>
      <w:outlineLvl w:val="2"/>
    </w:pPr>
    <w:rPr>
      <w:b/>
      <w:sz w:val="32"/>
    </w:rPr>
  </w:style>
  <w:style w:type="character" w:default="1" w:styleId="15">
    <w:name w:val="Default Paragraph Font"/>
    <w:semiHidden/>
    <w:unhideWhenUsed/>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4"/>
    <w:uiPriority w:val="0"/>
    <w:pPr>
      <w:ind w:left="420" w:firstLine="3748"/>
    </w:pPr>
  </w:style>
  <w:style w:type="paragraph" w:styleId="3">
    <w:name w:val="Body Text"/>
    <w:basedOn w:val="1"/>
    <w:next w:val="2"/>
    <w:qFormat/>
    <w:uiPriority w:val="0"/>
    <w:pPr>
      <w:spacing w:after="120" w:line="240" w:lineRule="auto"/>
      <w:ind w:firstLine="3584"/>
    </w:pPr>
  </w:style>
  <w:style w:type="paragraph" w:customStyle="1" w:styleId="4">
    <w:name w:val="List Paragraph1"/>
    <w:basedOn w:val="1"/>
    <w:next w:val="1"/>
    <w:qFormat/>
    <w:uiPriority w:val="0"/>
    <w:pPr>
      <w:spacing w:line="240" w:lineRule="auto"/>
      <w:ind w:left="420" w:firstLine="3748"/>
    </w:pPr>
  </w:style>
  <w:style w:type="paragraph" w:styleId="8">
    <w:name w:val="caption"/>
    <w:basedOn w:val="1"/>
    <w:next w:val="1"/>
    <w:qFormat/>
    <w:uiPriority w:val="0"/>
    <w:rPr>
      <w:rFonts w:ascii="Arial" w:hAnsi="Arial" w:eastAsia="黑体" w:cs="Arial"/>
      <w:sz w:val="20"/>
      <w:szCs w:val="20"/>
    </w:rPr>
  </w:style>
  <w:style w:type="paragraph" w:styleId="9">
    <w:name w:val="footer"/>
    <w:basedOn w:val="1"/>
    <w:link w:val="18"/>
    <w:qFormat/>
    <w:uiPriority w:val="0"/>
    <w:pPr>
      <w:tabs>
        <w:tab w:val="center" w:pos="4153"/>
        <w:tab w:val="right" w:pos="8306"/>
      </w:tabs>
      <w:snapToGrid w:val="0"/>
      <w:spacing w:line="240" w:lineRule="auto"/>
      <w:jc w:val="left"/>
    </w:pPr>
    <w:rPr>
      <w:sz w:val="18"/>
      <w:szCs w:val="18"/>
    </w:rPr>
  </w:style>
  <w:style w:type="paragraph" w:styleId="10">
    <w:name w:val="header"/>
    <w:basedOn w:val="1"/>
    <w:link w:val="17"/>
    <w:uiPriority w:val="0"/>
    <w:pPr>
      <w:pBdr>
        <w:bottom w:val="single" w:color="auto" w:sz="6" w:space="1"/>
      </w:pBdr>
      <w:tabs>
        <w:tab w:val="center" w:pos="4153"/>
        <w:tab w:val="right" w:pos="8306"/>
      </w:tabs>
      <w:snapToGrid w:val="0"/>
      <w:spacing w:line="240" w:lineRule="auto"/>
      <w:jc w:val="center"/>
    </w:pPr>
    <w:rPr>
      <w:sz w:val="18"/>
      <w:szCs w:val="18"/>
    </w:rPr>
  </w:style>
  <w:style w:type="paragraph" w:styleId="11">
    <w:name w:val="toc 1"/>
    <w:basedOn w:val="1"/>
    <w:next w:val="1"/>
    <w:qFormat/>
    <w:uiPriority w:val="0"/>
    <w:pPr>
      <w:spacing w:before="120" w:after="120" w:line="240" w:lineRule="auto"/>
      <w:ind w:firstLine="6656"/>
    </w:pPr>
    <w:rPr>
      <w:rFonts w:ascii="Calibri"/>
      <w:caps/>
    </w:rPr>
  </w:style>
  <w:style w:type="paragraph" w:styleId="12">
    <w:name w:val="Normal (Web)"/>
    <w:basedOn w:val="1"/>
    <w:next w:val="11"/>
    <w:qFormat/>
    <w:uiPriority w:val="0"/>
    <w:pPr>
      <w:spacing w:line="240" w:lineRule="auto"/>
      <w:ind w:firstLine="3584"/>
    </w:p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6">
    <w:name w:val="文本"/>
    <w:basedOn w:val="1"/>
    <w:qFormat/>
    <w:uiPriority w:val="99"/>
    <w:pPr>
      <w:ind w:firstLine="420" w:firstLineChars="200"/>
    </w:pPr>
    <w:rPr>
      <w:sz w:val="20"/>
    </w:rPr>
  </w:style>
  <w:style w:type="character" w:customStyle="1" w:styleId="17">
    <w:name w:val="页眉 字符"/>
    <w:basedOn w:val="15"/>
    <w:link w:val="10"/>
    <w:qFormat/>
    <w:uiPriority w:val="0"/>
    <w:rPr>
      <w:rFonts w:asciiTheme="minorHAnsi" w:hAnsiTheme="minorHAnsi" w:eastAsiaTheme="minorEastAsia" w:cstheme="minorBidi"/>
      <w:kern w:val="2"/>
      <w:sz w:val="18"/>
      <w:szCs w:val="18"/>
    </w:rPr>
  </w:style>
  <w:style w:type="character" w:customStyle="1" w:styleId="18">
    <w:name w:val="页脚 字符"/>
    <w:basedOn w:val="15"/>
    <w:link w:val="9"/>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86</Pages>
  <Words>40869</Words>
  <Characters>4472</Characters>
  <Lines>37</Lines>
  <Paragraphs>90</Paragraphs>
  <TotalTime>10</TotalTime>
  <ScaleCrop>false</ScaleCrop>
  <LinksUpToDate>false</LinksUpToDate>
  <CharactersWithSpaces>45251</CharactersWithSpaces>
  <Application>WPS Office_11.1.0.10640_F1E327BC-269C-435d-A152-05C5408002CA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2021-07-04T13:08:00Z</dcterms:created>
  <dc:creator>刘袆</dc:creator>
  <cp:lastModifiedBy>河南建标工程管理有限公司:李松岳</cp:lastModifiedBy>
  <dcterms:modified xsi:type="dcterms:W3CDTF">2021-07-05T07:58:33Z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2052-11.1.0.10640</vt:lpwstr>
  </property>
  <property fmtid="{D5CDD505-2E9C-101B-9397-08002B2CF9AE}" pid="3" name="ICV">
    <vt:lpwstr>FAF85DE0134D42DF8CD6F5576183B302</vt:lpwstr>
  </property>
</Properties>
</file>