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cs="宋体"/>
          <w:b/>
          <w:bCs/>
          <w:spacing w:val="14"/>
          <w:sz w:val="52"/>
          <w:szCs w:val="52"/>
        </w:rPr>
      </w:pPr>
      <w:r>
        <w:rPr>
          <w:rFonts w:hint="eastAsia" w:ascii="宋体" w:cs="宋体"/>
          <w:b/>
          <w:bCs/>
          <w:spacing w:val="14"/>
          <w:sz w:val="52"/>
          <w:szCs w:val="52"/>
        </w:rPr>
        <w:t>禹州市自然资源和规划局自然资源评价评估工作项目</w:t>
      </w:r>
    </w:p>
    <w:p>
      <w:pPr>
        <w:widowControl/>
        <w:jc w:val="center"/>
        <w:rPr>
          <w:rFonts w:ascii="宋体" w:hAnsi="宋体" w:cs="宋体"/>
        </w:rPr>
      </w:pPr>
      <w:r>
        <w:rPr>
          <w:rFonts w:hint="eastAsia" w:ascii="宋体" w:hAnsi="宋体" w:cs="宋体"/>
          <w:b/>
          <w:bCs/>
          <w:color w:val="000000"/>
          <w:kern w:val="0"/>
          <w:sz w:val="48"/>
          <w:szCs w:val="48"/>
        </w:rPr>
        <w:t>（不见面开标）</w:t>
      </w:r>
    </w:p>
    <w:p>
      <w:pPr>
        <w:widowControl/>
        <w:jc w:val="left"/>
        <w:rPr>
          <w:rFonts w:ascii="宋体" w:hAnsi="宋体" w:cs="宋体"/>
          <w:b/>
          <w:bCs/>
          <w:color w:val="000000"/>
          <w:kern w:val="0"/>
          <w:sz w:val="136"/>
          <w:szCs w:val="136"/>
        </w:rPr>
      </w:pPr>
    </w:p>
    <w:p>
      <w:pPr>
        <w:widowControl/>
        <w:jc w:val="center"/>
        <w:rPr>
          <w:rFonts w:ascii="宋体" w:hAnsi="宋体" w:cs="宋体"/>
          <w:b/>
          <w:bCs/>
          <w:color w:val="000000"/>
          <w:kern w:val="0"/>
          <w:sz w:val="96"/>
          <w:szCs w:val="96"/>
        </w:rPr>
      </w:pPr>
      <w:r>
        <w:rPr>
          <w:rFonts w:hint="eastAsia" w:ascii="宋体" w:hAnsi="宋体" w:cs="宋体"/>
          <w:b/>
          <w:bCs/>
          <w:color w:val="000000"/>
          <w:kern w:val="0"/>
          <w:sz w:val="96"/>
          <w:szCs w:val="96"/>
        </w:rPr>
        <w:t>招标文件</w:t>
      </w:r>
    </w:p>
    <w:p>
      <w:pPr>
        <w:widowControl/>
        <w:jc w:val="left"/>
        <w:rPr>
          <w:rFonts w:ascii="宋体" w:hAnsi="宋体" w:cs="宋体"/>
          <w:b/>
          <w:bCs/>
          <w:color w:val="000000"/>
          <w:kern w:val="0"/>
          <w:sz w:val="136"/>
          <w:szCs w:val="136"/>
        </w:rPr>
      </w:pPr>
    </w:p>
    <w:p>
      <w:pPr>
        <w:widowControl/>
        <w:jc w:val="left"/>
        <w:rPr>
          <w:rFonts w:ascii="宋体" w:hAnsi="宋体" w:cs="宋体"/>
          <w:b/>
          <w:bCs/>
          <w:color w:val="000000"/>
          <w:kern w:val="0"/>
          <w:sz w:val="136"/>
          <w:szCs w:val="136"/>
        </w:rPr>
      </w:pPr>
    </w:p>
    <w:p>
      <w:pPr>
        <w:widowControl/>
        <w:jc w:val="left"/>
        <w:rPr>
          <w:rFonts w:ascii="宋体" w:hAnsi="宋体" w:cs="宋体"/>
          <w:color w:val="000000"/>
          <w:kern w:val="0"/>
          <w:sz w:val="31"/>
          <w:szCs w:val="31"/>
        </w:rPr>
      </w:pPr>
      <w:r>
        <w:rPr>
          <w:rFonts w:hint="eastAsia" w:ascii="宋体" w:hAnsi="宋体" w:cs="宋体"/>
          <w:b/>
          <w:bCs/>
          <w:color w:val="000000"/>
          <w:kern w:val="0"/>
          <w:sz w:val="31"/>
          <w:szCs w:val="31"/>
        </w:rPr>
        <w:t>项目编号</w:t>
      </w:r>
      <w:r>
        <w:rPr>
          <w:rFonts w:hint="eastAsia" w:ascii="宋体" w:hAnsi="宋体" w:cs="宋体"/>
          <w:color w:val="000000"/>
          <w:kern w:val="0"/>
          <w:sz w:val="31"/>
          <w:szCs w:val="31"/>
        </w:rPr>
        <w:t>： YZCG-DLG2021040</w:t>
      </w:r>
    </w:p>
    <w:p>
      <w:pPr>
        <w:widowControl/>
        <w:jc w:val="left"/>
        <w:rPr>
          <w:rFonts w:ascii="宋体" w:hAnsi="宋体" w:cs="宋体"/>
        </w:rPr>
      </w:pPr>
      <w:r>
        <w:rPr>
          <w:rFonts w:hint="eastAsia" w:ascii="宋体" w:hAnsi="宋体" w:cs="宋体"/>
          <w:b/>
          <w:bCs/>
          <w:color w:val="000000"/>
          <w:kern w:val="0"/>
          <w:sz w:val="31"/>
          <w:szCs w:val="31"/>
        </w:rPr>
        <w:t>采购单位</w:t>
      </w:r>
      <w:r>
        <w:rPr>
          <w:rFonts w:hint="eastAsia" w:ascii="宋体" w:hAnsi="宋体" w:cs="宋体"/>
          <w:color w:val="000000"/>
          <w:kern w:val="0"/>
          <w:sz w:val="31"/>
          <w:szCs w:val="31"/>
        </w:rPr>
        <w:t xml:space="preserve">： 禹州市自然资源和规划局    </w:t>
      </w:r>
    </w:p>
    <w:p>
      <w:pPr>
        <w:widowControl/>
        <w:jc w:val="left"/>
        <w:rPr>
          <w:rFonts w:ascii="宋体" w:hAnsi="宋体" w:cs="宋体"/>
        </w:rPr>
      </w:pPr>
      <w:r>
        <w:rPr>
          <w:rFonts w:hint="eastAsia" w:ascii="宋体" w:hAnsi="宋体" w:cs="宋体"/>
          <w:b/>
          <w:bCs/>
          <w:color w:val="000000"/>
          <w:kern w:val="0"/>
          <w:sz w:val="31"/>
          <w:szCs w:val="31"/>
        </w:rPr>
        <w:t>采购代理机构</w:t>
      </w:r>
      <w:r>
        <w:rPr>
          <w:rFonts w:hint="eastAsia" w:ascii="宋体" w:hAnsi="宋体" w:cs="宋体"/>
          <w:color w:val="000000"/>
          <w:kern w:val="0"/>
          <w:sz w:val="31"/>
          <w:szCs w:val="31"/>
        </w:rPr>
        <w:t>：北京中兴恒工程咨询有限公司</w:t>
      </w:r>
    </w:p>
    <w:p>
      <w:pPr>
        <w:widowControl/>
        <w:jc w:val="center"/>
        <w:rPr>
          <w:rFonts w:ascii="宋体" w:hAnsi="宋体" w:cs="宋体"/>
        </w:rPr>
      </w:pPr>
      <w:r>
        <w:rPr>
          <w:rFonts w:hint="eastAsia" w:ascii="宋体" w:hAnsi="宋体" w:cs="宋体"/>
          <w:color w:val="000000"/>
          <w:kern w:val="0"/>
          <w:sz w:val="31"/>
          <w:szCs w:val="31"/>
        </w:rPr>
        <w:t>二〇二一年六月</w:t>
      </w:r>
    </w:p>
    <w:p/>
    <w:p>
      <w:pPr>
        <w:pStyle w:val="3"/>
        <w:sectPr>
          <w:pgSz w:w="11906" w:h="16838"/>
          <w:pgMar w:top="1757" w:right="1531" w:bottom="1531" w:left="1531" w:header="1134" w:footer="1077" w:gutter="0"/>
          <w:cols w:space="720" w:num="1"/>
          <w:docGrid w:type="lines" w:linePitch="312" w:charSpace="0"/>
        </w:sectPr>
      </w:pPr>
    </w:p>
    <w:p>
      <w:pPr>
        <w:pStyle w:val="22"/>
      </w:pPr>
    </w:p>
    <w:p>
      <w:pPr>
        <w:widowControl/>
        <w:jc w:val="center"/>
      </w:pPr>
      <w:r>
        <w:rPr>
          <w:rFonts w:ascii="CIDFont" w:hAnsi="CIDFont" w:eastAsia="CIDFont" w:cs="CIDFont"/>
          <w:b/>
          <w:bCs/>
          <w:color w:val="000000"/>
          <w:kern w:val="0"/>
          <w:sz w:val="43"/>
          <w:szCs w:val="43"/>
        </w:rPr>
        <w:t>招标文件目录</w:t>
      </w:r>
    </w:p>
    <w:p>
      <w:pPr>
        <w:widowControl/>
        <w:jc w:val="left"/>
      </w:pPr>
      <w:r>
        <w:rPr>
          <w:rFonts w:ascii="CIDFont" w:hAnsi="CIDFont" w:eastAsia="CIDFont" w:cs="CIDFont"/>
          <w:b/>
          <w:bCs/>
          <w:color w:val="000000"/>
          <w:kern w:val="0"/>
          <w:sz w:val="31"/>
          <w:szCs w:val="31"/>
        </w:rPr>
        <w:t xml:space="preserve">第一章 投标邀请 </w:t>
      </w:r>
    </w:p>
    <w:p>
      <w:pPr>
        <w:widowControl/>
        <w:jc w:val="left"/>
      </w:pPr>
      <w:r>
        <w:rPr>
          <w:rFonts w:ascii="CIDFont" w:hAnsi="CIDFont" w:eastAsia="CIDFont" w:cs="CIDFont"/>
          <w:b/>
          <w:bCs/>
          <w:color w:val="000000"/>
          <w:kern w:val="0"/>
          <w:sz w:val="31"/>
          <w:szCs w:val="31"/>
        </w:rPr>
        <w:t xml:space="preserve">第二章 项目需求 </w:t>
      </w:r>
    </w:p>
    <w:p>
      <w:pPr>
        <w:widowControl/>
        <w:jc w:val="left"/>
      </w:pPr>
      <w:r>
        <w:rPr>
          <w:rFonts w:ascii="CIDFont" w:hAnsi="CIDFont" w:eastAsia="CIDFont" w:cs="CIDFont"/>
          <w:b/>
          <w:bCs/>
          <w:color w:val="000000"/>
          <w:kern w:val="0"/>
          <w:sz w:val="31"/>
          <w:szCs w:val="31"/>
        </w:rPr>
        <w:t xml:space="preserve">第三章 投标人须知前附表 </w:t>
      </w:r>
    </w:p>
    <w:p>
      <w:pPr>
        <w:widowControl/>
        <w:jc w:val="left"/>
      </w:pPr>
      <w:r>
        <w:rPr>
          <w:rFonts w:ascii="CIDFont" w:hAnsi="CIDFont" w:eastAsia="CIDFont" w:cs="CIDFont"/>
          <w:b/>
          <w:bCs/>
          <w:color w:val="000000"/>
          <w:kern w:val="0"/>
          <w:sz w:val="31"/>
          <w:szCs w:val="31"/>
        </w:rPr>
        <w:t xml:space="preserve">第四章 投标人须知 </w:t>
      </w:r>
    </w:p>
    <w:p>
      <w:pPr>
        <w:widowControl/>
        <w:jc w:val="left"/>
      </w:pPr>
      <w:r>
        <w:rPr>
          <w:rFonts w:ascii="CIDFont" w:hAnsi="CIDFont" w:eastAsia="CIDFont" w:cs="CIDFont"/>
          <w:color w:val="000000"/>
          <w:kern w:val="0"/>
          <w:sz w:val="31"/>
          <w:szCs w:val="31"/>
        </w:rPr>
        <w:t xml:space="preserve">一、概念释义 </w:t>
      </w:r>
    </w:p>
    <w:p>
      <w:pPr>
        <w:widowControl/>
        <w:jc w:val="left"/>
      </w:pPr>
      <w:r>
        <w:rPr>
          <w:rFonts w:ascii="CIDFont" w:hAnsi="CIDFont" w:eastAsia="CIDFont" w:cs="CIDFont"/>
          <w:color w:val="000000"/>
          <w:kern w:val="0"/>
          <w:sz w:val="31"/>
          <w:szCs w:val="31"/>
        </w:rPr>
        <w:t xml:space="preserve">二、招标文件说明 </w:t>
      </w:r>
    </w:p>
    <w:p>
      <w:pPr>
        <w:widowControl/>
        <w:jc w:val="left"/>
      </w:pPr>
      <w:r>
        <w:rPr>
          <w:rFonts w:ascii="CIDFont" w:hAnsi="CIDFont" w:eastAsia="CIDFont" w:cs="CIDFont"/>
          <w:color w:val="000000"/>
          <w:kern w:val="0"/>
          <w:sz w:val="31"/>
          <w:szCs w:val="31"/>
        </w:rPr>
        <w:t xml:space="preserve">三、投标文件的编制 </w:t>
      </w:r>
    </w:p>
    <w:p>
      <w:pPr>
        <w:widowControl/>
        <w:jc w:val="left"/>
      </w:pPr>
      <w:r>
        <w:rPr>
          <w:rFonts w:ascii="CIDFont" w:hAnsi="CIDFont" w:eastAsia="CIDFont" w:cs="CIDFont"/>
          <w:color w:val="000000"/>
          <w:kern w:val="0"/>
          <w:sz w:val="31"/>
          <w:szCs w:val="31"/>
        </w:rPr>
        <w:t xml:space="preserve">四、投标文件的递交 </w:t>
      </w:r>
    </w:p>
    <w:p>
      <w:pPr>
        <w:widowControl/>
        <w:jc w:val="left"/>
      </w:pPr>
      <w:r>
        <w:rPr>
          <w:rFonts w:ascii="CIDFont" w:hAnsi="CIDFont" w:eastAsia="CIDFont" w:cs="CIDFont"/>
          <w:color w:val="000000"/>
          <w:kern w:val="0"/>
          <w:sz w:val="31"/>
          <w:szCs w:val="31"/>
        </w:rPr>
        <w:t xml:space="preserve">五、开标和评标 </w:t>
      </w:r>
    </w:p>
    <w:p>
      <w:pPr>
        <w:widowControl/>
        <w:jc w:val="left"/>
      </w:pPr>
      <w:r>
        <w:rPr>
          <w:rFonts w:ascii="CIDFont" w:hAnsi="CIDFont" w:eastAsia="CIDFont" w:cs="CIDFont"/>
          <w:color w:val="000000"/>
          <w:kern w:val="0"/>
          <w:sz w:val="31"/>
          <w:szCs w:val="31"/>
        </w:rPr>
        <w:t>六、定标和授予合同</w:t>
      </w:r>
    </w:p>
    <w:p>
      <w:pPr>
        <w:widowControl/>
        <w:jc w:val="left"/>
      </w:pPr>
      <w:r>
        <w:rPr>
          <w:rFonts w:ascii="CIDFont" w:hAnsi="CIDFont" w:eastAsia="CIDFont" w:cs="CIDFont"/>
          <w:b/>
          <w:bCs/>
          <w:color w:val="000000"/>
          <w:kern w:val="0"/>
          <w:sz w:val="31"/>
          <w:szCs w:val="31"/>
        </w:rPr>
        <w:t xml:space="preserve">第五章 政府采购政策功能 </w:t>
      </w:r>
    </w:p>
    <w:p>
      <w:pPr>
        <w:widowControl/>
        <w:jc w:val="left"/>
      </w:pPr>
      <w:r>
        <w:rPr>
          <w:rFonts w:ascii="CIDFont" w:hAnsi="CIDFont" w:eastAsia="CIDFont" w:cs="CIDFont"/>
          <w:b/>
          <w:bCs/>
          <w:color w:val="000000"/>
          <w:kern w:val="0"/>
          <w:sz w:val="31"/>
          <w:szCs w:val="31"/>
        </w:rPr>
        <w:t xml:space="preserve">第六章 资格审查与评标 </w:t>
      </w:r>
    </w:p>
    <w:p>
      <w:pPr>
        <w:widowControl/>
        <w:jc w:val="left"/>
      </w:pPr>
      <w:r>
        <w:rPr>
          <w:rFonts w:ascii="CIDFont" w:hAnsi="CIDFont" w:eastAsia="CIDFont" w:cs="CIDFont"/>
          <w:b/>
          <w:bCs/>
          <w:color w:val="000000"/>
          <w:kern w:val="0"/>
          <w:sz w:val="31"/>
          <w:szCs w:val="31"/>
        </w:rPr>
        <w:t xml:space="preserve">第七章 合同条款及格式 </w:t>
      </w:r>
    </w:p>
    <w:p>
      <w:pPr>
        <w:widowControl/>
        <w:jc w:val="left"/>
      </w:pPr>
      <w:r>
        <w:rPr>
          <w:rFonts w:ascii="CIDFont" w:hAnsi="CIDFont" w:eastAsia="CIDFont" w:cs="CIDFont"/>
          <w:b/>
          <w:bCs/>
          <w:color w:val="000000"/>
          <w:kern w:val="0"/>
          <w:sz w:val="31"/>
          <w:szCs w:val="31"/>
        </w:rPr>
        <w:t xml:space="preserve">第八章 投标文件有关格式 </w:t>
      </w:r>
    </w:p>
    <w:p>
      <w:pPr>
        <w:pStyle w:val="3"/>
        <w:jc w:val="center"/>
        <w:rPr>
          <w:sz w:val="28"/>
          <w:szCs w:val="36"/>
        </w:rPr>
      </w:pPr>
    </w:p>
    <w:p>
      <w:pPr>
        <w:pStyle w:val="3"/>
        <w:jc w:val="center"/>
        <w:rPr>
          <w:sz w:val="28"/>
          <w:szCs w:val="36"/>
        </w:rPr>
      </w:pPr>
    </w:p>
    <w:p>
      <w:pPr>
        <w:pStyle w:val="3"/>
        <w:jc w:val="center"/>
        <w:rPr>
          <w:sz w:val="28"/>
          <w:szCs w:val="36"/>
        </w:rPr>
      </w:pPr>
    </w:p>
    <w:p>
      <w:pPr>
        <w:pStyle w:val="3"/>
        <w:jc w:val="center"/>
        <w:rPr>
          <w:sz w:val="28"/>
          <w:szCs w:val="36"/>
        </w:rPr>
      </w:pPr>
    </w:p>
    <w:p>
      <w:pPr>
        <w:pStyle w:val="3"/>
        <w:jc w:val="center"/>
        <w:rPr>
          <w:sz w:val="28"/>
          <w:szCs w:val="36"/>
        </w:rPr>
      </w:pPr>
    </w:p>
    <w:p>
      <w:pPr>
        <w:pStyle w:val="22"/>
        <w:jc w:val="center"/>
        <w:rPr>
          <w:b/>
        </w:rPr>
      </w:pPr>
      <w:r>
        <w:rPr>
          <w:rFonts w:hint="eastAsia"/>
          <w:b/>
        </w:rPr>
        <w:t>第一章</w:t>
      </w:r>
    </w:p>
    <w:p>
      <w:pPr>
        <w:autoSpaceDE w:val="0"/>
        <w:autoSpaceDN w:val="0"/>
        <w:adjustRightInd w:val="0"/>
        <w:spacing w:line="360" w:lineRule="auto"/>
        <w:jc w:val="center"/>
        <w:outlineLvl w:val="0"/>
        <w:rPr>
          <w:rFonts w:ascii="宋体" w:cs="宋体"/>
          <w:b/>
          <w:bCs/>
          <w:sz w:val="28"/>
          <w:szCs w:val="28"/>
        </w:rPr>
      </w:pPr>
      <w:bookmarkStart w:id="0" w:name="_Toc20069"/>
      <w:bookmarkStart w:id="1" w:name="_Toc12648"/>
      <w:r>
        <w:rPr>
          <w:rFonts w:hint="eastAsia" w:ascii="宋体" w:cs="宋体"/>
          <w:b/>
          <w:bCs/>
          <w:sz w:val="28"/>
          <w:szCs w:val="28"/>
        </w:rPr>
        <w:t>禹州市自然资源和规划局自然资源评价评估工作项目</w:t>
      </w:r>
    </w:p>
    <w:p>
      <w:pPr>
        <w:autoSpaceDE w:val="0"/>
        <w:autoSpaceDN w:val="0"/>
        <w:adjustRightInd w:val="0"/>
        <w:spacing w:line="360" w:lineRule="auto"/>
        <w:jc w:val="center"/>
        <w:outlineLvl w:val="0"/>
        <w:rPr>
          <w:rFonts w:ascii="宋体" w:cs="宋体"/>
          <w:b/>
          <w:sz w:val="28"/>
          <w:szCs w:val="28"/>
        </w:rPr>
      </w:pPr>
      <w:r>
        <w:rPr>
          <w:rFonts w:hint="eastAsia" w:ascii="宋体" w:cs="宋体"/>
          <w:b/>
          <w:sz w:val="28"/>
          <w:szCs w:val="28"/>
        </w:rPr>
        <w:t>（不见面开标）</w:t>
      </w:r>
      <w:bookmarkEnd w:id="0"/>
      <w:bookmarkEnd w:id="1"/>
    </w:p>
    <w:p>
      <w:pPr>
        <w:pStyle w:val="5"/>
        <w:keepNext w:val="0"/>
        <w:keepLines w:val="0"/>
        <w:widowControl/>
        <w:spacing w:before="0" w:after="0" w:line="360" w:lineRule="auto"/>
        <w:ind w:firstLine="482" w:firstLineChars="200"/>
        <w:jc w:val="left"/>
        <w:rPr>
          <w:rFonts w:ascii="宋体" w:hAnsi="宋体" w:cs="宋体"/>
          <w:sz w:val="24"/>
          <w:szCs w:val="24"/>
          <w:shd w:val="clear" w:color="auto" w:fill="FFFFFF"/>
        </w:rPr>
      </w:pPr>
      <w:r>
        <w:rPr>
          <w:rFonts w:hint="eastAsia" w:ascii="宋体" w:hAnsi="宋体" w:cs="宋体"/>
          <w:sz w:val="24"/>
          <w:szCs w:val="24"/>
          <w:shd w:val="clear" w:color="auto" w:fill="FFFFFF"/>
        </w:rPr>
        <w:t>项目概况</w:t>
      </w:r>
    </w:p>
    <w:p>
      <w:pPr>
        <w:spacing w:line="360" w:lineRule="auto"/>
        <w:ind w:firstLine="480" w:firstLineChars="200"/>
        <w:jc w:val="left"/>
        <w:rPr>
          <w:rFonts w:ascii="宋体" w:hAnsi="宋体" w:cs="宋体"/>
          <w:b/>
          <w:bCs/>
          <w:sz w:val="24"/>
        </w:rPr>
      </w:pPr>
      <w:r>
        <w:rPr>
          <w:rFonts w:hint="eastAsia" w:ascii="宋体" w:hAnsi="宋体" w:cs="宋体"/>
          <w:bCs/>
          <w:sz w:val="24"/>
        </w:rPr>
        <w:t>禹州市自然资源和规划局自然资源评价评估工作项目</w:t>
      </w:r>
      <w:r>
        <w:rPr>
          <w:rFonts w:hint="eastAsia" w:ascii="宋体" w:hAnsi="宋体" w:cs="宋体"/>
          <w:sz w:val="24"/>
        </w:rPr>
        <w:t>的潜在投标人应在《全国公共资源交易平台（河南省·许昌市）》（http://ggzy.xuchang.gov.cn/）获取招标文件，并于</w:t>
      </w:r>
      <w:r>
        <w:rPr>
          <w:rFonts w:hint="eastAsia" w:ascii="宋体" w:hAnsi="宋体" w:cs="宋体"/>
          <w:sz w:val="24"/>
          <w:shd w:val="clear" w:color="auto" w:fill="FFFFFF"/>
        </w:rPr>
        <w:t>2021年7月15日8时30分</w:t>
      </w:r>
      <w:r>
        <w:rPr>
          <w:rFonts w:hint="eastAsia" w:ascii="宋体" w:hAnsi="宋体" w:cs="宋体"/>
          <w:sz w:val="24"/>
        </w:rPr>
        <w:t>（北京时间）前递交投标文件。</w:t>
      </w:r>
    </w:p>
    <w:p>
      <w:pPr>
        <w:pStyle w:val="5"/>
        <w:keepNext w:val="0"/>
        <w:keepLines w:val="0"/>
        <w:widowControl/>
        <w:spacing w:before="0" w:after="0" w:line="360" w:lineRule="auto"/>
        <w:jc w:val="left"/>
        <w:rPr>
          <w:rFonts w:ascii="宋体" w:hAnsi="宋体" w:cs="宋体"/>
          <w:sz w:val="24"/>
          <w:szCs w:val="24"/>
          <w:shd w:val="clear" w:color="auto" w:fill="FFFFFF"/>
        </w:rPr>
      </w:pPr>
      <w:r>
        <w:rPr>
          <w:rFonts w:hint="eastAsia" w:ascii="宋体" w:hAnsi="宋体" w:cs="宋体"/>
          <w:sz w:val="24"/>
          <w:szCs w:val="24"/>
          <w:shd w:val="clear" w:color="auto" w:fill="FFFFFF"/>
        </w:rPr>
        <w:t>一、项目基本情况</w:t>
      </w:r>
    </w:p>
    <w:p>
      <w:pPr>
        <w:widowControl/>
        <w:tabs>
          <w:tab w:val="left" w:pos="840"/>
        </w:tabs>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1、项目编号：</w:t>
      </w:r>
      <w:r>
        <w:rPr>
          <w:rFonts w:hint="eastAsia" w:ascii="宋体" w:hAnsi="宋体" w:cs="宋体"/>
          <w:sz w:val="24"/>
        </w:rPr>
        <w:t>YZCG-DLG2021040</w:t>
      </w:r>
    </w:p>
    <w:p>
      <w:pPr>
        <w:widowControl/>
        <w:tabs>
          <w:tab w:val="left" w:pos="840"/>
        </w:tabs>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2、项目名称：禹州市自然资源和规划局自然资源评价评估工作项目</w:t>
      </w:r>
    </w:p>
    <w:p>
      <w:pPr>
        <w:widowControl/>
        <w:tabs>
          <w:tab w:val="left" w:pos="840"/>
        </w:tabs>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w:t>
      </w:r>
      <w:bookmarkStart w:id="2" w:name="_Toc26725"/>
      <w:r>
        <w:rPr>
          <w:rFonts w:hint="eastAsia" w:ascii="宋体" w:hAnsi="宋体" w:cs="宋体"/>
          <w:sz w:val="24"/>
          <w:shd w:val="clear" w:color="auto" w:fill="FFFFFF"/>
        </w:rPr>
        <w:t>、采购方式：公开招标</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4、预算金额：1857458.00元；</w:t>
      </w:r>
    </w:p>
    <w:p>
      <w:pPr>
        <w:spacing w:line="360" w:lineRule="auto"/>
        <w:ind w:firstLine="960" w:firstLineChars="400"/>
        <w:rPr>
          <w:rFonts w:ascii="宋体" w:hAnsi="宋体" w:cs="宋体"/>
          <w:sz w:val="24"/>
          <w:shd w:val="clear" w:color="auto" w:fill="FFFFFF"/>
        </w:rPr>
      </w:pPr>
      <w:r>
        <w:rPr>
          <w:rFonts w:hint="eastAsia" w:ascii="宋体" w:hAnsi="宋体" w:cs="宋体"/>
          <w:sz w:val="24"/>
          <w:shd w:val="clear" w:color="auto" w:fill="FFFFFF"/>
        </w:rPr>
        <w:t>最高限价：</w:t>
      </w:r>
      <w:r>
        <w:rPr>
          <w:rFonts w:hint="eastAsia" w:ascii="宋体" w:hAnsi="宋体" w:cs="宋体"/>
          <w:color w:val="000000"/>
          <w:kern w:val="0"/>
          <w:sz w:val="24"/>
        </w:rPr>
        <w:t>1857458.00元</w:t>
      </w:r>
      <w:r>
        <w:rPr>
          <w:rFonts w:hint="eastAsia" w:ascii="宋体" w:hAnsi="宋体" w:cs="宋体"/>
          <w:sz w:val="24"/>
          <w:shd w:val="clear" w:color="auto" w:fill="FFFFFF"/>
        </w:rPr>
        <w:t>；</w:t>
      </w:r>
    </w:p>
    <w:tbl>
      <w:tblPr>
        <w:tblStyle w:val="17"/>
        <w:tblW w:w="44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843"/>
        <w:gridCol w:w="1470"/>
        <w:gridCol w:w="1519"/>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0" w:type="pct"/>
            <w:tcBorders>
              <w:top w:val="single" w:color="auto" w:sz="4" w:space="0"/>
              <w:left w:val="single" w:color="auto" w:sz="4" w:space="0"/>
              <w:bottom w:val="single" w:color="auto" w:sz="4" w:space="0"/>
              <w:right w:val="single" w:color="auto" w:sz="4" w:space="0"/>
            </w:tcBorders>
            <w:vAlign w:val="center"/>
          </w:tcPr>
          <w:p>
            <w:pPr>
              <w:pStyle w:val="22"/>
              <w:jc w:val="center"/>
              <w:rPr>
                <w:rFonts w:hAnsi="宋体" w:cs="Times New Roman"/>
                <w:sz w:val="21"/>
                <w:szCs w:val="21"/>
                <w:shd w:val="clear" w:color="auto" w:fill="FFFFFF"/>
              </w:rPr>
            </w:pPr>
            <w:r>
              <w:rPr>
                <w:rFonts w:hint="eastAsia" w:hAnsi="宋体" w:cs="Times New Roman"/>
                <w:sz w:val="21"/>
                <w:szCs w:val="21"/>
                <w:shd w:val="clear" w:color="auto" w:fill="FFFFFF"/>
              </w:rPr>
              <w:t>序号</w:t>
            </w:r>
          </w:p>
        </w:tc>
        <w:tc>
          <w:tcPr>
            <w:tcW w:w="1155" w:type="pct"/>
            <w:tcBorders>
              <w:top w:val="single" w:color="auto" w:sz="4" w:space="0"/>
              <w:left w:val="nil"/>
              <w:bottom w:val="single" w:color="auto" w:sz="4" w:space="0"/>
              <w:right w:val="single" w:color="auto" w:sz="4" w:space="0"/>
            </w:tcBorders>
            <w:vAlign w:val="center"/>
          </w:tcPr>
          <w:p>
            <w:pPr>
              <w:pStyle w:val="22"/>
              <w:jc w:val="center"/>
              <w:rPr>
                <w:rFonts w:hAnsi="宋体" w:cs="Times New Roman"/>
                <w:sz w:val="21"/>
                <w:szCs w:val="21"/>
                <w:shd w:val="clear" w:color="auto" w:fill="FFFFFF"/>
              </w:rPr>
            </w:pPr>
            <w:r>
              <w:rPr>
                <w:rFonts w:hint="eastAsia" w:hAnsi="宋体" w:cs="Times New Roman"/>
                <w:sz w:val="21"/>
                <w:szCs w:val="21"/>
                <w:shd w:val="clear" w:color="auto" w:fill="FFFFFF"/>
              </w:rPr>
              <w:t>包号</w:t>
            </w:r>
          </w:p>
        </w:tc>
        <w:tc>
          <w:tcPr>
            <w:tcW w:w="921" w:type="pct"/>
            <w:tcBorders>
              <w:top w:val="single" w:color="auto" w:sz="4" w:space="0"/>
              <w:left w:val="nil"/>
              <w:bottom w:val="single" w:color="auto" w:sz="4" w:space="0"/>
              <w:right w:val="single" w:color="auto" w:sz="4" w:space="0"/>
            </w:tcBorders>
            <w:vAlign w:val="center"/>
          </w:tcPr>
          <w:p>
            <w:pPr>
              <w:pStyle w:val="22"/>
              <w:jc w:val="center"/>
              <w:rPr>
                <w:rFonts w:hAnsi="宋体" w:cs="Times New Roman"/>
                <w:sz w:val="21"/>
                <w:szCs w:val="21"/>
                <w:shd w:val="clear" w:color="auto" w:fill="FFFFFF"/>
              </w:rPr>
            </w:pPr>
            <w:r>
              <w:rPr>
                <w:rFonts w:hint="eastAsia" w:hAnsi="宋体" w:cs="Times New Roman"/>
                <w:sz w:val="21"/>
                <w:szCs w:val="21"/>
                <w:shd w:val="clear" w:color="auto" w:fill="FFFFFF"/>
              </w:rPr>
              <w:t>包名称</w:t>
            </w:r>
          </w:p>
        </w:tc>
        <w:tc>
          <w:tcPr>
            <w:tcW w:w="952" w:type="pct"/>
            <w:tcBorders>
              <w:top w:val="single" w:color="auto" w:sz="4" w:space="0"/>
              <w:left w:val="nil"/>
              <w:bottom w:val="single" w:color="auto" w:sz="4" w:space="0"/>
              <w:right w:val="single" w:color="auto" w:sz="4" w:space="0"/>
            </w:tcBorders>
            <w:vAlign w:val="center"/>
          </w:tcPr>
          <w:p>
            <w:pPr>
              <w:pStyle w:val="22"/>
              <w:jc w:val="center"/>
              <w:rPr>
                <w:rFonts w:hAnsi="宋体" w:cs="Times New Roman"/>
                <w:sz w:val="21"/>
                <w:szCs w:val="21"/>
                <w:shd w:val="clear" w:color="auto" w:fill="FFFFFF"/>
              </w:rPr>
            </w:pPr>
            <w:r>
              <w:rPr>
                <w:rFonts w:hint="eastAsia" w:hAnsi="宋体" w:cs="Times New Roman"/>
                <w:sz w:val="21"/>
                <w:szCs w:val="21"/>
                <w:shd w:val="clear" w:color="auto" w:fill="FFFFFF"/>
              </w:rPr>
              <w:t>包预算（元）</w:t>
            </w:r>
          </w:p>
        </w:tc>
        <w:tc>
          <w:tcPr>
            <w:tcW w:w="1173" w:type="pct"/>
            <w:tcBorders>
              <w:top w:val="single" w:color="auto" w:sz="4" w:space="0"/>
              <w:left w:val="nil"/>
              <w:bottom w:val="single" w:color="auto" w:sz="4" w:space="0"/>
              <w:right w:val="single" w:color="auto" w:sz="4" w:space="0"/>
            </w:tcBorders>
            <w:vAlign w:val="center"/>
          </w:tcPr>
          <w:p>
            <w:pPr>
              <w:pStyle w:val="22"/>
              <w:jc w:val="center"/>
              <w:rPr>
                <w:rFonts w:hAnsi="宋体" w:cs="Times New Roman"/>
                <w:sz w:val="21"/>
                <w:szCs w:val="21"/>
                <w:shd w:val="clear" w:color="auto" w:fill="FFFFFF"/>
              </w:rPr>
            </w:pPr>
            <w:r>
              <w:rPr>
                <w:rFonts w:hint="eastAsia" w:hAnsi="宋体" w:cs="Times New Roman"/>
                <w:sz w:val="21"/>
                <w:szCs w:val="21"/>
                <w:shd w:val="clear" w:color="auto" w:fill="FFFFFF"/>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0" w:type="pct"/>
            <w:tcBorders>
              <w:top w:val="single" w:color="auto" w:sz="4" w:space="0"/>
              <w:left w:val="single" w:color="auto" w:sz="4" w:space="0"/>
              <w:bottom w:val="single" w:color="auto" w:sz="4" w:space="0"/>
              <w:right w:val="single" w:color="auto" w:sz="4" w:space="0"/>
            </w:tcBorders>
            <w:vAlign w:val="center"/>
          </w:tcPr>
          <w:p>
            <w:pPr>
              <w:pStyle w:val="22"/>
              <w:jc w:val="center"/>
              <w:rPr>
                <w:rFonts w:hAnsi="宋体" w:cs="Times New Roman"/>
                <w:sz w:val="21"/>
                <w:szCs w:val="21"/>
                <w:shd w:val="clear" w:color="auto" w:fill="FFFFFF"/>
              </w:rPr>
            </w:pPr>
            <w:r>
              <w:rPr>
                <w:rFonts w:hint="eastAsia" w:hAnsi="宋体" w:cs="Times New Roman"/>
                <w:sz w:val="21"/>
                <w:szCs w:val="21"/>
                <w:shd w:val="clear" w:color="auto" w:fill="FFFFFF"/>
              </w:rPr>
              <w:t>1</w:t>
            </w:r>
          </w:p>
        </w:tc>
        <w:tc>
          <w:tcPr>
            <w:tcW w:w="1155" w:type="pct"/>
            <w:tcBorders>
              <w:top w:val="single" w:color="auto" w:sz="4" w:space="0"/>
              <w:left w:val="nil"/>
              <w:bottom w:val="single" w:color="auto" w:sz="4" w:space="0"/>
              <w:right w:val="single" w:color="auto" w:sz="4" w:space="0"/>
            </w:tcBorders>
            <w:vAlign w:val="center"/>
          </w:tcPr>
          <w:p>
            <w:pPr>
              <w:pStyle w:val="22"/>
              <w:jc w:val="center"/>
              <w:rPr>
                <w:rFonts w:hAnsi="宋体" w:cs="Times New Roman"/>
                <w:sz w:val="21"/>
                <w:szCs w:val="21"/>
                <w:shd w:val="clear" w:color="auto" w:fill="FFFFFF"/>
              </w:rPr>
            </w:pPr>
            <w:r>
              <w:rPr>
                <w:rFonts w:hint="eastAsia" w:hAnsi="宋体" w:cs="Times New Roman"/>
                <w:sz w:val="21"/>
                <w:szCs w:val="21"/>
                <w:shd w:val="clear" w:color="auto" w:fill="FFFFFF"/>
              </w:rPr>
              <w:t>YZCG-DLG2021040</w:t>
            </w:r>
          </w:p>
        </w:tc>
        <w:tc>
          <w:tcPr>
            <w:tcW w:w="921" w:type="pct"/>
            <w:tcBorders>
              <w:top w:val="single" w:color="auto" w:sz="4" w:space="0"/>
              <w:left w:val="nil"/>
              <w:bottom w:val="single" w:color="auto" w:sz="4" w:space="0"/>
              <w:right w:val="single" w:color="auto" w:sz="4" w:space="0"/>
            </w:tcBorders>
            <w:vAlign w:val="center"/>
          </w:tcPr>
          <w:p>
            <w:pPr>
              <w:pStyle w:val="22"/>
              <w:jc w:val="center"/>
              <w:rPr>
                <w:rFonts w:hAnsi="宋体" w:cs="Times New Roman"/>
                <w:sz w:val="21"/>
                <w:szCs w:val="21"/>
                <w:shd w:val="clear" w:color="auto" w:fill="FFFFFF"/>
              </w:rPr>
            </w:pPr>
            <w:r>
              <w:rPr>
                <w:rFonts w:hint="eastAsia" w:hAnsi="宋体" w:cs="Times New Roman"/>
                <w:sz w:val="21"/>
                <w:szCs w:val="21"/>
                <w:shd w:val="clear" w:color="auto" w:fill="FFFFFF"/>
              </w:rPr>
              <w:t>一标段</w:t>
            </w:r>
          </w:p>
        </w:tc>
        <w:tc>
          <w:tcPr>
            <w:tcW w:w="952" w:type="pct"/>
            <w:tcBorders>
              <w:top w:val="single" w:color="auto" w:sz="4" w:space="0"/>
              <w:left w:val="nil"/>
              <w:bottom w:val="single" w:color="auto" w:sz="4" w:space="0"/>
              <w:right w:val="single" w:color="auto" w:sz="4" w:space="0"/>
            </w:tcBorders>
            <w:vAlign w:val="center"/>
          </w:tcPr>
          <w:p>
            <w:pPr>
              <w:pStyle w:val="22"/>
              <w:jc w:val="center"/>
              <w:rPr>
                <w:rFonts w:hAnsi="宋体" w:cs="Times New Roman"/>
                <w:sz w:val="21"/>
                <w:szCs w:val="21"/>
                <w:shd w:val="clear" w:color="auto" w:fill="FFFFFF"/>
              </w:rPr>
            </w:pPr>
            <w:r>
              <w:rPr>
                <w:rFonts w:hint="eastAsia" w:hAnsi="宋体" w:cs="Times New Roman"/>
                <w:sz w:val="21"/>
                <w:szCs w:val="21"/>
                <w:shd w:val="clear" w:color="auto" w:fill="FFFFFF"/>
              </w:rPr>
              <w:t>1857458.00元</w:t>
            </w:r>
          </w:p>
        </w:tc>
        <w:tc>
          <w:tcPr>
            <w:tcW w:w="1173" w:type="pct"/>
            <w:tcBorders>
              <w:top w:val="single" w:color="auto" w:sz="4" w:space="0"/>
              <w:left w:val="nil"/>
              <w:bottom w:val="single" w:color="auto" w:sz="4" w:space="0"/>
              <w:right w:val="single" w:color="auto" w:sz="4" w:space="0"/>
            </w:tcBorders>
            <w:vAlign w:val="center"/>
          </w:tcPr>
          <w:p>
            <w:pPr>
              <w:pStyle w:val="22"/>
              <w:jc w:val="center"/>
              <w:rPr>
                <w:rFonts w:hAnsi="宋体" w:cs="Times New Roman"/>
                <w:sz w:val="21"/>
                <w:szCs w:val="21"/>
                <w:shd w:val="clear" w:color="auto" w:fill="FFFFFF"/>
              </w:rPr>
            </w:pPr>
            <w:r>
              <w:rPr>
                <w:rFonts w:hint="eastAsia" w:hAnsi="宋体" w:cs="Times New Roman"/>
                <w:sz w:val="21"/>
                <w:szCs w:val="21"/>
                <w:shd w:val="clear" w:color="auto" w:fill="FFFFFF"/>
              </w:rPr>
              <w:t>1857458.00元</w:t>
            </w:r>
          </w:p>
        </w:tc>
      </w:tr>
    </w:tbl>
    <w:p>
      <w:pPr>
        <w:widowControl/>
        <w:numPr>
          <w:ilvl w:val="0"/>
          <w:numId w:val="3"/>
        </w:numPr>
        <w:tabs>
          <w:tab w:val="left" w:pos="840"/>
        </w:tabs>
        <w:spacing w:line="360" w:lineRule="auto"/>
        <w:ind w:firstLine="480" w:firstLineChars="200"/>
        <w:jc w:val="left"/>
        <w:rPr>
          <w:rFonts w:ascii="宋体" w:hAnsi="宋体" w:cs="宋体"/>
          <w:sz w:val="24"/>
          <w:shd w:val="clear" w:color="auto" w:fill="FFFFFF"/>
        </w:rPr>
      </w:pPr>
      <w:bookmarkStart w:id="3" w:name="_Toc27913"/>
      <w:bookmarkStart w:id="4" w:name="_Toc26079"/>
      <w:bookmarkStart w:id="5" w:name="_Toc21071"/>
      <w:bookmarkStart w:id="6" w:name="_Toc24040"/>
      <w:bookmarkStart w:id="7" w:name="_Toc19521"/>
      <w:r>
        <w:rPr>
          <w:rFonts w:hint="eastAsia" w:ascii="宋体" w:hAnsi="宋体" w:cs="宋体"/>
          <w:sz w:val="24"/>
          <w:shd w:val="clear" w:color="auto" w:fill="FFFFFF"/>
        </w:rPr>
        <w:t>采购需求</w:t>
      </w:r>
      <w:bookmarkEnd w:id="3"/>
      <w:bookmarkEnd w:id="4"/>
      <w:bookmarkEnd w:id="5"/>
      <w:bookmarkEnd w:id="6"/>
      <w:bookmarkEnd w:id="7"/>
      <w:r>
        <w:rPr>
          <w:rFonts w:hint="eastAsia" w:ascii="宋体" w:hAnsi="宋体" w:cs="宋体"/>
          <w:sz w:val="24"/>
          <w:shd w:val="clear" w:color="auto" w:fill="FFFFFF"/>
        </w:rPr>
        <w:t>：（包括但不限于标的的名称、数量、简要技术需求或服务要求等）</w:t>
      </w:r>
    </w:p>
    <w:p>
      <w:pPr>
        <w:autoSpaceDE w:val="0"/>
        <w:ind w:firstLine="480" w:firstLineChars="200"/>
        <w:rPr>
          <w:rFonts w:ascii="宋体" w:hAnsi="宋体"/>
          <w:sz w:val="24"/>
        </w:rPr>
      </w:pPr>
      <w:r>
        <w:rPr>
          <w:rFonts w:hint="eastAsia" w:ascii="宋体" w:hAnsi="宋体"/>
          <w:sz w:val="24"/>
        </w:rPr>
        <w:t>5.1采购内容：评价评估工作服务</w:t>
      </w:r>
    </w:p>
    <w:p>
      <w:pPr>
        <w:autoSpaceDE w:val="0"/>
        <w:ind w:firstLine="480" w:firstLineChars="200"/>
        <w:rPr>
          <w:rFonts w:hint="eastAsia" w:ascii="宋体" w:hAnsi="宋体"/>
          <w:sz w:val="24"/>
        </w:rPr>
      </w:pPr>
      <w:r>
        <w:rPr>
          <w:rFonts w:hint="eastAsia" w:ascii="宋体" w:hAnsi="宋体"/>
          <w:sz w:val="24"/>
        </w:rPr>
        <w:t>5.2项目地点：禹州市</w:t>
      </w:r>
    </w:p>
    <w:p>
      <w:pPr>
        <w:autoSpaceDE w:val="0"/>
        <w:ind w:firstLine="480" w:firstLineChars="200"/>
        <w:rPr>
          <w:rFonts w:hint="eastAsia" w:ascii="宋体" w:hAnsi="宋体"/>
          <w:sz w:val="24"/>
        </w:rPr>
      </w:pPr>
      <w:r>
        <w:rPr>
          <w:rFonts w:hint="eastAsia" w:ascii="宋体" w:hAnsi="宋体"/>
          <w:sz w:val="24"/>
        </w:rPr>
        <w:t>5.3资金来源：财政资金</w:t>
      </w:r>
    </w:p>
    <w:p>
      <w:pPr>
        <w:autoSpaceDE w:val="0"/>
        <w:ind w:firstLine="480" w:firstLineChars="200"/>
        <w:rPr>
          <w:rFonts w:hint="eastAsia" w:ascii="宋体" w:hAnsi="宋体"/>
          <w:sz w:val="24"/>
        </w:rPr>
      </w:pPr>
      <w:r>
        <w:rPr>
          <w:rFonts w:hint="eastAsia" w:ascii="宋体" w:hAnsi="宋体"/>
          <w:sz w:val="24"/>
        </w:rPr>
        <w:t>5.4服务期限：60日历天</w:t>
      </w:r>
    </w:p>
    <w:p>
      <w:pPr>
        <w:autoSpaceDE w:val="0"/>
        <w:ind w:firstLine="480" w:firstLineChars="200"/>
        <w:rPr>
          <w:rFonts w:hint="eastAsia" w:ascii="宋体" w:hAnsi="宋体"/>
          <w:sz w:val="24"/>
        </w:rPr>
      </w:pPr>
      <w:r>
        <w:rPr>
          <w:rFonts w:hint="eastAsia" w:ascii="宋体" w:hAnsi="宋体"/>
          <w:sz w:val="24"/>
        </w:rPr>
        <w:t>5.5质量要求：最终成果满足国家相关标准，通过主管部门的评审；</w:t>
      </w:r>
    </w:p>
    <w:p>
      <w:pPr>
        <w:autoSpaceDE w:val="0"/>
        <w:ind w:firstLine="480" w:firstLineChars="200"/>
        <w:rPr>
          <w:rFonts w:hint="eastAsia"/>
          <w:szCs w:val="21"/>
        </w:rPr>
      </w:pPr>
      <w:r>
        <w:rPr>
          <w:rFonts w:hint="eastAsia" w:ascii="宋体" w:hAnsi="宋体"/>
          <w:sz w:val="24"/>
        </w:rPr>
        <w:t>5.</w:t>
      </w:r>
      <w:r>
        <w:rPr>
          <w:rFonts w:hint="eastAsia" w:ascii="宋体" w:hAnsi="宋体"/>
          <w:sz w:val="24"/>
          <w:lang w:val="en-US" w:eastAsia="zh-CN"/>
        </w:rPr>
        <w:t>6</w:t>
      </w:r>
      <w:r>
        <w:rPr>
          <w:rFonts w:hint="eastAsia" w:ascii="宋体" w:hAnsi="宋体"/>
          <w:sz w:val="24"/>
        </w:rPr>
        <w:t>标段划分：本项目划分为1个标段</w:t>
      </w:r>
    </w:p>
    <w:p>
      <w:pPr>
        <w:widowControl/>
        <w:tabs>
          <w:tab w:val="left" w:pos="840"/>
        </w:tabs>
        <w:spacing w:line="360" w:lineRule="auto"/>
        <w:ind w:firstLine="480" w:firstLineChars="200"/>
        <w:jc w:val="left"/>
        <w:rPr>
          <w:rFonts w:ascii="宋体" w:hAnsi="宋体" w:cs="宋体"/>
          <w:sz w:val="24"/>
          <w:shd w:val="clear" w:color="auto" w:fill="FFFFFF"/>
        </w:rPr>
      </w:pPr>
      <w:r>
        <w:rPr>
          <w:rFonts w:hint="eastAsia" w:ascii="宋体" w:hAnsi="宋体" w:cs="宋体"/>
          <w:bCs/>
          <w:sz w:val="24"/>
          <w:shd w:val="clear" w:color="auto" w:fill="FFFFFF"/>
        </w:rPr>
        <w:t>6、合同履行期限：合同签订之日起60日历天内。</w:t>
      </w:r>
    </w:p>
    <w:p>
      <w:pPr>
        <w:pStyle w:val="14"/>
        <w:widowControl/>
        <w:spacing w:line="360" w:lineRule="auto"/>
        <w:ind w:firstLine="480" w:firstLineChars="200"/>
        <w:rPr>
          <w:rFonts w:ascii="宋体" w:hAnsi="宋体" w:cs="宋体"/>
          <w:shd w:val="clear" w:color="auto" w:fill="FFFFFF"/>
        </w:rPr>
      </w:pPr>
      <w:r>
        <w:rPr>
          <w:rFonts w:hint="eastAsia" w:ascii="宋体" w:hAnsi="宋体" w:cs="宋体"/>
          <w:shd w:val="clear" w:color="auto" w:fill="FFFFFF"/>
        </w:rPr>
        <w:t>7、本项目是否接受联合体投标：否</w:t>
      </w:r>
      <w:bookmarkStart w:id="55" w:name="_GoBack"/>
      <w:bookmarkEnd w:id="55"/>
    </w:p>
    <w:p>
      <w:pPr>
        <w:pStyle w:val="14"/>
        <w:widowControl/>
        <w:spacing w:line="360" w:lineRule="auto"/>
        <w:ind w:firstLine="480" w:firstLineChars="200"/>
        <w:rPr>
          <w:rFonts w:ascii="宋体" w:hAnsi="宋体" w:cs="宋体"/>
          <w:shd w:val="clear" w:color="auto" w:fill="FFFFFF"/>
        </w:rPr>
      </w:pPr>
      <w:r>
        <w:rPr>
          <w:rFonts w:hint="eastAsia" w:ascii="宋体" w:hAnsi="宋体" w:cs="宋体"/>
          <w:shd w:val="clear" w:color="auto" w:fill="FFFFFF"/>
        </w:rPr>
        <w:t>8、是否接受进口产品：否</w:t>
      </w:r>
    </w:p>
    <w:p>
      <w:pPr>
        <w:pStyle w:val="5"/>
        <w:keepNext w:val="0"/>
        <w:keepLines w:val="0"/>
        <w:widowControl/>
        <w:spacing w:before="0" w:after="0" w:line="360" w:lineRule="auto"/>
        <w:jc w:val="left"/>
        <w:rPr>
          <w:rFonts w:ascii="宋体" w:hAnsi="宋体" w:cs="宋体"/>
          <w:sz w:val="24"/>
          <w:szCs w:val="24"/>
          <w:shd w:val="clear" w:color="auto" w:fill="FFFFFF"/>
        </w:rPr>
      </w:pPr>
      <w:bookmarkStart w:id="8" w:name="_Toc16639"/>
      <w:bookmarkStart w:id="9" w:name="_Toc18607"/>
      <w:bookmarkStart w:id="10" w:name="_Toc23626"/>
      <w:bookmarkStart w:id="11" w:name="_Toc27704"/>
      <w:r>
        <w:rPr>
          <w:rFonts w:hint="eastAsia" w:ascii="宋体" w:hAnsi="宋体" w:cs="宋体"/>
          <w:sz w:val="24"/>
          <w:szCs w:val="24"/>
          <w:shd w:val="clear" w:color="auto" w:fill="FFFFFF"/>
        </w:rPr>
        <w:t>二、</w:t>
      </w:r>
      <w:bookmarkEnd w:id="2"/>
      <w:bookmarkEnd w:id="8"/>
      <w:bookmarkEnd w:id="9"/>
      <w:bookmarkEnd w:id="10"/>
      <w:bookmarkEnd w:id="11"/>
      <w:r>
        <w:rPr>
          <w:rFonts w:hint="eastAsia" w:ascii="宋体" w:hAnsi="宋体" w:cs="宋体"/>
          <w:sz w:val="24"/>
          <w:szCs w:val="24"/>
          <w:shd w:val="clear" w:color="auto" w:fill="FFFFFF"/>
        </w:rPr>
        <w:t>申请人资格要求：</w:t>
      </w:r>
    </w:p>
    <w:p>
      <w:pPr>
        <w:pStyle w:val="14"/>
        <w:widowControl/>
        <w:spacing w:line="360" w:lineRule="auto"/>
        <w:ind w:firstLine="480" w:firstLineChars="200"/>
        <w:rPr>
          <w:rFonts w:ascii="宋体" w:hAnsi="宋体" w:cs="宋体"/>
          <w:shd w:val="clear" w:color="auto" w:fill="FFFFFF"/>
        </w:rPr>
      </w:pPr>
      <w:r>
        <w:rPr>
          <w:rFonts w:hint="eastAsia" w:ascii="宋体" w:hAnsi="宋体" w:cs="宋体"/>
          <w:shd w:val="clear" w:color="auto" w:fill="FFFFFF"/>
        </w:rPr>
        <w:t>1、满足《中华人民共和国政府采购法》第二十二条规定；</w:t>
      </w:r>
    </w:p>
    <w:p>
      <w:pPr>
        <w:pStyle w:val="14"/>
        <w:widowControl/>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2、落实政府采购政策满足的资格要求：</w:t>
      </w:r>
    </w:p>
    <w:p>
      <w:pPr>
        <w:pStyle w:val="14"/>
        <w:widowControl/>
        <w:spacing w:line="360" w:lineRule="auto"/>
        <w:ind w:firstLine="1080" w:firstLineChars="450"/>
        <w:rPr>
          <w:rFonts w:ascii="宋体" w:hAnsi="宋体" w:cs="宋体"/>
          <w:shd w:val="clear" w:color="auto" w:fill="FFFFFF"/>
        </w:rPr>
      </w:pPr>
      <w:r>
        <w:rPr>
          <w:rFonts w:hint="eastAsia" w:ascii="宋体" w:hAnsi="宋体" w:cs="宋体"/>
          <w:shd w:val="clear" w:color="auto" w:fill="FFFFFF"/>
        </w:rPr>
        <w:t>无</w:t>
      </w:r>
    </w:p>
    <w:p>
      <w:pPr>
        <w:pStyle w:val="14"/>
        <w:widowControl/>
        <w:numPr>
          <w:ilvl w:val="0"/>
          <w:numId w:val="4"/>
        </w:numPr>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本项目的特定资格要求：</w:t>
      </w:r>
    </w:p>
    <w:p>
      <w:pPr>
        <w:pStyle w:val="5"/>
        <w:keepNext w:val="0"/>
        <w:keepLines w:val="0"/>
        <w:widowControl/>
        <w:spacing w:before="0" w:after="0" w:line="360" w:lineRule="auto"/>
        <w:ind w:firstLine="480" w:firstLineChars="200"/>
        <w:jc w:val="left"/>
        <w:rPr>
          <w:rFonts w:ascii="宋体" w:hAnsi="宋体" w:cs="宋体"/>
          <w:b w:val="0"/>
          <w:bCs w:val="0"/>
          <w:sz w:val="24"/>
          <w:szCs w:val="24"/>
          <w:shd w:val="clear" w:color="auto" w:fill="FFFFFF"/>
        </w:rPr>
      </w:pPr>
      <w:bookmarkStart w:id="12" w:name="_Toc23395"/>
      <w:bookmarkStart w:id="13" w:name="_Toc9562"/>
      <w:bookmarkStart w:id="14" w:name="_Toc30643"/>
      <w:bookmarkStart w:id="15" w:name="_Toc7823"/>
      <w:bookmarkStart w:id="16" w:name="_Toc30971"/>
      <w:r>
        <w:rPr>
          <w:rFonts w:hint="eastAsia" w:ascii="宋体" w:hAnsi="宋体" w:cs="宋体"/>
          <w:b w:val="0"/>
          <w:bCs w:val="0"/>
          <w:sz w:val="24"/>
          <w:szCs w:val="24"/>
          <w:shd w:val="clear" w:color="auto" w:fill="FFFFFF"/>
        </w:rPr>
        <w:t>3.1</w:t>
      </w:r>
      <w:bookmarkEnd w:id="12"/>
      <w:bookmarkEnd w:id="13"/>
      <w:bookmarkEnd w:id="14"/>
      <w:bookmarkEnd w:id="15"/>
      <w:bookmarkEnd w:id="16"/>
      <w:bookmarkStart w:id="17" w:name="_Toc22884"/>
      <w:r>
        <w:rPr>
          <w:rFonts w:hint="eastAsia" w:ascii="宋体" w:hAnsi="宋体" w:cs="宋体"/>
          <w:b w:val="0"/>
          <w:bCs w:val="0"/>
          <w:sz w:val="24"/>
          <w:szCs w:val="24"/>
          <w:shd w:val="clear" w:color="auto" w:fill="FFFFFF"/>
        </w:rPr>
        <w:t>投标人应具有独立法人资格，具备有效的企业营业执照副本或事业单位法人证书或其他有效登记证书；</w:t>
      </w:r>
    </w:p>
    <w:p>
      <w:pPr>
        <w:pStyle w:val="5"/>
        <w:keepNext w:val="0"/>
        <w:keepLines w:val="0"/>
        <w:widowControl/>
        <w:spacing w:before="0" w:after="0" w:line="360" w:lineRule="auto"/>
        <w:ind w:firstLine="480" w:firstLineChars="200"/>
        <w:jc w:val="left"/>
        <w:rPr>
          <w:rFonts w:ascii="宋体" w:hAnsi="宋体" w:cs="宋体"/>
          <w:b w:val="0"/>
          <w:bCs w:val="0"/>
          <w:sz w:val="24"/>
          <w:szCs w:val="24"/>
          <w:shd w:val="clear" w:color="auto" w:fill="FFFFFF"/>
        </w:rPr>
      </w:pPr>
      <w:r>
        <w:rPr>
          <w:rFonts w:hint="eastAsia" w:ascii="宋体" w:hAnsi="宋体" w:cs="宋体"/>
          <w:b w:val="0"/>
          <w:bCs w:val="0"/>
          <w:sz w:val="24"/>
          <w:szCs w:val="24"/>
          <w:shd w:val="clear" w:color="auto" w:fill="FFFFFF"/>
        </w:rPr>
        <w:t>3.2拟派项目负责人应具有土地估价师证书（须为本单位正式人员，需提供本单位为其缴纳三个月以上的社保证明），并具有履行合同所必需的设备和专业技术能力的证明材料；（须提供承诺书，格式自拟）；</w:t>
      </w:r>
    </w:p>
    <w:p>
      <w:pPr>
        <w:pStyle w:val="5"/>
        <w:keepNext w:val="0"/>
        <w:keepLines w:val="0"/>
        <w:widowControl/>
        <w:spacing w:before="0" w:after="0" w:line="360" w:lineRule="auto"/>
        <w:ind w:firstLine="480" w:firstLineChars="200"/>
        <w:jc w:val="left"/>
        <w:rPr>
          <w:rFonts w:ascii="宋体" w:hAnsi="宋体" w:cs="宋体"/>
          <w:b w:val="0"/>
          <w:bCs w:val="0"/>
          <w:sz w:val="24"/>
          <w:szCs w:val="24"/>
          <w:shd w:val="clear" w:color="auto" w:fill="FFFFFF"/>
        </w:rPr>
      </w:pPr>
      <w:r>
        <w:rPr>
          <w:rFonts w:hint="eastAsia" w:ascii="宋体" w:hAnsi="宋体" w:cs="宋体"/>
          <w:b w:val="0"/>
          <w:bCs w:val="0"/>
          <w:sz w:val="24"/>
          <w:szCs w:val="24"/>
          <w:shd w:val="clear" w:color="auto" w:fill="FFFFFF"/>
        </w:rPr>
        <w:t>3.3完成河南省自然资源厅（河南省国土资源厅）的土地估价机构备案，提供备案函。</w:t>
      </w:r>
    </w:p>
    <w:p>
      <w:pPr>
        <w:pStyle w:val="5"/>
        <w:keepNext w:val="0"/>
        <w:keepLines w:val="0"/>
        <w:widowControl/>
        <w:spacing w:before="0" w:after="0" w:line="360" w:lineRule="auto"/>
        <w:ind w:firstLine="480" w:firstLineChars="200"/>
        <w:jc w:val="left"/>
        <w:rPr>
          <w:rFonts w:ascii="宋体" w:hAnsi="宋体" w:cs="宋体"/>
          <w:b w:val="0"/>
          <w:bCs w:val="0"/>
          <w:sz w:val="24"/>
          <w:szCs w:val="24"/>
          <w:shd w:val="clear" w:color="auto" w:fill="FFFFFF"/>
        </w:rPr>
      </w:pPr>
      <w:r>
        <w:rPr>
          <w:rFonts w:hint="eastAsia" w:ascii="宋体" w:hAnsi="宋体" w:cs="宋体"/>
          <w:b w:val="0"/>
          <w:bCs w:val="0"/>
          <w:sz w:val="24"/>
          <w:szCs w:val="24"/>
          <w:shd w:val="clear" w:color="auto" w:fill="FFFFFF"/>
        </w:rPr>
        <w:t>3.4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w:t>
      </w:r>
    </w:p>
    <w:p>
      <w:pPr>
        <w:pStyle w:val="5"/>
        <w:keepNext w:val="0"/>
        <w:keepLines w:val="0"/>
        <w:widowControl/>
        <w:spacing w:before="0" w:after="0" w:line="360" w:lineRule="auto"/>
        <w:ind w:firstLine="480" w:firstLineChars="200"/>
        <w:jc w:val="left"/>
        <w:rPr>
          <w:rFonts w:ascii="宋体" w:hAnsi="宋体" w:cs="宋体"/>
          <w:b w:val="0"/>
          <w:bCs w:val="0"/>
          <w:sz w:val="24"/>
          <w:szCs w:val="24"/>
          <w:shd w:val="clear" w:color="auto" w:fill="FFFFFF"/>
        </w:rPr>
      </w:pPr>
      <w:r>
        <w:rPr>
          <w:rFonts w:hint="eastAsia" w:ascii="宋体" w:hAnsi="宋体" w:cs="宋体"/>
          <w:b w:val="0"/>
          <w:bCs w:val="0"/>
          <w:sz w:val="24"/>
          <w:szCs w:val="24"/>
          <w:shd w:val="clear" w:color="auto" w:fill="FFFFFF"/>
        </w:rPr>
        <w:t>3.5本项目不接受联合体投标。</w:t>
      </w:r>
      <w:bookmarkEnd w:id="17"/>
    </w:p>
    <w:p>
      <w:pPr>
        <w:pStyle w:val="5"/>
        <w:keepNext w:val="0"/>
        <w:keepLines w:val="0"/>
        <w:widowControl/>
        <w:spacing w:before="0" w:after="0" w:line="360" w:lineRule="auto"/>
        <w:jc w:val="left"/>
        <w:rPr>
          <w:rFonts w:ascii="宋体" w:hAnsi="宋体" w:cs="宋体"/>
          <w:bCs w:val="0"/>
          <w:sz w:val="24"/>
          <w:szCs w:val="24"/>
        </w:rPr>
      </w:pPr>
      <w:r>
        <w:rPr>
          <w:rFonts w:hint="eastAsia" w:ascii="宋体" w:hAnsi="宋体" w:cs="宋体"/>
          <w:bCs w:val="0"/>
          <w:sz w:val="24"/>
          <w:szCs w:val="24"/>
          <w:shd w:val="clear" w:color="auto" w:fill="FFFFFF"/>
        </w:rPr>
        <w:t>三、获取招标文件</w:t>
      </w:r>
    </w:p>
    <w:p>
      <w:pPr>
        <w:widowControl/>
        <w:adjustRightInd w:val="0"/>
        <w:snapToGrid w:val="0"/>
        <w:spacing w:line="360" w:lineRule="auto"/>
        <w:ind w:firstLine="480" w:firstLineChars="200"/>
        <w:jc w:val="left"/>
        <w:rPr>
          <w:rFonts w:ascii="宋体" w:hAnsi="宋体" w:cs="宋体"/>
          <w:bCs/>
          <w:kern w:val="0"/>
          <w:sz w:val="24"/>
        </w:rPr>
      </w:pPr>
      <w:r>
        <w:rPr>
          <w:rFonts w:hint="eastAsia" w:ascii="宋体" w:hAnsi="宋体" w:cs="宋体"/>
          <w:bCs/>
          <w:sz w:val="24"/>
          <w:shd w:val="clear" w:color="auto" w:fill="FFFFFF"/>
        </w:rPr>
        <w:t>1.时间：2021年06月23日 至 2021年7月15日</w:t>
      </w:r>
    </w:p>
    <w:p>
      <w:pPr>
        <w:pStyle w:val="14"/>
        <w:widowControl/>
        <w:spacing w:line="360" w:lineRule="auto"/>
        <w:ind w:firstLine="480" w:firstLineChars="200"/>
        <w:rPr>
          <w:rFonts w:ascii="宋体" w:hAnsi="宋体" w:cs="宋体"/>
          <w:bCs/>
          <w:shd w:val="clear" w:color="auto" w:fill="FFFFFF"/>
        </w:rPr>
      </w:pPr>
      <w:r>
        <w:rPr>
          <w:rFonts w:hint="eastAsia" w:ascii="宋体" w:hAnsi="宋体" w:cs="宋体"/>
          <w:bCs/>
          <w:shd w:val="clear" w:color="auto" w:fill="FFFFFF"/>
        </w:rPr>
        <w:t>每天上午00:00至12:00，下午12:00至23:59（北京时间，法定节假日除外。）</w:t>
      </w:r>
    </w:p>
    <w:p>
      <w:pPr>
        <w:pStyle w:val="14"/>
        <w:widowControl/>
        <w:spacing w:line="360" w:lineRule="auto"/>
        <w:ind w:firstLine="480" w:firstLineChars="200"/>
        <w:rPr>
          <w:rFonts w:ascii="宋体" w:hAnsi="宋体" w:cs="宋体"/>
          <w:bCs/>
        </w:rPr>
      </w:pPr>
      <w:r>
        <w:rPr>
          <w:rFonts w:hint="eastAsia" w:ascii="宋体" w:hAnsi="宋体" w:cs="宋体"/>
          <w:bCs/>
          <w:shd w:val="clear" w:color="auto" w:fill="FFFFFF"/>
        </w:rPr>
        <w:t>2.地点：</w:t>
      </w:r>
      <w:r>
        <w:rPr>
          <w:rFonts w:hint="eastAsia" w:ascii="宋体" w:hAnsi="宋体" w:cs="宋体"/>
          <w:sz w:val="21"/>
          <w:szCs w:val="21"/>
          <w:shd w:val="clear" w:color="auto" w:fill="FFFFFF"/>
        </w:rPr>
        <w:t>《全国公共资源交易平台（河南省·许昌市）》（http://ggzy.xuchang.gov.cn/）</w:t>
      </w:r>
    </w:p>
    <w:p>
      <w:pPr>
        <w:pStyle w:val="14"/>
        <w:widowControl/>
        <w:wordWrap w:val="0"/>
        <w:spacing w:line="360" w:lineRule="auto"/>
        <w:ind w:left="420" w:leftChars="200"/>
        <w:rPr>
          <w:rFonts w:ascii="宋体" w:hAnsi="宋体" w:cs="宋体"/>
          <w:bCs/>
          <w:u w:val="single"/>
          <w:shd w:val="clear" w:color="auto" w:fill="FFFFFF"/>
        </w:rPr>
      </w:pPr>
      <w:r>
        <w:rPr>
          <w:rFonts w:hint="eastAsia" w:ascii="宋体" w:hAnsi="宋体" w:cs="宋体"/>
          <w:bCs/>
          <w:shd w:val="clear" w:color="auto" w:fill="FFFFFF"/>
        </w:rPr>
        <w:t>3.方式：自行下载</w:t>
      </w:r>
    </w:p>
    <w:p>
      <w:pPr>
        <w:pStyle w:val="14"/>
        <w:widowControl/>
        <w:wordWrap w:val="0"/>
        <w:spacing w:line="360" w:lineRule="auto"/>
        <w:ind w:left="420" w:leftChars="200"/>
        <w:rPr>
          <w:rFonts w:ascii="宋体" w:hAnsi="宋体" w:cs="宋体"/>
          <w:bCs/>
        </w:rPr>
      </w:pPr>
      <w:r>
        <w:rPr>
          <w:rFonts w:hint="eastAsia" w:ascii="宋体" w:hAnsi="宋体" w:cs="宋体"/>
          <w:bCs/>
          <w:shd w:val="clear" w:color="auto" w:fill="FFFFFF"/>
        </w:rPr>
        <w:t>4.售价：</w:t>
      </w:r>
      <w:r>
        <w:rPr>
          <w:rFonts w:hint="eastAsia" w:ascii="宋体" w:hAnsi="宋体" w:cs="宋体"/>
          <w:bCs/>
          <w:kern w:val="0"/>
          <w:u w:val="single"/>
        </w:rPr>
        <w:t>0</w:t>
      </w:r>
      <w:r>
        <w:rPr>
          <w:rFonts w:hint="eastAsia" w:ascii="宋体" w:hAnsi="宋体" w:cs="宋体"/>
          <w:bCs/>
          <w:shd w:val="clear" w:color="auto" w:fill="FFFFFF"/>
        </w:rPr>
        <w:t>元。</w:t>
      </w:r>
    </w:p>
    <w:p>
      <w:pPr>
        <w:pStyle w:val="5"/>
        <w:keepNext w:val="0"/>
        <w:keepLines w:val="0"/>
        <w:widowControl/>
        <w:spacing w:before="0" w:after="0" w:line="360" w:lineRule="auto"/>
        <w:jc w:val="left"/>
        <w:rPr>
          <w:rFonts w:ascii="宋体" w:hAnsi="宋体" w:cs="宋体"/>
          <w:bCs w:val="0"/>
          <w:sz w:val="24"/>
          <w:szCs w:val="24"/>
        </w:rPr>
      </w:pPr>
      <w:bookmarkStart w:id="18" w:name="_Toc10738"/>
      <w:bookmarkStart w:id="19" w:name="_Toc15111"/>
      <w:bookmarkStart w:id="20" w:name="_Toc27480"/>
      <w:bookmarkStart w:id="21" w:name="_Toc15135"/>
      <w:bookmarkStart w:id="22" w:name="_Toc25869"/>
      <w:r>
        <w:rPr>
          <w:rFonts w:hint="eastAsia" w:ascii="宋体" w:hAnsi="宋体" w:cs="宋体"/>
          <w:bCs w:val="0"/>
          <w:sz w:val="24"/>
          <w:szCs w:val="24"/>
          <w:shd w:val="clear" w:color="auto" w:fill="FFFFFF"/>
        </w:rPr>
        <w:t>四、投标截止时间及地点</w:t>
      </w:r>
      <w:bookmarkEnd w:id="18"/>
      <w:bookmarkEnd w:id="19"/>
      <w:bookmarkEnd w:id="20"/>
      <w:bookmarkEnd w:id="21"/>
      <w:bookmarkEnd w:id="22"/>
    </w:p>
    <w:p>
      <w:pPr>
        <w:pStyle w:val="14"/>
        <w:widowControl/>
        <w:spacing w:line="360" w:lineRule="auto"/>
        <w:ind w:firstLine="480" w:firstLineChars="200"/>
        <w:rPr>
          <w:rFonts w:ascii="宋体" w:hAnsi="宋体" w:cs="宋体"/>
          <w:bCs/>
        </w:rPr>
      </w:pPr>
      <w:r>
        <w:rPr>
          <w:rFonts w:hint="eastAsia" w:ascii="宋体" w:hAnsi="宋体" w:cs="宋体"/>
          <w:bCs/>
          <w:shd w:val="clear" w:color="auto" w:fill="FFFFFF"/>
        </w:rPr>
        <w:t>1.时间：2021年7月15日8时30分（北京时间）</w:t>
      </w:r>
    </w:p>
    <w:p>
      <w:pPr>
        <w:pStyle w:val="14"/>
        <w:widowControl/>
        <w:spacing w:line="360" w:lineRule="auto"/>
        <w:ind w:firstLine="480" w:firstLineChars="200"/>
        <w:rPr>
          <w:rFonts w:ascii="宋体" w:hAnsi="宋体" w:cs="宋体"/>
          <w:bCs/>
        </w:rPr>
      </w:pPr>
      <w:r>
        <w:rPr>
          <w:rFonts w:hint="eastAsia" w:ascii="宋体" w:hAnsi="宋体" w:cs="宋体"/>
          <w:bCs/>
          <w:shd w:val="clear" w:color="auto" w:fill="FFFFFF"/>
        </w:rPr>
        <w:t>2.地点：禹州市公共资源交易中心九楼第一开标室。（本项目采用远程不见面开标，供应商无须到达现场）。</w:t>
      </w:r>
    </w:p>
    <w:p>
      <w:pPr>
        <w:pStyle w:val="5"/>
        <w:keepNext w:val="0"/>
        <w:keepLines w:val="0"/>
        <w:widowControl/>
        <w:spacing w:before="0" w:after="0" w:line="360" w:lineRule="auto"/>
        <w:jc w:val="left"/>
        <w:rPr>
          <w:rFonts w:ascii="宋体" w:hAnsi="宋体" w:cs="宋体"/>
          <w:bCs w:val="0"/>
          <w:sz w:val="24"/>
          <w:szCs w:val="24"/>
        </w:rPr>
      </w:pPr>
      <w:bookmarkStart w:id="23" w:name="_Toc23175"/>
      <w:bookmarkStart w:id="24" w:name="_Toc32183"/>
      <w:bookmarkStart w:id="25" w:name="_Toc18536"/>
      <w:bookmarkStart w:id="26" w:name="_Toc20992"/>
      <w:bookmarkStart w:id="27" w:name="_Toc27882"/>
      <w:r>
        <w:rPr>
          <w:rFonts w:hint="eastAsia" w:ascii="宋体" w:hAnsi="宋体" w:cs="宋体"/>
          <w:bCs w:val="0"/>
          <w:sz w:val="24"/>
          <w:szCs w:val="24"/>
          <w:shd w:val="clear" w:color="auto" w:fill="FFFFFF"/>
        </w:rPr>
        <w:t>五、开标时间及地点</w:t>
      </w:r>
      <w:bookmarkEnd w:id="23"/>
      <w:bookmarkEnd w:id="24"/>
      <w:bookmarkEnd w:id="25"/>
      <w:bookmarkEnd w:id="26"/>
      <w:bookmarkEnd w:id="27"/>
    </w:p>
    <w:p>
      <w:pPr>
        <w:pStyle w:val="14"/>
        <w:widowControl/>
        <w:spacing w:line="360" w:lineRule="auto"/>
        <w:ind w:firstLine="480" w:firstLineChars="200"/>
        <w:rPr>
          <w:rFonts w:ascii="宋体" w:hAnsi="宋体" w:cs="宋体"/>
          <w:bCs/>
        </w:rPr>
      </w:pPr>
      <w:r>
        <w:rPr>
          <w:rFonts w:hint="eastAsia" w:ascii="宋体" w:hAnsi="宋体" w:cs="宋体"/>
          <w:bCs/>
          <w:shd w:val="clear" w:color="auto" w:fill="FFFFFF"/>
        </w:rPr>
        <w:t>1.时间：2021年7月15日8时30分（北京时间）。</w:t>
      </w:r>
    </w:p>
    <w:p>
      <w:pPr>
        <w:pStyle w:val="14"/>
        <w:widowControl/>
        <w:spacing w:line="360" w:lineRule="auto"/>
        <w:ind w:firstLine="480" w:firstLineChars="200"/>
        <w:rPr>
          <w:rFonts w:ascii="宋体" w:hAnsi="宋体" w:cs="宋体"/>
          <w:bCs/>
        </w:rPr>
      </w:pPr>
      <w:r>
        <w:rPr>
          <w:rFonts w:hint="eastAsia" w:ascii="宋体" w:hAnsi="宋体" w:cs="宋体"/>
          <w:bCs/>
          <w:shd w:val="clear" w:color="auto" w:fill="FFFFFF"/>
        </w:rPr>
        <w:t>2.地点：禹州市公共资源交易中心九楼第一开标室。（本项目采用远程不见面开标，供应商无须到达现场）。</w:t>
      </w:r>
    </w:p>
    <w:p>
      <w:pPr>
        <w:pStyle w:val="5"/>
        <w:keepNext w:val="0"/>
        <w:keepLines w:val="0"/>
        <w:widowControl/>
        <w:spacing w:before="0" w:after="0" w:line="360" w:lineRule="auto"/>
        <w:jc w:val="left"/>
        <w:rPr>
          <w:rFonts w:ascii="宋体" w:hAnsi="宋体" w:cs="宋体"/>
          <w:bCs w:val="0"/>
          <w:sz w:val="24"/>
          <w:szCs w:val="24"/>
        </w:rPr>
      </w:pPr>
      <w:bookmarkStart w:id="28" w:name="_Toc29784"/>
      <w:bookmarkStart w:id="29" w:name="_Toc16669"/>
      <w:bookmarkStart w:id="30" w:name="_Toc30918"/>
      <w:bookmarkStart w:id="31" w:name="_Toc6523"/>
      <w:bookmarkStart w:id="32" w:name="_Toc20287"/>
      <w:r>
        <w:rPr>
          <w:rFonts w:hint="eastAsia" w:ascii="宋体" w:hAnsi="宋体" w:cs="宋体"/>
          <w:bCs w:val="0"/>
          <w:sz w:val="24"/>
          <w:szCs w:val="24"/>
          <w:shd w:val="clear" w:color="auto" w:fill="FFFFFF"/>
        </w:rPr>
        <w:t>六、发布公告的媒介及招标公告期限</w:t>
      </w:r>
      <w:bookmarkEnd w:id="28"/>
      <w:bookmarkEnd w:id="29"/>
      <w:bookmarkEnd w:id="30"/>
      <w:bookmarkEnd w:id="31"/>
      <w:bookmarkEnd w:id="32"/>
    </w:p>
    <w:p>
      <w:pPr>
        <w:pStyle w:val="14"/>
        <w:widowControl/>
        <w:spacing w:line="360" w:lineRule="auto"/>
        <w:ind w:firstLine="480" w:firstLineChars="200"/>
        <w:rPr>
          <w:rFonts w:ascii="宋体" w:hAnsi="宋体" w:cs="宋体"/>
          <w:bCs/>
          <w:shd w:val="clear" w:color="auto" w:fill="FFFFFF"/>
        </w:rPr>
      </w:pPr>
      <w:r>
        <w:rPr>
          <w:rFonts w:hint="eastAsia" w:ascii="宋体" w:hAnsi="宋体" w:cs="宋体"/>
          <w:bCs/>
          <w:shd w:val="clear" w:color="auto" w:fill="FFFFFF"/>
        </w:rPr>
        <w:t>本次招标公告在《中国政府采购网》、《河南省政府采购网》、《全国公共资源交易平台（河南省·许昌市）》上发布。招标公告期限为五个工作日</w:t>
      </w:r>
      <w:bookmarkStart w:id="33" w:name="_Toc35393626"/>
      <w:bookmarkStart w:id="34" w:name="_Toc35393795"/>
      <w:r>
        <w:rPr>
          <w:rFonts w:hint="eastAsia" w:ascii="宋体" w:hAnsi="宋体" w:cs="宋体"/>
          <w:bCs/>
          <w:shd w:val="clear" w:color="auto" w:fill="FFFFFF"/>
        </w:rPr>
        <w:t>。</w:t>
      </w:r>
    </w:p>
    <w:p>
      <w:pPr>
        <w:pStyle w:val="5"/>
        <w:keepNext w:val="0"/>
        <w:keepLines w:val="0"/>
        <w:widowControl/>
        <w:spacing w:before="0" w:after="0" w:line="360" w:lineRule="auto"/>
        <w:jc w:val="left"/>
        <w:rPr>
          <w:rFonts w:ascii="宋体" w:hAnsi="宋体" w:cs="宋体"/>
          <w:bCs w:val="0"/>
          <w:sz w:val="24"/>
          <w:szCs w:val="24"/>
          <w:shd w:val="clear" w:color="auto" w:fill="FFFFFF"/>
        </w:rPr>
      </w:pPr>
      <w:r>
        <w:rPr>
          <w:rFonts w:hint="eastAsia" w:ascii="宋体" w:hAnsi="宋体" w:cs="宋体"/>
          <w:bCs w:val="0"/>
          <w:sz w:val="24"/>
          <w:szCs w:val="24"/>
          <w:shd w:val="clear" w:color="auto" w:fill="FFFFFF"/>
        </w:rPr>
        <w:t>七、其他补充事宜</w:t>
      </w:r>
      <w:bookmarkEnd w:id="33"/>
      <w:bookmarkEnd w:id="34"/>
    </w:p>
    <w:p>
      <w:pPr>
        <w:widowControl/>
        <w:tabs>
          <w:tab w:val="left" w:pos="840"/>
        </w:tabs>
        <w:spacing w:line="360" w:lineRule="auto"/>
        <w:ind w:firstLine="480" w:firstLineChars="200"/>
        <w:jc w:val="left"/>
        <w:rPr>
          <w:rFonts w:ascii="宋体" w:hAnsi="宋体" w:cs="宋体"/>
          <w:bCs/>
          <w:sz w:val="24"/>
          <w:shd w:val="clear" w:color="auto" w:fill="FFFFFF"/>
        </w:rPr>
      </w:pPr>
      <w:r>
        <w:rPr>
          <w:rFonts w:hint="eastAsia" w:ascii="宋体" w:hAnsi="宋体" w:cs="宋体"/>
          <w:bCs/>
          <w:sz w:val="24"/>
          <w:shd w:val="clear" w:color="auto" w:fill="FFFFFF"/>
        </w:rPr>
        <w:t>1.本项目执行促进中小型企业发展政策（监狱企业、残疾人福利性企业视同小微企业）、强制采购节能产品、优先采购节能环保产品等政府采购政策。</w:t>
      </w:r>
    </w:p>
    <w:p>
      <w:pPr>
        <w:widowControl/>
        <w:tabs>
          <w:tab w:val="left" w:pos="840"/>
        </w:tabs>
        <w:spacing w:line="360" w:lineRule="auto"/>
        <w:ind w:firstLine="480" w:firstLineChars="200"/>
        <w:jc w:val="left"/>
        <w:rPr>
          <w:rFonts w:ascii="宋体" w:hAnsi="宋体" w:cs="宋体"/>
          <w:bCs/>
          <w:sz w:val="24"/>
          <w:shd w:val="clear" w:color="auto" w:fill="FFFFFF"/>
        </w:rPr>
      </w:pPr>
      <w:r>
        <w:rPr>
          <w:rFonts w:hint="eastAsia" w:ascii="宋体" w:hAnsi="宋体" w:cs="宋体"/>
          <w:bCs/>
          <w:sz w:val="24"/>
          <w:shd w:val="clear" w:color="auto" w:fill="FFFFFF"/>
        </w:rPr>
        <w:t>2.本项目采用电子系统进行招投标，请在投标前详细阅读全国公共资源交易平台（河南省·许昌市）首页“资料下载”栏目的《交易系统全电子操作手册（投标人）》及其附件。</w:t>
      </w:r>
    </w:p>
    <w:p>
      <w:pPr>
        <w:widowControl/>
        <w:tabs>
          <w:tab w:val="left" w:pos="840"/>
        </w:tabs>
        <w:spacing w:line="360" w:lineRule="auto"/>
        <w:ind w:firstLine="480" w:firstLineChars="200"/>
        <w:jc w:val="left"/>
        <w:rPr>
          <w:rFonts w:ascii="宋体" w:hAnsi="宋体" w:cs="宋体"/>
          <w:bCs/>
          <w:sz w:val="24"/>
          <w:shd w:val="clear" w:color="auto" w:fill="FFFFFF"/>
        </w:rPr>
      </w:pPr>
      <w:r>
        <w:rPr>
          <w:rFonts w:hint="eastAsia" w:ascii="宋体" w:hAnsi="宋体" w:cs="宋体"/>
          <w:bCs/>
          <w:sz w:val="24"/>
          <w:shd w:val="clear" w:color="auto" w:fill="FFFFFF"/>
        </w:rPr>
        <w:t>3.投标供应商在电子系统使用过程中遇到涉及系统使用的问题，可致电0374-2961598进行咨询。</w:t>
      </w:r>
    </w:p>
    <w:p>
      <w:pPr>
        <w:pStyle w:val="5"/>
        <w:keepNext w:val="0"/>
        <w:keepLines w:val="0"/>
        <w:widowControl/>
        <w:spacing w:before="0" w:after="0" w:line="360" w:lineRule="auto"/>
        <w:jc w:val="left"/>
        <w:rPr>
          <w:rFonts w:ascii="宋体" w:hAnsi="宋体" w:cs="宋体"/>
          <w:bCs w:val="0"/>
          <w:sz w:val="24"/>
          <w:szCs w:val="24"/>
        </w:rPr>
      </w:pPr>
      <w:bookmarkStart w:id="35" w:name="_Toc24274"/>
      <w:bookmarkStart w:id="36" w:name="_Toc31928"/>
      <w:bookmarkStart w:id="37" w:name="_Toc16291"/>
      <w:bookmarkStart w:id="38" w:name="_Toc27370"/>
      <w:bookmarkStart w:id="39" w:name="_Toc3604"/>
      <w:r>
        <w:rPr>
          <w:rFonts w:hint="eastAsia" w:ascii="宋体" w:hAnsi="宋体" w:cs="宋体"/>
          <w:bCs w:val="0"/>
          <w:sz w:val="24"/>
          <w:szCs w:val="24"/>
          <w:shd w:val="clear" w:color="auto" w:fill="FFFFFF"/>
        </w:rPr>
        <w:t>八、</w:t>
      </w:r>
      <w:bookmarkEnd w:id="35"/>
      <w:bookmarkEnd w:id="36"/>
      <w:bookmarkEnd w:id="37"/>
      <w:bookmarkEnd w:id="38"/>
      <w:bookmarkEnd w:id="39"/>
      <w:r>
        <w:rPr>
          <w:rFonts w:hint="eastAsia" w:ascii="宋体" w:hAnsi="宋体" w:cs="宋体"/>
          <w:bCs w:val="0"/>
          <w:sz w:val="24"/>
          <w:szCs w:val="24"/>
          <w:shd w:val="clear" w:color="auto" w:fill="FFFFFF"/>
        </w:rPr>
        <w:t>凡对本次招标提出询问，请按照以下方式联系</w:t>
      </w:r>
    </w:p>
    <w:p>
      <w:pPr>
        <w:pStyle w:val="14"/>
        <w:widowControl/>
        <w:spacing w:line="360" w:lineRule="auto"/>
        <w:ind w:firstLine="480" w:firstLineChars="200"/>
        <w:rPr>
          <w:rFonts w:ascii="宋体" w:hAnsi="宋体" w:cs="宋体"/>
          <w:bCs/>
          <w:shd w:val="clear" w:color="auto" w:fill="FFFFFF"/>
        </w:rPr>
      </w:pPr>
      <w:r>
        <w:rPr>
          <w:rFonts w:hint="eastAsia" w:ascii="宋体" w:hAnsi="宋体" w:cs="宋体"/>
          <w:bCs/>
          <w:shd w:val="clear" w:color="auto" w:fill="FFFFFF"/>
        </w:rPr>
        <w:t>1.采购人信息</w:t>
      </w:r>
    </w:p>
    <w:p>
      <w:pPr>
        <w:pStyle w:val="14"/>
        <w:widowControl/>
        <w:spacing w:line="360" w:lineRule="auto"/>
        <w:ind w:firstLine="480" w:firstLineChars="200"/>
        <w:rPr>
          <w:rFonts w:ascii="宋体" w:hAnsi="宋体" w:cs="宋体"/>
          <w:bCs/>
          <w:shd w:val="clear" w:color="auto" w:fill="FFFFFF"/>
        </w:rPr>
      </w:pPr>
      <w:r>
        <w:rPr>
          <w:rFonts w:hint="eastAsia" w:ascii="宋体" w:hAnsi="宋体" w:cs="宋体"/>
          <w:bCs/>
          <w:shd w:val="clear" w:color="auto" w:fill="FFFFFF"/>
        </w:rPr>
        <w:t>名称：禹州市自然资源和规划局</w:t>
      </w:r>
    </w:p>
    <w:p>
      <w:pPr>
        <w:pStyle w:val="14"/>
        <w:widowControl/>
        <w:spacing w:line="360" w:lineRule="auto"/>
        <w:ind w:firstLine="480" w:firstLineChars="200"/>
        <w:rPr>
          <w:rFonts w:ascii="宋体" w:hAnsi="宋体" w:cs="宋体"/>
          <w:bCs/>
          <w:shd w:val="clear" w:color="auto" w:fill="FFFFFF"/>
        </w:rPr>
      </w:pPr>
      <w:r>
        <w:rPr>
          <w:rFonts w:hint="eastAsia" w:ascii="宋体" w:hAnsi="宋体" w:cs="宋体"/>
          <w:bCs/>
          <w:shd w:val="clear" w:color="auto" w:fill="FFFFFF"/>
        </w:rPr>
        <w:t>地址：禹州市禹王大道东段103号</w:t>
      </w:r>
    </w:p>
    <w:p>
      <w:pPr>
        <w:pStyle w:val="14"/>
        <w:widowControl/>
        <w:spacing w:line="360" w:lineRule="auto"/>
        <w:ind w:firstLine="480" w:firstLineChars="200"/>
        <w:rPr>
          <w:rFonts w:ascii="宋体" w:hAnsi="宋体" w:cs="宋体"/>
          <w:bCs/>
          <w:shd w:val="clear" w:color="auto" w:fill="FFFFFF"/>
        </w:rPr>
      </w:pPr>
      <w:r>
        <w:rPr>
          <w:rFonts w:hint="eastAsia" w:ascii="宋体" w:hAnsi="宋体" w:cs="宋体"/>
          <w:bCs/>
          <w:shd w:val="clear" w:color="auto" w:fill="FFFFFF"/>
        </w:rPr>
        <w:t>联系人：张先生</w:t>
      </w:r>
    </w:p>
    <w:p>
      <w:pPr>
        <w:pStyle w:val="14"/>
        <w:widowControl/>
        <w:spacing w:line="360" w:lineRule="auto"/>
        <w:ind w:firstLine="480" w:firstLineChars="200"/>
        <w:rPr>
          <w:rFonts w:ascii="宋体" w:hAnsi="宋体" w:cs="宋体"/>
          <w:bCs/>
          <w:shd w:val="clear" w:color="auto" w:fill="FFFFFF"/>
        </w:rPr>
      </w:pPr>
      <w:r>
        <w:rPr>
          <w:rFonts w:hint="eastAsia" w:ascii="宋体" w:hAnsi="宋体" w:cs="宋体"/>
          <w:bCs/>
          <w:shd w:val="clear" w:color="auto" w:fill="FFFFFF"/>
        </w:rPr>
        <w:t>联系方式：13837420863</w:t>
      </w:r>
    </w:p>
    <w:p>
      <w:pPr>
        <w:pStyle w:val="14"/>
        <w:widowControl/>
        <w:spacing w:line="360" w:lineRule="auto"/>
        <w:ind w:firstLine="480" w:firstLineChars="200"/>
        <w:rPr>
          <w:rFonts w:ascii="宋体" w:hAnsi="宋体" w:cs="宋体"/>
          <w:bCs/>
          <w:shd w:val="clear" w:color="auto" w:fill="FFFFFF"/>
        </w:rPr>
      </w:pPr>
      <w:r>
        <w:rPr>
          <w:rFonts w:hint="eastAsia" w:ascii="宋体" w:hAnsi="宋体" w:cs="宋体"/>
          <w:bCs/>
          <w:shd w:val="clear" w:color="auto" w:fill="FFFFFF"/>
        </w:rPr>
        <w:t>2.采购代理机构信息</w:t>
      </w:r>
    </w:p>
    <w:p>
      <w:pPr>
        <w:pStyle w:val="14"/>
        <w:widowControl/>
        <w:spacing w:line="360" w:lineRule="auto"/>
        <w:ind w:firstLine="480" w:firstLineChars="200"/>
        <w:rPr>
          <w:rFonts w:ascii="宋体" w:hAnsi="宋体" w:cs="宋体"/>
          <w:bCs/>
          <w:shd w:val="clear" w:color="auto" w:fill="FFFFFF"/>
        </w:rPr>
      </w:pPr>
      <w:r>
        <w:rPr>
          <w:rFonts w:hint="eastAsia" w:ascii="宋体" w:hAnsi="宋体" w:cs="宋体"/>
          <w:bCs/>
          <w:shd w:val="clear" w:color="auto" w:fill="FFFFFF"/>
        </w:rPr>
        <w:t>名称：北京中兴恒工程咨询有限公司</w:t>
      </w:r>
    </w:p>
    <w:p>
      <w:pPr>
        <w:pStyle w:val="14"/>
        <w:widowControl/>
        <w:spacing w:line="360" w:lineRule="auto"/>
        <w:ind w:firstLine="480" w:firstLineChars="200"/>
        <w:rPr>
          <w:rFonts w:ascii="宋体" w:hAnsi="宋体" w:cs="宋体"/>
          <w:bCs/>
          <w:shd w:val="clear" w:color="auto" w:fill="FFFFFF"/>
        </w:rPr>
      </w:pPr>
      <w:r>
        <w:rPr>
          <w:rFonts w:hint="eastAsia" w:ascii="宋体" w:hAnsi="宋体" w:cs="宋体"/>
          <w:bCs/>
          <w:shd w:val="clear" w:color="auto" w:fill="FFFFFF"/>
        </w:rPr>
        <w:t>地址：郑州市黄河路经二路瀚海璞丽中心A座1106室</w:t>
      </w:r>
    </w:p>
    <w:p>
      <w:pPr>
        <w:pStyle w:val="14"/>
        <w:widowControl/>
        <w:spacing w:line="360" w:lineRule="auto"/>
        <w:ind w:firstLine="480" w:firstLineChars="200"/>
        <w:rPr>
          <w:rFonts w:ascii="宋体" w:hAnsi="宋体" w:cs="宋体"/>
          <w:bCs/>
          <w:shd w:val="clear" w:color="auto" w:fill="FFFFFF"/>
        </w:rPr>
      </w:pPr>
      <w:r>
        <w:rPr>
          <w:rFonts w:hint="eastAsia" w:ascii="宋体" w:hAnsi="宋体" w:cs="宋体"/>
          <w:bCs/>
          <w:shd w:val="clear" w:color="auto" w:fill="FFFFFF"/>
        </w:rPr>
        <w:t>联系人：孙女士</w:t>
      </w:r>
    </w:p>
    <w:p>
      <w:pPr>
        <w:pStyle w:val="14"/>
        <w:widowControl/>
        <w:spacing w:line="360" w:lineRule="auto"/>
        <w:ind w:firstLine="480" w:firstLineChars="200"/>
        <w:rPr>
          <w:rFonts w:ascii="宋体" w:hAnsi="宋体" w:cs="宋体"/>
          <w:bCs/>
          <w:shd w:val="clear" w:color="auto" w:fill="FFFFFF"/>
        </w:rPr>
      </w:pPr>
      <w:r>
        <w:rPr>
          <w:rFonts w:hint="eastAsia" w:ascii="宋体" w:hAnsi="宋体" w:cs="宋体"/>
          <w:bCs/>
          <w:shd w:val="clear" w:color="auto" w:fill="FFFFFF"/>
        </w:rPr>
        <w:t>联系方式：17796765531</w:t>
      </w:r>
    </w:p>
    <w:p>
      <w:pPr>
        <w:pStyle w:val="14"/>
        <w:widowControl/>
        <w:spacing w:line="360" w:lineRule="auto"/>
        <w:ind w:firstLine="480" w:firstLineChars="200"/>
        <w:rPr>
          <w:rFonts w:ascii="宋体" w:hAnsi="宋体" w:cs="宋体"/>
          <w:bCs/>
          <w:shd w:val="clear" w:color="auto" w:fill="FFFFFF"/>
        </w:rPr>
      </w:pPr>
      <w:r>
        <w:rPr>
          <w:rFonts w:hint="eastAsia" w:ascii="宋体" w:hAnsi="宋体" w:cs="宋体"/>
          <w:bCs/>
          <w:shd w:val="clear" w:color="auto" w:fill="FFFFFF"/>
        </w:rPr>
        <w:t>3.项目联系方式</w:t>
      </w:r>
    </w:p>
    <w:p>
      <w:pPr>
        <w:pStyle w:val="14"/>
        <w:widowControl/>
        <w:spacing w:line="360" w:lineRule="auto"/>
        <w:ind w:firstLine="480" w:firstLineChars="200"/>
        <w:rPr>
          <w:rFonts w:ascii="宋体" w:hAnsi="宋体" w:cs="宋体"/>
          <w:bCs/>
          <w:shd w:val="clear" w:color="auto" w:fill="FFFFFF"/>
        </w:rPr>
      </w:pPr>
      <w:r>
        <w:rPr>
          <w:rFonts w:hint="eastAsia" w:ascii="宋体" w:hAnsi="宋体" w:cs="宋体"/>
          <w:bCs/>
          <w:shd w:val="clear" w:color="auto" w:fill="FFFFFF"/>
        </w:rPr>
        <w:t>项目联系人：孙女士</w:t>
      </w:r>
    </w:p>
    <w:p>
      <w:pPr>
        <w:ind w:firstLine="480" w:firstLineChars="200"/>
        <w:rPr>
          <w:rFonts w:ascii="宋体" w:hAnsi="宋体" w:cs="宋体"/>
          <w:bCs/>
          <w:sz w:val="24"/>
          <w:shd w:val="clear" w:color="auto" w:fill="FFFFFF"/>
        </w:rPr>
      </w:pPr>
      <w:r>
        <w:rPr>
          <w:rFonts w:hint="eastAsia" w:ascii="宋体" w:hAnsi="宋体" w:cs="宋体"/>
          <w:bCs/>
          <w:sz w:val="24"/>
          <w:shd w:val="clear" w:color="auto" w:fill="FFFFFF"/>
        </w:rPr>
        <w:t>联系方式：17796765531</w:t>
      </w:r>
    </w:p>
    <w:p>
      <w:pPr>
        <w:rPr>
          <w:rFonts w:hAnsi="宋体"/>
          <w:b/>
          <w:sz w:val="28"/>
          <w:szCs w:val="28"/>
        </w:rPr>
      </w:pPr>
      <w:r>
        <w:rPr>
          <w:rFonts w:hint="eastAsia" w:hAnsi="宋体"/>
          <w:b/>
          <w:sz w:val="28"/>
          <w:szCs w:val="28"/>
        </w:rPr>
        <w:t>温馨提示：</w:t>
      </w:r>
    </w:p>
    <w:p>
      <w:pPr>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ind w:firstLine="422" w:firstLineChars="200"/>
        <w:contextualSpacing/>
        <w:rPr>
          <w:rFonts w:hAnsi="宋体"/>
          <w:b/>
          <w:szCs w:val="21"/>
        </w:rPr>
      </w:pPr>
      <w:r>
        <w:rPr>
          <w:rFonts w:hint="eastAsia" w:asciiTheme="minorEastAsia" w:hAnsiTheme="minorEastAsia"/>
          <w:b/>
          <w:szCs w:val="21"/>
        </w:rPr>
        <w:t>1.</w:t>
      </w:r>
      <w:r>
        <w:rPr>
          <w:rFonts w:hint="eastAsia" w:hAnsi="宋体"/>
          <w:b/>
          <w:szCs w:val="21"/>
        </w:rPr>
        <w:t>投标人应按招标文件规定编制、提交、解密电子投标文件。</w:t>
      </w:r>
    </w:p>
    <w:p>
      <w:pPr>
        <w:tabs>
          <w:tab w:val="left" w:pos="7095"/>
        </w:tabs>
        <w:ind w:firstLine="422" w:firstLineChars="200"/>
        <w:contextualSpacing/>
        <w:rPr>
          <w:rFonts w:hAnsi="宋体"/>
          <w:b/>
          <w:szCs w:val="21"/>
        </w:rPr>
      </w:pPr>
      <w:r>
        <w:rPr>
          <w:rFonts w:hint="eastAsia" w:asciiTheme="minorEastAsia" w:hAnsiTheme="minorEastAsia"/>
          <w:b/>
          <w:szCs w:val="21"/>
        </w:rPr>
        <w:t>2</w:t>
      </w:r>
      <w:r>
        <w:rPr>
          <w:rFonts w:asciiTheme="minorEastAsia" w:hAnsiTheme="minorEastAsia"/>
          <w:b/>
          <w:szCs w:val="21"/>
        </w:rPr>
        <w:t>.</w:t>
      </w:r>
      <w:r>
        <w:rPr>
          <w:rFonts w:hint="eastAsia" w:hAnsi="宋体"/>
          <w:b/>
          <w:szCs w:val="21"/>
        </w:rPr>
        <w:t>电子文件下载、制作、提交期间和远程不见面开标（</w:t>
      </w:r>
      <w:r>
        <w:rPr>
          <w:rFonts w:hint="eastAsia" w:hAnsi="宋体"/>
          <w:szCs w:val="21"/>
        </w:rPr>
        <w:t>电子投标文件的解密</w:t>
      </w:r>
      <w:r>
        <w:rPr>
          <w:rFonts w:hint="eastAsia" w:hAnsi="宋体"/>
          <w:b/>
          <w:szCs w:val="21"/>
        </w:rPr>
        <w:t>）环节，投标人须使用同一个</w:t>
      </w:r>
      <w:r>
        <w:rPr>
          <w:rFonts w:hAnsi="宋体"/>
          <w:b/>
          <w:szCs w:val="21"/>
        </w:rPr>
        <w:t>CA数字证书</w:t>
      </w:r>
      <w:r>
        <w:rPr>
          <w:rFonts w:hint="eastAsia" w:hAnsi="宋体"/>
          <w:b/>
          <w:szCs w:val="21"/>
        </w:rPr>
        <w:t>（证书须在有效期内并可正常使用）</w:t>
      </w:r>
      <w:r>
        <w:rPr>
          <w:rFonts w:hAnsi="宋体"/>
          <w:b/>
          <w:szCs w:val="21"/>
        </w:rPr>
        <w:t>。</w:t>
      </w:r>
    </w:p>
    <w:p>
      <w:pPr>
        <w:tabs>
          <w:tab w:val="left" w:pos="7095"/>
        </w:tabs>
        <w:ind w:firstLine="422" w:firstLineChars="200"/>
        <w:contextualSpacing/>
        <w:rPr>
          <w:rFonts w:hAnsi="宋体"/>
          <w:b/>
          <w:szCs w:val="21"/>
        </w:rPr>
      </w:pPr>
      <w:r>
        <w:rPr>
          <w:rFonts w:asciiTheme="minorEastAsia" w:hAnsiTheme="minorEastAsia"/>
          <w:b/>
          <w:szCs w:val="21"/>
        </w:rPr>
        <w:t>3</w:t>
      </w:r>
      <w:r>
        <w:rPr>
          <w:rFonts w:hint="eastAsia" w:asciiTheme="minorEastAsia" w:hAnsiTheme="minorEastAsia"/>
          <w:b/>
          <w:szCs w:val="21"/>
        </w:rPr>
        <w:t>.</w:t>
      </w:r>
      <w:r>
        <w:rPr>
          <w:rFonts w:hint="eastAsia" w:hAnsi="宋体"/>
          <w:b/>
          <w:szCs w:val="21"/>
        </w:rPr>
        <w:t>电子投标文件的制作</w:t>
      </w:r>
    </w:p>
    <w:p>
      <w:pPr>
        <w:tabs>
          <w:tab w:val="left" w:pos="7095"/>
        </w:tabs>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1"/>
          <w:rFonts w:hAnsi="宋体"/>
          <w:szCs w:val="21"/>
        </w:rPr>
        <w:t>http://221.14.6.70:8088/ggzy/</w:t>
      </w:r>
      <w:r>
        <w:rPr>
          <w:rStyle w:val="21"/>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ind w:firstLine="420" w:firstLineChars="200"/>
        <w:contextualSpacing/>
        <w:rPr>
          <w:rFonts w:hAnsi="宋体"/>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w:t>
      </w:r>
      <w:r>
        <w:rPr>
          <w:rFonts w:hint="eastAsia" w:hAnsi="宋体"/>
          <w:szCs w:val="21"/>
        </w:rPr>
        <w:t>标文件，并</w:t>
      </w:r>
      <w:r>
        <w:rPr>
          <w:rFonts w:hAnsi="宋体"/>
          <w:szCs w:val="21"/>
        </w:rPr>
        <w:t>按招标文件要求在相应位置加盖</w:t>
      </w:r>
      <w:r>
        <w:rPr>
          <w:rFonts w:hint="eastAsia" w:hAnsi="宋体"/>
          <w:szCs w:val="21"/>
        </w:rPr>
        <w:t>投标人</w:t>
      </w:r>
      <w:r>
        <w:rPr>
          <w:rFonts w:hAnsi="宋体"/>
          <w:szCs w:val="21"/>
        </w:rPr>
        <w:t>电子印章</w:t>
      </w:r>
      <w:r>
        <w:rPr>
          <w:rFonts w:hint="eastAsia" w:hAnsi="宋体"/>
          <w:szCs w:val="21"/>
        </w:rPr>
        <w:t>和法人电子印章。</w:t>
      </w:r>
    </w:p>
    <w:p>
      <w:pPr>
        <w:tabs>
          <w:tab w:val="left" w:pos="7095"/>
        </w:tabs>
        <w:ind w:left="105" w:leftChars="50" w:firstLine="315" w:firstLineChars="150"/>
        <w:contextualSpacing/>
        <w:rPr>
          <w:rFonts w:hAnsi="宋体"/>
          <w:color w:val="FF0000"/>
          <w:szCs w:val="21"/>
        </w:rPr>
      </w:pPr>
      <w:r>
        <w:rPr>
          <w:rFonts w:hint="eastAsia" w:hAnsi="宋体"/>
          <w:szCs w:val="21"/>
        </w:rPr>
        <w:t>一个标段对应生成一个文件夹（xxxx项目xx标段）,其中后缀名为“</w:t>
      </w:r>
      <w:r>
        <w:rPr>
          <w:rFonts w:hAnsi="宋体"/>
          <w:szCs w:val="21"/>
        </w:rPr>
        <w:t>.file</w:t>
      </w:r>
      <w:r>
        <w:rPr>
          <w:rFonts w:hint="eastAsia" w:hAnsi="宋体"/>
          <w:szCs w:val="21"/>
        </w:rPr>
        <w:t>”的文件用于电子投标使用</w:t>
      </w:r>
      <w:r>
        <w:rPr>
          <w:rFonts w:hint="eastAsia" w:hAnsi="宋体"/>
          <w:color w:val="FF0000"/>
          <w:szCs w:val="21"/>
        </w:rPr>
        <w:t>。</w:t>
      </w:r>
    </w:p>
    <w:p>
      <w:pPr>
        <w:tabs>
          <w:tab w:val="left" w:pos="7095"/>
        </w:tabs>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contextualSpacing/>
        <w:rPr>
          <w:rFonts w:hAnsi="宋体"/>
          <w:szCs w:val="21"/>
        </w:rPr>
      </w:pPr>
      <w:r>
        <w:rPr>
          <w:rFonts w:asciiTheme="minorEastAsia" w:hAnsiTheme="minorEastAsia"/>
          <w:color w:val="000000"/>
          <w:szCs w:val="21"/>
        </w:rPr>
        <w:t>4</w:t>
      </w:r>
      <w:r>
        <w:rPr>
          <w:rFonts w:hint="eastAsia" w:asciiTheme="minorEastAsia" w:hAnsiTheme="minorEastAsia"/>
          <w:color w:val="000000"/>
          <w:szCs w:val="21"/>
        </w:rPr>
        <w:t>.1</w:t>
      </w:r>
      <w:r>
        <w:rPr>
          <w:rFonts w:hint="eastAsia" w:asciiTheme="minorEastAsia" w:hAnsiTheme="minorEastAsia"/>
          <w:szCs w:val="21"/>
        </w:rPr>
        <w:t>加密</w:t>
      </w:r>
      <w:r>
        <w:rPr>
          <w:rFonts w:hint="eastAsia" w:hAnsi="宋体"/>
          <w:szCs w:val="21"/>
        </w:rPr>
        <w:t>电子投标文件应按规定在投标截止时间（开标时间）之前成功提交至《全国公共资源交易平台(河南省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21"/>
          <w:rFonts w:hAnsi="宋体"/>
          <w:color w:val="auto"/>
          <w:szCs w:val="21"/>
        </w:rPr>
        <w:t>http://221.14.6.70:8088/ggzy/</w:t>
      </w:r>
      <w:r>
        <w:rPr>
          <w:rStyle w:val="21"/>
          <w:rFonts w:hAnsi="宋体"/>
          <w:color w:val="auto"/>
          <w:szCs w:val="21"/>
        </w:rPr>
        <w:fldChar w:fldCharType="end"/>
      </w:r>
      <w:r>
        <w:rPr>
          <w:rFonts w:hint="eastAsia" w:hAnsi="宋体"/>
          <w:szCs w:val="21"/>
        </w:rPr>
        <w:t>）。</w:t>
      </w:r>
    </w:p>
    <w:p>
      <w:pPr>
        <w:tabs>
          <w:tab w:val="left" w:pos="7095"/>
        </w:tabs>
        <w:ind w:firstLine="420" w:firstLineChars="200"/>
        <w:contextualSpacing/>
        <w:rPr>
          <w:rFonts w:hAnsi="宋体"/>
          <w:szCs w:val="21"/>
        </w:rPr>
      </w:pPr>
      <w:r>
        <w:rPr>
          <w:rFonts w:hint="eastAsia" w:hAnsi="宋体"/>
          <w:szCs w:val="21"/>
        </w:rPr>
        <w:t>投标人应充分考虑并预留技术处理和上传数据所需时间。</w:t>
      </w:r>
    </w:p>
    <w:p>
      <w:pPr>
        <w:tabs>
          <w:tab w:val="left" w:pos="7095"/>
        </w:tabs>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 xml:space="preserve">2 </w:t>
      </w:r>
      <w:r>
        <w:rPr>
          <w:rFonts w:hint="eastAsia" w:hAnsi="宋体"/>
          <w:szCs w:val="21"/>
        </w:rPr>
        <w:t>投标人对同一项目多个标段进行投标的，加密电子投标文件应按标段分别提交。</w:t>
      </w:r>
    </w:p>
    <w:p>
      <w:pPr>
        <w:tabs>
          <w:tab w:val="left" w:pos="7095"/>
        </w:tabs>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 xml:space="preserve"> 加密</w:t>
      </w:r>
      <w:r>
        <w:rPr>
          <w:rFonts w:hint="eastAsia" w:hAnsi="宋体"/>
          <w:szCs w:val="21"/>
        </w:rPr>
        <w:t>电子投标文件成功提交后，《全国公共资源交易平台(河南省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21"/>
          <w:rFonts w:hAnsi="宋体"/>
          <w:color w:val="auto"/>
          <w:szCs w:val="21"/>
        </w:rPr>
        <w:t>http://221.14.6.70:8088/ggzy/</w:t>
      </w:r>
      <w:r>
        <w:rPr>
          <w:rStyle w:val="21"/>
          <w:rFonts w:hAnsi="宋体"/>
          <w:color w:val="auto"/>
          <w:szCs w:val="21"/>
        </w:rPr>
        <w:fldChar w:fldCharType="end"/>
      </w:r>
      <w:r>
        <w:rPr>
          <w:rFonts w:hint="eastAsia" w:hAnsi="宋体"/>
          <w:szCs w:val="21"/>
        </w:rPr>
        <w:t>）</w:t>
      </w:r>
      <w:r>
        <w:rPr>
          <w:rFonts w:hint="eastAsia" w:cs="仿宋_GB2312" w:asciiTheme="minorEastAsia" w:hAnsiTheme="minorEastAsia"/>
          <w:szCs w:val="21"/>
        </w:rPr>
        <w:t>生成“投标文件提交回执单”。</w:t>
      </w:r>
    </w:p>
    <w:p>
      <w:pPr>
        <w:tabs>
          <w:tab w:val="left" w:pos="7095"/>
        </w:tabs>
        <w:ind w:firstLine="422" w:firstLineChars="200"/>
        <w:contextualSpacing/>
        <w:rPr>
          <w:rFonts w:hAnsi="宋体"/>
          <w:b/>
          <w:szCs w:val="21"/>
        </w:rPr>
      </w:pPr>
      <w:r>
        <w:rPr>
          <w:rFonts w:hint="eastAsia" w:asciiTheme="minorEastAsia" w:hAnsiTheme="minorEastAsia"/>
          <w:b/>
          <w:szCs w:val="21"/>
        </w:rPr>
        <w:t>5.远程不见面开标（</w:t>
      </w:r>
      <w:r>
        <w:rPr>
          <w:rFonts w:hint="eastAsia" w:hAnsi="宋体"/>
          <w:b/>
          <w:szCs w:val="21"/>
        </w:rPr>
        <w:t>电子投标文件的解密</w:t>
      </w:r>
      <w:r>
        <w:rPr>
          <w:rFonts w:hint="eastAsia" w:asciiTheme="minorEastAsia" w:hAnsiTheme="minorEastAsia"/>
          <w:b/>
          <w:szCs w:val="21"/>
        </w:rPr>
        <w:t>）</w:t>
      </w:r>
    </w:p>
    <w:p>
      <w:pPr>
        <w:tabs>
          <w:tab w:val="left" w:pos="7095"/>
        </w:tabs>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hint="eastAsia" w:cs="宋体" w:asciiTheme="minorEastAsia" w:hAnsiTheme="minorEastAsia"/>
          <w:kern w:val="0"/>
          <w:szCs w:val="21"/>
        </w:rPr>
        <w:t>因投标人原因解密失败的，其投标将被拒绝。</w:t>
      </w:r>
    </w:p>
    <w:p>
      <w:pPr>
        <w:tabs>
          <w:tab w:val="left" w:pos="7095"/>
        </w:tabs>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ind w:firstLine="422" w:firstLineChars="200"/>
        <w:contextualSpacing/>
        <w:rPr>
          <w:rFonts w:hAnsi="宋体"/>
          <w:b/>
          <w:color w:val="000000"/>
          <w:szCs w:val="21"/>
        </w:rPr>
      </w:pPr>
      <w:r>
        <w:rPr>
          <w:rFonts w:hint="eastAsia" w:asciiTheme="minorEastAsia" w:hAnsiTheme="minorEastAsia"/>
          <w:b/>
          <w:color w:val="000000"/>
          <w:szCs w:val="21"/>
        </w:rPr>
        <w:t>6.</w:t>
      </w:r>
      <w:r>
        <w:rPr>
          <w:rFonts w:hint="eastAsia" w:hAnsi="宋体"/>
          <w:b/>
          <w:color w:val="000000"/>
          <w:szCs w:val="21"/>
        </w:rPr>
        <w:t>评标依据</w:t>
      </w:r>
    </w:p>
    <w:p>
      <w:pPr>
        <w:tabs>
          <w:tab w:val="left" w:pos="7095"/>
        </w:tabs>
        <w:ind w:firstLine="420" w:firstLineChars="200"/>
        <w:contextualSpacing/>
        <w:rPr>
          <w:rFonts w:hAnsi="宋体"/>
          <w:szCs w:val="21"/>
        </w:rPr>
      </w:pPr>
      <w:r>
        <w:rPr>
          <w:rFonts w:hint="eastAsia" w:asciiTheme="minorEastAsia" w:hAnsiTheme="minorEastAsia"/>
          <w:szCs w:val="21"/>
        </w:rPr>
        <w:t>6.1</w:t>
      </w:r>
      <w:r>
        <w:rPr>
          <w:rFonts w:hint="eastAsia" w:hAnsi="宋体"/>
          <w:szCs w:val="21"/>
        </w:rPr>
        <w:t>全流程电子化交易（不见面开标）项目，评标委员会以成功上传、解密的电子投标文件为依据评审。</w:t>
      </w:r>
    </w:p>
    <w:p>
      <w:pPr>
        <w:tabs>
          <w:tab w:val="left" w:pos="7095"/>
        </w:tabs>
        <w:ind w:firstLine="420" w:firstLineChars="200"/>
        <w:contextualSpacing/>
        <w:rPr>
          <w:rFonts w:asciiTheme="minorEastAsia" w:hAnsiTheme="minorEastAsia"/>
          <w:szCs w:val="21"/>
        </w:rPr>
      </w:pPr>
      <w:r>
        <w:rPr>
          <w:rFonts w:hint="eastAsia" w:asciiTheme="minorEastAsia" w:hAnsiTheme="minorEastAsia"/>
          <w:szCs w:val="21"/>
        </w:rPr>
        <w:t>6.2 评标期间，投标人应保持通讯手机畅通。</w:t>
      </w:r>
      <w:r>
        <w:rPr>
          <w:rFonts w:hint="eastAsia" w:cs="宋体" w:asciiTheme="minorEastAsia" w:hAnsiTheme="minorEastAsia"/>
          <w:kern w:val="0"/>
          <w:szCs w:val="21"/>
        </w:rPr>
        <w:t>评标委员会</w:t>
      </w:r>
      <w:r>
        <w:rPr>
          <w:rFonts w:hint="eastAsia" w:asciiTheme="minorEastAsia" w:hAnsiTheme="minorEastAsia"/>
          <w:szCs w:val="21"/>
        </w:rPr>
        <w:t>如</w:t>
      </w:r>
      <w:r>
        <w:rPr>
          <w:rFonts w:hint="eastAsia" w:cs="宋体" w:asciiTheme="minorEastAsia" w:hAnsiTheme="minorEastAsia"/>
          <w:kern w:val="0"/>
          <w:szCs w:val="21"/>
        </w:rPr>
        <w:t>要求投标人作出澄清、说明或者补正等，投标人应在评标委员会要求的评标期间合理的时间内通过电子邮件形式提供。</w:t>
      </w:r>
    </w:p>
    <w:p>
      <w:pPr>
        <w:tabs>
          <w:tab w:val="left" w:pos="7095"/>
        </w:tabs>
        <w:ind w:firstLine="420" w:firstLineChars="200"/>
        <w:contextualSpacing/>
      </w:pPr>
      <w:r>
        <w:rPr>
          <w:rFonts w:hint="eastAsia" w:cs="宋体" w:asciiTheme="minorEastAsia" w:hAnsiTheme="minorEastAsia"/>
          <w:kern w:val="0"/>
          <w:szCs w:val="21"/>
        </w:rPr>
        <w:t>投标人通过电子邮件提供的书面说明或相关证明材料应加盖公章，或者由法定代表人或其授权的代表签字。</w:t>
      </w:r>
    </w:p>
    <w:p/>
    <w:p>
      <w:pPr>
        <w:pStyle w:val="3"/>
        <w:rPr>
          <w:sz w:val="28"/>
          <w:szCs w:val="36"/>
        </w:rPr>
      </w:pPr>
    </w:p>
    <w:p>
      <w:pPr>
        <w:pStyle w:val="23"/>
        <w:ind w:firstLine="0" w:firstLineChars="0"/>
      </w:pPr>
    </w:p>
    <w:p>
      <w:pPr>
        <w:pStyle w:val="23"/>
        <w:ind w:firstLine="0" w:firstLineChars="0"/>
      </w:pPr>
    </w:p>
    <w:p>
      <w:pPr>
        <w:pStyle w:val="23"/>
        <w:ind w:firstLine="0" w:firstLineChars="0"/>
      </w:pPr>
    </w:p>
    <w:p>
      <w:pPr>
        <w:pStyle w:val="23"/>
        <w:ind w:firstLine="0" w:firstLineChars="0"/>
      </w:pPr>
    </w:p>
    <w:p>
      <w:pPr>
        <w:pStyle w:val="23"/>
        <w:ind w:firstLine="0" w:firstLineChars="0"/>
      </w:pPr>
    </w:p>
    <w:p>
      <w:pPr>
        <w:widowControl/>
        <w:numPr>
          <w:ilvl w:val="0"/>
          <w:numId w:val="5"/>
        </w:numPr>
        <w:jc w:val="center"/>
        <w:rPr>
          <w:rFonts w:ascii="CIDFont" w:hAnsi="CIDFont" w:eastAsia="CIDFont" w:cs="CIDFont"/>
          <w:b/>
          <w:bCs/>
          <w:color w:val="000000"/>
          <w:kern w:val="0"/>
          <w:sz w:val="36"/>
          <w:szCs w:val="36"/>
        </w:rPr>
      </w:pPr>
      <w:r>
        <w:rPr>
          <w:rFonts w:ascii="CIDFont" w:hAnsi="CIDFont" w:eastAsia="CIDFont" w:cs="CIDFont"/>
          <w:b/>
          <w:bCs/>
          <w:color w:val="000000"/>
          <w:kern w:val="0"/>
          <w:sz w:val="36"/>
          <w:szCs w:val="36"/>
        </w:rPr>
        <w:t>项目需求</w:t>
      </w:r>
    </w:p>
    <w:p>
      <w:pPr>
        <w:widowControl/>
        <w:spacing w:line="360" w:lineRule="auto"/>
        <w:jc w:val="left"/>
        <w:rPr>
          <w:rFonts w:ascii="宋体" w:hAnsi="宋体" w:cs="宋体"/>
          <w:sz w:val="24"/>
        </w:rPr>
      </w:pPr>
      <w:r>
        <w:rPr>
          <w:rFonts w:hint="eastAsia" w:ascii="宋体" w:hAnsi="宋体" w:cs="宋体"/>
          <w:b/>
          <w:bCs/>
          <w:color w:val="000000"/>
          <w:kern w:val="0"/>
          <w:sz w:val="24"/>
        </w:rPr>
        <w:t xml:space="preserve">一、项目概况 </w:t>
      </w:r>
    </w:p>
    <w:p>
      <w:pPr>
        <w:spacing w:line="360" w:lineRule="auto"/>
        <w:ind w:firstLine="480" w:firstLineChars="200"/>
        <w:rPr>
          <w:rFonts w:ascii="宋体" w:hAnsi="宋体" w:cs="宋体"/>
          <w:sz w:val="24"/>
        </w:rPr>
      </w:pPr>
      <w:r>
        <w:rPr>
          <w:rFonts w:hint="eastAsia" w:ascii="宋体" w:hAnsi="宋体" w:cs="宋体"/>
          <w:sz w:val="24"/>
        </w:rPr>
        <w:t>根据</w:t>
      </w:r>
      <w:r>
        <w:rPr>
          <w:rStyle w:val="21"/>
          <w:rFonts w:hint="eastAsia" w:ascii="宋体" w:hAnsi="宋体" w:cs="宋体"/>
          <w:color w:val="000000" w:themeColor="text1"/>
          <w:sz w:val="24"/>
        </w:rPr>
        <w:t>《河南省自然资源厅办公室关于部署开展2019年度自然资源评价评估工作的通知》（豫自然资办发[2019]40号）、《河南省自然资源厅办公室关于部署开展2020年度自然资源评价评估工作的通知》（豫自然资办发[2020]22号）</w:t>
      </w:r>
      <w:r>
        <w:rPr>
          <w:rFonts w:hint="eastAsia" w:ascii="宋体" w:hAnsi="宋体" w:cs="宋体"/>
          <w:color w:val="000000" w:themeColor="text1"/>
          <w:sz w:val="24"/>
        </w:rPr>
        <w:t>的要求，</w:t>
      </w:r>
      <w:r>
        <w:rPr>
          <w:rFonts w:hint="eastAsia" w:ascii="宋体" w:hAnsi="宋体" w:cs="宋体"/>
          <w:sz w:val="24"/>
        </w:rPr>
        <w:t>在禹州市开展自然资源评价评估工作，工作内容为</w:t>
      </w:r>
      <w:r>
        <w:rPr>
          <w:rFonts w:hint="eastAsia" w:ascii="宋体" w:hAnsi="宋体" w:cs="宋体"/>
          <w:color w:val="000000" w:themeColor="text1"/>
          <w:sz w:val="24"/>
        </w:rPr>
        <w:t>农用地基准地价、集体建设用地基准地价、国有农用地定级</w:t>
      </w:r>
      <w:r>
        <w:rPr>
          <w:rFonts w:hint="eastAsia" w:ascii="宋体" w:hAnsi="宋体" w:cs="宋体"/>
          <w:sz w:val="24"/>
        </w:rPr>
        <w:t>估价、标定地价动态监测。</w:t>
      </w:r>
    </w:p>
    <w:p>
      <w:pPr>
        <w:spacing w:line="360" w:lineRule="auto"/>
        <w:rPr>
          <w:rFonts w:ascii="宋体" w:hAnsi="宋体" w:cs="宋体"/>
          <w:b/>
          <w:bCs/>
          <w:sz w:val="24"/>
        </w:rPr>
      </w:pPr>
      <w:r>
        <w:rPr>
          <w:rFonts w:hint="eastAsia" w:ascii="宋体" w:hAnsi="宋体" w:cs="宋体"/>
          <w:b/>
          <w:bCs/>
          <w:sz w:val="24"/>
        </w:rPr>
        <w:t>二、技术依据</w:t>
      </w:r>
    </w:p>
    <w:p>
      <w:pPr>
        <w:spacing w:line="360" w:lineRule="auto"/>
        <w:ind w:firstLine="480" w:firstLineChars="200"/>
        <w:rPr>
          <w:rFonts w:ascii="宋体" w:hAnsi="宋体" w:cs="宋体"/>
          <w:sz w:val="24"/>
        </w:rPr>
      </w:pPr>
      <w:r>
        <w:rPr>
          <w:rFonts w:hint="eastAsia" w:ascii="宋体" w:hAnsi="宋体" w:cs="宋体"/>
          <w:sz w:val="24"/>
        </w:rPr>
        <w:t>集体建设用地基准地价和农用地基准地价制订工作，同时全面开展地价动态监测工作依据下列标准和文件开展：</w:t>
      </w:r>
    </w:p>
    <w:p>
      <w:pPr>
        <w:spacing w:line="360" w:lineRule="auto"/>
        <w:ind w:firstLine="480" w:firstLineChars="200"/>
        <w:rPr>
          <w:rFonts w:ascii="宋体" w:hAnsi="宋体" w:cs="宋体"/>
          <w:sz w:val="24"/>
        </w:rPr>
      </w:pPr>
      <w:r>
        <w:rPr>
          <w:rFonts w:hint="eastAsia" w:ascii="宋体" w:hAnsi="宋体" w:cs="宋体"/>
          <w:sz w:val="24"/>
        </w:rPr>
        <w:t>1. 《集体土地使用权地价评估技术指引》；</w:t>
      </w:r>
    </w:p>
    <w:p>
      <w:pPr>
        <w:spacing w:line="360" w:lineRule="auto"/>
        <w:ind w:firstLine="480" w:firstLineChars="200"/>
        <w:rPr>
          <w:rFonts w:ascii="宋体" w:hAnsi="宋体" w:cs="宋体"/>
          <w:sz w:val="24"/>
        </w:rPr>
      </w:pPr>
      <w:r>
        <w:rPr>
          <w:rFonts w:hint="eastAsia" w:ascii="宋体" w:hAnsi="宋体" w:cs="宋体"/>
          <w:sz w:val="24"/>
        </w:rPr>
        <w:t>2. 《集体建设用地定级与基准地价评估技术指引》；</w:t>
      </w:r>
    </w:p>
    <w:p>
      <w:pPr>
        <w:spacing w:line="360" w:lineRule="auto"/>
        <w:ind w:firstLine="480" w:firstLineChars="200"/>
        <w:rPr>
          <w:rFonts w:ascii="宋体" w:hAnsi="宋体" w:cs="宋体"/>
          <w:sz w:val="24"/>
        </w:rPr>
      </w:pPr>
      <w:r>
        <w:rPr>
          <w:rFonts w:hint="eastAsia" w:ascii="宋体" w:hAnsi="宋体" w:cs="宋体"/>
          <w:sz w:val="24"/>
        </w:rPr>
        <w:t>3. 《农用地质量分等规程》（GB/T28407-2012）；</w:t>
      </w:r>
    </w:p>
    <w:p>
      <w:pPr>
        <w:spacing w:line="360" w:lineRule="auto"/>
        <w:ind w:firstLine="480" w:firstLineChars="200"/>
        <w:rPr>
          <w:rFonts w:ascii="宋体" w:hAnsi="宋体" w:cs="宋体"/>
          <w:sz w:val="24"/>
        </w:rPr>
      </w:pPr>
      <w:r>
        <w:rPr>
          <w:rFonts w:hint="eastAsia" w:ascii="宋体" w:hAnsi="宋体" w:cs="宋体"/>
          <w:sz w:val="24"/>
        </w:rPr>
        <w:t>4. 《农用地定级规程》（GB/T28405-2012）</w:t>
      </w:r>
    </w:p>
    <w:p>
      <w:pPr>
        <w:spacing w:line="360" w:lineRule="auto"/>
        <w:ind w:firstLine="480" w:firstLineChars="200"/>
        <w:rPr>
          <w:rFonts w:ascii="宋体" w:hAnsi="宋体" w:cs="宋体"/>
          <w:sz w:val="24"/>
        </w:rPr>
      </w:pPr>
      <w:r>
        <w:rPr>
          <w:rFonts w:hint="eastAsia" w:ascii="宋体" w:hAnsi="宋体" w:cs="宋体"/>
          <w:sz w:val="24"/>
        </w:rPr>
        <w:t>5. 《农用地估价规程》（GB/T28406-2012）</w:t>
      </w:r>
    </w:p>
    <w:p>
      <w:pPr>
        <w:spacing w:line="360" w:lineRule="auto"/>
        <w:ind w:firstLine="480" w:firstLineChars="200"/>
        <w:rPr>
          <w:rFonts w:ascii="宋体" w:hAnsi="宋体" w:cs="宋体"/>
          <w:sz w:val="24"/>
        </w:rPr>
      </w:pPr>
      <w:r>
        <w:rPr>
          <w:rFonts w:hint="eastAsia" w:ascii="宋体" w:hAnsi="宋体" w:cs="宋体"/>
          <w:sz w:val="24"/>
        </w:rPr>
        <w:t>6. 《城市地价动态监测技术规范》（TD/T1009-2007）等国家技术规范和省厅要求；</w:t>
      </w:r>
    </w:p>
    <w:p>
      <w:pPr>
        <w:spacing w:line="360" w:lineRule="auto"/>
        <w:ind w:firstLine="480" w:firstLineChars="200"/>
        <w:rPr>
          <w:rFonts w:ascii="宋体" w:hAnsi="宋体" w:cs="宋体"/>
          <w:sz w:val="24"/>
        </w:rPr>
      </w:pPr>
      <w:r>
        <w:rPr>
          <w:rFonts w:hint="eastAsia" w:ascii="宋体" w:hAnsi="宋体" w:cs="宋体"/>
          <w:sz w:val="24"/>
        </w:rPr>
        <w:t>7.《标定地价规程》（TD/T 1052-2017）等国家技术规范和省厅要求；</w:t>
      </w:r>
    </w:p>
    <w:p>
      <w:pPr>
        <w:spacing w:line="360" w:lineRule="auto"/>
        <w:rPr>
          <w:rFonts w:ascii="宋体" w:hAnsi="宋体" w:cs="宋体"/>
          <w:b/>
          <w:bCs/>
          <w:sz w:val="24"/>
        </w:rPr>
      </w:pPr>
      <w:r>
        <w:rPr>
          <w:rFonts w:hint="eastAsia" w:ascii="宋体" w:hAnsi="宋体" w:cs="宋体"/>
          <w:b/>
          <w:bCs/>
          <w:sz w:val="24"/>
        </w:rPr>
        <w:t>三、工作内容</w:t>
      </w:r>
    </w:p>
    <w:p>
      <w:pPr>
        <w:spacing w:line="360" w:lineRule="auto"/>
        <w:ind w:firstLine="480" w:firstLineChars="200"/>
        <w:rPr>
          <w:rFonts w:ascii="宋体" w:hAnsi="宋体" w:cs="宋体"/>
          <w:sz w:val="24"/>
        </w:rPr>
      </w:pPr>
      <w:r>
        <w:rPr>
          <w:rFonts w:hint="eastAsia" w:ascii="宋体" w:hAnsi="宋体" w:cs="宋体"/>
          <w:sz w:val="24"/>
        </w:rPr>
        <w:t>1、集体建设用地和集体农用地基准地价</w:t>
      </w:r>
    </w:p>
    <w:p>
      <w:pPr>
        <w:spacing w:line="360" w:lineRule="auto"/>
        <w:ind w:firstLine="480" w:firstLineChars="200"/>
        <w:rPr>
          <w:rFonts w:ascii="宋体" w:hAnsi="宋体" w:cs="宋体"/>
          <w:sz w:val="24"/>
        </w:rPr>
      </w:pPr>
      <w:r>
        <w:rPr>
          <w:rFonts w:hint="eastAsia" w:ascii="宋体" w:hAnsi="宋体" w:cs="宋体"/>
          <w:sz w:val="24"/>
        </w:rPr>
        <w:t>按照土地分等、定级、估价等各项国家、省和土地行业技术标准，借鉴试点经验，完成集体建设用地和集体农用地基准地价制定。</w:t>
      </w:r>
    </w:p>
    <w:p>
      <w:pPr>
        <w:spacing w:line="360" w:lineRule="auto"/>
        <w:ind w:firstLine="480" w:firstLineChars="200"/>
        <w:rPr>
          <w:rFonts w:ascii="宋体" w:hAnsi="宋体" w:cs="宋体"/>
          <w:sz w:val="24"/>
        </w:rPr>
      </w:pPr>
      <w:r>
        <w:rPr>
          <w:rFonts w:hint="eastAsia" w:ascii="宋体" w:hAnsi="宋体" w:cs="宋体"/>
          <w:sz w:val="24"/>
        </w:rPr>
        <w:t>2、国有农用地基准地价</w:t>
      </w:r>
    </w:p>
    <w:p>
      <w:pPr>
        <w:spacing w:line="360" w:lineRule="auto"/>
        <w:ind w:firstLine="480" w:firstLineChars="200"/>
        <w:rPr>
          <w:rFonts w:ascii="宋体" w:hAnsi="宋体" w:cs="宋体"/>
          <w:sz w:val="24"/>
        </w:rPr>
      </w:pPr>
      <w:r>
        <w:rPr>
          <w:rFonts w:hint="eastAsia" w:ascii="宋体" w:hAnsi="宋体" w:cs="宋体"/>
          <w:sz w:val="24"/>
        </w:rPr>
        <w:t>依据《农用地质量分等规程》、《农用地定级规程》、《农用地估价规程》等国家技术规程和省厅技术方案，借鉴试点经验，完成国有农用地基准地价制定。</w:t>
      </w:r>
    </w:p>
    <w:p>
      <w:pPr>
        <w:spacing w:line="360" w:lineRule="auto"/>
        <w:ind w:firstLine="480" w:firstLineChars="200"/>
        <w:rPr>
          <w:rFonts w:ascii="宋体" w:hAnsi="宋体" w:cs="宋体"/>
          <w:sz w:val="24"/>
        </w:rPr>
      </w:pPr>
      <w:r>
        <w:rPr>
          <w:rFonts w:hint="eastAsia" w:ascii="宋体" w:hAnsi="宋体" w:cs="宋体"/>
          <w:sz w:val="24"/>
        </w:rPr>
        <w:t>3、全面开展地价动态监测工作</w:t>
      </w:r>
    </w:p>
    <w:p>
      <w:pPr>
        <w:spacing w:line="360" w:lineRule="auto"/>
        <w:ind w:firstLine="480" w:firstLineChars="200"/>
        <w:rPr>
          <w:rFonts w:ascii="宋体" w:hAnsi="宋体" w:cs="宋体"/>
          <w:sz w:val="24"/>
        </w:rPr>
      </w:pPr>
      <w:r>
        <w:rPr>
          <w:rFonts w:hint="eastAsia" w:ascii="宋体" w:hAnsi="宋体" w:cs="宋体"/>
          <w:sz w:val="24"/>
        </w:rPr>
        <w:t>按照《城市地价动态监测技术规范》等国家技术规范和省厅要求，部署开展地价动态监测工作，按照要求实现监测体系建设，数据报送。</w:t>
      </w:r>
    </w:p>
    <w:p>
      <w:pPr>
        <w:pStyle w:val="2"/>
        <w:numPr>
          <w:ilvl w:val="0"/>
          <w:numId w:val="6"/>
        </w:numPr>
        <w:tabs>
          <w:tab w:val="left" w:pos="5250"/>
        </w:tabs>
        <w:spacing w:after="0" w:line="360" w:lineRule="auto"/>
        <w:ind w:firstLine="480" w:firstLineChars="200"/>
        <w:rPr>
          <w:rFonts w:ascii="宋体" w:hAnsi="宋体" w:cs="宋体"/>
          <w:sz w:val="24"/>
        </w:rPr>
      </w:pPr>
      <w:r>
        <w:rPr>
          <w:rFonts w:hint="eastAsia" w:ascii="宋体" w:hAnsi="宋体" w:cs="宋体"/>
          <w:sz w:val="24"/>
        </w:rPr>
        <w:t>标定地价</w:t>
      </w:r>
    </w:p>
    <w:p>
      <w:pPr>
        <w:pStyle w:val="15"/>
        <w:spacing w:beforeAutospacing="0" w:after="0" w:afterAutospacing="0"/>
        <w:ind w:left="0" w:leftChars="0" w:firstLine="720" w:firstLineChars="300"/>
        <w:rPr>
          <w:rFonts w:hint="default" w:ascii="宋体" w:hAnsi="宋体" w:cs="宋体"/>
          <w:sz w:val="24"/>
          <w:szCs w:val="24"/>
          <w:lang w:eastAsia="zh-CN"/>
        </w:rPr>
      </w:pPr>
      <w:r>
        <w:rPr>
          <w:rFonts w:ascii="宋体" w:hAnsi="宋体" w:cs="宋体"/>
          <w:sz w:val="24"/>
          <w:szCs w:val="24"/>
          <w:lang w:eastAsia="zh-CN"/>
        </w:rPr>
        <w:t>按照《标定地价规程》等国家相关规范和省厅要求，在禹州市建立标定地价体系，划分标定区域，选取标定样点，测算标准宗地价格。</w:t>
      </w:r>
    </w:p>
    <w:p>
      <w:pPr>
        <w:widowControl/>
        <w:spacing w:line="360" w:lineRule="auto"/>
        <w:jc w:val="left"/>
        <w:rPr>
          <w:rFonts w:ascii="宋体" w:hAnsi="宋体" w:cs="宋体"/>
        </w:rPr>
      </w:pPr>
      <w:r>
        <w:rPr>
          <w:rFonts w:hint="eastAsia" w:ascii="宋体" w:hAnsi="宋体" w:cs="宋体"/>
          <w:b/>
          <w:bCs/>
          <w:color w:val="000000"/>
          <w:kern w:val="0"/>
          <w:sz w:val="24"/>
        </w:rPr>
        <w:t xml:space="preserve">五、验收标准 </w:t>
      </w:r>
    </w:p>
    <w:p>
      <w:pPr>
        <w:widowControl/>
        <w:spacing w:line="360" w:lineRule="auto"/>
        <w:ind w:firstLine="480" w:firstLineChars="200"/>
        <w:jc w:val="left"/>
        <w:rPr>
          <w:rFonts w:ascii="宋体" w:hAnsi="宋体" w:cs="宋体"/>
        </w:rPr>
      </w:pPr>
      <w:r>
        <w:rPr>
          <w:rFonts w:hint="eastAsia" w:ascii="宋体" w:hAnsi="宋体" w:cs="宋体"/>
          <w:color w:val="000000"/>
          <w:kern w:val="0"/>
          <w:sz w:val="24"/>
        </w:rPr>
        <w:t xml:space="preserve">1、招标人有权要求中标候选人提供所有与本次投标相关资料原件进行查验，无法提供或有造假等违法违规行为根据相关规定执行处理。 </w:t>
      </w:r>
    </w:p>
    <w:p>
      <w:pPr>
        <w:widowControl/>
        <w:spacing w:line="360" w:lineRule="auto"/>
        <w:ind w:firstLine="480" w:firstLineChars="200"/>
        <w:jc w:val="left"/>
        <w:rPr>
          <w:rFonts w:ascii="宋体" w:hAnsi="宋体" w:cs="宋体"/>
        </w:rPr>
      </w:pPr>
      <w:r>
        <w:rPr>
          <w:rFonts w:hint="eastAsia" w:ascii="宋体" w:hAnsi="宋体" w:cs="宋体"/>
          <w:color w:val="000000"/>
          <w:kern w:val="0"/>
          <w:sz w:val="24"/>
        </w:rPr>
        <w:t xml:space="preserve">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 </w:t>
      </w:r>
    </w:p>
    <w:p>
      <w:pPr>
        <w:widowControl/>
        <w:spacing w:line="360" w:lineRule="auto"/>
        <w:ind w:firstLine="480" w:firstLineChars="200"/>
        <w:jc w:val="left"/>
        <w:rPr>
          <w:rFonts w:ascii="宋体" w:hAnsi="宋体" w:cs="宋体"/>
        </w:rPr>
      </w:pPr>
      <w:r>
        <w:rPr>
          <w:rFonts w:hint="eastAsia" w:ascii="宋体" w:hAnsi="宋体" w:cs="宋体"/>
          <w:color w:val="000000"/>
          <w:kern w:val="0"/>
          <w:sz w:val="24"/>
        </w:rPr>
        <w:t xml:space="preserve">3、投标人完成的项目应达到的质量标准应符合国家和履约地相关安全质量标准；行业技术规范标准；环保节能标准；强制认证相关标准。 </w:t>
      </w:r>
    </w:p>
    <w:p>
      <w:pPr>
        <w:widowControl/>
        <w:spacing w:line="360" w:lineRule="auto"/>
        <w:ind w:firstLine="480" w:firstLineChars="200"/>
        <w:jc w:val="left"/>
        <w:rPr>
          <w:rFonts w:ascii="宋体" w:hAnsi="宋体" w:cs="宋体"/>
        </w:rPr>
      </w:pPr>
      <w:r>
        <w:rPr>
          <w:rFonts w:hint="eastAsia" w:ascii="宋体" w:hAnsi="宋体" w:cs="宋体"/>
          <w:color w:val="000000"/>
          <w:kern w:val="0"/>
          <w:sz w:val="24"/>
        </w:rPr>
        <w:t xml:space="preserve">4、符合招标文件要求和投标文件承诺。 </w:t>
      </w:r>
    </w:p>
    <w:p>
      <w:pPr>
        <w:widowControl/>
        <w:spacing w:line="360" w:lineRule="auto"/>
        <w:ind w:firstLine="480" w:firstLineChars="200"/>
        <w:jc w:val="left"/>
        <w:rPr>
          <w:rFonts w:ascii="宋体" w:hAnsi="宋体" w:cs="宋体"/>
        </w:rPr>
      </w:pPr>
      <w:r>
        <w:rPr>
          <w:rFonts w:hint="eastAsia" w:ascii="宋体" w:hAnsi="宋体" w:cs="宋体"/>
          <w:color w:val="000000"/>
          <w:kern w:val="0"/>
          <w:sz w:val="24"/>
        </w:rPr>
        <w:t xml:space="preserve">5、本项目验收如需要第三方验收，中标方将承担所有产生的费用。 </w:t>
      </w:r>
    </w:p>
    <w:p>
      <w:pPr>
        <w:pStyle w:val="24"/>
        <w:rPr>
          <w:rFonts w:ascii="宋体" w:hAnsi="宋体" w:cs="宋体"/>
        </w:rPr>
      </w:pPr>
    </w:p>
    <w:p>
      <w:pPr>
        <w:spacing w:line="312" w:lineRule="auto"/>
        <w:ind w:right="-105" w:rightChars="-50"/>
        <w:jc w:val="center"/>
        <w:rPr>
          <w:rFonts w:ascii="宋体" w:hAnsi="宋体" w:cs="宋体"/>
          <w:b/>
          <w:bCs/>
          <w:sz w:val="36"/>
          <w:szCs w:val="36"/>
        </w:rPr>
      </w:pPr>
    </w:p>
    <w:p>
      <w:pPr>
        <w:spacing w:line="312" w:lineRule="auto"/>
        <w:ind w:right="-105" w:rightChars="-50"/>
        <w:jc w:val="center"/>
        <w:rPr>
          <w:b/>
          <w:bCs/>
          <w:sz w:val="36"/>
          <w:szCs w:val="36"/>
        </w:rPr>
      </w:pPr>
    </w:p>
    <w:p>
      <w:pPr>
        <w:spacing w:line="312" w:lineRule="auto"/>
        <w:ind w:right="-105" w:rightChars="-50"/>
        <w:jc w:val="center"/>
        <w:rPr>
          <w:b/>
          <w:bCs/>
          <w:sz w:val="36"/>
          <w:szCs w:val="36"/>
        </w:rPr>
      </w:pPr>
    </w:p>
    <w:p>
      <w:pPr>
        <w:spacing w:line="312" w:lineRule="auto"/>
        <w:ind w:right="-105" w:rightChars="-50"/>
        <w:jc w:val="center"/>
        <w:rPr>
          <w:b/>
          <w:bCs/>
          <w:sz w:val="36"/>
          <w:szCs w:val="36"/>
        </w:rPr>
      </w:pPr>
    </w:p>
    <w:p>
      <w:pPr>
        <w:spacing w:line="312" w:lineRule="auto"/>
        <w:ind w:right="-105" w:rightChars="-50"/>
        <w:jc w:val="center"/>
        <w:rPr>
          <w:b/>
          <w:bCs/>
          <w:sz w:val="36"/>
          <w:szCs w:val="36"/>
        </w:rPr>
      </w:pPr>
    </w:p>
    <w:p>
      <w:pPr>
        <w:spacing w:line="312" w:lineRule="auto"/>
        <w:ind w:right="-105" w:rightChars="-50"/>
        <w:jc w:val="center"/>
        <w:rPr>
          <w:b/>
          <w:bCs/>
          <w:sz w:val="36"/>
          <w:szCs w:val="36"/>
        </w:rPr>
      </w:pPr>
    </w:p>
    <w:p>
      <w:pPr>
        <w:spacing w:line="312" w:lineRule="auto"/>
        <w:ind w:right="-105" w:rightChars="-50"/>
        <w:jc w:val="center"/>
        <w:rPr>
          <w:b/>
          <w:bCs/>
          <w:sz w:val="36"/>
          <w:szCs w:val="36"/>
        </w:rPr>
      </w:pPr>
    </w:p>
    <w:p>
      <w:pPr>
        <w:spacing w:line="312" w:lineRule="auto"/>
        <w:ind w:right="-105" w:rightChars="-50"/>
        <w:jc w:val="center"/>
        <w:rPr>
          <w:b/>
          <w:bCs/>
          <w:sz w:val="36"/>
          <w:szCs w:val="36"/>
        </w:rPr>
      </w:pPr>
    </w:p>
    <w:p>
      <w:pPr>
        <w:spacing w:line="312" w:lineRule="auto"/>
        <w:ind w:right="-105" w:rightChars="-50"/>
        <w:jc w:val="center"/>
        <w:rPr>
          <w:b/>
          <w:bCs/>
          <w:sz w:val="36"/>
          <w:szCs w:val="36"/>
        </w:rPr>
      </w:pPr>
    </w:p>
    <w:p>
      <w:pPr>
        <w:spacing w:line="312" w:lineRule="auto"/>
        <w:ind w:right="-105" w:rightChars="-50"/>
        <w:jc w:val="center"/>
        <w:rPr>
          <w:b/>
          <w:bCs/>
          <w:sz w:val="36"/>
          <w:szCs w:val="36"/>
        </w:rPr>
      </w:pPr>
    </w:p>
    <w:p>
      <w:pPr>
        <w:pStyle w:val="22"/>
      </w:pPr>
    </w:p>
    <w:p>
      <w:pPr>
        <w:spacing w:line="312" w:lineRule="auto"/>
        <w:ind w:right="-105" w:rightChars="-50"/>
        <w:jc w:val="center"/>
        <w:rPr>
          <w:b/>
          <w:bCs/>
          <w:sz w:val="36"/>
          <w:szCs w:val="36"/>
        </w:rPr>
      </w:pPr>
      <w:r>
        <w:rPr>
          <w:rFonts w:hint="eastAsia"/>
          <w:b/>
          <w:bCs/>
          <w:sz w:val="36"/>
          <w:szCs w:val="36"/>
        </w:rPr>
        <w:t>第三章投标人须知</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16"/>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94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943" w:type="dxa"/>
          </w:tcPr>
          <w:p>
            <w:pPr>
              <w:pStyle w:val="23"/>
              <w:ind w:firstLine="0" w:firstLineChars="0"/>
              <w:rPr>
                <w:rFonts w:ascii="宋体" w:hAnsi="宋体" w:cs="宋体"/>
              </w:rPr>
            </w:pPr>
            <w:r>
              <w:rPr>
                <w:rFonts w:hint="eastAsia" w:ascii="宋体" w:hAnsi="宋体" w:cs="宋体"/>
              </w:rPr>
              <w:t xml:space="preserve">项目名称：禹州市自然资源和规划局自然资源评价评估工作项目 </w:t>
            </w:r>
          </w:p>
          <w:p>
            <w:pPr>
              <w:pStyle w:val="23"/>
              <w:ind w:firstLine="0" w:firstLineChars="0"/>
              <w:rPr>
                <w:rFonts w:ascii="宋体" w:hAnsi="宋体" w:cs="宋体"/>
              </w:rPr>
            </w:pPr>
            <w:r>
              <w:rPr>
                <w:rFonts w:hint="eastAsia" w:ascii="宋体" w:hAnsi="宋体" w:cs="宋体"/>
              </w:rPr>
              <w:t xml:space="preserve">项目编号：YZCG-DLG2021040 </w:t>
            </w:r>
          </w:p>
          <w:p>
            <w:pPr>
              <w:pStyle w:val="23"/>
              <w:ind w:firstLine="0" w:firstLineChars="0"/>
              <w:rPr>
                <w:rFonts w:ascii="宋体" w:hAnsi="宋体" w:cs="宋体"/>
              </w:rPr>
            </w:pPr>
            <w:r>
              <w:rPr>
                <w:rFonts w:hint="eastAsia" w:ascii="宋体" w:hAnsi="宋体" w:cs="宋体"/>
              </w:rPr>
              <w:t xml:space="preserve">项目内容：详见招标文件第二章项目需求； </w:t>
            </w:r>
          </w:p>
          <w:p>
            <w:pPr>
              <w:pStyle w:val="23"/>
              <w:ind w:firstLine="0" w:firstLineChars="0"/>
            </w:pPr>
            <w:r>
              <w:rPr>
                <w:rFonts w:hint="eastAsia" w:ascii="宋体" w:hAnsi="宋体" w:cs="宋体"/>
              </w:rPr>
              <w:t xml:space="preserve">项目地址：禹州市境内；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943"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采购单位：禹州市自然资源和规划局</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    址：禹州市禹王大道东段103号</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 系 人：张先生</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联系电话：13837420863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代理机构：北京中兴恒工程咨询有限公司</w:t>
            </w:r>
          </w:p>
          <w:p>
            <w:pPr>
              <w:pStyle w:val="23"/>
              <w:ind w:firstLine="0" w:firstLineChars="0"/>
            </w:pPr>
            <w:r>
              <w:rPr>
                <w:rFonts w:hint="eastAsia" w:cs="仿宋_GB2312" w:asciiTheme="minorEastAsia" w:hAnsiTheme="minorEastAsia"/>
                <w:szCs w:val="21"/>
              </w:rPr>
              <w:t>地  址：郑州市黄河路经二路瀚海璞丽中心A座1106室</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联系人：孙女士</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联系电话：17796765531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 xml:space="preserve">资金来源及落实情况 </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财政资金，已落实。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服务期限</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color w:val="000000" w:themeColor="text1"/>
                <w:szCs w:val="21"/>
              </w:rPr>
              <w:t xml:space="preserve">合同签订后60日历天内；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 xml:space="preserve">质量要求 </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最终成果满足国家相关标准，通过主管部门的评审；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94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lang w:val="zh-CN"/>
              </w:rPr>
              <w:t>注：仅需提供序号</w:t>
            </w:r>
            <w:r>
              <w:rPr>
                <w:rFonts w:hint="eastAsia" w:ascii="楷体" w:hAnsi="楷体" w:eastAsia="楷体"/>
                <w:color w:val="000000"/>
                <w:sz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lang w:val="zh-CN"/>
              </w:rPr>
              <w:t>注：仅需提供序号</w:t>
            </w:r>
            <w:r>
              <w:rPr>
                <w:rFonts w:hint="eastAsia" w:ascii="楷体" w:hAnsi="楷体" w:eastAsia="楷体"/>
                <w:color w:val="000000"/>
                <w:sz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rPr>
            </w:pPr>
            <w:r>
              <w:rPr>
                <w:rFonts w:hint="eastAsia" w:ascii="楷体" w:hAnsi="楷体" w:eastAsia="楷体" w:cs="仿宋_GB2312"/>
                <w:sz w:val="24"/>
                <w:lang w:val="zh-CN"/>
              </w:rPr>
              <w:t>注：仅需提供序号</w:t>
            </w:r>
            <w:r>
              <w:rPr>
                <w:rFonts w:hint="eastAsia" w:ascii="楷体" w:hAnsi="楷体" w:eastAsia="楷体"/>
                <w:color w:val="000000"/>
                <w:sz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943" w:type="dxa"/>
            <w:vAlign w:val="center"/>
          </w:tcPr>
          <w:p>
            <w:pPr>
              <w:widowControl/>
              <w:jc w:val="left"/>
              <w:rPr>
                <w:rFonts w:ascii="宋体" w:hAnsi="宋体" w:cs="宋体"/>
              </w:rPr>
            </w:pPr>
            <w:r>
              <w:rPr>
                <w:rFonts w:hint="eastAsia" w:ascii="宋体" w:hAnsi="宋体" w:cs="宋体"/>
                <w:color w:val="000000"/>
                <w:kern w:val="0"/>
                <w:sz w:val="24"/>
              </w:rPr>
              <w:t>本项目最高限价为招标控制价（最高限价）：</w:t>
            </w:r>
            <w:r>
              <w:rPr>
                <w:rFonts w:hint="eastAsia" w:ascii="宋体" w:hAnsi="宋体" w:cs="宋体"/>
                <w:b/>
                <w:bCs/>
                <w:color w:val="000000"/>
                <w:kern w:val="0"/>
                <w:sz w:val="22"/>
                <w:szCs w:val="22"/>
              </w:rPr>
              <w:t>1857458.00</w:t>
            </w:r>
            <w:r>
              <w:rPr>
                <w:rFonts w:hint="eastAsia" w:ascii="宋体" w:hAnsi="宋体" w:cs="宋体"/>
                <w:b/>
                <w:bCs/>
                <w:szCs w:val="21"/>
              </w:rPr>
              <w:t>元</w:t>
            </w:r>
            <w:r>
              <w:rPr>
                <w:rFonts w:hint="eastAsia" w:hAnsi="宋体"/>
                <w:b/>
                <w:szCs w:val="21"/>
              </w:rPr>
              <w:t>（其中：农用地基准价制定工作经费：599760.00元；集体建设用地基准地价评估工作经费：528180.00元；国有农用地定价估价工作经费：162558.00元；标定地价评估工作经费：566960.00元）</w:t>
            </w:r>
            <w:r>
              <w:rPr>
                <w:rFonts w:hint="eastAsia" w:ascii="宋体" w:hAnsi="宋体" w:cs="宋体"/>
                <w:color w:val="000000"/>
                <w:kern w:val="0"/>
                <w:sz w:val="24"/>
              </w:rPr>
              <w:t xml:space="preserve">； </w:t>
            </w:r>
          </w:p>
          <w:p>
            <w:pPr>
              <w:widowControl/>
              <w:jc w:val="left"/>
              <w:rPr>
                <w:rFonts w:cs="宋体" w:asciiTheme="minorEastAsia" w:hAnsiTheme="minorEastAsia"/>
                <w:bCs/>
                <w:szCs w:val="21"/>
                <w:lang w:val="zh-CN"/>
              </w:rPr>
            </w:pPr>
            <w:r>
              <w:rPr>
                <w:rFonts w:hint="eastAsia" w:ascii="宋体" w:hAnsi="宋体" w:cs="宋体"/>
                <w:color w:val="000000"/>
                <w:kern w:val="0"/>
                <w:sz w:val="24"/>
              </w:rPr>
              <w:t>投标人投标报价超出招标人发布的相应招标控制价的，投标无效。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94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94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94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微软雅黑" w:asciiTheme="minorEastAsia" w:hAnsiTheme="minorEastAsia"/>
                <w:b/>
                <w:color w:val="000000" w:themeColor="text1"/>
                <w:szCs w:val="21"/>
              </w:rPr>
              <w:t>2021</w:t>
            </w:r>
            <w:r>
              <w:rPr>
                <w:rFonts w:hint="eastAsia" w:cs="微软雅黑" w:asciiTheme="minorEastAsia" w:hAnsiTheme="minorEastAsia"/>
                <w:b/>
                <w:color w:val="000000" w:themeColor="text1"/>
                <w:szCs w:val="21"/>
                <w:lang w:val="zh-CN"/>
              </w:rPr>
              <w:t>年</w:t>
            </w:r>
            <w:r>
              <w:rPr>
                <w:rFonts w:hint="eastAsia" w:cs="微软雅黑" w:asciiTheme="minorEastAsia" w:hAnsiTheme="minorEastAsia"/>
                <w:b/>
                <w:color w:val="000000" w:themeColor="text1"/>
                <w:szCs w:val="21"/>
              </w:rPr>
              <w:t>7</w:t>
            </w:r>
            <w:r>
              <w:rPr>
                <w:rFonts w:hint="eastAsia" w:cs="微软雅黑" w:asciiTheme="minorEastAsia" w:hAnsiTheme="minorEastAsia"/>
                <w:b/>
                <w:color w:val="000000" w:themeColor="text1"/>
                <w:szCs w:val="21"/>
                <w:lang w:val="zh-CN"/>
              </w:rPr>
              <w:t>月</w:t>
            </w:r>
            <w:r>
              <w:rPr>
                <w:rFonts w:hint="eastAsia" w:cs="微软雅黑" w:asciiTheme="minorEastAsia" w:hAnsiTheme="minorEastAsia"/>
                <w:b/>
                <w:color w:val="000000" w:themeColor="text1"/>
                <w:szCs w:val="21"/>
              </w:rPr>
              <w:t>15</w:t>
            </w:r>
            <w:r>
              <w:rPr>
                <w:rFonts w:hint="eastAsia" w:cs="微软雅黑" w:asciiTheme="minorEastAsia" w:hAnsiTheme="minorEastAsia"/>
                <w:b/>
                <w:color w:val="000000" w:themeColor="text1"/>
                <w:szCs w:val="21"/>
                <w:lang w:val="zh-CN"/>
              </w:rPr>
              <w:t>日</w:t>
            </w:r>
            <w:r>
              <w:rPr>
                <w:rFonts w:hint="eastAsia" w:cs="微软雅黑" w:asciiTheme="minorEastAsia" w:hAnsiTheme="minorEastAsia"/>
                <w:b/>
                <w:color w:val="000000" w:themeColor="text1"/>
                <w:szCs w:val="21"/>
              </w:rPr>
              <w:t>上午8：30</w:t>
            </w:r>
            <w:r>
              <w:rPr>
                <w:rFonts w:hint="eastAsia" w:cs="微软雅黑" w:asciiTheme="minorEastAsia" w:hAnsiTheme="minorEastAsia"/>
                <w:b/>
                <w:color w:val="000000" w:themeColor="text1"/>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禹州市公共资源交易中心</w:t>
            </w:r>
            <w:r>
              <w:rPr>
                <w:rFonts w:hint="eastAsia"/>
              </w:rPr>
              <w:t>第一开标室</w:t>
            </w:r>
            <w:r>
              <w:rPr>
                <w:rFonts w:hint="eastAsia" w:cs="仿宋_GB2312" w:asciiTheme="minorEastAsia" w:hAnsiTheme="minorEastAsia"/>
                <w:szCs w:val="21"/>
              </w:rPr>
              <w:t>（地址：禹州市行政服务中心楼九楼）（本项目采用远程不见面开标，供应商无须到达现场）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94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rPr>
              <w:t>1.</w:t>
            </w: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rPr>
              <w:t>2.</w:t>
            </w: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94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 xml:space="preserve">招标公告、中标公告、变更（更正）公告、现场勘察答复等相关信息同时在以下网站发布：《中国政府采购网》、《河南省政府采购网》、《全国公共资源交易平台（河南省·许昌市）》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94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pPr>
              <w:widowControl/>
              <w:jc w:val="left"/>
              <w:rPr>
                <w:rFonts w:cs="宋体" w:asciiTheme="minorEastAsia" w:hAnsiTheme="minorEastAsia"/>
                <w:bCs/>
                <w:szCs w:val="21"/>
                <w:highlight w:val="lightGray"/>
                <w:lang w:val="zh-CN"/>
              </w:rPr>
            </w:pPr>
            <w:r>
              <w:rPr>
                <w:rFonts w:hint="eastAsia" w:ascii="宋体" w:hAnsi="宋体" w:cs="宋体"/>
                <w:b/>
                <w:bCs/>
                <w:color w:val="000000"/>
                <w:kern w:val="0"/>
                <w:szCs w:val="21"/>
              </w:rPr>
              <w:t>注:投标人提交的电子投标文件，必须是通过“许昌投标文件制作系统SEARUNV最新版”制作，并经过签章和加密后生成的电子投标文件。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943" w:type="dxa"/>
            <w:vAlign w:val="center"/>
          </w:tcPr>
          <w:p>
            <w:pPr>
              <w:autoSpaceDE w:val="0"/>
              <w:autoSpaceDN w:val="0"/>
              <w:adjustRightInd w:val="0"/>
              <w:spacing w:line="420" w:lineRule="exact"/>
              <w:rPr>
                <w:rFonts w:cs="仿宋_GB2312" w:asciiTheme="minorEastAsia" w:hAnsiTheme="minorEastAsia"/>
                <w:szCs w:val="21"/>
                <w:highlight w:val="lightGray"/>
              </w:rPr>
            </w:pPr>
            <w:r>
              <w:rPr>
                <w:rFonts w:hint="eastAsia" w:ascii="新宋体" w:hAnsi="新宋体" w:eastAsia="新宋体"/>
                <w:szCs w:val="21"/>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 xml:space="preserve">本项目是否采用 </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 xml:space="preserve">不见面开标 </w:t>
            </w:r>
          </w:p>
        </w:tc>
        <w:tc>
          <w:tcPr>
            <w:tcW w:w="6943" w:type="dxa"/>
            <w:vAlign w:val="center"/>
          </w:tcPr>
          <w:p>
            <w:pPr>
              <w:autoSpaceDE w:val="0"/>
              <w:autoSpaceDN w:val="0"/>
              <w:adjustRightInd w:val="0"/>
              <w:spacing w:line="420" w:lineRule="exact"/>
              <w:rPr>
                <w:rFonts w:cs="宋体" w:asciiTheme="minorEastAsia" w:hAnsiTheme="minorEastAsia"/>
                <w:b/>
                <w:bCs/>
                <w:color w:val="FF0000"/>
                <w:szCs w:val="21"/>
                <w:lang w:val="zh-CN"/>
              </w:rPr>
            </w:pPr>
            <w:r>
              <w:rPr>
                <w:rFonts w:hint="eastAsia" w:cs="宋体" w:asciiTheme="minorEastAsia" w:hAnsiTheme="minorEastAsia"/>
                <w:color w:val="000000" w:themeColor="text1"/>
                <w:szCs w:val="21"/>
                <w:lang w:val="zh-CN"/>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943" w:type="dxa"/>
            <w:vAlign w:val="center"/>
          </w:tcPr>
          <w:p>
            <w:pPr>
              <w:widowControl/>
              <w:rPr>
                <w:rFonts w:cs="宋体" w:asciiTheme="minorEastAsia" w:hAnsiTheme="minorEastAsia"/>
                <w:bCs/>
                <w:szCs w:val="21"/>
                <w:lang w:val="zh-CN"/>
              </w:rPr>
            </w:pPr>
            <w:r>
              <w:rPr>
                <w:rFonts w:hint="eastAsia" w:ascii="宋体" w:hAnsi="宋体" w:cs="宋体"/>
                <w:b/>
                <w:bCs/>
                <w:color w:val="000000"/>
                <w:kern w:val="0"/>
                <w:szCs w:val="21"/>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p>
            <w:pPr>
              <w:autoSpaceDE w:val="0"/>
              <w:autoSpaceDN w:val="0"/>
              <w:adjustRightInd w:val="0"/>
              <w:spacing w:line="360" w:lineRule="auto"/>
              <w:jc w:val="center"/>
              <w:rPr>
                <w:rFonts w:cs="宋体" w:asciiTheme="minorEastAsia" w:hAnsiTheme="minorEastAsia"/>
                <w:bCs/>
                <w:szCs w:val="21"/>
                <w:lang w:val="zh-CN"/>
              </w:rPr>
            </w:pPr>
          </w:p>
        </w:tc>
        <w:tc>
          <w:tcPr>
            <w:tcW w:w="6943" w:type="dxa"/>
            <w:vAlign w:val="center"/>
          </w:tcPr>
          <w:p>
            <w:pPr>
              <w:autoSpaceDE w:val="0"/>
              <w:autoSpaceDN w:val="0"/>
              <w:adjustRightInd w:val="0"/>
              <w:spacing w:line="360" w:lineRule="auto"/>
              <w:rPr>
                <w:rFonts w:cs="宋体" w:asciiTheme="minorEastAsia" w:hAnsiTheme="minorEastAsia"/>
                <w:kern w:val="0"/>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仿宋_GB2312" w:asciiTheme="minorEastAsia" w:hAnsiTheme="minorEastAsia"/>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cs="宋体" w:asciiTheme="minorEastAsia" w:hAnsiTheme="minorEastAsia"/>
                <w:b/>
                <w:kern w:val="0"/>
                <w:szCs w:val="21"/>
                <w:lang w:val="zh-CN"/>
              </w:rPr>
              <w:fldChar w:fldCharType="end"/>
            </w:r>
            <w:r>
              <w:rPr>
                <w:rFonts w:hint="eastAsia" w:cs="宋体" w:asciiTheme="minorEastAsia" w:hAnsiTheme="minorEastAsia"/>
                <w:szCs w:val="21"/>
              </w:rPr>
              <w:t>要求提交。履约保证金的数额为合同金额</w:t>
            </w:r>
            <w:r>
              <w:rPr>
                <w:rFonts w:hint="eastAsia" w:ascii="新宋体" w:hAnsi="新宋体" w:eastAsia="新宋体"/>
                <w:szCs w:val="21"/>
              </w:rPr>
              <w:t>的5%</w:t>
            </w:r>
            <w:r>
              <w:rPr>
                <w:rFonts w:hint="eastAsia" w:cs="宋体" w:asciiTheme="minorEastAsia" w:hAnsiTheme="minorEastAsia"/>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 xml:space="preserve">代理服务费 </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招标代理服务费由中标人支付，招标代理服务费</w:t>
            </w:r>
            <w:r>
              <w:rPr>
                <w:rFonts w:hint="eastAsia" w:cs="仿宋_GB2312" w:asciiTheme="minorEastAsia" w:hAnsiTheme="minorEastAsia"/>
                <w:szCs w:val="21"/>
              </w:rPr>
              <w:t>参照</w:t>
            </w:r>
            <w:r>
              <w:rPr>
                <w:rFonts w:hint="eastAsia" w:cs="仿宋_GB2312" w:asciiTheme="minorEastAsia" w:hAnsiTheme="minorEastAsia"/>
                <w:szCs w:val="21"/>
                <w:lang w:val="zh-CN"/>
              </w:rPr>
              <w:t xml:space="preserve">《国家计委〈计价格〔2002〕1980号〉》及发改价格【2011】 534号文之有关规定内容收取。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 xml:space="preserve">中标通知书 </w:t>
            </w:r>
          </w:p>
          <w:p>
            <w:pPr>
              <w:autoSpaceDE w:val="0"/>
              <w:autoSpaceDN w:val="0"/>
              <w:adjustRightInd w:val="0"/>
              <w:spacing w:line="360" w:lineRule="auto"/>
              <w:jc w:val="center"/>
              <w:rPr>
                <w:rFonts w:cs="宋体" w:asciiTheme="minorEastAsia" w:hAnsiTheme="minorEastAsia"/>
                <w:bCs/>
                <w:szCs w:val="21"/>
                <w:lang w:val="zh-CN"/>
              </w:rPr>
            </w:pP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 xml:space="preserve">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 </w:t>
            </w:r>
          </w:p>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 xml:space="preserve">标代理机构不承担任何责任。 </w:t>
            </w:r>
          </w:p>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2、中标人在接到中标通知时，并配合业主需要提供纸质投标文件 1 套，且须向代理机构发送投标报价及分项报价一览表（包含主要中标标的的名称、规格型号、数量、单价、服务要求等）电子文档，并同时通知招标代</w:t>
            </w:r>
            <w:r>
              <w:rPr>
                <w:rFonts w:hint="eastAsia" w:ascii="宋体" w:hAnsi="宋体" w:cs="宋体"/>
                <w:szCs w:val="21"/>
                <w:lang w:val="zh-CN"/>
              </w:rPr>
              <w:t>理公司，</w:t>
            </w:r>
            <w:r>
              <w:rPr>
                <w:rFonts w:hint="eastAsia" w:ascii="宋体" w:hAnsi="宋体" w:cs="宋体"/>
                <w:color w:val="000000" w:themeColor="text1"/>
                <w:szCs w:val="21"/>
                <w:lang w:val="zh-CN"/>
              </w:rPr>
              <w:t>联系电话：</w:t>
            </w:r>
            <w:r>
              <w:rPr>
                <w:rFonts w:hint="eastAsia" w:ascii="宋体" w:hAnsi="宋体" w:cs="宋体"/>
                <w:color w:val="000000" w:themeColor="text1"/>
                <w:szCs w:val="21"/>
              </w:rPr>
              <w:t>17796765531</w:t>
            </w:r>
            <w:r>
              <w:rPr>
                <w:rFonts w:hint="eastAsia" w:ascii="宋体" w:hAnsi="宋体" w:cs="宋体"/>
                <w:color w:val="000000" w:themeColor="text1"/>
                <w:szCs w:val="21"/>
                <w:lang w:val="zh-CN"/>
              </w:rPr>
              <w:t>，邮箱：154594017@qq.com。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p>
            <w:pPr>
              <w:autoSpaceDE w:val="0"/>
              <w:autoSpaceDN w:val="0"/>
              <w:adjustRightInd w:val="0"/>
              <w:spacing w:line="360" w:lineRule="auto"/>
              <w:jc w:val="center"/>
              <w:rPr>
                <w:rFonts w:cs="宋体" w:asciiTheme="minorEastAsia" w:hAnsiTheme="minorEastAsia"/>
                <w:bCs/>
                <w:szCs w:val="21"/>
                <w:lang w:val="zh-CN"/>
              </w:rPr>
            </w:pP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cs="宋体" w:asciiTheme="minorEastAsia" w:hAnsiTheme="minorEastAsia"/>
                <w:b/>
                <w:bCs/>
                <w:szCs w:val="21"/>
                <w:lang w:val="zh-CN"/>
              </w:rPr>
              <w:t>☑</w:t>
            </w:r>
            <w:r>
              <w:rPr>
                <w:rFonts w:hint="eastAsia" w:cs="仿宋_GB2312" w:asciiTheme="minorEastAsia" w:hAnsiTheme="minorEastAsia"/>
                <w:szCs w:val="21"/>
                <w:lang w:val="zh-CN"/>
              </w:rPr>
              <w:t xml:space="preserve">是。电子投标文件：成功上传至《全国公共资源交易平台（河南省·许昌市）》公共资源交易系统加密电子投标文件1份（文件格式为： XXX公司XXX项目编号.file）。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widowControl/>
              <w:jc w:val="center"/>
              <w:rPr>
                <w:rFonts w:ascii="宋体" w:hAnsi="宋体" w:cs="宋体"/>
                <w:szCs w:val="21"/>
              </w:rPr>
            </w:pPr>
            <w:r>
              <w:rPr>
                <w:rFonts w:hint="eastAsia" w:ascii="宋体" w:hAnsi="宋体" w:cs="宋体"/>
                <w:color w:val="000000"/>
                <w:kern w:val="0"/>
                <w:szCs w:val="21"/>
              </w:rPr>
              <w:t>投标人代表出席</w:t>
            </w:r>
          </w:p>
          <w:p>
            <w:pPr>
              <w:widowControl/>
              <w:jc w:val="center"/>
              <w:rPr>
                <w:rFonts w:cs="宋体" w:asciiTheme="minorEastAsia" w:hAnsiTheme="minorEastAsia"/>
                <w:bCs/>
                <w:szCs w:val="21"/>
                <w:lang w:val="zh-CN"/>
              </w:rPr>
            </w:pPr>
            <w:r>
              <w:rPr>
                <w:rFonts w:hint="eastAsia" w:ascii="宋体" w:hAnsi="宋体" w:cs="宋体"/>
                <w:color w:val="000000"/>
                <w:kern w:val="0"/>
                <w:szCs w:val="21"/>
              </w:rPr>
              <w:t>开标会及其他</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 xml:space="preserve">投标人准时在网上参加投标、开标活动。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 xml:space="preserve">解释权 </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 xml:space="preserve">构成本招标文件的各个组成文件应互为解释，互为说明； </w:t>
            </w:r>
          </w:p>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 xml:space="preserve">1、除招标文件中有特别规定外，仅适用于招标投标阶段的规定，按招标公告（投标邀请书）、投标人须知、评标办法的先后顺序解释； </w:t>
            </w:r>
          </w:p>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rPr>
              <w:t>2</w:t>
            </w:r>
            <w:r>
              <w:rPr>
                <w:rFonts w:hint="eastAsia" w:cs="仿宋_GB2312" w:asciiTheme="minorEastAsia" w:hAnsiTheme="minorEastAsia"/>
                <w:szCs w:val="21"/>
                <w:lang w:val="zh-CN"/>
              </w:rPr>
              <w:t xml:space="preserve">、同一组成文件中就同一事项的规定或约定不一致的， </w:t>
            </w:r>
          </w:p>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 xml:space="preserve">以编排顺序在后者为准； </w:t>
            </w:r>
          </w:p>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rPr>
              <w:t>3</w:t>
            </w:r>
            <w:r>
              <w:rPr>
                <w:rFonts w:hint="eastAsia" w:cs="仿宋_GB2312" w:asciiTheme="minorEastAsia" w:hAnsiTheme="minorEastAsia"/>
                <w:szCs w:val="21"/>
                <w:lang w:val="zh-CN"/>
              </w:rPr>
              <w:t xml:space="preserve">、同一组成文件不同版本之间有不一致的，以形成时间在后者为准； </w:t>
            </w:r>
          </w:p>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知识产权</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 xml:space="preserve">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 xml:space="preserve">投标费用 </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 xml:space="preserve">供应商应自行承担参加投标活动有关的全部费用，招标人和招招标代理机构在任何情况下均无义务和责任承担上述费用。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 xml:space="preserve">纪律和监督 </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 xml:space="preserve">采购人不得泄漏招标投标活动中应当保密的情况和资料， 不得与供应商串通损害国家利益、社会公共利益或者他人合法权益。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 xml:space="preserve">投标文件的拒收 </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 xml:space="preserve">1、未成功上传的投标文件； </w:t>
            </w:r>
          </w:p>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 xml:space="preserve">2、未进行解密或未按要求成功解密的投标文件。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 xml:space="preserve">质疑与投诉 </w:t>
            </w:r>
          </w:p>
          <w:p>
            <w:pPr>
              <w:autoSpaceDE w:val="0"/>
              <w:autoSpaceDN w:val="0"/>
              <w:adjustRightInd w:val="0"/>
              <w:spacing w:line="360" w:lineRule="auto"/>
              <w:jc w:val="center"/>
              <w:rPr>
                <w:rFonts w:cs="宋体" w:asciiTheme="minorEastAsia" w:hAnsiTheme="minorEastAsia"/>
                <w:bCs/>
                <w:szCs w:val="21"/>
                <w:lang w:val="zh-CN"/>
              </w:rPr>
            </w:pP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 xml:space="preserve">1、供应商认为采购文件、采购过程和中标结果使自己的权益受到损害的，可以按照财政部94号令和招标文件规定的方式提出质疑。 </w:t>
            </w:r>
          </w:p>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 xml:space="preserve">2、对中标结果提出质疑或投诉的，必须是参与本项目所投标段开评标的供应商，且提交的质疑与投诉须符合财政部 94 号令相关要求，由供应商法定代表人或参与投标时的授权委托人以书面形式（签字盖章）向采购人、代理机构、监督单位递交。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943" w:type="dxa"/>
            <w:vAlign w:val="center"/>
          </w:tcPr>
          <w:p>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2、本次</w:t>
            </w:r>
            <w:r>
              <w:t>采购标的对应的中小企业划分标准所属行业</w:t>
            </w:r>
            <w:r>
              <w:rPr>
                <w:rFonts w:hint="eastAsia"/>
              </w:rPr>
              <w:t>：</w:t>
            </w:r>
          </w:p>
          <w:p>
            <w:pPr>
              <w:autoSpaceDE w:val="0"/>
              <w:autoSpaceDN w:val="0"/>
              <w:adjustRightInd w:val="0"/>
              <w:spacing w:line="360" w:lineRule="auto"/>
              <w:contextualSpacing/>
              <w:rPr>
                <w:rFonts w:ascii="ˎ̥" w:hAnsi="ˎ̥"/>
              </w:rPr>
            </w:pPr>
            <w:r>
              <w:rPr>
                <w:rFonts w:hint="eastAsia" w:ascii="ˎ̥" w:hAnsi="ˎ̥"/>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rPr>
            </w:pPr>
            <w:r>
              <w:rPr>
                <w:rFonts w:hint="eastAsia" w:ascii="ˎ̥" w:hAnsi="ˎ̥"/>
              </w:rPr>
              <w:t>4、</w:t>
            </w:r>
            <w:r>
              <w:rPr>
                <w:rFonts w:ascii="ˎ̥" w:hAnsi="ˎ̥"/>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rPr>
            </w:pPr>
            <w:r>
              <w:rPr>
                <w:rFonts w:hint="eastAsia" w:ascii="ˎ̥" w:hAnsi="ˎ̥"/>
              </w:rPr>
              <w:t>5、</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rPr>
              <w:t>2</w:t>
            </w:r>
            <w:r>
              <w:rPr>
                <w:rFonts w:ascii="ˎ̥" w:hAnsi="ˎ̥"/>
              </w:rPr>
              <w:t>—</w:t>
            </w:r>
            <w:r>
              <w:rPr>
                <w:rFonts w:hint="eastAsia" w:ascii="ˎ̥" w:hAnsi="ˎ̥"/>
              </w:rPr>
              <w:t>3</w:t>
            </w:r>
            <w:r>
              <w:rPr>
                <w:rFonts w:ascii="ˎ̥" w:hAnsi="ˎ̥"/>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rPr>
            </w:pPr>
            <w:r>
              <w:rPr>
                <w:rFonts w:hint="eastAsia" w:ascii="ˎ̥" w:hAnsi="ˎ̥"/>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943" w:type="dxa"/>
            <w:vAlign w:val="center"/>
          </w:tcPr>
          <w:p>
            <w:pPr>
              <w:widowControl/>
              <w:jc w:val="left"/>
              <w:rPr>
                <w:rFonts w:ascii="宋体" w:hAnsi="宋体" w:cs="宋体"/>
                <w:szCs w:val="21"/>
              </w:rPr>
            </w:pPr>
            <w:r>
              <w:rPr>
                <w:rFonts w:hint="eastAsia" w:ascii="宋体" w:hAnsi="宋体" w:cs="宋体"/>
                <w:color w:val="000000"/>
                <w:kern w:val="0"/>
                <w:szCs w:val="21"/>
              </w:rPr>
              <w:t xml:space="preserve">1、按照《关于推进全流程电子化交易和在线监管工作有关问题的通知》（许公管办[2019]3号）规定： 不同供应商电子投标文件制作硬件特征码（网卡MAC地址、CPU序号、硬盘序列号等）雷同时，视为‘不同投标人的投 </w:t>
            </w:r>
          </w:p>
          <w:p>
            <w:pPr>
              <w:widowControl/>
              <w:jc w:val="left"/>
              <w:rPr>
                <w:rFonts w:ascii="宋体" w:hAnsi="宋体" w:cs="宋体"/>
                <w:szCs w:val="21"/>
              </w:rPr>
            </w:pPr>
            <w:r>
              <w:rPr>
                <w:rFonts w:hint="eastAsia" w:ascii="宋体" w:hAnsi="宋体" w:cs="宋体"/>
                <w:color w:val="000000"/>
                <w:kern w:val="0"/>
                <w:szCs w:val="21"/>
              </w:rPr>
              <w:t xml:space="preserve">标文件由同一单位或者个人编制’或‘不同投标人委托同 </w:t>
            </w:r>
          </w:p>
          <w:p>
            <w:pPr>
              <w:widowControl/>
              <w:jc w:val="left"/>
              <w:rPr>
                <w:rFonts w:ascii="宋体" w:hAnsi="宋体" w:cs="宋体"/>
                <w:szCs w:val="21"/>
              </w:rPr>
            </w:pPr>
            <w:r>
              <w:rPr>
                <w:rFonts w:hint="eastAsia" w:ascii="宋体" w:hAnsi="宋体" w:cs="宋体"/>
                <w:color w:val="000000"/>
                <w:kern w:val="0"/>
                <w:szCs w:val="21"/>
              </w:rPr>
              <w:t xml:space="preserve">一单位或者个人办理响应事宜’，其投标无效。 评审专家应严格按照要求查看“硬件特征码”相关信息并进行评审，在评审报告中显示“不同投标人电子投标文件制作硬件特征码”是否雷同的分析及判定结果。 </w:t>
            </w:r>
          </w:p>
          <w:p>
            <w:pPr>
              <w:widowControl/>
              <w:jc w:val="left"/>
              <w:rPr>
                <w:rFonts w:ascii="宋体" w:hAnsi="宋体" w:cs="宋体"/>
                <w:szCs w:val="21"/>
              </w:rPr>
            </w:pPr>
            <w:r>
              <w:rPr>
                <w:rFonts w:hint="eastAsia" w:ascii="宋体" w:hAnsi="宋体" w:cs="宋体"/>
                <w:color w:val="000000"/>
                <w:kern w:val="0"/>
                <w:szCs w:val="21"/>
              </w:rPr>
              <w:t xml:space="preserve">2、投标人必须认真阅读招标文件中所有的事项、格式、条款和采购需求等。投标人没有按照招标文件要求提交全部资料，或者投标文件没有对招标文件在各方面做出实质性响应的可能导致其投标无效或被拒绝。 </w:t>
            </w:r>
          </w:p>
          <w:p>
            <w:pPr>
              <w:widowControl/>
              <w:jc w:val="left"/>
              <w:rPr>
                <w:rFonts w:ascii="宋体" w:hAnsi="宋体" w:cs="宋体"/>
                <w:szCs w:val="21"/>
              </w:rPr>
            </w:pPr>
            <w:r>
              <w:rPr>
                <w:rFonts w:hint="eastAsia" w:ascii="宋体" w:hAnsi="宋体" w:cs="宋体"/>
                <w:color w:val="000000"/>
                <w:kern w:val="0"/>
                <w:szCs w:val="21"/>
              </w:rPr>
              <w:t xml:space="preserve">3、投标人需提前熟悉招标文件相关事项及《许昌市不见面开标操作手册》，并设置不见面开标浏览器（设置流程详见《许昌市不见面开标操作手册》）。 </w:t>
            </w:r>
          </w:p>
          <w:p>
            <w:pPr>
              <w:widowControl/>
              <w:jc w:val="left"/>
              <w:rPr>
                <w:rFonts w:ascii="宋体" w:hAnsi="宋体" w:cs="宋体"/>
                <w:szCs w:val="21"/>
              </w:rPr>
            </w:pPr>
            <w:r>
              <w:rPr>
                <w:rFonts w:hint="eastAsia" w:ascii="宋体" w:hAnsi="宋体" w:cs="宋体"/>
                <w:color w:val="000000"/>
                <w:kern w:val="0"/>
                <w:szCs w:val="21"/>
              </w:rPr>
              <w:t xml:space="preserve">4、投标人上传、解密投标文件需使用同一个CA数字证书，需确保用于解密的CA数字证书在有效期内、可正常使用，并在规定时间内完成电子投标文件解密。评标时仅以成功上传、解密的投标文件为准。 </w:t>
            </w:r>
          </w:p>
          <w:p>
            <w:pPr>
              <w:widowControl/>
              <w:jc w:val="left"/>
              <w:rPr>
                <w:rFonts w:ascii="宋体" w:hAnsi="宋体" w:cs="宋体"/>
                <w:szCs w:val="21"/>
              </w:rPr>
            </w:pPr>
            <w:r>
              <w:rPr>
                <w:rFonts w:hint="eastAsia" w:ascii="宋体" w:hAnsi="宋体" w:cs="宋体"/>
                <w:color w:val="000000"/>
                <w:kern w:val="0"/>
                <w:szCs w:val="21"/>
              </w:rPr>
              <w:t xml:space="preserve">5、对开标过程有关内容有异议（质疑）的，投标人可在本项目的不见面开标大厅通过“文字互动”功能或“新增质疑”处提出异议（质疑），招标人（代理机构）及时进行线上答复。不见面开标活动结束时，投标人应在《开标记录表》上进行电子签章，未进行电子签章的视为对开标结果无异 </w:t>
            </w:r>
          </w:p>
          <w:p>
            <w:pPr>
              <w:widowControl/>
              <w:jc w:val="left"/>
              <w:rPr>
                <w:rFonts w:ascii="宋体" w:hAnsi="宋体" w:cs="宋体"/>
                <w:color w:val="000000"/>
                <w:kern w:val="0"/>
                <w:szCs w:val="21"/>
              </w:rPr>
            </w:pPr>
            <w:r>
              <w:rPr>
                <w:rFonts w:hint="eastAsia" w:ascii="宋体" w:hAnsi="宋体" w:cs="宋体"/>
                <w:color w:val="000000"/>
                <w:kern w:val="0"/>
                <w:szCs w:val="21"/>
              </w:rPr>
              <w:t>议。</w:t>
            </w:r>
          </w:p>
          <w:p>
            <w:pPr>
              <w:widowControl/>
              <w:jc w:val="left"/>
              <w:rPr>
                <w:rFonts w:ascii="宋体" w:hAnsi="宋体" w:cs="宋体"/>
                <w:szCs w:val="21"/>
              </w:rPr>
            </w:pPr>
            <w:r>
              <w:rPr>
                <w:rFonts w:hint="eastAsia" w:ascii="宋体" w:hAnsi="宋体" w:cs="宋体"/>
                <w:color w:val="000000"/>
                <w:kern w:val="0"/>
                <w:szCs w:val="21"/>
              </w:rPr>
              <w:t xml:space="preserve"> 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 </w:t>
            </w:r>
          </w:p>
          <w:p>
            <w:pPr>
              <w:widowControl/>
              <w:jc w:val="left"/>
            </w:pPr>
            <w:r>
              <w:rPr>
                <w:rFonts w:hint="eastAsia" w:ascii="宋体" w:hAnsi="宋体" w:cs="宋体"/>
                <w:color w:val="000000"/>
                <w:kern w:val="0"/>
                <w:szCs w:val="21"/>
              </w:rPr>
              <w:t>7、项目编号以本项目招标文件项目编号为准。</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2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1.1本招标文件仅适用于本次“投标邀请”中所述采购项目。</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1.2本招标文件解释权属于“投标邀请”所述的采购人。</w:t>
      </w:r>
    </w:p>
    <w:p>
      <w:pPr>
        <w:pStyle w:val="2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2.1“采购项目”：“投标人须知前附表”中所述的采购项目。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2.2“招标人”：“投标人须知前附表”中所述的组织本次招标的代理机构和采购人。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2.3“采购人”：是指依法进行政府采购的国家机关、事业单位、团体组织。采购人名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称、地址、电话、联系人见“投标人须知前附表”。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2.4“代理机构”：接受采购人委托，代理采购项目的采购代理机构。代理机构名称、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地址、 电话、联系人见“投标人须知前附表”。 采购代理机构及其分支机构不得在所代理的采购项目中投标或者代理投标，不得为所代理的采购项目的投标人参加本项目提供投标咨询。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2.5“潜在投标人”指符合《中华人民共和国政府采购法》及相关法律法规和本招标文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件的各项规定，且按照本项目招标公告及招标文件规定的方式获取招标文件的法人、其他组 织或者自然人。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2.6“投标人”：是指符合《中华人民共和国政府采购法》及相关法律法规和本招标文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件的各项规定，响应招标、参加投标竞争，从招标人处按规定获取招标文件，并按照招标文件要求向招标人提交投标文件的法人、其他组织或者自然人。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2.7“进口产品”：是指通过中国海关报关验放进入中国境内且产自关境外的产品，包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括已经进入中国境内的进口产品。详见《关于政府采购进口产品管理有关问题的通知》 (财库[2007]119号)、《关于政府采购进口产品管理有关问题的通知》（财办库［2008］248 号）。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2.7.1 招标文件列明不允许或未列明允许进口产品参加投标的，均视为拒绝进口产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品参加投标。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2.7.2 如招标文件中已说明，经财政部门审核同意，允许部分或全部产品采购进口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产品，投标人既可提供本国产品，也可以提供进口产品。 </w:t>
      </w:r>
    </w:p>
    <w:p>
      <w:pPr>
        <w:pStyle w:val="2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3.1 在中华人民共和国境内注册，具有本项目生产、制造、供应或实施能力，符合、承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认并承诺履行本招标文件各项规定的法人、其他组织或者自然人。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3.2 符合本项目“投标邀请”和“投标人须知前附表”中规定的合格投标人所必须具备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的条件。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3.3 政府采购活动中查询及使用投标人信用记录的具体要求为：投标人未被列入失信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（1）查询渠道：“信用中国”网站（www.creditchina.gov.cn）、“中国政府采购网”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（www.ccgp.gov.cn）、“国家企业信用公示系统”网站（www.gsxt.gov.cn）、“中国社会组织公共服务平台”网站（www.chinanpo.gov.cn）；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（2）截止时间：同投标截止时间；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（3）信用信息查询记录和证据留存具体方式：经采购人确认的查询结果网页截图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作为查询记录和证据，与其他采购文件一并保存；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（5）投标人不良信用记录以采购人查询结果为准，采购人查询之后，网站信息发生的任何变更不再作为评审依据，投标人自行提供的与网站信息不一致的其他证明材料亦不作为评审依据。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3.4 单位负责人为同一人或者存在直接控股、管理关系的不同供应商，不得参加同一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合同项下的政府采购活动；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3.5 除单一来源采购项目外，为采购项目提供整体设计、规范编制或者项目管理、监理、检测等服务的供应商，不得再参加该采购项目的其他采购活动。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3.6 “投标邀请”和“投标人须知前附表”规定接受联合体投标的，除应符合本章第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3.1项和3.2项要求外，还应遵守以下规定：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（1）在投标文件中向采购人提交联合体协议书，明确联合体各方承担的工作和义务；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 （2）联合体中有同类资质的供应商按联合体分工承担相同工作的，应当按照资质等级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较低的供应商确定资质等级；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（3）招标人根据采购项目的特殊要求规定投标人特定条件的，联合体各方中至少应当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有一方符合采购规定的特定条件。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（4）联合体各方不得再单独参加或者与其他供应商另外组成联合体参加同一合同项下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的政府采购活动。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（5）联合体各方应当共同与采购人签订采购合同，就采购合同约定的事项对采购人承 担连带责任。 </w:t>
      </w:r>
    </w:p>
    <w:p>
      <w:pPr>
        <w:widowControl/>
        <w:spacing w:line="360" w:lineRule="auto"/>
        <w:ind w:firstLine="420" w:firstLineChars="200"/>
        <w:jc w:val="left"/>
      </w:pPr>
      <w:r>
        <w:rPr>
          <w:rFonts w:hint="eastAsia" w:ascii="宋体" w:hAnsi="宋体" w:cs="宋体"/>
          <w:color w:val="000000"/>
          <w:kern w:val="0"/>
          <w:szCs w:val="21"/>
        </w:rPr>
        <w:t>3.7 法律、行政法规规定的其他条件</w:t>
      </w:r>
      <w:r>
        <w:rPr>
          <w:rFonts w:ascii="CIDFont" w:hAnsi="CIDFont" w:eastAsia="CIDFont" w:cs="CIDFont"/>
          <w:color w:val="000000"/>
          <w:kern w:val="0"/>
          <w:sz w:val="24"/>
        </w:rPr>
        <w:t>。</w:t>
      </w:r>
    </w:p>
    <w:p>
      <w:pPr>
        <w:pStyle w:val="2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4.1 投标人提供的货物应当符合招标文件的要求，并且其质量完全符合国家标准、行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业标准或地方标准，均有标准的以高（严格）者为准。没有国家标准、行业标准和企业标准的，按照通常标准或者符合采购目的的特定标准确定。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4.2 投标人所提供的服务应当没有侵犯任何第三方的知识产权、技术秘密等合法权利。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4.3 如投标人所投产品属于“中国强制性产品认证”（3C认证）范围内,则必须承诺采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用《中华人民共和国实施强制性产品认证的产品目录》并在有效期内的产品，应在投标文件中提供“所投产品符合国家强制性要求承诺函”并加盖投标人公章，否则将承担其投标被视为非实质性响应投标的风险。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4.4根据财政部、工业和信息化部、国家质检总局、国家认监委联合发布《关于信息安 </w:t>
      </w:r>
    </w:p>
    <w:p>
      <w:pPr>
        <w:widowControl/>
        <w:spacing w:line="360" w:lineRule="auto"/>
        <w:jc w:val="left"/>
      </w:pPr>
      <w:r>
        <w:rPr>
          <w:rFonts w:hint="eastAsia" w:ascii="宋体" w:hAnsi="宋体" w:cs="宋体"/>
          <w:color w:val="000000"/>
          <w:kern w:val="0"/>
          <w:szCs w:val="21"/>
        </w:rPr>
        <w:t>全产品实施政府采购的通知》（财库[2010]48号）要求，投标人所投产品如被列入《信息安全产品强制性认证目录》，投标人须承诺该产品已具备中国国家信息安全产品认证，不提供超出此目录范畴外的替代品。应在投标文件中提供“所投产品符合中国国家信息安全产品认证承诺函”并加盖投标人公章，否则将承担其投标被视为非实质性响应投标的风险。</w:t>
      </w:r>
    </w:p>
    <w:p>
      <w:pPr>
        <w:pStyle w:val="2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2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本采购项目需要公开的有关信息，包括招标公告、招标文件澄清或修改公告、中标公告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以及延长投标截止时间等与招标活动有关的通知，招标人均将通过在《河南省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 </w:t>
      </w:r>
    </w:p>
    <w:p>
      <w:pPr>
        <w:pStyle w:val="2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w:t>
      </w:r>
    </w:p>
    <w:p>
      <w:pPr>
        <w:widowControl/>
        <w:ind w:firstLine="840" w:firstLineChars="400"/>
        <w:jc w:val="left"/>
        <w:rPr>
          <w:rFonts w:ascii="宋体" w:hAnsi="宋体" w:cs="宋体"/>
          <w:szCs w:val="21"/>
        </w:rPr>
      </w:pPr>
      <w:r>
        <w:rPr>
          <w:rFonts w:hint="eastAsia" w:ascii="宋体" w:hAnsi="宋体" w:cs="宋体"/>
          <w:color w:val="000000"/>
          <w:kern w:val="0"/>
          <w:szCs w:val="21"/>
        </w:rPr>
        <w:t>招标文件费用和招标代理服务费，收取标准详见招标公告及招标文件前附表须知。</w:t>
      </w:r>
    </w:p>
    <w:p>
      <w:pPr>
        <w:pStyle w:val="2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2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9.1 招标文件由以下部分组成：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（1）投标邀请（招标公告）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（2）项目需求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（3）投标人须知前附表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（4）投标人须知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（5）政府采购政策功能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（6）资格审查与评标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（7）合同条款及格式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（8）投标文件有关格式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（9）本项目招标文件的</w:t>
      </w:r>
      <w:r>
        <w:rPr>
          <w:rFonts w:hint="eastAsia" w:ascii="宋体" w:hAnsi="宋体" w:cs="宋体"/>
          <w:kern w:val="0"/>
          <w:szCs w:val="21"/>
        </w:rPr>
        <w:t>附件澄清</w:t>
      </w:r>
      <w:r>
        <w:rPr>
          <w:rFonts w:hint="eastAsia" w:ascii="宋体" w:hAnsi="宋体" w:cs="宋体"/>
          <w:color w:val="000000"/>
          <w:kern w:val="0"/>
          <w:szCs w:val="21"/>
        </w:rPr>
        <w:t xml:space="preserve">、答复、修改、补充内容（如有的话）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9.2 投标人应认真阅读、并充分理解招标文件的全部内容（包括所有的补充、修改内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容、重要事项、格式、条款和技术规范、参数及要求等），按招标文件要求和规定编制投标文件，并保证所提供的全部资料的真实性，否则有可能导致投标被拒绝，其风险由投标人自行承担。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9.3 投标人应认真了解本次招标的具体工作要求、工作范围以及职责，了解一切可能 </w:t>
      </w:r>
    </w:p>
    <w:p>
      <w:pPr>
        <w:widowControl/>
        <w:spacing w:line="360" w:lineRule="auto"/>
        <w:jc w:val="left"/>
        <w:rPr>
          <w:rFonts w:cs="宋体" w:asciiTheme="minorEastAsia" w:hAnsiTheme="minorEastAsia"/>
          <w:kern w:val="0"/>
          <w:szCs w:val="21"/>
        </w:rPr>
      </w:pPr>
      <w:r>
        <w:rPr>
          <w:rFonts w:hint="eastAsia" w:ascii="宋体" w:hAnsi="宋体" w:cs="宋体"/>
          <w:color w:val="000000"/>
          <w:kern w:val="0"/>
          <w:szCs w:val="21"/>
        </w:rPr>
        <w:t>影响投标报价的资料。一经中标，不得以不完全了解项目要求、项目情况等为借口而提出额外补偿等要求，否则，由此引起的一切后果由中标人负责。</w:t>
      </w:r>
    </w:p>
    <w:p>
      <w:pPr>
        <w:pStyle w:val="2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 xml:space="preserve">10.1 招标人根据采购项目的具体情况，可以在招标文件公告期满后，组织已获取招标 </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 xml:space="preserve">文件的潜在投标人现场考察或者召开开标前答疑会。 </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 xml:space="preserve">10.1.1 招标人组织现场考察或者召开开标前答疑会的，所有投标人应按“投标人须知 </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 xml:space="preserve">前附表”规定的时间、地点前往参加现场考察或者开标前答疑会。投标人如不参加，其风险由投标人自行承担，招标人不承担任何责任。 </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 xml:space="preserve">10.2 招标人组织现场考察或者召开答疑会的，应当在招标文件中载明，或者在招标文 件公告期满后在财政部门指定的政府采购信息发布媒体和《全国公共资源交易平台（河南省·许昌市）》发布更正公告。 </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 xml:space="preserve">10.3 招标人在考察现场和开标前答疑会口头介绍的情况，除招标人事后形成书面记录、 并以澄清或修改公告的形式发布、构成招标文件的组成部分以外，其他内容仅供投标人在编制投标文件时参考，招标人不对投标人据此作出的判断和决策负责。 </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ascii="宋体" w:hAnsi="宋体" w:cs="宋体"/>
          <w:kern w:val="0"/>
          <w:szCs w:val="21"/>
        </w:rPr>
        <w:t>10.4 现场考察及参加开标前答疑会所发生的费用及一切责任由投标人自行承担。</w:t>
      </w:r>
    </w:p>
    <w:p>
      <w:pPr>
        <w:pStyle w:val="2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11.1在投标截止期前，无论出于何种原因，招标人可主动地或在解答潜在投标人提出的澄清问题时对招标文件进行修改。</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11.2招标人可以对已发出的招标文件进行必要的澄清或者修改。澄清或者修改的内容可能影响投标文件编制的，招标人将在投标截止时间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11.3澄清或修改公告的内容为招标文件的组成部分，并对投标人具有约束力。当招标文件与澄清或修改公告就同一内容的表述不一致时，以最后发出的文件内容为准。</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11.4如果澄清或者修改发出的时间距规定的投标截止时间不足15日，招标人将顺延提交投标文件的截止时间。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2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12.2投标计量单位，招标文件已有明确规定的，使用招标文件规定的计量单位；招标文件没有规定的，一律采用中华人民共和国法定计量单位。</w:t>
      </w:r>
    </w:p>
    <w:p>
      <w:pPr>
        <w:pStyle w:val="25"/>
        <w:autoSpaceDE w:val="0"/>
        <w:autoSpaceDN w:val="0"/>
        <w:spacing w:line="360" w:lineRule="auto"/>
        <w:ind w:left="964" w:firstLine="0" w:firstLineChars="0"/>
        <w:contextualSpacing/>
        <w:rPr>
          <w:rFonts w:cs="宋体" w:asciiTheme="minorEastAsia" w:hAnsiTheme="minorEastAsia"/>
          <w:kern w:val="0"/>
          <w:szCs w:val="21"/>
        </w:rPr>
      </w:pPr>
    </w:p>
    <w:p>
      <w:pPr>
        <w:pStyle w:val="2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13.1本次招标项目的投标均以人民币为计算单位。</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13.2采购人不得向投标人索要或者接受其给予的赠品、回扣或者与采购无关的其他商品、服务。</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13.3投标人应对项目要求的全部内容进行报价，少报漏报将导致其投标为非实质性响应予以拒绝。</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13.5本项目所涉及的运输、施工、安装、集成、调试、验收、备品和工具等费用均包含在投标报价中。</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13.6本次招标不接受可选择或可调整的投标方案和报价，任何有选择的或可调整的投标方案和报价将被视为非实质性响应投标而作无效投标处理。</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13.8最低报价不能作为中标的保证。</w:t>
      </w:r>
    </w:p>
    <w:p>
      <w:pPr>
        <w:pStyle w:val="2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14.2投标有效期内投标人撤销投标文件的，投标人将承担违背投标承诺函的责任追究。</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14.4中标人的投标文件作为项目合同的附件，其有效期至中标人全部合同义务履行完毕为止。</w:t>
      </w:r>
    </w:p>
    <w:p>
      <w:pPr>
        <w:pStyle w:val="2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15.1投标文件的构成应符合法律法规及招标文件的要求。</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15.2投标人应当按照招标文件的要求编制投标文件。投标文件应当对招标文件提出的要求和条件作出明确响应。</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15.3投标文件由资格证明材料、符合性证明材料、其它材料等组成。</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15.5投标人登录许昌公共资源交易系统下载“许昌投标文件制作系统SEARUN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2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16.1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16.2投标人应按招标文件提供的格式编写投标文件。招标文件未提供标准格式的投标人可自行拟定。</w:t>
      </w:r>
    </w:p>
    <w:p>
      <w:pPr>
        <w:pStyle w:val="2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17.1本项目不收取投标保证金。</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17.2投标人应提供投标承诺函。</w:t>
      </w:r>
    </w:p>
    <w:p>
      <w:pPr>
        <w:pStyle w:val="2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18.1投标人应提交投标文件份数见“投标人须知前附表”。</w:t>
      </w:r>
    </w:p>
    <w:p>
      <w:pPr>
        <w:pStyle w:val="25"/>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18.2在招标文件中已明示需盖章及签名之处，电子投标文件应按招标文件要求加盖投标人电子印章和法人电子印章或授权代表电子印章。</w:t>
      </w:r>
    </w:p>
    <w:p>
      <w:pPr>
        <w:numPr>
          <w:ilvl w:val="0"/>
          <w:numId w:val="8"/>
        </w:num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投标文件的提交</w:t>
      </w:r>
    </w:p>
    <w:p>
      <w:pPr>
        <w:widowControl/>
        <w:spacing w:line="360" w:lineRule="auto"/>
        <w:jc w:val="left"/>
        <w:rPr>
          <w:rFonts w:ascii="宋体" w:hAnsi="宋体" w:cs="宋体"/>
          <w:szCs w:val="21"/>
        </w:rPr>
      </w:pPr>
      <w:r>
        <w:rPr>
          <w:rFonts w:hint="eastAsia" w:ascii="宋体" w:hAnsi="宋体" w:cs="宋体"/>
          <w:b/>
          <w:bCs/>
          <w:color w:val="000000"/>
          <w:kern w:val="0"/>
          <w:szCs w:val="21"/>
        </w:rPr>
        <w:t xml:space="preserve">19. 投标文件的递交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电子投标文件：成功上传至《全国公共资源交易平台（河南省·许昌市）》公共资源交易系统加密电子投标文件1份（文件格式为： XXX公司XXX项目编号.file）。 </w:t>
      </w:r>
    </w:p>
    <w:p>
      <w:pPr>
        <w:widowControl/>
        <w:spacing w:line="360" w:lineRule="auto"/>
        <w:jc w:val="left"/>
        <w:rPr>
          <w:rFonts w:ascii="宋体" w:hAnsi="宋体" w:cs="宋体"/>
          <w:szCs w:val="21"/>
        </w:rPr>
      </w:pPr>
      <w:r>
        <w:rPr>
          <w:rFonts w:hint="eastAsia" w:ascii="宋体" w:hAnsi="宋体" w:cs="宋体"/>
          <w:b/>
          <w:bCs/>
          <w:color w:val="000000"/>
          <w:kern w:val="0"/>
          <w:szCs w:val="21"/>
        </w:rPr>
        <w:t xml:space="preserve">20．投标截止时间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20.1投标人必须在“投标邀请”和“投标人须知前附表”中规定的投标截止时间前，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将加密电子投标文件（.file格式）通过《全国公共资源交易平台(河南省▪许昌市)》公共资源交易系统成功上传。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20.2招标人可以按本须知第14条规定，通过修改招标文件自行决定酌情延长投标截止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期。在此情况下，招标人和投标人受投标截止期制约的所有权利和义务均应延长至新的截止日期和时间。投标人按招标人修改通知规定的时间提交投标文件。 </w:t>
      </w:r>
    </w:p>
    <w:p>
      <w:pPr>
        <w:widowControl/>
        <w:spacing w:line="360" w:lineRule="auto"/>
        <w:jc w:val="left"/>
        <w:rPr>
          <w:rFonts w:ascii="宋体" w:hAnsi="宋体" w:cs="宋体"/>
          <w:szCs w:val="21"/>
        </w:rPr>
      </w:pPr>
      <w:r>
        <w:rPr>
          <w:rFonts w:hint="eastAsia" w:ascii="宋体" w:hAnsi="宋体" w:cs="宋体"/>
          <w:b/>
          <w:bCs/>
          <w:color w:val="000000"/>
          <w:kern w:val="0"/>
          <w:szCs w:val="21"/>
        </w:rPr>
        <w:t xml:space="preserve">21. 迟交的投标文件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投标截止时间之后送达/上传的投标文件，招标人将拒绝接收。 </w:t>
      </w:r>
    </w:p>
    <w:p>
      <w:pPr>
        <w:widowControl/>
        <w:spacing w:line="360" w:lineRule="auto"/>
        <w:jc w:val="left"/>
        <w:rPr>
          <w:rFonts w:ascii="宋体" w:hAnsi="宋体" w:cs="宋体"/>
          <w:szCs w:val="21"/>
        </w:rPr>
      </w:pPr>
      <w:r>
        <w:rPr>
          <w:rFonts w:hint="eastAsia" w:ascii="宋体" w:hAnsi="宋体" w:cs="宋体"/>
          <w:b/>
          <w:bCs/>
          <w:color w:val="000000"/>
          <w:kern w:val="0"/>
          <w:szCs w:val="21"/>
        </w:rPr>
        <w:t xml:space="preserve">22. 投标文件的修改和撤回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22.1 投标人应当在投标截止时间前完成电子投标文件的提交，可以补充、修改或撤回。 投标截止时间前未完成电子投标文件提交，视为撤回投标文件。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22.2 投标人补充、修改的内容并作为投标文件的组成部分。补充或修改应当按招标文 件要求签署、盖章、密封、递交，并应注明“修改”或“补充”字样。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22.3 投标人在递交投标文件后，可以撤回其投标，但投标人必须在规定的投标截止时 间前以书面形式告知招标人。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22.4 21.4 投标人不得在投标有效期内撤销投标文件，否则投标人将承担违背投标承诺函的责任追究。。 </w:t>
      </w:r>
    </w:p>
    <w:p>
      <w:pPr>
        <w:widowControl/>
        <w:spacing w:line="360" w:lineRule="auto"/>
        <w:ind w:firstLine="422" w:firstLineChars="200"/>
        <w:jc w:val="left"/>
        <w:rPr>
          <w:rFonts w:ascii="宋体" w:hAnsi="宋体" w:cs="宋体"/>
          <w:szCs w:val="21"/>
        </w:rPr>
      </w:pPr>
      <w:r>
        <w:rPr>
          <w:rFonts w:hint="eastAsia" w:ascii="宋体" w:hAnsi="宋体" w:cs="宋体"/>
          <w:b/>
          <w:bCs/>
          <w:color w:val="000000"/>
          <w:kern w:val="0"/>
          <w:szCs w:val="21"/>
        </w:rPr>
        <w:t xml:space="preserve">23．除投标人须知前附表另有规定外，投标人所提交的电子投标文件不予退还。 </w:t>
      </w:r>
    </w:p>
    <w:p>
      <w:pPr>
        <w:widowControl/>
        <w:spacing w:line="360" w:lineRule="auto"/>
        <w:jc w:val="center"/>
        <w:rPr>
          <w:rFonts w:ascii="宋体" w:hAnsi="宋体" w:cs="宋体"/>
          <w:szCs w:val="21"/>
        </w:rPr>
      </w:pPr>
      <w:r>
        <w:rPr>
          <w:rFonts w:hint="eastAsia" w:ascii="宋体" w:hAnsi="宋体" w:cs="宋体"/>
          <w:b/>
          <w:bCs/>
          <w:color w:val="000000"/>
          <w:kern w:val="0"/>
          <w:szCs w:val="21"/>
        </w:rPr>
        <w:t>五、开标和评标</w:t>
      </w:r>
    </w:p>
    <w:p>
      <w:pPr>
        <w:widowControl/>
        <w:spacing w:line="360" w:lineRule="auto"/>
        <w:jc w:val="left"/>
        <w:rPr>
          <w:rFonts w:ascii="宋体" w:hAnsi="宋体" w:cs="宋体"/>
          <w:szCs w:val="21"/>
        </w:rPr>
      </w:pPr>
      <w:r>
        <w:rPr>
          <w:rFonts w:hint="eastAsia" w:ascii="宋体" w:hAnsi="宋体" w:cs="宋体"/>
          <w:b/>
          <w:bCs/>
          <w:color w:val="000000"/>
          <w:kern w:val="0"/>
          <w:szCs w:val="21"/>
        </w:rPr>
        <w:t>24.</w:t>
      </w:r>
      <w:r>
        <w:rPr>
          <w:rFonts w:hint="eastAsia" w:ascii="宋体" w:hAnsi="宋体" w:cs="宋体"/>
          <w:b/>
          <w:bCs/>
          <w:kern w:val="0"/>
          <w:szCs w:val="21"/>
        </w:rPr>
        <w:t xml:space="preserve"> 开标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24.1招标人将按招标文件规定的时间和地点组织远程不见面开标。开标由招标代理机构主持，投标人无须到现场。评标委员会成员不得参加开标活动。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24.2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24.2.1电子投标文件的解密。全流程电子化交易项目电子投标文件采用双重加密。解密需分标段进行两次解密。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24.2.1.1投标人解密：投标人使用本单位CA数字证书远程进行解密。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24.2.1.2 代理机构解密：代理机构按电子投标文件到达交易系统的先后顺序，使用本单位CA数字证书进行再次解密。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24.2.1.3因投标人原因电子投标文件解密失败的，其投标将被拒绝。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24.3.2 投标人不足3家的，不得开标。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24.3.3开标过程由采购代理机构负责记录，《开标记录表》经投标人进行电子签章、由参加开标相关工作人员签字确认后随采购文件一并存档。投标人未电子签章的，视同认可开标结果。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24.3.4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24.3.5项目远程不见面开标活动结束时，投标人应在《开标记录表》上进行电子签章。投标人未签章的，视同认可开标结果 </w:t>
      </w:r>
    </w:p>
    <w:p>
      <w:pPr>
        <w:widowControl/>
        <w:spacing w:line="360" w:lineRule="auto"/>
        <w:jc w:val="left"/>
        <w:rPr>
          <w:rFonts w:ascii="宋体" w:hAnsi="宋体" w:cs="宋体"/>
          <w:szCs w:val="21"/>
        </w:rPr>
      </w:pPr>
      <w:r>
        <w:rPr>
          <w:rFonts w:hint="eastAsia" w:ascii="宋体" w:hAnsi="宋体" w:cs="宋体"/>
          <w:b/>
          <w:bCs/>
          <w:kern w:val="0"/>
          <w:szCs w:val="21"/>
        </w:rPr>
        <w:t xml:space="preserve">25. 资格审查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开标结束后，采购人依法对投标人的资格进行审查。合格投标人不足3家的，不得评标。 </w:t>
      </w:r>
    </w:p>
    <w:p>
      <w:pPr>
        <w:widowControl/>
        <w:spacing w:line="360" w:lineRule="auto"/>
        <w:jc w:val="left"/>
        <w:rPr>
          <w:rFonts w:ascii="宋体" w:hAnsi="宋体" w:cs="宋体"/>
          <w:szCs w:val="21"/>
        </w:rPr>
      </w:pPr>
      <w:r>
        <w:rPr>
          <w:rFonts w:hint="eastAsia" w:ascii="宋体" w:hAnsi="宋体" w:cs="宋体"/>
          <w:b/>
          <w:bCs/>
          <w:kern w:val="0"/>
          <w:szCs w:val="21"/>
        </w:rPr>
        <w:t xml:space="preserve">26.评标委员会的组成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26．1 招标人将依法组建评标委员会，评标委员会由采购人代表1人和评审专家4人， </w:t>
      </w:r>
    </w:p>
    <w:p>
      <w:pPr>
        <w:widowControl/>
        <w:spacing w:line="360" w:lineRule="auto"/>
        <w:jc w:val="left"/>
        <w:rPr>
          <w:rFonts w:ascii="宋体" w:hAnsi="宋体" w:cs="宋体"/>
          <w:szCs w:val="21"/>
        </w:rPr>
      </w:pPr>
      <w:r>
        <w:rPr>
          <w:rFonts w:hint="eastAsia" w:ascii="宋体" w:hAnsi="宋体" w:cs="宋体"/>
          <w:kern w:val="0"/>
          <w:szCs w:val="21"/>
        </w:rPr>
        <w:t>共5人组成，其中评审专家的人数不少于评标委员会成员总数的三分之二。评审专家依法从政府采购评审专家库中随机抽取。</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26.1.1 采购项目符合下列情形之一的，评标委员会成员人数应当为7人以上单数：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（一）采购预算金额在1000万元以上；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（二）技术复杂；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（三）社会影响较大。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 26.2 评审专家对本单位的采购项目只能作为采购人代表参与评标。采购代理机构工作 </w:t>
      </w:r>
    </w:p>
    <w:p>
      <w:pPr>
        <w:widowControl/>
        <w:spacing w:line="360" w:lineRule="auto"/>
        <w:jc w:val="left"/>
        <w:rPr>
          <w:rFonts w:ascii="宋体" w:hAnsi="宋体" w:cs="宋体"/>
          <w:szCs w:val="21"/>
        </w:rPr>
      </w:pPr>
      <w:r>
        <w:rPr>
          <w:rFonts w:hint="eastAsia" w:ascii="宋体" w:hAnsi="宋体" w:cs="宋体"/>
          <w:kern w:val="0"/>
          <w:szCs w:val="21"/>
        </w:rPr>
        <w:t xml:space="preserve">人员不得参加由本机构代理的政府采购项目的评标。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26.3 评审专家与投标人存在下列利害关系之一的,应当回避: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(一)参加采购活动前三年内,与供应商存在劳动关系,或者担任过供应商的董事、监事, 或者是供应商的控股股东或实际控制人；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(二)与供应商的法定代表人或者负责人有夫妻、直系血亲、三代以内旁系血亲或者近姻亲关系；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(三)与供应商有其他可能影响政府采购活动公平、公正进行的关系。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26.4 评审专家发现本人与参加采购活动的供应商有利害关系的,应当主动提出回避。采购人或者代理机构发现评审专家与参加采购活动的供应商有利害关系的,应当要求其回避。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26.5 采购人不得担任评标小组长。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26.6 采购人可以在评标前说明项目背景和采购需求，说明内容不得含有歧视性、倾向 性意见，不得超出招标文件所述范围。说明应当提交书面材料，并随采购文件一并存档。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26.7 评标委员会成员名单在评标结果公告前应当保密。 </w:t>
      </w:r>
    </w:p>
    <w:p>
      <w:pPr>
        <w:widowControl/>
        <w:spacing w:line="360" w:lineRule="auto"/>
        <w:jc w:val="left"/>
        <w:rPr>
          <w:rFonts w:ascii="宋体" w:hAnsi="宋体" w:cs="宋体"/>
          <w:szCs w:val="21"/>
        </w:rPr>
      </w:pPr>
      <w:r>
        <w:rPr>
          <w:rFonts w:hint="eastAsia" w:ascii="宋体" w:hAnsi="宋体" w:cs="宋体"/>
          <w:b/>
          <w:bCs/>
          <w:kern w:val="0"/>
          <w:szCs w:val="21"/>
        </w:rPr>
        <w:t xml:space="preserve">27. 符合性审查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27.1 评标委员会依据有关法律法规和招标文件的规定，对符合资格的投标人的投标文 件进行符合性审查，以确定其是否满足招标文件的实质性要求。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27.2 审查、评价投标文件是否符合招标文件的商务、技术等实质性要求。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27.3 可要求投标人对投标文件有关事项作出澄清或者说明。 </w:t>
      </w:r>
    </w:p>
    <w:p>
      <w:pPr>
        <w:widowControl/>
        <w:spacing w:line="360" w:lineRule="auto"/>
        <w:jc w:val="left"/>
        <w:rPr>
          <w:rFonts w:ascii="宋体" w:hAnsi="宋体" w:cs="宋体"/>
          <w:szCs w:val="21"/>
        </w:rPr>
      </w:pPr>
      <w:r>
        <w:rPr>
          <w:rFonts w:hint="eastAsia" w:ascii="宋体" w:hAnsi="宋体" w:cs="宋体"/>
          <w:b/>
          <w:bCs/>
          <w:kern w:val="0"/>
          <w:szCs w:val="21"/>
        </w:rPr>
        <w:t xml:space="preserve">28. 投标文件的澄清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28.1 对于投标文件中含义不明确、同类问题表述不一致或者有明显文字和计算错误的 内容，评标委员会应当以书面形式要求投标人作出必要的澄清、说明或者补正。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28.2 投标人的澄清、说明或者补正应当采用书面形式，并加盖公章，或者由法定代表人或其授权的代表签字。投标人的澄清、说明或者补正不得超出投标文件的范围或者改变投标文件的实质性内容。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28.3 投标人的澄清文件是其投标文件的组成部分。 </w:t>
      </w:r>
    </w:p>
    <w:p>
      <w:pPr>
        <w:widowControl/>
        <w:spacing w:line="360" w:lineRule="auto"/>
        <w:jc w:val="left"/>
        <w:rPr>
          <w:rFonts w:ascii="宋体" w:hAnsi="宋体" w:cs="宋体"/>
          <w:szCs w:val="21"/>
        </w:rPr>
      </w:pPr>
      <w:r>
        <w:rPr>
          <w:rFonts w:hint="eastAsia" w:ascii="宋体" w:hAnsi="宋体" w:cs="宋体"/>
          <w:b/>
          <w:bCs/>
          <w:kern w:val="0"/>
          <w:szCs w:val="21"/>
        </w:rPr>
        <w:t xml:space="preserve">29. 投标文件报价出现前后不一致的修正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27 29.1 投标文件中开标一览表(报价表)内容与投标文件中相应内容不一致的，以开标一览表(报价表)为准；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29.2 大写金额和小写金额不一致的，以大写金额为准；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29.3 单价金额小数点或者百分比有明显错位的，以开标一览表的总价为准，并修改单价；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29.4 总价金额与按单价汇总金额不一致的，以单价金额计算结果为准。同时出现两种 </w:t>
      </w:r>
    </w:p>
    <w:p>
      <w:pPr>
        <w:widowControl/>
        <w:spacing w:line="360" w:lineRule="auto"/>
        <w:jc w:val="left"/>
        <w:rPr>
          <w:rFonts w:ascii="宋体" w:hAnsi="宋体" w:cs="宋体"/>
          <w:szCs w:val="21"/>
        </w:rPr>
      </w:pPr>
      <w:r>
        <w:rPr>
          <w:rFonts w:hint="eastAsia" w:ascii="宋体" w:hAnsi="宋体" w:cs="宋体"/>
          <w:kern w:val="0"/>
          <w:szCs w:val="21"/>
        </w:rPr>
        <w:t xml:space="preserve">以上不一致的，按照前款规定的顺序修正。修正后的报价按照“投标人须知”28.2规定经投标人确认后产生约束力，投标人不确认的，其投标无效。 </w:t>
      </w:r>
    </w:p>
    <w:p>
      <w:pPr>
        <w:widowControl/>
        <w:spacing w:line="360" w:lineRule="auto"/>
        <w:jc w:val="left"/>
        <w:rPr>
          <w:rFonts w:ascii="宋体" w:hAnsi="宋体" w:cs="宋体"/>
          <w:szCs w:val="21"/>
        </w:rPr>
      </w:pPr>
      <w:r>
        <w:rPr>
          <w:rFonts w:hint="eastAsia" w:ascii="宋体" w:hAnsi="宋体" w:cs="宋体"/>
          <w:b/>
          <w:bCs/>
          <w:kern w:val="0"/>
          <w:szCs w:val="21"/>
        </w:rPr>
        <w:t xml:space="preserve">30.投标无效情形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30.1 投标文件属下列情况之一的，按照无效投标处理：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30.1.1 29.1.1 未按照招标文件的规定提交投标承诺函的；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30.1.2 投标文件未按招标文件要求签署、盖章的；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30.1.3 不具备招标文件中规定的资格要求的；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30.1.4 报价超过招标文件中规定的预算金额或者最高限价的；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30.1.5 投标文件含有采购人不能接受的附加条件的。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30.2 有下列情形之一的，视为投标人串通投标，其投标无效：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30.2.1 不同投标人的投标文件由同一单位或者个人编制；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30.2.2 不同投标人委托同一单位或者个人办理投标事宜；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30.2.3 不同投标人的投标文件载明的项目管理成员或者联系人员为同一人；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30.2.4 不同投标人的投标文件异常一致或者投标报价呈规律性差异；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30.2.5 不同投标人的投标文件相互混装；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30.3 投标人有下列情形之一的，处以采购金额千分之五以上千分之十以下的罚款，列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入不良行为记录名单，在一至三年内禁止参加政府采购活动，有违法所得的，并处没收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违法所得，情节严重的，由工商行政管理机关吊销营业执照；构成犯罪的，依法追究刑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事责任：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（一）提供虚假材料谋取中标、成交的；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（二）采取不正当手段诋毁、排挤其他供应商的；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（三）与采购人、其他供应商或者采购代理机构恶意串通的；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（四）向采购人、采购代理机构行贿或者提供其他不正当利益的；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（五）在招标采购过程中与采购人进行协商谈判的；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（六）拒绝有关部门监督检查或者提供虚假情况的。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投标人有前款第（一）至（五）项情形之一的，中标、成交无效。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30.4 投标人应当遵循公平竞争的原则，不得恶意串通，不得妨碍其他投标人的竞争行 </w:t>
      </w:r>
    </w:p>
    <w:p>
      <w:pPr>
        <w:widowControl/>
        <w:spacing w:line="360" w:lineRule="auto"/>
        <w:jc w:val="left"/>
        <w:rPr>
          <w:rFonts w:ascii="宋体" w:hAnsi="宋体" w:cs="宋体"/>
          <w:szCs w:val="21"/>
        </w:rPr>
      </w:pPr>
      <w:r>
        <w:rPr>
          <w:rFonts w:hint="eastAsia" w:ascii="宋体" w:hAnsi="宋体" w:cs="宋体"/>
          <w:kern w:val="0"/>
          <w:szCs w:val="21"/>
        </w:rPr>
        <w:t xml:space="preserve">为，不得损害采购人或者其他投标人的合法权益。在评标过程中发现投标人有上述情形的，评标委员会应当认定其投标无效，并书面报告本级财政部门。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30.5 评标委员会认为投标人的报价明显低于其他通过符合性审查投标人的报价，有可 </w:t>
      </w:r>
    </w:p>
    <w:p>
      <w:pPr>
        <w:widowControl/>
        <w:spacing w:line="360" w:lineRule="auto"/>
        <w:jc w:val="left"/>
        <w:rPr>
          <w:rFonts w:ascii="宋体" w:hAnsi="宋体" w:cs="宋体"/>
          <w:szCs w:val="21"/>
        </w:rPr>
      </w:pPr>
      <w:r>
        <w:rPr>
          <w:rFonts w:hint="eastAsia" w:ascii="宋体" w:hAnsi="宋体" w:cs="宋体"/>
          <w:kern w:val="0"/>
          <w:szCs w:val="21"/>
        </w:rPr>
        <w:t xml:space="preserve">能影响产品质量或者不能诚信履约的，应当要求其在评标现场合理的时间内提供书面说明，必要时提交相关证明材料；投标人不能证明其报价合理性的，评标委员会应当将其作为无效投标处理。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30.6 按照《关于推进全流程电子化交易和在线监管工作有关问题的通知》（许公管办 </w:t>
      </w:r>
    </w:p>
    <w:p>
      <w:pPr>
        <w:widowControl/>
        <w:spacing w:line="360" w:lineRule="auto"/>
        <w:jc w:val="left"/>
        <w:rPr>
          <w:rFonts w:ascii="宋体" w:hAnsi="宋体" w:cs="宋体"/>
          <w:szCs w:val="21"/>
        </w:rPr>
      </w:pPr>
      <w:r>
        <w:rPr>
          <w:rFonts w:hint="eastAsia" w:ascii="宋体" w:hAnsi="宋体" w:cs="宋体"/>
          <w:kern w:val="0"/>
          <w:szCs w:val="21"/>
        </w:rPr>
        <w:t xml:space="preserve">[2019]3号）规定，不同投标人电子投标文件制作硬件特征码（网卡MAC地址、CPU序号、 </w:t>
      </w:r>
    </w:p>
    <w:p>
      <w:pPr>
        <w:widowControl/>
        <w:spacing w:line="360" w:lineRule="auto"/>
        <w:jc w:val="left"/>
        <w:rPr>
          <w:rFonts w:ascii="宋体" w:hAnsi="宋体" w:cs="宋体"/>
          <w:szCs w:val="21"/>
        </w:rPr>
      </w:pPr>
      <w:r>
        <w:rPr>
          <w:rFonts w:hint="eastAsia" w:ascii="宋体" w:hAnsi="宋体" w:cs="宋体"/>
          <w:kern w:val="0"/>
          <w:szCs w:val="21"/>
        </w:rPr>
        <w:t xml:space="preserve">硬盘序列号）均一致时，视为‘不同投标人的投标文件由同一单位或者个人编制’或‘不同投标人委托同一单位或者个人办理响应事宜’，其投标无效。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30.7 法律、法规和招标文件规定的其他无效情形。 </w:t>
      </w:r>
    </w:p>
    <w:p>
      <w:pPr>
        <w:widowControl/>
        <w:spacing w:line="360" w:lineRule="auto"/>
        <w:jc w:val="left"/>
        <w:rPr>
          <w:rFonts w:ascii="宋体" w:hAnsi="宋体" w:cs="宋体"/>
          <w:szCs w:val="21"/>
        </w:rPr>
      </w:pPr>
      <w:r>
        <w:rPr>
          <w:rFonts w:hint="eastAsia" w:ascii="宋体" w:hAnsi="宋体" w:cs="宋体"/>
          <w:b/>
          <w:bCs/>
          <w:kern w:val="0"/>
          <w:szCs w:val="21"/>
        </w:rPr>
        <w:t xml:space="preserve">31. 相同品牌投标人的认定（服务类项目不适用本条款规定）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31.1 采用最低评标价法的采购项目，提供相同品牌产品的不同投标人参加同一合同项 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31.2 使用综合评分法的采购项目，提供相同品牌产品且通过资格审查、符合性审查的 </w:t>
      </w:r>
    </w:p>
    <w:p>
      <w:pPr>
        <w:widowControl/>
        <w:spacing w:line="360" w:lineRule="auto"/>
        <w:jc w:val="left"/>
        <w:rPr>
          <w:rFonts w:ascii="宋体" w:hAnsi="宋体" w:cs="宋体"/>
          <w:szCs w:val="21"/>
        </w:rPr>
      </w:pPr>
      <w:r>
        <w:rPr>
          <w:rFonts w:hint="eastAsia" w:ascii="宋体" w:hAnsi="宋体" w:cs="宋体"/>
          <w:kern w:val="0"/>
          <w:szCs w:val="21"/>
        </w:rPr>
        <w:t xml:space="preserve">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pPr>
        <w:widowControl/>
        <w:spacing w:line="360" w:lineRule="auto"/>
        <w:jc w:val="left"/>
        <w:rPr>
          <w:rFonts w:ascii="宋体" w:hAnsi="宋体" w:cs="宋体"/>
          <w:szCs w:val="21"/>
        </w:rPr>
      </w:pPr>
      <w:r>
        <w:rPr>
          <w:rFonts w:hint="eastAsia" w:ascii="宋体" w:hAnsi="宋体" w:cs="宋体"/>
          <w:b/>
          <w:bCs/>
          <w:kern w:val="0"/>
          <w:szCs w:val="21"/>
        </w:rPr>
        <w:t xml:space="preserve">32. 投标文件的比较与评价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评标委员会按照招标文件中规定的评标方法和标准，对符合性审查合格的投标文件进行商务和技术评估，综合比较与评价。 </w:t>
      </w:r>
    </w:p>
    <w:p>
      <w:pPr>
        <w:widowControl/>
        <w:spacing w:line="360" w:lineRule="auto"/>
        <w:jc w:val="left"/>
        <w:rPr>
          <w:rFonts w:ascii="宋体" w:hAnsi="宋体" w:cs="宋体"/>
          <w:szCs w:val="21"/>
        </w:rPr>
      </w:pPr>
      <w:r>
        <w:rPr>
          <w:rFonts w:hint="eastAsia" w:ascii="宋体" w:hAnsi="宋体" w:cs="宋体"/>
          <w:b/>
          <w:bCs/>
          <w:kern w:val="0"/>
          <w:szCs w:val="21"/>
        </w:rPr>
        <w:t xml:space="preserve">33.评标方法、评标标准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29 33.1 评标方法分为最低评标价法和综合评分法。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33.1.1 最低评标价法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33.1.1.1 最低评标价法，是指投标文件满足招标文件全部实质性要求，且投标报价最 </w:t>
      </w:r>
    </w:p>
    <w:p>
      <w:pPr>
        <w:widowControl/>
        <w:spacing w:line="360" w:lineRule="auto"/>
        <w:jc w:val="left"/>
        <w:rPr>
          <w:rFonts w:ascii="宋体" w:hAnsi="宋体" w:cs="宋体"/>
          <w:szCs w:val="21"/>
        </w:rPr>
      </w:pPr>
      <w:r>
        <w:rPr>
          <w:rFonts w:hint="eastAsia" w:ascii="宋体" w:hAnsi="宋体" w:cs="宋体"/>
          <w:kern w:val="0"/>
          <w:szCs w:val="21"/>
        </w:rPr>
        <w:t xml:space="preserve">低的投标人为中标候选人的评标方法。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33.1.1.2 采用最低评标价法评标时，除了算术修正和落实政府采购政策需进行的价格 </w:t>
      </w:r>
    </w:p>
    <w:p>
      <w:pPr>
        <w:widowControl/>
        <w:spacing w:line="360" w:lineRule="auto"/>
        <w:jc w:val="left"/>
        <w:rPr>
          <w:rFonts w:ascii="宋体" w:hAnsi="宋体" w:cs="宋体"/>
          <w:szCs w:val="21"/>
        </w:rPr>
      </w:pPr>
      <w:r>
        <w:rPr>
          <w:rFonts w:hint="eastAsia" w:ascii="宋体" w:hAnsi="宋体" w:cs="宋体"/>
          <w:kern w:val="0"/>
          <w:szCs w:val="21"/>
        </w:rPr>
        <w:t xml:space="preserve">扣除外，不能对投标人的投标价格进行任何调整。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33.1.2 综合评分法，是指投标文件满足招标文件全部实质性要求，且按照评审因素的 </w:t>
      </w:r>
    </w:p>
    <w:p>
      <w:pPr>
        <w:widowControl/>
        <w:spacing w:line="360" w:lineRule="auto"/>
        <w:jc w:val="left"/>
        <w:rPr>
          <w:rFonts w:ascii="宋体" w:hAnsi="宋体" w:cs="宋体"/>
          <w:szCs w:val="21"/>
        </w:rPr>
      </w:pPr>
      <w:r>
        <w:rPr>
          <w:rFonts w:hint="eastAsia" w:ascii="宋体" w:hAnsi="宋体" w:cs="宋体"/>
          <w:kern w:val="0"/>
          <w:szCs w:val="21"/>
        </w:rPr>
        <w:t xml:space="preserve">量化指标评审得分最高的投标人为中标候选人的评标方法。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33.2 价格分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33.2.1 价格分采用低价优先法计算，即满足招标文件要求且投标价格最低的投标报价 </w:t>
      </w:r>
    </w:p>
    <w:p>
      <w:pPr>
        <w:widowControl/>
        <w:spacing w:line="360" w:lineRule="auto"/>
        <w:jc w:val="left"/>
        <w:rPr>
          <w:rFonts w:ascii="宋体" w:hAnsi="宋体" w:cs="宋体"/>
          <w:szCs w:val="21"/>
        </w:rPr>
      </w:pPr>
      <w:r>
        <w:rPr>
          <w:rFonts w:hint="eastAsia" w:ascii="宋体" w:hAnsi="宋体" w:cs="宋体"/>
          <w:kern w:val="0"/>
          <w:szCs w:val="21"/>
        </w:rPr>
        <w:t xml:space="preserve">为评标基准价，其价格分为满分。其他投标人的价格分统一按照下列公式计算：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投标报价得分=(评标基准价/投标报价)×100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评标总得分=F1×A1+F2×A2+……+Fn×An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F1、F2……Fn分别为各项评审因素的得分;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A1、A2、……An 分别为各项评审因素所占的权重(A1+A2+……+An=1)。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33.2.2 评标过程中，不得去掉报价中的最高报价和最低报价。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33.2.3 因落实政府采购政策进行价格调整的，以调整后的价格计算评标基准价和投标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报价。 </w:t>
      </w:r>
    </w:p>
    <w:p>
      <w:pPr>
        <w:widowControl/>
        <w:spacing w:line="360" w:lineRule="auto"/>
        <w:ind w:firstLine="422" w:firstLineChars="200"/>
        <w:jc w:val="left"/>
        <w:rPr>
          <w:rFonts w:ascii="宋体" w:hAnsi="宋体" w:cs="宋体"/>
          <w:szCs w:val="21"/>
        </w:rPr>
      </w:pPr>
      <w:r>
        <w:rPr>
          <w:rFonts w:hint="eastAsia" w:ascii="宋体" w:hAnsi="宋体" w:cs="宋体"/>
          <w:b/>
          <w:bCs/>
          <w:kern w:val="0"/>
          <w:szCs w:val="21"/>
        </w:rPr>
        <w:t xml:space="preserve">33.3 本次评标具体评标方法、评标标准见（第六章 资格审查与评标）。 </w:t>
      </w:r>
    </w:p>
    <w:p>
      <w:pPr>
        <w:widowControl/>
        <w:spacing w:line="360" w:lineRule="auto"/>
        <w:jc w:val="left"/>
        <w:rPr>
          <w:rFonts w:ascii="宋体" w:hAnsi="宋体" w:cs="宋体"/>
          <w:szCs w:val="21"/>
        </w:rPr>
      </w:pPr>
      <w:r>
        <w:rPr>
          <w:rFonts w:hint="eastAsia" w:ascii="宋体" w:hAnsi="宋体" w:cs="宋体"/>
          <w:b/>
          <w:bCs/>
          <w:kern w:val="0"/>
          <w:szCs w:val="21"/>
        </w:rPr>
        <w:t xml:space="preserve">34. 推荐中标候选人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34.1 采用最低评标价法的，评标结果按投标报价由低到高顺序排列。投标报价相同的 </w:t>
      </w:r>
    </w:p>
    <w:p>
      <w:pPr>
        <w:widowControl/>
        <w:spacing w:line="360" w:lineRule="auto"/>
        <w:jc w:val="left"/>
        <w:rPr>
          <w:rFonts w:ascii="宋体" w:hAnsi="宋体" w:cs="宋体"/>
          <w:szCs w:val="21"/>
        </w:rPr>
      </w:pPr>
      <w:r>
        <w:rPr>
          <w:rFonts w:hint="eastAsia" w:ascii="宋体" w:hAnsi="宋体" w:cs="宋体"/>
          <w:kern w:val="0"/>
          <w:szCs w:val="21"/>
        </w:rPr>
        <w:t xml:space="preserve">并列。投标文件满足招标文件全部实质性要求且投标报价最低的投标人为排名第一的中标候选人。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 </w:t>
      </w:r>
    </w:p>
    <w:p>
      <w:pPr>
        <w:widowControl/>
        <w:spacing w:line="360" w:lineRule="auto"/>
        <w:jc w:val="left"/>
        <w:rPr>
          <w:rFonts w:ascii="宋体" w:hAnsi="宋体" w:cs="宋体"/>
          <w:szCs w:val="21"/>
        </w:rPr>
      </w:pPr>
      <w:r>
        <w:rPr>
          <w:rFonts w:hint="eastAsia" w:ascii="宋体" w:hAnsi="宋体" w:cs="宋体"/>
          <w:b/>
          <w:bCs/>
          <w:kern w:val="0"/>
          <w:szCs w:val="21"/>
        </w:rPr>
        <w:t xml:space="preserve">35.评审意见无效情形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评标委员会及其成员有下列行为之一的，其评审意见无效：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30 35.1 确定参与评标至评标结束前私自接触投标人；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35.2 接受投标人提出的与投标文件不一致的澄清或者说明，《投标人须知》26条规定 </w:t>
      </w:r>
    </w:p>
    <w:p>
      <w:pPr>
        <w:widowControl/>
        <w:spacing w:line="360" w:lineRule="auto"/>
        <w:jc w:val="left"/>
        <w:rPr>
          <w:rFonts w:ascii="宋体" w:hAnsi="宋体" w:cs="宋体"/>
          <w:szCs w:val="21"/>
        </w:rPr>
      </w:pPr>
      <w:r>
        <w:rPr>
          <w:rFonts w:hint="eastAsia" w:ascii="宋体" w:hAnsi="宋体" w:cs="宋体"/>
          <w:kern w:val="0"/>
          <w:szCs w:val="21"/>
        </w:rPr>
        <w:t xml:space="preserve">的情形除外；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35.3 违反评标纪律发表倾向性意见或者征询采购人的倾向性意见；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35.4 对需要专业判断的主观评审因素协商评分；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35.5 在评标过程中擅离职守，影响评标程序正常进行的；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35.6 记录、复制或者带走任何评标资料；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35.7 其他不遵守评标纪律的行为。 </w:t>
      </w:r>
    </w:p>
    <w:p>
      <w:pPr>
        <w:widowControl/>
        <w:spacing w:line="360" w:lineRule="auto"/>
        <w:jc w:val="left"/>
        <w:rPr>
          <w:rFonts w:ascii="宋体" w:hAnsi="宋体" w:cs="宋体"/>
          <w:szCs w:val="21"/>
        </w:rPr>
      </w:pPr>
      <w:r>
        <w:rPr>
          <w:rFonts w:hint="eastAsia" w:ascii="宋体" w:hAnsi="宋体" w:cs="宋体"/>
          <w:b/>
          <w:bCs/>
          <w:kern w:val="0"/>
          <w:szCs w:val="21"/>
        </w:rPr>
        <w:t xml:space="preserve">36. 保密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36.1 评审专家应当遵守评审工作纪律，不得泄露评审文件、评审情况和评审中获悉的 </w:t>
      </w:r>
    </w:p>
    <w:p>
      <w:pPr>
        <w:widowControl/>
        <w:spacing w:line="360" w:lineRule="auto"/>
        <w:jc w:val="left"/>
        <w:rPr>
          <w:rFonts w:ascii="宋体" w:hAnsi="宋体" w:cs="宋体"/>
          <w:szCs w:val="21"/>
        </w:rPr>
      </w:pPr>
      <w:r>
        <w:rPr>
          <w:rFonts w:hint="eastAsia" w:ascii="宋体" w:hAnsi="宋体" w:cs="宋体"/>
          <w:kern w:val="0"/>
          <w:szCs w:val="21"/>
        </w:rPr>
        <w:t xml:space="preserve">商业秘密。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36.2 采购人、采购代理机构应当采取必要措施，保证评标在严格保密的情况下进行。 </w:t>
      </w:r>
    </w:p>
    <w:p>
      <w:pPr>
        <w:widowControl/>
        <w:spacing w:line="360" w:lineRule="auto"/>
        <w:jc w:val="left"/>
        <w:rPr>
          <w:rFonts w:ascii="宋体" w:hAnsi="宋体" w:cs="宋体"/>
          <w:szCs w:val="21"/>
        </w:rPr>
      </w:pPr>
      <w:r>
        <w:rPr>
          <w:rFonts w:hint="eastAsia" w:ascii="宋体" w:hAnsi="宋体" w:cs="宋体"/>
          <w:kern w:val="0"/>
          <w:szCs w:val="21"/>
        </w:rPr>
        <w:t xml:space="preserve">有关人员对评标情况以及在评标过程中获悉的国家秘密、商业秘密负有保密责任。 </w:t>
      </w:r>
    </w:p>
    <w:p>
      <w:pPr>
        <w:widowControl/>
        <w:spacing w:line="360" w:lineRule="auto"/>
        <w:jc w:val="center"/>
        <w:rPr>
          <w:rFonts w:ascii="宋体" w:hAnsi="宋体" w:cs="宋体"/>
          <w:szCs w:val="21"/>
        </w:rPr>
      </w:pPr>
      <w:r>
        <w:rPr>
          <w:rFonts w:hint="eastAsia" w:ascii="宋体" w:hAnsi="宋体" w:cs="宋体"/>
          <w:b/>
          <w:bCs/>
          <w:kern w:val="0"/>
          <w:szCs w:val="21"/>
        </w:rPr>
        <w:t>六、定标和授予合同</w:t>
      </w:r>
    </w:p>
    <w:p>
      <w:pPr>
        <w:widowControl/>
        <w:spacing w:line="360" w:lineRule="auto"/>
        <w:jc w:val="left"/>
        <w:rPr>
          <w:rFonts w:ascii="宋体" w:hAnsi="宋体" w:cs="宋体"/>
          <w:szCs w:val="21"/>
        </w:rPr>
      </w:pPr>
      <w:r>
        <w:rPr>
          <w:rFonts w:hint="eastAsia" w:ascii="宋体" w:hAnsi="宋体" w:cs="宋体"/>
          <w:b/>
          <w:bCs/>
          <w:kern w:val="0"/>
          <w:szCs w:val="21"/>
        </w:rPr>
        <w:t xml:space="preserve">37. 确定中标人 </w:t>
      </w: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 xml:space="preserve">37.1 采购人应当自收到评标报告之日起5个工作日内，在评标报告确定的中标候选人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名单中按顺序确定中标人。中标候选人并列的，由采购人采取随机抽取的方式确定。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37.2 采购人在收到评标报告5个工作日内未按评标报告推荐的中标候选人顺序确定中 标人，又不能说明合法理由的，视同按评标报告推荐的顺序确定排名第一的中标候选人为中标人。 </w:t>
      </w:r>
    </w:p>
    <w:p>
      <w:pPr>
        <w:widowControl/>
        <w:spacing w:line="360" w:lineRule="auto"/>
        <w:jc w:val="left"/>
        <w:rPr>
          <w:rFonts w:ascii="宋体" w:hAnsi="宋体" w:cs="宋体"/>
          <w:szCs w:val="21"/>
        </w:rPr>
      </w:pPr>
      <w:r>
        <w:rPr>
          <w:rFonts w:hint="eastAsia" w:ascii="宋体" w:hAnsi="宋体" w:cs="宋体"/>
          <w:b/>
          <w:bCs/>
          <w:color w:val="000000"/>
          <w:kern w:val="0"/>
          <w:szCs w:val="21"/>
        </w:rPr>
        <w:t xml:space="preserve">38. 中标公告、发出中标通知书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38.1 采购人确认中标人后，招标人在公告中标结果的同时，向中标人发出中标通知书。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38.2 中标通知书发出后，采购人不得违法改变中标结果，中标人无正当理由不得放弃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中标。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38.3 中标人在接到中标通知时，须向代理机构发送投标报价及分项报价一览表（包含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主要中标标的的名称、规格型号、数量、单价、服务要求等）电子文档，并同时通知代理机构联系人。 </w:t>
      </w:r>
    </w:p>
    <w:p>
      <w:pPr>
        <w:widowControl/>
        <w:spacing w:line="360" w:lineRule="auto"/>
        <w:jc w:val="left"/>
        <w:rPr>
          <w:rFonts w:ascii="宋体" w:hAnsi="宋体" w:cs="宋体"/>
          <w:szCs w:val="21"/>
        </w:rPr>
      </w:pPr>
      <w:r>
        <w:rPr>
          <w:rFonts w:hint="eastAsia" w:ascii="宋体" w:hAnsi="宋体" w:cs="宋体"/>
          <w:b/>
          <w:bCs/>
          <w:color w:val="000000"/>
          <w:kern w:val="0"/>
          <w:szCs w:val="21"/>
        </w:rPr>
        <w:t xml:space="preserve">39.质疑提出与答复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39.1 供应商认为采购文件、采购过程和中标结果使自己的权益受到损害的，可以按照 财政部94号令提出质疑。提出质疑的供应商应当是参与本项目采购活动的供应商。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39.1.1 对采购文件提出质疑的，潜在投标人应已依法获取采购文件，且应当在获取采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招标代理机构和采购人联系人查看。如未提出视为全面接受；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39.1.2 对采购过程提出质疑的，为各采购程序环节结束之日起七个工作日内，以书面 形式向采购人和采购代理机构一次性提出；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39.1.3 对中标结果提出质疑的，为中标结果公告期限届满之日起七个工作日内，以书 面形式向采购人和采购代理机构一次性提出。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39.2 采购人、采购代理机构认为供应商质疑不成立，或者成立但未对中标结果构成影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响的，继续开展采购活动；认为供应商质疑成立且影响或者可能影响中标结果的，按照下列情况处理：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39.2.1 对采购文件提出的质疑，依法通过澄清或者修改可以继续开展采购活动的，澄 清或者修改采购文件后继续开展采购活动；否则应当修改采购文件后重新开展采购活动。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39.2.2 对采购过程、中标结果提出的质疑，合格供应商符合法定数量时，可以从合格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的中标候选人中另行确定中标供应商的，应当依法另行确定中标供应商；否则应当重新开展采购活动。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39.3 答复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39.3.1 对采购文件提出质疑的，质疑供应商和其他有关供应商在法定时限内到《全国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公共资源交易平台（河南省·许昌市）》自行下载并打印书面质疑回复函，或者联系采购单位领取书面质疑回复函。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39.3.2 对采购过程提出质疑的，质疑供应商和其他有关供应商在法定时限内联系采购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单位领取书面质疑回复函。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39.3.3 对中标结果提出质疑的，质疑供应商和其他有关供应商在法定时限内联系采购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单位领取书面质疑回复函。 </w:t>
      </w:r>
    </w:p>
    <w:p>
      <w:pPr>
        <w:widowControl/>
        <w:spacing w:line="360" w:lineRule="auto"/>
        <w:jc w:val="left"/>
        <w:rPr>
          <w:rFonts w:ascii="宋体" w:hAnsi="宋体" w:cs="宋体"/>
          <w:szCs w:val="21"/>
        </w:rPr>
      </w:pPr>
      <w:r>
        <w:rPr>
          <w:rFonts w:hint="eastAsia" w:ascii="宋体" w:hAnsi="宋体" w:cs="宋体"/>
          <w:b/>
          <w:bCs/>
          <w:color w:val="000000"/>
          <w:kern w:val="0"/>
          <w:szCs w:val="21"/>
        </w:rPr>
        <w:t xml:space="preserve">40.签订合同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采购人应当自中标通知书发出之日起30日内，按照招标文件和中标人投标文件的规定，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与中标人签订书面合同。所签订的合同不得对招标文件确定的事项和中标人投标文件作实质性修改。 </w:t>
      </w:r>
    </w:p>
    <w:p>
      <w:pPr>
        <w:widowControl/>
        <w:spacing w:line="360" w:lineRule="auto"/>
        <w:jc w:val="left"/>
        <w:rPr>
          <w:rFonts w:ascii="宋体" w:hAnsi="宋体" w:cs="宋体"/>
          <w:szCs w:val="21"/>
        </w:rPr>
      </w:pPr>
      <w:r>
        <w:rPr>
          <w:rFonts w:hint="eastAsia" w:ascii="宋体" w:hAnsi="宋体" w:cs="宋体"/>
          <w:b/>
          <w:bCs/>
          <w:color w:val="000000"/>
          <w:kern w:val="0"/>
          <w:szCs w:val="21"/>
        </w:rPr>
        <w:t xml:space="preserve">41.履约保证金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“投标人须知前附表”中规定</w:t>
      </w:r>
      <w:r>
        <w:rPr>
          <w:rFonts w:hint="eastAsia" w:ascii="宋体" w:hAnsi="宋体" w:cs="宋体"/>
          <w:color w:val="333333"/>
          <w:kern w:val="0"/>
          <w:szCs w:val="21"/>
        </w:rPr>
        <w:t xml:space="preserve">中标人提交履约保证金的，中标人应当以支票、汇票、本 票或者金融机构、担保机构出具的保函等非现金形式向采购人提交。履约保证金的数额不得超过政府采购合同金额的10%。 </w:t>
      </w:r>
    </w:p>
    <w:p>
      <w:pPr>
        <w:widowControl/>
        <w:spacing w:line="360" w:lineRule="auto"/>
        <w:jc w:val="left"/>
        <w:rPr>
          <w:rFonts w:ascii="宋体" w:hAnsi="宋体" w:cs="宋体"/>
          <w:szCs w:val="21"/>
        </w:rPr>
      </w:pPr>
      <w:r>
        <w:rPr>
          <w:rFonts w:hint="eastAsia" w:ascii="宋体" w:hAnsi="宋体" w:cs="宋体"/>
          <w:b/>
          <w:bCs/>
          <w:kern w:val="0"/>
          <w:szCs w:val="21"/>
        </w:rPr>
        <w:t xml:space="preserve">42. 其他 </w:t>
      </w:r>
    </w:p>
    <w:p>
      <w:pPr>
        <w:widowControl/>
        <w:spacing w:line="360" w:lineRule="auto"/>
        <w:ind w:firstLine="420" w:firstLineChars="200"/>
        <w:jc w:val="left"/>
      </w:pPr>
      <w:r>
        <w:rPr>
          <w:rFonts w:hint="eastAsia" w:ascii="宋体" w:hAnsi="宋体" w:cs="宋体"/>
          <w:kern w:val="0"/>
          <w:szCs w:val="21"/>
        </w:rPr>
        <w:t>本次招标文件未尽事项，以法律法规规定的为准。</w:t>
      </w:r>
    </w:p>
    <w:p>
      <w:pPr>
        <w:pStyle w:val="6"/>
        <w:numPr>
          <w:ilvl w:val="3"/>
          <w:numId w:val="0"/>
        </w:numPr>
      </w:pPr>
    </w:p>
    <w:p>
      <w:pPr>
        <w:autoSpaceDE w:val="0"/>
        <w:autoSpaceDN w:val="0"/>
        <w:spacing w:line="360" w:lineRule="auto"/>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23"/>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0"/>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0"/>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0"/>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2</w:t>
      </w:r>
      <w:r>
        <w:rPr>
          <w:rFonts w:ascii="ˎ̥" w:hAnsi="ˎ̥"/>
        </w:rPr>
        <w:t>—</w:t>
      </w:r>
      <w:r>
        <w:rPr>
          <w:rFonts w:hint="eastAsia" w:ascii="ˎ̥" w:hAnsi="ˎ̥"/>
        </w:rPr>
        <w:t>3</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40" w:name="OLE_LINK6"/>
      <w:r>
        <w:rPr>
          <w:rFonts w:hint="eastAsia" w:cs="仿宋_GB2312" w:asciiTheme="minorEastAsia" w:hAnsiTheme="minorEastAsia"/>
          <w:szCs w:val="21"/>
          <w:lang w:val="zh-CN"/>
        </w:rPr>
        <w:t>财库[2014]68号</w:t>
      </w:r>
      <w:bookmarkEnd w:id="4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0"/>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0"/>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0"/>
        <w:spacing w:line="360" w:lineRule="auto"/>
        <w:ind w:firstLine="420" w:firstLineChars="200"/>
        <w:contextualSpacing/>
        <w:rPr>
          <w:rFonts w:cs="仿宋_GB2312" w:asciiTheme="minorEastAsia" w:hAnsiTheme="minorEastAsia" w:eastAsiaTheme="minorEastAsia"/>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0"/>
        <w:numPr>
          <w:ilvl w:val="0"/>
          <w:numId w:val="9"/>
        </w:numPr>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资格审查</w:t>
      </w:r>
    </w:p>
    <w:p>
      <w:pPr>
        <w:widowControl/>
        <w:jc w:val="left"/>
      </w:pPr>
      <w:r>
        <w:rPr>
          <w:rFonts w:ascii="CIDFont" w:hAnsi="CIDFont" w:eastAsia="CIDFont" w:cs="CIDFont"/>
          <w:kern w:val="0"/>
          <w:sz w:val="24"/>
        </w:rPr>
        <w:t xml:space="preserve">（一）开标结束后，采购人依法对投标人资格进行审查。 </w:t>
      </w:r>
    </w:p>
    <w:p>
      <w:pPr>
        <w:widowControl/>
        <w:jc w:val="left"/>
      </w:pPr>
      <w:r>
        <w:rPr>
          <w:rFonts w:ascii="CIDFont" w:hAnsi="CIDFont" w:eastAsia="CIDFont" w:cs="CIDFont"/>
          <w:kern w:val="0"/>
          <w:sz w:val="24"/>
        </w:rPr>
        <w:t xml:space="preserve">（二）资格证明材料（本栏所列内容为本项目的资格审查条件，如有一项不符 </w:t>
      </w:r>
    </w:p>
    <w:p>
      <w:pPr>
        <w:widowControl/>
        <w:jc w:val="left"/>
      </w:pPr>
      <w:r>
        <w:rPr>
          <w:rFonts w:ascii="CIDFont" w:hAnsi="CIDFont" w:eastAsia="CIDFont" w:cs="CIDFont"/>
          <w:kern w:val="0"/>
          <w:sz w:val="24"/>
        </w:rPr>
        <w:t xml:space="preserve">合要求，则不能进入下一步评审）。 </w:t>
      </w:r>
    </w:p>
    <w:p>
      <w:pPr>
        <w:widowControl/>
        <w:jc w:val="left"/>
      </w:pPr>
      <w:r>
        <w:rPr>
          <w:rFonts w:ascii="CIDFont" w:hAnsi="CIDFont" w:eastAsia="CIDFont" w:cs="CIDFont"/>
          <w:kern w:val="0"/>
          <w:sz w:val="24"/>
        </w:rPr>
        <w:t xml:space="preserve">（三）资格审查中所涉及到的证书及材料，均须在电子投标文件中提供原件扫 </w:t>
      </w:r>
    </w:p>
    <w:p>
      <w:pPr>
        <w:widowControl/>
        <w:jc w:val="left"/>
        <w:rPr>
          <w:rFonts w:cs="仿宋_GB2312" w:asciiTheme="minorEastAsia" w:hAnsiTheme="minorEastAsia"/>
          <w:szCs w:val="21"/>
          <w:lang w:val="zh-CN"/>
        </w:rPr>
      </w:pPr>
      <w:r>
        <w:rPr>
          <w:rFonts w:ascii="CIDFont" w:hAnsi="CIDFont" w:eastAsia="CIDFont" w:cs="CIDFont"/>
          <w:kern w:val="0"/>
          <w:sz w:val="24"/>
        </w:rPr>
        <w:t xml:space="preserve">描件（或图片）。 </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lang w:val="zh-CN"/>
              </w:rPr>
              <w:t>注：仅需提供序号</w:t>
            </w:r>
            <w:r>
              <w:rPr>
                <w:rFonts w:hint="eastAsia" w:ascii="楷体" w:hAnsi="楷体" w:eastAsia="楷体"/>
                <w:sz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lang w:val="zh-CN"/>
              </w:rPr>
              <w:t>注：仅需提供序号</w:t>
            </w:r>
            <w:r>
              <w:rPr>
                <w:rFonts w:hint="eastAsia" w:ascii="楷体" w:hAnsi="楷体" w:eastAsia="楷体"/>
                <w:sz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lang w:val="zh-CN"/>
              </w:rPr>
              <w:t>注：仅需提供序号</w:t>
            </w:r>
            <w:r>
              <w:rPr>
                <w:rFonts w:hint="eastAsia" w:ascii="楷体" w:hAnsi="楷体" w:eastAsia="楷体"/>
                <w:color w:val="000000"/>
                <w:sz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1"/>
                <w:rFonts w:hint="eastAsia" w:asciiTheme="minorEastAsia" w:hAnsiTheme="minorEastAsia"/>
                <w:bCs/>
                <w:szCs w:val="21"/>
              </w:rPr>
              <w:t>www.creditchina.gov.cn</w:t>
            </w:r>
            <w:r>
              <w:rPr>
                <w:rStyle w:val="21"/>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Cs/>
                <w:szCs w:val="21"/>
              </w:rPr>
            </w:pPr>
            <w:r>
              <w:rPr>
                <w:rFonts w:asciiTheme="minorEastAsia" w:hAnsiTheme="minorEastAsia"/>
                <w:b/>
                <w:szCs w:val="21"/>
              </w:rPr>
              <w:t>以本项目招标公告要求为准。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lang w:val="zh-CN"/>
              </w:rPr>
            </w:pPr>
            <w:r>
              <w:rPr>
                <w:rFonts w:hint="eastAsia" w:ascii="楷体" w:hAnsi="楷体" w:eastAsia="楷体" w:cs="仿宋_GB2312"/>
                <w:b/>
                <w:sz w:val="24"/>
                <w:lang w:val="zh-CN"/>
              </w:rPr>
              <w:t>注：</w:t>
            </w:r>
          </w:p>
          <w:p>
            <w:pPr>
              <w:spacing w:line="360" w:lineRule="auto"/>
              <w:rPr>
                <w:rFonts w:asciiTheme="minorEastAsia" w:hAnsiTheme="minorEastAsia"/>
                <w:b/>
                <w:sz w:val="24"/>
              </w:rPr>
            </w:pPr>
            <w:r>
              <w:rPr>
                <w:rFonts w:hint="eastAsia" w:ascii="楷体" w:hAnsi="楷体" w:eastAsia="楷体"/>
                <w:color w:val="000000"/>
                <w:sz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rPr>
            </w:pPr>
            <w:r>
              <w:rPr>
                <w:rFonts w:hint="eastAsia" w:ascii="楷体" w:hAnsi="楷体" w:eastAsia="楷体"/>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rPr>
              <w:t>③</w:t>
            </w:r>
            <w:r>
              <w:rPr>
                <w:rFonts w:hint="eastAsia" w:ascii="楷体" w:hAnsi="楷体" w:eastAsia="楷体"/>
                <w:color w:val="000000"/>
                <w:kern w:val="0"/>
                <w:sz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1" w:name="baidusnap2"/>
            <w:bookmarkEnd w:id="41"/>
            <w:r>
              <w:rPr>
                <w:rFonts w:hint="eastAsia" w:cs="仿宋_GB2312" w:asciiTheme="minorEastAsia" w:hAnsiTheme="minorEastAsia"/>
                <w:szCs w:val="21"/>
                <w:lang w:val="zh-CN"/>
              </w:rPr>
              <w:t>提供未为本项目提供整体设计、</w:t>
            </w:r>
            <w:bookmarkStart w:id="42" w:name="baidusnap9"/>
            <w:bookmarkEnd w:id="4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0"/>
        <w:spacing w:line="360" w:lineRule="auto"/>
        <w:ind w:firstLine="482" w:firstLineChars="200"/>
        <w:contextualSpacing/>
        <w:rPr>
          <w:rFonts w:cs="仿宋_GB2312" w:asciiTheme="minorEastAsia" w:hAnsiTheme="minorEastAsia" w:eastAsiaTheme="minorEastAsia"/>
          <w:b/>
          <w:lang w:val="zh-CN"/>
        </w:rPr>
      </w:pPr>
    </w:p>
    <w:p>
      <w:pPr>
        <w:pStyle w:val="10"/>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0"/>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0"/>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0"/>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0"/>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0"/>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0"/>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0"/>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0"/>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0"/>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0"/>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0"/>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0"/>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0"/>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0"/>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0"/>
        <w:spacing w:line="360" w:lineRule="auto"/>
        <w:ind w:firstLine="420" w:firstLineChars="200"/>
        <w:contextualSpacing/>
        <w:rPr>
          <w:rFonts w:ascii="ˎ̥" w:hAnsi="ˎ̥"/>
        </w:rPr>
      </w:pPr>
      <w:r>
        <w:rPr>
          <w:rFonts w:hint="eastAsia" w:cs="仿宋_GB2312" w:asciiTheme="minorEastAsia" w:hAnsiTheme="minorEastAsia" w:eastAsiaTheme="minorEastAsia"/>
          <w:sz w:val="21"/>
          <w:szCs w:val="21"/>
          <w:lang w:val="zh-CN"/>
        </w:rPr>
        <w:t>1）</w:t>
      </w:r>
      <w:r>
        <w:rPr>
          <w:rFonts w:hint="eastAsia" w:ascii="ˎ̥" w:hAnsi="ˎ̥"/>
          <w:sz w:val="21"/>
          <w:szCs w:val="21"/>
        </w:rPr>
        <w:t>如果本项目非专门面向中小企业采购，对</w:t>
      </w:r>
      <w:r>
        <w:rPr>
          <w:rFonts w:ascii="ˎ̥" w:hAnsi="ˎ̥"/>
          <w:sz w:val="21"/>
          <w:szCs w:val="21"/>
        </w:rPr>
        <w:t>符合</w:t>
      </w:r>
      <w:r>
        <w:rPr>
          <w:rFonts w:hint="eastAsia" w:ascii="ˎ̥" w:hAnsi="ˎ̥"/>
          <w:sz w:val="21"/>
          <w:szCs w:val="21"/>
        </w:rPr>
        <w:t>《政府采购促进中小企业发展管理办法》(财库〔2020〕46号</w:t>
      </w:r>
      <w:r>
        <w:rPr>
          <w:rFonts w:ascii="ˎ̥" w:hAnsi="ˎ̥"/>
          <w:sz w:val="21"/>
          <w:szCs w:val="21"/>
        </w:rPr>
        <w:t>规定的小微企业报价</w:t>
      </w:r>
      <w:r>
        <w:rPr>
          <w:rFonts w:hint="eastAsia" w:ascii="ˎ̥" w:hAnsi="ˎ̥"/>
          <w:sz w:val="21"/>
          <w:szCs w:val="21"/>
        </w:rPr>
        <w:t>给予6%的扣除，用扣除后的价格参与评审。</w:t>
      </w:r>
      <w:r>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sz w:val="21"/>
          <w:szCs w:val="21"/>
        </w:rPr>
        <w:t>按照本次采购标的所属行业的划型标准，符合条件的中小企业应按照招标文件格式要求提供《中小企业声明函》，</w:t>
      </w:r>
      <w:r>
        <w:rPr>
          <w:rFonts w:ascii="ˎ̥" w:hAnsi="ˎ̥"/>
          <w:sz w:val="21"/>
          <w:szCs w:val="21"/>
        </w:rPr>
        <w:t>否则不得享受相关中小企业扶持政策。</w:t>
      </w:r>
    </w:p>
    <w:p>
      <w:pPr>
        <w:pStyle w:val="10"/>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0"/>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pStyle w:val="10"/>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0"/>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0"/>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0"/>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pPr>
        <w:pStyle w:val="10"/>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0"/>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0"/>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0"/>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sz w:val="24"/>
        </w:rPr>
      </w:pPr>
      <w:r>
        <w:rPr>
          <w:rFonts w:hint="eastAsia" w:ascii="楷体" w:hAnsi="楷体" w:eastAsia="楷体" w:cs="仿宋_GB2312"/>
          <w:sz w:val="24"/>
          <w:lang w:val="zh-CN"/>
        </w:rPr>
        <w:t>注：仅需提供序号</w:t>
      </w:r>
      <w:r>
        <w:rPr>
          <w:rFonts w:hint="eastAsia" w:ascii="楷体" w:hAnsi="楷体" w:eastAsia="楷体"/>
          <w:sz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0"/>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16"/>
        <w:tblW w:w="10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095"/>
        <w:gridCol w:w="1135"/>
        <w:gridCol w:w="1190"/>
        <w:gridCol w:w="6384"/>
        <w:gridCol w:w="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cantSplit/>
          <w:trHeight w:val="90" w:hRule="atLeast"/>
          <w:jc w:val="center"/>
        </w:trPr>
        <w:tc>
          <w:tcPr>
            <w:tcW w:w="2031" w:type="dxa"/>
            <w:gridSpan w:val="2"/>
            <w:vAlign w:val="center"/>
          </w:tcPr>
          <w:p>
            <w:pPr>
              <w:spacing w:line="312" w:lineRule="auto"/>
              <w:jc w:val="center"/>
              <w:rPr>
                <w:rFonts w:ascii="宋体" w:hAnsi="宋体" w:cs="宋体"/>
                <w:szCs w:val="21"/>
              </w:rPr>
            </w:pPr>
            <w:r>
              <w:rPr>
                <w:rFonts w:hint="eastAsia" w:ascii="宋体" w:hAnsi="宋体" w:cs="宋体"/>
                <w:szCs w:val="21"/>
              </w:rPr>
              <w:t>分值构成</w:t>
            </w:r>
          </w:p>
          <w:p>
            <w:pPr>
              <w:spacing w:line="312" w:lineRule="auto"/>
              <w:jc w:val="center"/>
              <w:rPr>
                <w:rFonts w:ascii="宋体" w:hAnsi="宋体" w:cs="宋体"/>
                <w:sz w:val="20"/>
                <w:szCs w:val="20"/>
              </w:rPr>
            </w:pPr>
            <w:r>
              <w:rPr>
                <w:rFonts w:hint="eastAsia" w:ascii="宋体" w:hAnsi="宋体" w:cs="宋体"/>
                <w:szCs w:val="21"/>
              </w:rPr>
              <w:t>总分100分</w:t>
            </w:r>
          </w:p>
        </w:tc>
        <w:tc>
          <w:tcPr>
            <w:tcW w:w="8709" w:type="dxa"/>
            <w:gridSpan w:val="3"/>
            <w:vAlign w:val="center"/>
          </w:tcPr>
          <w:p>
            <w:pPr>
              <w:spacing w:line="312" w:lineRule="auto"/>
              <w:rPr>
                <w:rFonts w:ascii="宋体" w:hAnsi="宋体" w:cs="宋体"/>
                <w:szCs w:val="21"/>
              </w:rPr>
            </w:pPr>
            <w:r>
              <w:rPr>
                <w:rFonts w:hint="eastAsia" w:ascii="宋体" w:hAnsi="宋体" w:cs="宋体"/>
                <w:szCs w:val="21"/>
              </w:rPr>
              <w:t>投标报价：30分</w:t>
            </w:r>
          </w:p>
          <w:p>
            <w:pPr>
              <w:spacing w:line="312" w:lineRule="auto"/>
              <w:rPr>
                <w:rFonts w:ascii="宋体" w:hAnsi="宋体" w:cs="宋体"/>
                <w:szCs w:val="21"/>
              </w:rPr>
            </w:pPr>
            <w:r>
              <w:rPr>
                <w:rFonts w:hint="eastAsia" w:ascii="宋体" w:hAnsi="宋体" w:cs="宋体"/>
                <w:szCs w:val="21"/>
              </w:rPr>
              <w:t>商务部分：40分</w:t>
            </w:r>
          </w:p>
          <w:p>
            <w:pPr>
              <w:spacing w:line="312" w:lineRule="auto"/>
              <w:rPr>
                <w:rFonts w:ascii="宋体" w:hAnsi="宋体" w:cs="宋体"/>
                <w:sz w:val="20"/>
                <w:szCs w:val="20"/>
              </w:rPr>
            </w:pPr>
            <w:r>
              <w:rPr>
                <w:rFonts w:hint="eastAsia" w:ascii="宋体" w:hAnsi="宋体" w:cs="宋体"/>
                <w:szCs w:val="21"/>
              </w:rPr>
              <w:t>技术部分：30分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Align w:val="center"/>
          </w:tcPr>
          <w:p>
            <w:pPr>
              <w:spacing w:line="312" w:lineRule="auto"/>
              <w:jc w:val="center"/>
              <w:rPr>
                <w:rFonts w:ascii="宋体" w:hAnsi="宋体" w:cs="宋体"/>
                <w:sz w:val="20"/>
                <w:szCs w:val="20"/>
              </w:rPr>
            </w:pPr>
            <w:r>
              <w:rPr>
                <w:rFonts w:hint="eastAsia" w:ascii="宋体" w:hAnsi="宋体" w:cs="宋体"/>
                <w:sz w:val="20"/>
                <w:szCs w:val="20"/>
              </w:rPr>
              <w:t>条款号</w:t>
            </w:r>
          </w:p>
        </w:tc>
        <w:tc>
          <w:tcPr>
            <w:tcW w:w="1095" w:type="dxa"/>
            <w:vAlign w:val="center"/>
          </w:tcPr>
          <w:p>
            <w:pPr>
              <w:spacing w:line="312" w:lineRule="auto"/>
              <w:jc w:val="center"/>
              <w:rPr>
                <w:rFonts w:ascii="宋体" w:hAnsi="宋体" w:cs="宋体"/>
                <w:sz w:val="20"/>
                <w:szCs w:val="20"/>
              </w:rPr>
            </w:pPr>
            <w:r>
              <w:rPr>
                <w:rFonts w:hint="eastAsia" w:ascii="宋体" w:hAnsi="宋体" w:cs="宋体"/>
                <w:sz w:val="20"/>
                <w:szCs w:val="20"/>
              </w:rPr>
              <w:t>评分因素</w:t>
            </w:r>
          </w:p>
        </w:tc>
        <w:tc>
          <w:tcPr>
            <w:tcW w:w="1135" w:type="dxa"/>
            <w:vAlign w:val="center"/>
          </w:tcPr>
          <w:p>
            <w:pPr>
              <w:spacing w:line="312" w:lineRule="auto"/>
              <w:jc w:val="center"/>
              <w:rPr>
                <w:rFonts w:ascii="宋体" w:hAnsi="宋体" w:cs="宋体"/>
                <w:sz w:val="20"/>
                <w:szCs w:val="20"/>
              </w:rPr>
            </w:pPr>
            <w:r>
              <w:rPr>
                <w:rFonts w:hint="eastAsia" w:ascii="宋体" w:hAnsi="宋体" w:cs="宋体"/>
                <w:sz w:val="20"/>
                <w:szCs w:val="20"/>
              </w:rPr>
              <w:t>条款内容</w:t>
            </w:r>
          </w:p>
        </w:tc>
        <w:tc>
          <w:tcPr>
            <w:tcW w:w="7630" w:type="dxa"/>
            <w:gridSpan w:val="3"/>
            <w:vAlign w:val="center"/>
          </w:tcPr>
          <w:p>
            <w:pPr>
              <w:spacing w:line="312" w:lineRule="auto"/>
              <w:rPr>
                <w:rFonts w:ascii="宋体" w:hAnsi="宋体" w:cs="宋体"/>
                <w:sz w:val="20"/>
                <w:szCs w:val="20"/>
              </w:rPr>
            </w:pPr>
            <w:r>
              <w:rPr>
                <w:rFonts w:hint="eastAsia" w:ascii="宋体" w:hAnsi="宋体" w:cs="宋体"/>
                <w:sz w:val="20"/>
                <w:szCs w:val="20"/>
              </w:rPr>
              <w:t>综合因素编列内容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1" w:hRule="atLeast"/>
          <w:jc w:val="center"/>
        </w:trPr>
        <w:tc>
          <w:tcPr>
            <w:tcW w:w="936" w:type="dxa"/>
            <w:vAlign w:val="center"/>
          </w:tcPr>
          <w:p>
            <w:pPr>
              <w:spacing w:line="312" w:lineRule="auto"/>
              <w:jc w:val="center"/>
              <w:rPr>
                <w:rFonts w:ascii="宋体" w:hAnsi="宋体" w:cs="宋体"/>
                <w:szCs w:val="21"/>
              </w:rPr>
            </w:pPr>
            <w:r>
              <w:rPr>
                <w:rFonts w:hint="eastAsia" w:ascii="宋体" w:hAnsi="宋体" w:cs="宋体"/>
                <w:szCs w:val="21"/>
              </w:rPr>
              <w:t>2.2.2（1）</w:t>
            </w:r>
          </w:p>
          <w:p>
            <w:pPr>
              <w:spacing w:line="312" w:lineRule="auto"/>
              <w:jc w:val="center"/>
              <w:rPr>
                <w:rFonts w:ascii="宋体" w:hAnsi="宋体" w:cs="宋体"/>
                <w:szCs w:val="21"/>
              </w:rPr>
            </w:pPr>
          </w:p>
        </w:tc>
        <w:tc>
          <w:tcPr>
            <w:tcW w:w="1095" w:type="dxa"/>
            <w:vAlign w:val="center"/>
          </w:tcPr>
          <w:p>
            <w:pPr>
              <w:spacing w:line="312" w:lineRule="auto"/>
              <w:jc w:val="center"/>
              <w:rPr>
                <w:rFonts w:ascii="宋体" w:hAnsi="宋体" w:cs="宋体"/>
                <w:szCs w:val="21"/>
              </w:rPr>
            </w:pPr>
            <w:r>
              <w:rPr>
                <w:rFonts w:hint="eastAsia" w:ascii="宋体" w:hAnsi="宋体" w:cs="宋体"/>
                <w:szCs w:val="21"/>
              </w:rPr>
              <w:t>投标报价30分</w:t>
            </w:r>
          </w:p>
        </w:tc>
        <w:tc>
          <w:tcPr>
            <w:tcW w:w="1135" w:type="dxa"/>
            <w:vAlign w:val="center"/>
          </w:tcPr>
          <w:p>
            <w:pPr>
              <w:spacing w:line="312" w:lineRule="auto"/>
              <w:jc w:val="center"/>
              <w:rPr>
                <w:rFonts w:ascii="宋体" w:hAnsi="宋体" w:cs="宋体"/>
                <w:szCs w:val="21"/>
              </w:rPr>
            </w:pPr>
            <w:r>
              <w:rPr>
                <w:rFonts w:hint="eastAsia" w:ascii="宋体" w:hAnsi="宋体" w:cs="宋体"/>
                <w:szCs w:val="21"/>
              </w:rPr>
              <w:t>投标报价评审标准（30分）</w:t>
            </w:r>
          </w:p>
        </w:tc>
        <w:tc>
          <w:tcPr>
            <w:tcW w:w="7630" w:type="dxa"/>
            <w:gridSpan w:val="3"/>
            <w:vAlign w:val="center"/>
          </w:tcPr>
          <w:p>
            <w:pPr>
              <w:autoSpaceDE w:val="0"/>
              <w:autoSpaceDN w:val="0"/>
              <w:spacing w:line="360" w:lineRule="auto"/>
            </w:pPr>
            <w:r>
              <w:rPr>
                <w:rFonts w:hint="eastAsia"/>
              </w:rPr>
              <w:t>评标基准价：满足招标文件要求的有效投标报价中，最低的投标报价为评标基准价。</w:t>
            </w:r>
          </w:p>
          <w:p>
            <w:pPr>
              <w:spacing w:line="400" w:lineRule="exact"/>
              <w:ind w:firstLine="420" w:firstLineChars="200"/>
            </w:pPr>
            <w:r>
              <w:rPr>
                <w:rFonts w:hint="eastAsia"/>
              </w:rPr>
              <w:t>投标报价得分=（评标基准价/投标报价）×30</w:t>
            </w:r>
          </w:p>
          <w:p>
            <w:pPr>
              <w:pStyle w:val="2"/>
              <w:ind w:firstLine="241"/>
            </w:pPr>
            <w:r>
              <w:rPr>
                <w:rFonts w:hint="eastAsia" w:ascii="宋体" w:hAnsi="宋体"/>
                <w:b/>
                <w:sz w:val="24"/>
              </w:rPr>
              <w:t>注：当投标人的报价明显低于常规报价，评标委员会认为该投标人的最低投标报价或者某些小项报价明显不合理或者明显低于其他通过符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cantSplit/>
          <w:trHeight w:val="699" w:hRule="atLeast"/>
          <w:jc w:val="center"/>
        </w:trPr>
        <w:tc>
          <w:tcPr>
            <w:tcW w:w="936" w:type="dxa"/>
            <w:vMerge w:val="restart"/>
            <w:shd w:val="clear" w:color="auto" w:fill="auto"/>
            <w:vAlign w:val="center"/>
          </w:tcPr>
          <w:p>
            <w:pPr>
              <w:spacing w:line="312" w:lineRule="auto"/>
              <w:jc w:val="center"/>
              <w:rPr>
                <w:rFonts w:ascii="宋体" w:hAnsi="宋体" w:cs="宋体"/>
                <w:szCs w:val="21"/>
              </w:rPr>
            </w:pPr>
          </w:p>
          <w:p>
            <w:pPr>
              <w:spacing w:line="312" w:lineRule="auto"/>
              <w:jc w:val="center"/>
              <w:rPr>
                <w:rFonts w:ascii="宋体" w:hAnsi="宋体" w:cs="宋体"/>
                <w:szCs w:val="21"/>
              </w:rPr>
            </w:pPr>
          </w:p>
          <w:p>
            <w:pPr>
              <w:spacing w:line="312" w:lineRule="auto"/>
              <w:jc w:val="center"/>
              <w:rPr>
                <w:rFonts w:ascii="宋体" w:hAnsi="宋体" w:cs="宋体"/>
                <w:szCs w:val="21"/>
              </w:rPr>
            </w:pPr>
          </w:p>
          <w:p>
            <w:pPr>
              <w:spacing w:line="312" w:lineRule="auto"/>
              <w:jc w:val="center"/>
              <w:rPr>
                <w:rFonts w:ascii="宋体" w:hAnsi="宋体" w:cs="宋体"/>
                <w:szCs w:val="21"/>
              </w:rPr>
            </w:pPr>
          </w:p>
          <w:p>
            <w:pPr>
              <w:spacing w:line="312" w:lineRule="auto"/>
              <w:jc w:val="center"/>
              <w:rPr>
                <w:rFonts w:ascii="宋体" w:hAnsi="宋体" w:cs="宋体"/>
                <w:szCs w:val="21"/>
              </w:rPr>
            </w:pPr>
          </w:p>
          <w:p>
            <w:pPr>
              <w:spacing w:line="312" w:lineRule="auto"/>
              <w:jc w:val="center"/>
              <w:rPr>
                <w:rFonts w:ascii="宋体" w:hAnsi="宋体" w:cs="宋体"/>
                <w:szCs w:val="21"/>
              </w:rPr>
            </w:pPr>
          </w:p>
          <w:p>
            <w:pPr>
              <w:spacing w:line="312" w:lineRule="auto"/>
              <w:jc w:val="center"/>
              <w:rPr>
                <w:rFonts w:ascii="宋体" w:hAnsi="宋体" w:cs="宋体"/>
                <w:szCs w:val="21"/>
              </w:rPr>
            </w:pPr>
          </w:p>
          <w:p>
            <w:pPr>
              <w:spacing w:line="312" w:lineRule="auto"/>
              <w:jc w:val="center"/>
              <w:rPr>
                <w:rFonts w:ascii="宋体" w:hAnsi="宋体" w:cs="宋体"/>
                <w:szCs w:val="21"/>
              </w:rPr>
            </w:pPr>
            <w:r>
              <w:rPr>
                <w:rFonts w:hint="eastAsia" w:ascii="宋体" w:hAnsi="宋体" w:cs="宋体"/>
                <w:szCs w:val="21"/>
              </w:rPr>
              <w:t>2.2.2（2）</w:t>
            </w:r>
          </w:p>
        </w:tc>
        <w:tc>
          <w:tcPr>
            <w:tcW w:w="1095" w:type="dxa"/>
            <w:vMerge w:val="restart"/>
            <w:shd w:val="clear" w:color="auto" w:fill="auto"/>
            <w:vAlign w:val="center"/>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商务部分40分</w:t>
            </w:r>
          </w:p>
        </w:tc>
        <w:tc>
          <w:tcPr>
            <w:tcW w:w="1135" w:type="dxa"/>
            <w:vMerge w:val="restart"/>
            <w:shd w:val="clear" w:color="auto" w:fill="auto"/>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商务部分评审标准</w:t>
            </w:r>
          </w:p>
        </w:tc>
        <w:tc>
          <w:tcPr>
            <w:tcW w:w="1190" w:type="dxa"/>
            <w:vMerge w:val="restart"/>
            <w:shd w:val="clear" w:color="auto" w:fill="FFFFFF"/>
            <w:vAlign w:val="center"/>
          </w:tcPr>
          <w:p>
            <w:pPr>
              <w:spacing w:line="360" w:lineRule="auto"/>
              <w:jc w:val="center"/>
              <w:rPr>
                <w:rFonts w:ascii="宋体" w:hAnsi="宋体" w:cs="宋体"/>
                <w:szCs w:val="21"/>
              </w:rPr>
            </w:pPr>
            <w:r>
              <w:rPr>
                <w:rFonts w:hint="eastAsia" w:ascii="宋体" w:hAnsi="宋体" w:cs="宋体"/>
                <w:szCs w:val="21"/>
              </w:rPr>
              <w:t>企业执业水平</w:t>
            </w:r>
          </w:p>
          <w:p>
            <w:pPr>
              <w:spacing w:line="360" w:lineRule="auto"/>
              <w:jc w:val="center"/>
              <w:rPr>
                <w:rFonts w:ascii="宋体" w:hAnsi="宋体" w:cs="宋体"/>
                <w:szCs w:val="21"/>
              </w:rPr>
            </w:pPr>
            <w:r>
              <w:rPr>
                <w:rFonts w:hint="eastAsia" w:ascii="宋体" w:hAnsi="宋体" w:cs="宋体"/>
                <w:szCs w:val="21"/>
              </w:rPr>
              <w:t>（12分）</w:t>
            </w:r>
          </w:p>
        </w:tc>
        <w:tc>
          <w:tcPr>
            <w:tcW w:w="6384" w:type="dxa"/>
            <w:shd w:val="clear" w:color="auto" w:fill="FFFFFF"/>
            <w:vAlign w:val="center"/>
          </w:tcPr>
          <w:p>
            <w:pPr>
              <w:spacing w:line="360" w:lineRule="auto"/>
              <w:rPr>
                <w:rFonts w:ascii="宋体" w:hAnsi="宋体" w:cs="宋体"/>
              </w:rPr>
            </w:pPr>
            <w:r>
              <w:rPr>
                <w:rFonts w:hint="eastAsia" w:ascii="宋体" w:hAnsi="宋体"/>
                <w:spacing w:val="1"/>
                <w:kern w:val="0"/>
                <w:szCs w:val="21"/>
              </w:rPr>
              <w:t>1、投标人提供中国土地估价师与土地登记代理人协会《2019年土地评估报告电子化备案优秀土地评估中介机构》证书的得2分。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cantSplit/>
          <w:trHeight w:val="699" w:hRule="atLeast"/>
          <w:jc w:val="center"/>
        </w:trPr>
        <w:tc>
          <w:tcPr>
            <w:tcW w:w="936" w:type="dxa"/>
            <w:vMerge w:val="continue"/>
            <w:shd w:val="clear" w:color="auto" w:fill="auto"/>
            <w:vAlign w:val="center"/>
          </w:tcPr>
          <w:p>
            <w:pPr>
              <w:spacing w:line="312" w:lineRule="auto"/>
              <w:jc w:val="center"/>
              <w:rPr>
                <w:rFonts w:ascii="宋体" w:hAnsi="宋体" w:cs="宋体"/>
                <w:szCs w:val="21"/>
              </w:rPr>
            </w:pPr>
          </w:p>
        </w:tc>
        <w:tc>
          <w:tcPr>
            <w:tcW w:w="1095" w:type="dxa"/>
            <w:vMerge w:val="continue"/>
            <w:shd w:val="clear" w:color="auto" w:fill="auto"/>
            <w:vAlign w:val="center"/>
          </w:tcPr>
          <w:p>
            <w:pPr>
              <w:jc w:val="center"/>
              <w:rPr>
                <w:rFonts w:ascii="宋体" w:hAnsi="宋体" w:cs="宋体"/>
                <w:szCs w:val="21"/>
              </w:rPr>
            </w:pPr>
          </w:p>
        </w:tc>
        <w:tc>
          <w:tcPr>
            <w:tcW w:w="1135" w:type="dxa"/>
            <w:vMerge w:val="continue"/>
            <w:shd w:val="clear" w:color="auto" w:fill="auto"/>
            <w:vAlign w:val="center"/>
          </w:tcPr>
          <w:p>
            <w:pPr>
              <w:spacing w:line="360" w:lineRule="auto"/>
              <w:jc w:val="center"/>
              <w:rPr>
                <w:rFonts w:ascii="宋体" w:hAnsi="宋体" w:cs="宋体"/>
                <w:szCs w:val="21"/>
              </w:rPr>
            </w:pPr>
          </w:p>
        </w:tc>
        <w:tc>
          <w:tcPr>
            <w:tcW w:w="1190" w:type="dxa"/>
            <w:vMerge w:val="continue"/>
            <w:shd w:val="clear" w:color="auto" w:fill="FFFFFF"/>
            <w:vAlign w:val="center"/>
          </w:tcPr>
          <w:p>
            <w:pPr>
              <w:spacing w:line="360" w:lineRule="auto"/>
              <w:jc w:val="center"/>
              <w:rPr>
                <w:rFonts w:ascii="宋体" w:hAnsi="宋体" w:cs="宋体"/>
                <w:szCs w:val="21"/>
              </w:rPr>
            </w:pPr>
          </w:p>
        </w:tc>
        <w:tc>
          <w:tcPr>
            <w:tcW w:w="6384" w:type="dxa"/>
            <w:shd w:val="clear" w:color="auto" w:fill="FFFFFF"/>
            <w:vAlign w:val="center"/>
          </w:tcPr>
          <w:p>
            <w:pPr>
              <w:spacing w:line="360" w:lineRule="auto"/>
              <w:rPr>
                <w:rFonts w:ascii="宋体" w:hAnsi="宋体" w:cs="宋体"/>
                <w:szCs w:val="21"/>
              </w:rPr>
            </w:pPr>
            <w:r>
              <w:rPr>
                <w:rFonts w:hint="eastAsia" w:ascii="宋体" w:hAnsi="宋体" w:cs="宋体"/>
                <w:szCs w:val="21"/>
              </w:rPr>
              <w:t>2、投标人具有省级行业协会颁发的AA级以上资信证书的（含AA）得2分，A级得1分，没有的不得分。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cantSplit/>
          <w:trHeight w:val="90" w:hRule="atLeast"/>
          <w:jc w:val="center"/>
        </w:trPr>
        <w:tc>
          <w:tcPr>
            <w:tcW w:w="936" w:type="dxa"/>
            <w:vMerge w:val="continue"/>
            <w:shd w:val="clear" w:color="auto" w:fill="auto"/>
            <w:vAlign w:val="center"/>
          </w:tcPr>
          <w:p>
            <w:pPr>
              <w:spacing w:line="312" w:lineRule="auto"/>
              <w:rPr>
                <w:rFonts w:ascii="宋体" w:hAnsi="宋体" w:cs="宋体"/>
                <w:sz w:val="20"/>
                <w:szCs w:val="20"/>
              </w:rPr>
            </w:pPr>
          </w:p>
        </w:tc>
        <w:tc>
          <w:tcPr>
            <w:tcW w:w="1095" w:type="dxa"/>
            <w:vMerge w:val="continue"/>
            <w:shd w:val="clear" w:color="auto" w:fill="auto"/>
            <w:vAlign w:val="center"/>
          </w:tcPr>
          <w:p>
            <w:pPr>
              <w:spacing w:line="360" w:lineRule="auto"/>
              <w:rPr>
                <w:rFonts w:ascii="宋体" w:hAnsi="宋体" w:cs="宋体"/>
                <w:sz w:val="20"/>
                <w:szCs w:val="20"/>
              </w:rPr>
            </w:pPr>
          </w:p>
        </w:tc>
        <w:tc>
          <w:tcPr>
            <w:tcW w:w="1135" w:type="dxa"/>
            <w:vMerge w:val="continue"/>
            <w:shd w:val="clear" w:color="auto" w:fill="auto"/>
            <w:vAlign w:val="center"/>
          </w:tcPr>
          <w:p>
            <w:pPr>
              <w:spacing w:line="360" w:lineRule="auto"/>
              <w:rPr>
                <w:rFonts w:ascii="宋体" w:hAnsi="宋体" w:cs="宋体"/>
                <w:sz w:val="20"/>
                <w:szCs w:val="20"/>
              </w:rPr>
            </w:pPr>
          </w:p>
        </w:tc>
        <w:tc>
          <w:tcPr>
            <w:tcW w:w="1190" w:type="dxa"/>
            <w:vMerge w:val="continue"/>
            <w:shd w:val="clear" w:color="auto" w:fill="FFFFFF"/>
            <w:vAlign w:val="center"/>
          </w:tcPr>
          <w:p>
            <w:pPr>
              <w:spacing w:line="360" w:lineRule="auto"/>
              <w:jc w:val="center"/>
              <w:rPr>
                <w:rFonts w:ascii="宋体" w:hAnsi="宋体" w:cs="宋体"/>
                <w:bCs/>
                <w:szCs w:val="21"/>
              </w:rPr>
            </w:pPr>
          </w:p>
        </w:tc>
        <w:tc>
          <w:tcPr>
            <w:tcW w:w="6384" w:type="dxa"/>
            <w:shd w:val="clear" w:color="auto" w:fill="FFFFFF"/>
            <w:vAlign w:val="center"/>
          </w:tcPr>
          <w:p>
            <w:pPr>
              <w:pStyle w:val="3"/>
              <w:rPr>
                <w:rFonts w:ascii="宋体" w:hAnsi="宋体" w:cs="宋体"/>
                <w:bCs/>
                <w:szCs w:val="21"/>
              </w:rPr>
            </w:pPr>
            <w:r>
              <w:rPr>
                <w:rFonts w:hint="eastAsia" w:ascii="宋体" w:hAnsi="宋体" w:cs="宋体"/>
                <w:bCs/>
                <w:szCs w:val="21"/>
                <w:lang w:bidi="zh-CN"/>
              </w:rPr>
              <w:t>3、提供2019年以来经市级及以上信用体系建设主管部门认可的信用评级机构出具的企业信用证明，等级为AAA得2分,连续3年的得4分。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cantSplit/>
          <w:trHeight w:val="90" w:hRule="atLeast"/>
          <w:jc w:val="center"/>
        </w:trPr>
        <w:tc>
          <w:tcPr>
            <w:tcW w:w="936" w:type="dxa"/>
            <w:vMerge w:val="continue"/>
            <w:shd w:val="clear" w:color="auto" w:fill="auto"/>
            <w:vAlign w:val="center"/>
          </w:tcPr>
          <w:p>
            <w:pPr>
              <w:spacing w:line="312" w:lineRule="auto"/>
              <w:rPr>
                <w:rFonts w:ascii="宋体" w:hAnsi="宋体" w:cs="宋体"/>
                <w:sz w:val="20"/>
                <w:szCs w:val="20"/>
              </w:rPr>
            </w:pPr>
          </w:p>
        </w:tc>
        <w:tc>
          <w:tcPr>
            <w:tcW w:w="1095" w:type="dxa"/>
            <w:vMerge w:val="continue"/>
            <w:shd w:val="clear" w:color="auto" w:fill="auto"/>
            <w:vAlign w:val="center"/>
          </w:tcPr>
          <w:p>
            <w:pPr>
              <w:rPr>
                <w:rFonts w:ascii="宋体" w:hAnsi="宋体" w:cs="宋体"/>
                <w:sz w:val="20"/>
                <w:szCs w:val="20"/>
              </w:rPr>
            </w:pPr>
          </w:p>
        </w:tc>
        <w:tc>
          <w:tcPr>
            <w:tcW w:w="1135" w:type="dxa"/>
            <w:vMerge w:val="continue"/>
            <w:shd w:val="clear" w:color="auto" w:fill="auto"/>
            <w:vAlign w:val="center"/>
          </w:tcPr>
          <w:p>
            <w:pPr>
              <w:rPr>
                <w:rFonts w:ascii="宋体" w:hAnsi="宋体" w:cs="宋体"/>
                <w:sz w:val="20"/>
                <w:szCs w:val="20"/>
              </w:rPr>
            </w:pPr>
          </w:p>
        </w:tc>
        <w:tc>
          <w:tcPr>
            <w:tcW w:w="1190" w:type="dxa"/>
            <w:vMerge w:val="continue"/>
            <w:shd w:val="clear" w:color="auto" w:fill="FFFFFF"/>
            <w:vAlign w:val="center"/>
          </w:tcPr>
          <w:p>
            <w:pPr>
              <w:spacing w:line="360" w:lineRule="auto"/>
              <w:jc w:val="center"/>
              <w:rPr>
                <w:rFonts w:ascii="宋体" w:hAnsi="宋体" w:cs="宋体"/>
                <w:sz w:val="20"/>
                <w:szCs w:val="20"/>
              </w:rPr>
            </w:pPr>
          </w:p>
        </w:tc>
        <w:tc>
          <w:tcPr>
            <w:tcW w:w="6384" w:type="dxa"/>
            <w:shd w:val="clear" w:color="auto" w:fill="FFFFFF"/>
            <w:vAlign w:val="center"/>
          </w:tcPr>
          <w:p>
            <w:pPr>
              <w:spacing w:line="360" w:lineRule="auto"/>
              <w:rPr>
                <w:rFonts w:ascii="宋体" w:hAnsi="宋体" w:cs="宋体"/>
                <w:sz w:val="20"/>
                <w:szCs w:val="20"/>
              </w:rPr>
            </w:pPr>
            <w:r>
              <w:rPr>
                <w:rFonts w:hint="eastAsia" w:ascii="宋体" w:hAnsi="宋体" w:cs="宋体"/>
                <w:szCs w:val="21"/>
              </w:rPr>
              <w:t>4、项目组成人员中获得省级或省级以上国土资源行政主管部门颁发的科学技术奖的，每提供1份证书得2分，满分4分。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cantSplit/>
          <w:trHeight w:val="90" w:hRule="atLeast"/>
          <w:jc w:val="center"/>
        </w:trPr>
        <w:tc>
          <w:tcPr>
            <w:tcW w:w="936" w:type="dxa"/>
            <w:vMerge w:val="continue"/>
            <w:shd w:val="clear" w:color="auto" w:fill="auto"/>
            <w:vAlign w:val="center"/>
          </w:tcPr>
          <w:p>
            <w:pPr>
              <w:spacing w:line="312" w:lineRule="auto"/>
              <w:rPr>
                <w:rFonts w:ascii="宋体" w:hAnsi="宋体" w:cs="宋体"/>
                <w:sz w:val="20"/>
                <w:szCs w:val="20"/>
              </w:rPr>
            </w:pPr>
          </w:p>
        </w:tc>
        <w:tc>
          <w:tcPr>
            <w:tcW w:w="1095" w:type="dxa"/>
            <w:vMerge w:val="continue"/>
            <w:shd w:val="clear" w:color="auto" w:fill="auto"/>
            <w:vAlign w:val="center"/>
          </w:tcPr>
          <w:p>
            <w:pPr>
              <w:rPr>
                <w:rFonts w:ascii="宋体" w:hAnsi="宋体" w:cs="宋体"/>
                <w:sz w:val="20"/>
                <w:szCs w:val="20"/>
              </w:rPr>
            </w:pPr>
          </w:p>
        </w:tc>
        <w:tc>
          <w:tcPr>
            <w:tcW w:w="1135" w:type="dxa"/>
            <w:vMerge w:val="continue"/>
            <w:shd w:val="clear" w:color="auto" w:fill="auto"/>
            <w:vAlign w:val="center"/>
          </w:tcPr>
          <w:p>
            <w:pPr>
              <w:rPr>
                <w:rFonts w:ascii="宋体" w:hAnsi="宋体" w:cs="宋体"/>
                <w:sz w:val="20"/>
                <w:szCs w:val="20"/>
              </w:rPr>
            </w:pPr>
          </w:p>
        </w:tc>
        <w:tc>
          <w:tcPr>
            <w:tcW w:w="1190" w:type="dxa"/>
            <w:vMerge w:val="restart"/>
            <w:shd w:val="clear" w:color="auto" w:fill="FFFFFF"/>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项目组成人员</w:t>
            </w:r>
          </w:p>
          <w:p>
            <w:pPr>
              <w:spacing w:line="360" w:lineRule="auto"/>
              <w:jc w:val="center"/>
              <w:rPr>
                <w:rFonts w:ascii="宋体" w:hAnsi="宋体" w:cs="宋体"/>
                <w:sz w:val="20"/>
                <w:szCs w:val="20"/>
              </w:rPr>
            </w:pPr>
            <w:r>
              <w:rPr>
                <w:rFonts w:hint="eastAsia" w:ascii="宋体" w:hAnsi="宋体" w:cs="宋体"/>
                <w:szCs w:val="21"/>
              </w:rPr>
              <w:t>（10分）</w:t>
            </w:r>
          </w:p>
        </w:tc>
        <w:tc>
          <w:tcPr>
            <w:tcW w:w="6384" w:type="dxa"/>
            <w:shd w:val="clear" w:color="auto" w:fill="FFFFFF"/>
            <w:vAlign w:val="center"/>
          </w:tcPr>
          <w:p>
            <w:pPr>
              <w:spacing w:line="360" w:lineRule="auto"/>
              <w:rPr>
                <w:rFonts w:ascii="宋体" w:hAnsi="宋体" w:cs="宋体"/>
                <w:szCs w:val="21"/>
              </w:rPr>
            </w:pPr>
            <w:r>
              <w:rPr>
                <w:rFonts w:hint="eastAsia" w:ascii="宋体" w:hAnsi="宋体" w:cs="宋体"/>
                <w:szCs w:val="21"/>
              </w:rPr>
              <w:t>1、机构备案的土地估价师人员人数为4人的，得基本分2分，增加一名注册土地估价师加1分，满分4分，以土地估价机构备案函中的土地估价师备案信息人数为准。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cantSplit/>
          <w:trHeight w:val="90" w:hRule="atLeast"/>
          <w:jc w:val="center"/>
        </w:trPr>
        <w:tc>
          <w:tcPr>
            <w:tcW w:w="936" w:type="dxa"/>
            <w:vMerge w:val="continue"/>
            <w:shd w:val="clear" w:color="auto" w:fill="auto"/>
            <w:vAlign w:val="center"/>
          </w:tcPr>
          <w:p>
            <w:pPr>
              <w:spacing w:line="312" w:lineRule="auto"/>
              <w:rPr>
                <w:rFonts w:ascii="宋体" w:hAnsi="宋体" w:cs="宋体"/>
                <w:sz w:val="20"/>
                <w:szCs w:val="20"/>
              </w:rPr>
            </w:pPr>
          </w:p>
        </w:tc>
        <w:tc>
          <w:tcPr>
            <w:tcW w:w="1095" w:type="dxa"/>
            <w:vMerge w:val="continue"/>
            <w:shd w:val="clear" w:color="auto" w:fill="auto"/>
            <w:vAlign w:val="center"/>
          </w:tcPr>
          <w:p>
            <w:pPr>
              <w:rPr>
                <w:rFonts w:ascii="宋体" w:hAnsi="宋体" w:cs="宋体"/>
                <w:sz w:val="20"/>
                <w:szCs w:val="20"/>
              </w:rPr>
            </w:pPr>
          </w:p>
        </w:tc>
        <w:tc>
          <w:tcPr>
            <w:tcW w:w="1135" w:type="dxa"/>
            <w:vMerge w:val="continue"/>
            <w:shd w:val="clear" w:color="auto" w:fill="auto"/>
            <w:vAlign w:val="center"/>
          </w:tcPr>
          <w:p>
            <w:pPr>
              <w:rPr>
                <w:rFonts w:ascii="宋体" w:hAnsi="宋体" w:cs="宋体"/>
                <w:sz w:val="20"/>
                <w:szCs w:val="20"/>
              </w:rPr>
            </w:pPr>
          </w:p>
        </w:tc>
        <w:tc>
          <w:tcPr>
            <w:tcW w:w="1190" w:type="dxa"/>
            <w:vMerge w:val="continue"/>
            <w:shd w:val="clear" w:color="auto" w:fill="FFFFFF"/>
            <w:vAlign w:val="center"/>
          </w:tcPr>
          <w:p>
            <w:pPr>
              <w:spacing w:line="360" w:lineRule="auto"/>
              <w:rPr>
                <w:rFonts w:ascii="宋体" w:hAnsi="宋体" w:cs="宋体"/>
                <w:szCs w:val="21"/>
              </w:rPr>
            </w:pPr>
          </w:p>
        </w:tc>
        <w:tc>
          <w:tcPr>
            <w:tcW w:w="6384" w:type="dxa"/>
            <w:shd w:val="clear" w:color="auto" w:fill="FFFFFF"/>
            <w:vAlign w:val="center"/>
          </w:tcPr>
          <w:p>
            <w:pPr>
              <w:spacing w:line="360" w:lineRule="auto"/>
              <w:rPr>
                <w:rFonts w:ascii="宋体" w:hAnsi="宋体" w:cs="宋体"/>
                <w:szCs w:val="21"/>
              </w:rPr>
            </w:pPr>
            <w:r>
              <w:rPr>
                <w:rFonts w:hint="eastAsia" w:ascii="宋体" w:hAnsi="宋体" w:cs="宋体"/>
                <w:szCs w:val="21"/>
              </w:rPr>
              <w:t>2、项目组成员中拥有土地估价估价师证书和房地产估价师证书的每人加1分，满分2分。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cantSplit/>
          <w:trHeight w:val="90" w:hRule="atLeast"/>
          <w:jc w:val="center"/>
        </w:trPr>
        <w:tc>
          <w:tcPr>
            <w:tcW w:w="936" w:type="dxa"/>
            <w:vMerge w:val="continue"/>
            <w:shd w:val="clear" w:color="auto" w:fill="auto"/>
            <w:vAlign w:val="center"/>
          </w:tcPr>
          <w:p>
            <w:pPr>
              <w:spacing w:line="312" w:lineRule="auto"/>
              <w:rPr>
                <w:rFonts w:ascii="宋体" w:hAnsi="宋体" w:cs="宋体"/>
                <w:sz w:val="20"/>
                <w:szCs w:val="20"/>
              </w:rPr>
            </w:pPr>
          </w:p>
        </w:tc>
        <w:tc>
          <w:tcPr>
            <w:tcW w:w="1095" w:type="dxa"/>
            <w:vMerge w:val="continue"/>
            <w:shd w:val="clear" w:color="auto" w:fill="auto"/>
            <w:vAlign w:val="center"/>
          </w:tcPr>
          <w:p>
            <w:pPr>
              <w:rPr>
                <w:rFonts w:ascii="宋体" w:hAnsi="宋体" w:cs="宋体"/>
                <w:sz w:val="20"/>
                <w:szCs w:val="20"/>
              </w:rPr>
            </w:pPr>
          </w:p>
        </w:tc>
        <w:tc>
          <w:tcPr>
            <w:tcW w:w="1135" w:type="dxa"/>
            <w:vMerge w:val="continue"/>
            <w:shd w:val="clear" w:color="auto" w:fill="auto"/>
            <w:vAlign w:val="center"/>
          </w:tcPr>
          <w:p>
            <w:pPr>
              <w:rPr>
                <w:rFonts w:ascii="宋体" w:hAnsi="宋体" w:cs="宋体"/>
                <w:sz w:val="20"/>
                <w:szCs w:val="20"/>
              </w:rPr>
            </w:pPr>
          </w:p>
        </w:tc>
        <w:tc>
          <w:tcPr>
            <w:tcW w:w="1190" w:type="dxa"/>
            <w:vMerge w:val="continue"/>
            <w:shd w:val="clear" w:color="auto" w:fill="FFFFFF"/>
            <w:vAlign w:val="center"/>
          </w:tcPr>
          <w:p>
            <w:pPr>
              <w:spacing w:line="360" w:lineRule="auto"/>
              <w:rPr>
                <w:rFonts w:ascii="宋体" w:hAnsi="宋体" w:cs="宋体"/>
                <w:szCs w:val="21"/>
              </w:rPr>
            </w:pPr>
          </w:p>
        </w:tc>
        <w:tc>
          <w:tcPr>
            <w:tcW w:w="6384" w:type="dxa"/>
            <w:shd w:val="clear" w:color="auto" w:fill="FFFFFF"/>
            <w:vAlign w:val="center"/>
          </w:tcPr>
          <w:p>
            <w:pPr>
              <w:spacing w:line="360" w:lineRule="auto"/>
              <w:rPr>
                <w:rFonts w:ascii="宋体" w:hAnsi="宋体" w:cs="宋体"/>
                <w:szCs w:val="21"/>
              </w:rPr>
            </w:pPr>
            <w:r>
              <w:rPr>
                <w:rFonts w:hint="eastAsia" w:ascii="宋体" w:hAnsi="宋体" w:cs="宋体"/>
                <w:szCs w:val="21"/>
              </w:rPr>
              <w:t>3、项目组成员中具有中国土地估价师协会（中国土地估价师与土地登记代理人协会）会员资格的，加2分。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cantSplit/>
          <w:trHeight w:val="90" w:hRule="atLeast"/>
          <w:jc w:val="center"/>
        </w:trPr>
        <w:tc>
          <w:tcPr>
            <w:tcW w:w="936" w:type="dxa"/>
            <w:vMerge w:val="continue"/>
            <w:shd w:val="clear" w:color="auto" w:fill="auto"/>
            <w:vAlign w:val="center"/>
          </w:tcPr>
          <w:p>
            <w:pPr>
              <w:spacing w:line="312" w:lineRule="auto"/>
              <w:rPr>
                <w:rFonts w:ascii="宋体" w:hAnsi="宋体" w:cs="宋体"/>
                <w:sz w:val="20"/>
                <w:szCs w:val="20"/>
              </w:rPr>
            </w:pPr>
          </w:p>
        </w:tc>
        <w:tc>
          <w:tcPr>
            <w:tcW w:w="1095" w:type="dxa"/>
            <w:vMerge w:val="continue"/>
            <w:shd w:val="clear" w:color="auto" w:fill="auto"/>
            <w:vAlign w:val="center"/>
          </w:tcPr>
          <w:p>
            <w:pPr>
              <w:rPr>
                <w:rFonts w:ascii="宋体" w:hAnsi="宋体" w:cs="宋体"/>
                <w:sz w:val="20"/>
                <w:szCs w:val="20"/>
              </w:rPr>
            </w:pPr>
          </w:p>
        </w:tc>
        <w:tc>
          <w:tcPr>
            <w:tcW w:w="1135" w:type="dxa"/>
            <w:vMerge w:val="continue"/>
            <w:shd w:val="clear" w:color="auto" w:fill="auto"/>
            <w:vAlign w:val="center"/>
          </w:tcPr>
          <w:p>
            <w:pPr>
              <w:rPr>
                <w:rFonts w:ascii="宋体" w:hAnsi="宋体" w:cs="宋体"/>
                <w:sz w:val="20"/>
                <w:szCs w:val="20"/>
              </w:rPr>
            </w:pPr>
          </w:p>
        </w:tc>
        <w:tc>
          <w:tcPr>
            <w:tcW w:w="1190" w:type="dxa"/>
            <w:vMerge w:val="continue"/>
            <w:shd w:val="clear" w:color="auto" w:fill="FFFFFF"/>
            <w:vAlign w:val="center"/>
          </w:tcPr>
          <w:p>
            <w:pPr>
              <w:spacing w:line="360" w:lineRule="auto"/>
              <w:rPr>
                <w:rFonts w:ascii="宋体" w:hAnsi="宋体" w:cs="宋体"/>
                <w:szCs w:val="21"/>
              </w:rPr>
            </w:pPr>
          </w:p>
        </w:tc>
        <w:tc>
          <w:tcPr>
            <w:tcW w:w="6384" w:type="dxa"/>
            <w:shd w:val="clear" w:color="auto" w:fill="FFFFFF"/>
            <w:vAlign w:val="center"/>
          </w:tcPr>
          <w:p>
            <w:pPr>
              <w:spacing w:line="360" w:lineRule="auto"/>
              <w:rPr>
                <w:rFonts w:ascii="宋体" w:hAnsi="宋体" w:cs="宋体"/>
                <w:szCs w:val="21"/>
              </w:rPr>
            </w:pPr>
            <w:r>
              <w:rPr>
                <w:rFonts w:hint="eastAsia" w:ascii="宋体" w:hAnsi="宋体" w:cs="宋体"/>
                <w:szCs w:val="21"/>
              </w:rPr>
              <w:t>4、项目组成员中具有</w:t>
            </w:r>
            <w:r>
              <w:rPr>
                <w:rFonts w:ascii="宋体" w:hAnsi="宋体" w:cs="宋体"/>
                <w:spacing w:val="-3"/>
                <w:szCs w:val="21"/>
              </w:rPr>
              <w:t>河南</w:t>
            </w:r>
            <w:r>
              <w:rPr>
                <w:rFonts w:ascii="宋体" w:hAnsi="宋体" w:cs="宋体"/>
                <w:spacing w:val="-10"/>
                <w:szCs w:val="21"/>
              </w:rPr>
              <w:t>省</w:t>
            </w:r>
            <w:r>
              <w:rPr>
                <w:rFonts w:ascii="宋体" w:hAnsi="宋体" w:cs="宋体"/>
                <w:spacing w:val="-3"/>
                <w:szCs w:val="21"/>
              </w:rPr>
              <w:t>土地估价</w:t>
            </w:r>
            <w:r>
              <w:rPr>
                <w:rFonts w:ascii="宋体" w:hAnsi="宋体" w:cs="宋体"/>
                <w:spacing w:val="-10"/>
                <w:szCs w:val="21"/>
              </w:rPr>
              <w:t>师</w:t>
            </w:r>
            <w:r>
              <w:rPr>
                <w:rFonts w:ascii="宋体" w:hAnsi="宋体" w:cs="宋体"/>
                <w:spacing w:val="-3"/>
                <w:szCs w:val="21"/>
              </w:rPr>
              <w:t>协会</w:t>
            </w:r>
            <w:r>
              <w:rPr>
                <w:rFonts w:hint="eastAsia" w:ascii="宋体" w:hAnsi="宋体" w:cs="宋体"/>
                <w:spacing w:val="-3"/>
                <w:szCs w:val="21"/>
              </w:rPr>
              <w:t>或</w:t>
            </w:r>
            <w:r>
              <w:rPr>
                <w:rFonts w:hint="eastAsia" w:ascii="宋体" w:hAnsi="宋体" w:cs="宋体"/>
                <w:szCs w:val="21"/>
              </w:rPr>
              <w:t>中国土地估价师协会（中国土地估价师与土地登记代理人协会）专家的，每人加1分，满分2分。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cantSplit/>
          <w:trHeight w:val="1384" w:hRule="atLeast"/>
          <w:jc w:val="center"/>
        </w:trPr>
        <w:tc>
          <w:tcPr>
            <w:tcW w:w="936" w:type="dxa"/>
            <w:vMerge w:val="continue"/>
            <w:shd w:val="clear" w:color="auto" w:fill="auto"/>
            <w:vAlign w:val="center"/>
          </w:tcPr>
          <w:p>
            <w:pPr>
              <w:spacing w:line="312" w:lineRule="auto"/>
              <w:rPr>
                <w:rFonts w:ascii="宋体" w:hAnsi="宋体" w:cs="宋体"/>
                <w:sz w:val="20"/>
                <w:szCs w:val="20"/>
              </w:rPr>
            </w:pPr>
          </w:p>
        </w:tc>
        <w:tc>
          <w:tcPr>
            <w:tcW w:w="1095" w:type="dxa"/>
            <w:vMerge w:val="continue"/>
            <w:shd w:val="clear" w:color="auto" w:fill="auto"/>
            <w:vAlign w:val="center"/>
          </w:tcPr>
          <w:p>
            <w:pPr>
              <w:rPr>
                <w:rFonts w:ascii="宋体" w:hAnsi="宋体" w:cs="宋体"/>
                <w:sz w:val="20"/>
                <w:szCs w:val="20"/>
              </w:rPr>
            </w:pPr>
          </w:p>
        </w:tc>
        <w:tc>
          <w:tcPr>
            <w:tcW w:w="1135" w:type="dxa"/>
            <w:vMerge w:val="continue"/>
            <w:shd w:val="clear" w:color="auto" w:fill="auto"/>
            <w:vAlign w:val="center"/>
          </w:tcPr>
          <w:p>
            <w:pPr>
              <w:rPr>
                <w:rFonts w:ascii="宋体" w:hAnsi="宋体" w:cs="宋体"/>
                <w:sz w:val="20"/>
                <w:szCs w:val="20"/>
              </w:rPr>
            </w:pPr>
          </w:p>
        </w:tc>
        <w:tc>
          <w:tcPr>
            <w:tcW w:w="1190" w:type="dxa"/>
            <w:vMerge w:val="restart"/>
            <w:shd w:val="clear" w:color="auto" w:fill="FFFFFF"/>
            <w:vAlign w:val="center"/>
          </w:tcPr>
          <w:p>
            <w:pPr>
              <w:spacing w:line="360" w:lineRule="auto"/>
              <w:rPr>
                <w:rFonts w:ascii="宋体" w:hAnsi="宋体" w:cs="宋体"/>
                <w:szCs w:val="21"/>
              </w:rPr>
            </w:pPr>
            <w:r>
              <w:rPr>
                <w:rFonts w:hint="eastAsia" w:ascii="宋体" w:hAnsi="宋体" w:cs="宋体"/>
                <w:szCs w:val="21"/>
              </w:rPr>
              <w:t>企业业绩（15分）</w:t>
            </w:r>
          </w:p>
        </w:tc>
        <w:tc>
          <w:tcPr>
            <w:tcW w:w="6384" w:type="dxa"/>
            <w:shd w:val="clear" w:color="auto" w:fill="FFFFFF"/>
            <w:vAlign w:val="center"/>
          </w:tcPr>
          <w:p>
            <w:pPr>
              <w:spacing w:line="360" w:lineRule="auto"/>
              <w:rPr>
                <w:rFonts w:ascii="宋体" w:hAnsi="宋体" w:cs="宋体"/>
                <w:szCs w:val="21"/>
              </w:rPr>
            </w:pPr>
            <w:r>
              <w:rPr>
                <w:rFonts w:hint="eastAsia" w:ascii="宋体" w:hAnsi="宋体" w:cs="宋体"/>
                <w:szCs w:val="21"/>
              </w:rPr>
              <w:t>1、投标人自2018年以来具有地市级国家城市地价动态监测工作业绩的加3分。</w:t>
            </w:r>
          </w:p>
          <w:p>
            <w:pPr>
              <w:pStyle w:val="3"/>
              <w:rPr>
                <w:rFonts w:ascii="宋体" w:hAnsi="宋体" w:cs="宋体"/>
                <w:szCs w:val="21"/>
              </w:rPr>
            </w:pPr>
            <w:r>
              <w:rPr>
                <w:rFonts w:hint="eastAsia" w:ascii="宋体" w:hAnsi="宋体" w:cs="宋体"/>
                <w:szCs w:val="21"/>
              </w:rPr>
              <w:t>2、投标人自2018年以来具有地市级国有农用地基准地价项目业绩的加2分。</w:t>
            </w:r>
          </w:p>
          <w:p>
            <w:pPr>
              <w:pStyle w:val="3"/>
            </w:pPr>
            <w:r>
              <w:rPr>
                <w:rFonts w:hint="eastAsia" w:ascii="宋体" w:hAnsi="宋体" w:cs="宋体"/>
                <w:szCs w:val="21"/>
              </w:rPr>
              <w:t>3、投标人自2018年以来具有地市级标定地价调整项目业绩的，加2分。</w:t>
            </w:r>
          </w:p>
          <w:p>
            <w:pPr>
              <w:pStyle w:val="3"/>
              <w:rPr>
                <w:rFonts w:ascii="宋体" w:hAnsi="宋体" w:cs="宋体"/>
                <w:szCs w:val="21"/>
              </w:rPr>
            </w:pPr>
            <w:r>
              <w:rPr>
                <w:rFonts w:hint="eastAsia" w:ascii="宋体" w:hAnsi="宋体" w:cs="宋体"/>
                <w:szCs w:val="21"/>
              </w:rPr>
              <w:t>（以上业绩提供中标通知书或合同）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cantSplit/>
          <w:trHeight w:val="2472" w:hRule="atLeast"/>
          <w:jc w:val="center"/>
        </w:trPr>
        <w:tc>
          <w:tcPr>
            <w:tcW w:w="936" w:type="dxa"/>
            <w:vMerge w:val="continue"/>
            <w:shd w:val="clear" w:color="auto" w:fill="auto"/>
            <w:vAlign w:val="center"/>
          </w:tcPr>
          <w:p>
            <w:pPr>
              <w:spacing w:line="312" w:lineRule="auto"/>
              <w:rPr>
                <w:rFonts w:ascii="宋体" w:hAnsi="宋体" w:cs="宋体"/>
                <w:sz w:val="20"/>
                <w:szCs w:val="20"/>
              </w:rPr>
            </w:pPr>
          </w:p>
        </w:tc>
        <w:tc>
          <w:tcPr>
            <w:tcW w:w="1095" w:type="dxa"/>
            <w:vMerge w:val="continue"/>
            <w:shd w:val="clear" w:color="auto" w:fill="auto"/>
            <w:vAlign w:val="center"/>
          </w:tcPr>
          <w:p>
            <w:pPr>
              <w:rPr>
                <w:rFonts w:ascii="宋体" w:hAnsi="宋体" w:cs="宋体"/>
                <w:sz w:val="20"/>
                <w:szCs w:val="20"/>
              </w:rPr>
            </w:pPr>
          </w:p>
        </w:tc>
        <w:tc>
          <w:tcPr>
            <w:tcW w:w="1135" w:type="dxa"/>
            <w:vMerge w:val="continue"/>
            <w:shd w:val="clear" w:color="auto" w:fill="auto"/>
            <w:vAlign w:val="center"/>
          </w:tcPr>
          <w:p>
            <w:pPr>
              <w:rPr>
                <w:rFonts w:ascii="宋体" w:hAnsi="宋体" w:cs="宋体"/>
                <w:sz w:val="20"/>
                <w:szCs w:val="20"/>
              </w:rPr>
            </w:pPr>
          </w:p>
        </w:tc>
        <w:tc>
          <w:tcPr>
            <w:tcW w:w="1190" w:type="dxa"/>
            <w:vMerge w:val="continue"/>
            <w:shd w:val="clear" w:color="auto" w:fill="FFFFFF"/>
            <w:vAlign w:val="center"/>
          </w:tcPr>
          <w:p>
            <w:pPr>
              <w:spacing w:line="360" w:lineRule="auto"/>
              <w:rPr>
                <w:rFonts w:ascii="宋体" w:hAnsi="宋体" w:cs="宋体"/>
                <w:szCs w:val="21"/>
              </w:rPr>
            </w:pPr>
          </w:p>
        </w:tc>
        <w:tc>
          <w:tcPr>
            <w:tcW w:w="6384" w:type="dxa"/>
            <w:shd w:val="clear" w:color="auto" w:fill="FFFFFF"/>
            <w:vAlign w:val="center"/>
          </w:tcPr>
          <w:p>
            <w:pPr>
              <w:pStyle w:val="25"/>
              <w:numPr>
                <w:ilvl w:val="0"/>
                <w:numId w:val="10"/>
              </w:numPr>
              <w:spacing w:line="360" w:lineRule="auto"/>
              <w:ind w:firstLineChars="0"/>
              <w:rPr>
                <w:rFonts w:ascii="宋体" w:hAnsi="宋体" w:cs="宋体"/>
                <w:szCs w:val="21"/>
              </w:rPr>
            </w:pPr>
            <w:r>
              <w:rPr>
                <w:rFonts w:hint="eastAsia" w:ascii="宋体" w:hAnsi="宋体" w:cs="宋体"/>
                <w:szCs w:val="21"/>
              </w:rPr>
              <w:t>投标人自2018年以来具有县市级集体建设用地基准地价、农用地基准地价、国有农用地基准地价项目业绩的加2分。</w:t>
            </w:r>
          </w:p>
          <w:p>
            <w:pPr>
              <w:pStyle w:val="25"/>
              <w:numPr>
                <w:ilvl w:val="0"/>
                <w:numId w:val="10"/>
              </w:numPr>
              <w:spacing w:line="360" w:lineRule="auto"/>
              <w:ind w:firstLineChars="0"/>
              <w:rPr>
                <w:rFonts w:ascii="宋体" w:hAnsi="宋体" w:cs="宋体"/>
                <w:szCs w:val="21"/>
              </w:rPr>
            </w:pPr>
            <w:r>
              <w:rPr>
                <w:rFonts w:hint="eastAsia" w:ascii="宋体" w:hAnsi="宋体" w:cs="宋体"/>
                <w:szCs w:val="21"/>
              </w:rPr>
              <w:t>投标人自2018年以来具有县市级标定地价项目业绩的加2分。</w:t>
            </w:r>
          </w:p>
          <w:p>
            <w:pPr>
              <w:pStyle w:val="25"/>
              <w:numPr>
                <w:ilvl w:val="0"/>
                <w:numId w:val="10"/>
              </w:numPr>
              <w:spacing w:line="360" w:lineRule="auto"/>
              <w:ind w:firstLineChars="0"/>
              <w:rPr>
                <w:rFonts w:ascii="宋体" w:hAnsi="宋体" w:cs="宋体"/>
                <w:szCs w:val="21"/>
              </w:rPr>
            </w:pPr>
            <w:r>
              <w:rPr>
                <w:rFonts w:hint="eastAsia" w:ascii="宋体" w:hAnsi="宋体" w:cs="宋体"/>
                <w:szCs w:val="21"/>
              </w:rPr>
              <w:t>投标人自2018年以来具有县市级土地级别与基准地价更新，每个加2分，满分4分。</w:t>
            </w:r>
          </w:p>
          <w:p>
            <w:pPr>
              <w:pStyle w:val="25"/>
              <w:spacing w:line="360" w:lineRule="auto"/>
              <w:ind w:left="360" w:firstLine="0" w:firstLineChars="0"/>
              <w:rPr>
                <w:rFonts w:ascii="宋体" w:hAnsi="宋体" w:cs="宋体"/>
                <w:szCs w:val="21"/>
              </w:rPr>
            </w:pPr>
            <w:r>
              <w:rPr>
                <w:rFonts w:hint="eastAsia" w:ascii="宋体" w:hAnsi="宋体" w:cs="宋体"/>
                <w:szCs w:val="21"/>
              </w:rPr>
              <w:t>（以上业绩提供中标通知书或合同）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cantSplit/>
          <w:trHeight w:val="90" w:hRule="atLeast"/>
          <w:jc w:val="center"/>
        </w:trPr>
        <w:tc>
          <w:tcPr>
            <w:tcW w:w="936" w:type="dxa"/>
            <w:vMerge w:val="continue"/>
            <w:shd w:val="clear" w:color="auto" w:fill="auto"/>
            <w:vAlign w:val="center"/>
          </w:tcPr>
          <w:p>
            <w:pPr>
              <w:spacing w:line="312" w:lineRule="auto"/>
              <w:rPr>
                <w:rFonts w:ascii="宋体" w:hAnsi="宋体" w:cs="宋体"/>
                <w:sz w:val="20"/>
                <w:szCs w:val="20"/>
              </w:rPr>
            </w:pPr>
          </w:p>
        </w:tc>
        <w:tc>
          <w:tcPr>
            <w:tcW w:w="1095" w:type="dxa"/>
            <w:vMerge w:val="continue"/>
            <w:shd w:val="clear" w:color="auto" w:fill="auto"/>
            <w:vAlign w:val="center"/>
          </w:tcPr>
          <w:p>
            <w:pPr>
              <w:rPr>
                <w:rFonts w:ascii="宋体" w:hAnsi="宋体" w:cs="宋体"/>
                <w:sz w:val="20"/>
                <w:szCs w:val="20"/>
              </w:rPr>
            </w:pPr>
          </w:p>
        </w:tc>
        <w:tc>
          <w:tcPr>
            <w:tcW w:w="1135" w:type="dxa"/>
            <w:vMerge w:val="continue"/>
            <w:shd w:val="clear" w:color="auto" w:fill="auto"/>
            <w:vAlign w:val="center"/>
          </w:tcPr>
          <w:p>
            <w:pPr>
              <w:rPr>
                <w:rFonts w:ascii="宋体" w:hAnsi="宋体" w:cs="宋体"/>
                <w:sz w:val="20"/>
                <w:szCs w:val="20"/>
              </w:rPr>
            </w:pPr>
          </w:p>
        </w:tc>
        <w:tc>
          <w:tcPr>
            <w:tcW w:w="1190" w:type="dxa"/>
            <w:shd w:val="clear" w:color="auto" w:fill="FFFFFF"/>
            <w:vAlign w:val="center"/>
          </w:tcPr>
          <w:p>
            <w:pPr>
              <w:spacing w:line="360" w:lineRule="auto"/>
              <w:jc w:val="center"/>
              <w:rPr>
                <w:rFonts w:ascii="宋体" w:hAnsi="宋体" w:cs="宋体"/>
                <w:szCs w:val="21"/>
              </w:rPr>
            </w:pPr>
            <w:r>
              <w:rPr>
                <w:rFonts w:hint="eastAsia" w:ascii="宋体" w:hAnsi="宋体" w:cs="宋体"/>
                <w:szCs w:val="21"/>
              </w:rPr>
              <w:t>采购人意见（此项由采购方评委打3分）3分</w:t>
            </w:r>
          </w:p>
        </w:tc>
        <w:tc>
          <w:tcPr>
            <w:tcW w:w="6384" w:type="dxa"/>
            <w:shd w:val="clear" w:color="auto" w:fill="FFFFFF"/>
            <w:vAlign w:val="center"/>
          </w:tcPr>
          <w:p>
            <w:pPr>
              <w:spacing w:line="360" w:lineRule="auto"/>
              <w:rPr>
                <w:rFonts w:ascii="宋体" w:hAnsi="宋体" w:cs="宋体"/>
                <w:szCs w:val="21"/>
              </w:rPr>
            </w:pPr>
            <w:r>
              <w:rPr>
                <w:rFonts w:hint="eastAsia" w:ascii="宋体" w:hAnsi="宋体" w:cs="宋体"/>
                <w:szCs w:val="21"/>
              </w:rPr>
              <w:t>采购人根据企业规模、业绩、信誉、服务承诺等以及对招标文件的响应程度进行综合评价酌情打分</w:t>
            </w:r>
            <w:r>
              <w:rPr>
                <w:rFonts w:ascii="宋体" w:hAnsi="宋体" w:cs="宋体"/>
                <w:szCs w:val="21"/>
              </w:rPr>
              <w:t>0</w:t>
            </w: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cantSplit/>
          <w:trHeight w:val="430" w:hRule="atLeast"/>
          <w:jc w:val="center"/>
        </w:trPr>
        <w:tc>
          <w:tcPr>
            <w:tcW w:w="936" w:type="dxa"/>
            <w:vMerge w:val="restart"/>
            <w:shd w:val="clear" w:color="auto" w:fill="auto"/>
            <w:vAlign w:val="center"/>
          </w:tcPr>
          <w:p>
            <w:pPr>
              <w:spacing w:line="312" w:lineRule="auto"/>
              <w:rPr>
                <w:rFonts w:ascii="宋体" w:hAnsi="宋体" w:cs="宋体"/>
                <w:szCs w:val="21"/>
              </w:rPr>
            </w:pPr>
            <w:r>
              <w:rPr>
                <w:rFonts w:hint="eastAsia" w:ascii="宋体" w:hAnsi="宋体" w:cs="宋体"/>
                <w:szCs w:val="21"/>
              </w:rPr>
              <w:t>2.2.3（3）</w:t>
            </w:r>
          </w:p>
        </w:tc>
        <w:tc>
          <w:tcPr>
            <w:tcW w:w="1095" w:type="dxa"/>
            <w:vMerge w:val="restart"/>
            <w:shd w:val="clear" w:color="auto" w:fill="auto"/>
            <w:vAlign w:val="center"/>
          </w:tcPr>
          <w:p>
            <w:pPr>
              <w:spacing w:line="312" w:lineRule="auto"/>
              <w:rPr>
                <w:rFonts w:ascii="宋体" w:hAnsi="宋体" w:cs="宋体"/>
                <w:szCs w:val="21"/>
              </w:rPr>
            </w:pPr>
            <w:r>
              <w:rPr>
                <w:rFonts w:hint="eastAsia" w:ascii="宋体" w:hAnsi="宋体" w:cs="宋体"/>
                <w:szCs w:val="21"/>
              </w:rPr>
              <w:t>技术部分（30分）</w:t>
            </w:r>
          </w:p>
          <w:p>
            <w:pPr>
              <w:tabs>
                <w:tab w:val="left" w:pos="780"/>
              </w:tabs>
              <w:spacing w:line="360" w:lineRule="auto"/>
              <w:rPr>
                <w:rFonts w:ascii="宋体" w:hAnsi="宋体" w:cs="宋体"/>
                <w:szCs w:val="21"/>
              </w:rPr>
            </w:pPr>
          </w:p>
        </w:tc>
        <w:tc>
          <w:tcPr>
            <w:tcW w:w="1135" w:type="dxa"/>
            <w:vMerge w:val="restart"/>
            <w:shd w:val="clear" w:color="auto" w:fill="auto"/>
            <w:vAlign w:val="center"/>
          </w:tcPr>
          <w:p>
            <w:pPr>
              <w:tabs>
                <w:tab w:val="left" w:pos="780"/>
              </w:tabs>
              <w:spacing w:line="360" w:lineRule="auto"/>
              <w:rPr>
                <w:rFonts w:ascii="宋体" w:hAnsi="宋体" w:cs="宋体"/>
                <w:szCs w:val="21"/>
              </w:rPr>
            </w:pPr>
            <w:r>
              <w:rPr>
                <w:rFonts w:hint="eastAsia" w:ascii="宋体" w:hAnsi="宋体" w:cs="宋体"/>
                <w:szCs w:val="21"/>
              </w:rPr>
              <w:t>技术部分评审标准</w:t>
            </w:r>
          </w:p>
        </w:tc>
        <w:tc>
          <w:tcPr>
            <w:tcW w:w="1190" w:type="dxa"/>
            <w:vMerge w:val="restart"/>
            <w:shd w:val="clear" w:color="auto" w:fill="FFFFFF"/>
            <w:vAlign w:val="center"/>
          </w:tcPr>
          <w:p>
            <w:pPr>
              <w:spacing w:line="360" w:lineRule="auto"/>
              <w:rPr>
                <w:rFonts w:ascii="宋体" w:hAnsi="宋体" w:cs="宋体"/>
                <w:szCs w:val="21"/>
              </w:rPr>
            </w:pPr>
            <w:r>
              <w:rPr>
                <w:rFonts w:hint="eastAsia" w:ascii="宋体" w:hAnsi="宋体" w:cs="宋体"/>
                <w:szCs w:val="21"/>
              </w:rPr>
              <w:t>实施方案（30分）</w:t>
            </w:r>
          </w:p>
        </w:tc>
        <w:tc>
          <w:tcPr>
            <w:tcW w:w="6384" w:type="dxa"/>
            <w:shd w:val="clear" w:color="auto" w:fill="FFFFFF"/>
            <w:vAlign w:val="center"/>
          </w:tcPr>
          <w:p>
            <w:pPr>
              <w:spacing w:line="360" w:lineRule="auto"/>
              <w:rPr>
                <w:rFonts w:ascii="宋体" w:hAnsi="宋体" w:cs="宋体"/>
                <w:szCs w:val="21"/>
              </w:rPr>
            </w:pPr>
            <w:r>
              <w:rPr>
                <w:rFonts w:hint="eastAsia" w:ascii="宋体" w:hAnsi="宋体" w:cs="宋体"/>
                <w:szCs w:val="21"/>
              </w:rPr>
              <w:t xml:space="preserve">机构及主要业务流程（2-6分）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cantSplit/>
          <w:trHeight w:val="662" w:hRule="atLeast"/>
          <w:jc w:val="center"/>
        </w:trPr>
        <w:tc>
          <w:tcPr>
            <w:tcW w:w="936" w:type="dxa"/>
            <w:vMerge w:val="continue"/>
            <w:shd w:val="clear" w:color="auto" w:fill="auto"/>
            <w:vAlign w:val="center"/>
          </w:tcPr>
          <w:p>
            <w:pPr>
              <w:spacing w:line="312" w:lineRule="auto"/>
              <w:rPr>
                <w:rFonts w:ascii="宋体" w:hAnsi="宋体" w:cs="宋体"/>
                <w:sz w:val="20"/>
                <w:szCs w:val="20"/>
              </w:rPr>
            </w:pPr>
          </w:p>
        </w:tc>
        <w:tc>
          <w:tcPr>
            <w:tcW w:w="1095" w:type="dxa"/>
            <w:vMerge w:val="continue"/>
            <w:shd w:val="clear" w:color="auto" w:fill="auto"/>
            <w:vAlign w:val="center"/>
          </w:tcPr>
          <w:p>
            <w:pPr>
              <w:tabs>
                <w:tab w:val="left" w:pos="780"/>
              </w:tabs>
              <w:spacing w:line="360" w:lineRule="auto"/>
              <w:rPr>
                <w:rFonts w:ascii="宋体" w:hAnsi="宋体" w:cs="宋体"/>
                <w:sz w:val="20"/>
                <w:szCs w:val="20"/>
              </w:rPr>
            </w:pPr>
          </w:p>
        </w:tc>
        <w:tc>
          <w:tcPr>
            <w:tcW w:w="1135" w:type="dxa"/>
            <w:vMerge w:val="continue"/>
            <w:shd w:val="clear" w:color="auto" w:fill="auto"/>
            <w:vAlign w:val="center"/>
          </w:tcPr>
          <w:p>
            <w:pPr>
              <w:tabs>
                <w:tab w:val="left" w:pos="780"/>
              </w:tabs>
              <w:spacing w:line="360" w:lineRule="auto"/>
              <w:rPr>
                <w:rFonts w:ascii="宋体" w:hAnsi="宋体" w:cs="宋体"/>
                <w:sz w:val="20"/>
                <w:szCs w:val="20"/>
              </w:rPr>
            </w:pPr>
          </w:p>
        </w:tc>
        <w:tc>
          <w:tcPr>
            <w:tcW w:w="1190" w:type="dxa"/>
            <w:vMerge w:val="continue"/>
            <w:shd w:val="clear" w:color="auto" w:fill="FFFFFF"/>
            <w:vAlign w:val="center"/>
          </w:tcPr>
          <w:p>
            <w:pPr>
              <w:spacing w:line="360" w:lineRule="auto"/>
              <w:rPr>
                <w:rFonts w:ascii="宋体" w:hAnsi="宋体" w:cs="宋体"/>
                <w:szCs w:val="21"/>
              </w:rPr>
            </w:pPr>
          </w:p>
        </w:tc>
        <w:tc>
          <w:tcPr>
            <w:tcW w:w="6384" w:type="dxa"/>
            <w:shd w:val="clear" w:color="auto" w:fill="FFFFFF"/>
            <w:vAlign w:val="center"/>
          </w:tcPr>
          <w:p>
            <w:pPr>
              <w:spacing w:line="360" w:lineRule="auto"/>
              <w:rPr>
                <w:rFonts w:ascii="宋体" w:hAnsi="宋体" w:cs="宋体"/>
                <w:szCs w:val="21"/>
              </w:rPr>
            </w:pPr>
            <w:r>
              <w:rPr>
                <w:rFonts w:hint="eastAsia" w:ascii="宋体" w:hAnsi="宋体" w:cs="宋体"/>
                <w:szCs w:val="21"/>
              </w:rPr>
              <w:t>项目工作进度安排计划表（2-6分）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cantSplit/>
          <w:trHeight w:val="556" w:hRule="atLeast"/>
          <w:jc w:val="center"/>
        </w:trPr>
        <w:tc>
          <w:tcPr>
            <w:tcW w:w="936" w:type="dxa"/>
            <w:vMerge w:val="continue"/>
            <w:vAlign w:val="center"/>
          </w:tcPr>
          <w:p>
            <w:pPr>
              <w:spacing w:line="312" w:lineRule="auto"/>
              <w:rPr>
                <w:rFonts w:ascii="宋体" w:hAnsi="宋体" w:cs="宋体"/>
                <w:sz w:val="20"/>
                <w:szCs w:val="20"/>
              </w:rPr>
            </w:pPr>
          </w:p>
        </w:tc>
        <w:tc>
          <w:tcPr>
            <w:tcW w:w="1095" w:type="dxa"/>
            <w:vMerge w:val="continue"/>
            <w:vAlign w:val="center"/>
          </w:tcPr>
          <w:p>
            <w:pPr>
              <w:spacing w:line="312" w:lineRule="auto"/>
              <w:rPr>
                <w:rFonts w:ascii="宋体" w:hAnsi="宋体" w:cs="宋体"/>
                <w:sz w:val="20"/>
                <w:szCs w:val="20"/>
              </w:rPr>
            </w:pPr>
          </w:p>
        </w:tc>
        <w:tc>
          <w:tcPr>
            <w:tcW w:w="1135" w:type="dxa"/>
            <w:vMerge w:val="continue"/>
            <w:vAlign w:val="center"/>
          </w:tcPr>
          <w:p>
            <w:pPr>
              <w:spacing w:line="312" w:lineRule="auto"/>
              <w:rPr>
                <w:rFonts w:ascii="宋体" w:hAnsi="宋体" w:cs="宋体"/>
                <w:sz w:val="20"/>
                <w:szCs w:val="20"/>
              </w:rPr>
            </w:pPr>
          </w:p>
        </w:tc>
        <w:tc>
          <w:tcPr>
            <w:tcW w:w="1190" w:type="dxa"/>
            <w:vMerge w:val="continue"/>
            <w:vAlign w:val="center"/>
          </w:tcPr>
          <w:p>
            <w:pPr>
              <w:spacing w:line="360" w:lineRule="auto"/>
              <w:rPr>
                <w:rFonts w:ascii="宋体" w:hAnsi="宋体" w:cs="宋体"/>
                <w:szCs w:val="21"/>
              </w:rPr>
            </w:pPr>
          </w:p>
        </w:tc>
        <w:tc>
          <w:tcPr>
            <w:tcW w:w="6384" w:type="dxa"/>
            <w:vAlign w:val="center"/>
          </w:tcPr>
          <w:p>
            <w:pPr>
              <w:spacing w:line="360" w:lineRule="auto"/>
              <w:rPr>
                <w:rFonts w:ascii="宋体" w:hAnsi="宋体" w:cs="宋体"/>
                <w:szCs w:val="21"/>
              </w:rPr>
            </w:pPr>
            <w:r>
              <w:rPr>
                <w:rFonts w:hint="eastAsia" w:ascii="宋体" w:hAnsi="宋体" w:cs="宋体"/>
                <w:szCs w:val="21"/>
              </w:rPr>
              <w:t>项目人员组成情况（2-6分）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cantSplit/>
          <w:trHeight w:val="478" w:hRule="atLeast"/>
          <w:jc w:val="center"/>
        </w:trPr>
        <w:tc>
          <w:tcPr>
            <w:tcW w:w="936" w:type="dxa"/>
            <w:vMerge w:val="continue"/>
            <w:vAlign w:val="center"/>
          </w:tcPr>
          <w:p>
            <w:pPr>
              <w:spacing w:line="312" w:lineRule="auto"/>
              <w:rPr>
                <w:rFonts w:ascii="宋体" w:hAnsi="宋体" w:cs="宋体"/>
                <w:sz w:val="20"/>
                <w:szCs w:val="20"/>
              </w:rPr>
            </w:pPr>
          </w:p>
        </w:tc>
        <w:tc>
          <w:tcPr>
            <w:tcW w:w="1095" w:type="dxa"/>
            <w:vMerge w:val="continue"/>
            <w:vAlign w:val="center"/>
          </w:tcPr>
          <w:p>
            <w:pPr>
              <w:spacing w:line="312" w:lineRule="auto"/>
              <w:rPr>
                <w:rFonts w:ascii="宋体" w:hAnsi="宋体" w:cs="宋体"/>
                <w:sz w:val="20"/>
                <w:szCs w:val="20"/>
              </w:rPr>
            </w:pPr>
          </w:p>
        </w:tc>
        <w:tc>
          <w:tcPr>
            <w:tcW w:w="1135" w:type="dxa"/>
            <w:vMerge w:val="continue"/>
            <w:vAlign w:val="center"/>
          </w:tcPr>
          <w:p>
            <w:pPr>
              <w:spacing w:line="312" w:lineRule="auto"/>
              <w:rPr>
                <w:rFonts w:ascii="宋体" w:hAnsi="宋体" w:cs="宋体"/>
                <w:sz w:val="20"/>
                <w:szCs w:val="20"/>
              </w:rPr>
            </w:pPr>
          </w:p>
        </w:tc>
        <w:tc>
          <w:tcPr>
            <w:tcW w:w="1190" w:type="dxa"/>
            <w:vMerge w:val="continue"/>
            <w:vAlign w:val="center"/>
          </w:tcPr>
          <w:p>
            <w:pPr>
              <w:spacing w:line="360" w:lineRule="auto"/>
              <w:rPr>
                <w:rFonts w:ascii="宋体" w:hAnsi="宋体" w:cs="宋体"/>
                <w:szCs w:val="21"/>
              </w:rPr>
            </w:pPr>
          </w:p>
        </w:tc>
        <w:tc>
          <w:tcPr>
            <w:tcW w:w="6384" w:type="dxa"/>
            <w:vAlign w:val="center"/>
          </w:tcPr>
          <w:p>
            <w:pPr>
              <w:spacing w:line="360" w:lineRule="auto"/>
              <w:rPr>
                <w:rFonts w:ascii="宋体" w:hAnsi="宋体" w:cs="宋体"/>
                <w:szCs w:val="21"/>
              </w:rPr>
            </w:pPr>
            <w:r>
              <w:rPr>
                <w:rFonts w:hint="eastAsia" w:ascii="宋体" w:hAnsi="宋体" w:cs="宋体"/>
                <w:szCs w:val="21"/>
              </w:rPr>
              <w:t>项目实施技术路线（2-6分）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cantSplit/>
          <w:trHeight w:val="416" w:hRule="atLeast"/>
          <w:jc w:val="center"/>
        </w:trPr>
        <w:tc>
          <w:tcPr>
            <w:tcW w:w="936" w:type="dxa"/>
            <w:vMerge w:val="continue"/>
            <w:vAlign w:val="center"/>
          </w:tcPr>
          <w:p>
            <w:pPr>
              <w:spacing w:line="312" w:lineRule="auto"/>
              <w:rPr>
                <w:rFonts w:ascii="宋体" w:hAnsi="宋体" w:cs="宋体"/>
                <w:sz w:val="20"/>
                <w:szCs w:val="20"/>
              </w:rPr>
            </w:pPr>
          </w:p>
        </w:tc>
        <w:tc>
          <w:tcPr>
            <w:tcW w:w="1095" w:type="dxa"/>
            <w:vMerge w:val="continue"/>
            <w:vAlign w:val="center"/>
          </w:tcPr>
          <w:p>
            <w:pPr>
              <w:spacing w:line="312" w:lineRule="auto"/>
              <w:rPr>
                <w:rFonts w:ascii="宋体" w:hAnsi="宋体" w:cs="宋体"/>
                <w:sz w:val="20"/>
                <w:szCs w:val="20"/>
              </w:rPr>
            </w:pPr>
          </w:p>
        </w:tc>
        <w:tc>
          <w:tcPr>
            <w:tcW w:w="1135" w:type="dxa"/>
            <w:vMerge w:val="continue"/>
            <w:vAlign w:val="center"/>
          </w:tcPr>
          <w:p>
            <w:pPr>
              <w:spacing w:line="312" w:lineRule="auto"/>
              <w:rPr>
                <w:rFonts w:ascii="宋体" w:hAnsi="宋体" w:cs="宋体"/>
                <w:sz w:val="20"/>
                <w:szCs w:val="20"/>
              </w:rPr>
            </w:pPr>
          </w:p>
        </w:tc>
        <w:tc>
          <w:tcPr>
            <w:tcW w:w="1190" w:type="dxa"/>
            <w:vMerge w:val="continue"/>
            <w:vAlign w:val="center"/>
          </w:tcPr>
          <w:p>
            <w:pPr>
              <w:spacing w:line="360" w:lineRule="auto"/>
              <w:rPr>
                <w:rFonts w:ascii="宋体" w:hAnsi="宋体" w:cs="宋体"/>
                <w:szCs w:val="21"/>
              </w:rPr>
            </w:pPr>
          </w:p>
        </w:tc>
        <w:tc>
          <w:tcPr>
            <w:tcW w:w="6384" w:type="dxa"/>
            <w:vAlign w:val="center"/>
          </w:tcPr>
          <w:p>
            <w:pPr>
              <w:spacing w:line="360" w:lineRule="auto"/>
              <w:rPr>
                <w:rFonts w:ascii="宋体" w:hAnsi="宋体" w:cs="宋体"/>
                <w:szCs w:val="21"/>
              </w:rPr>
            </w:pPr>
            <w:r>
              <w:rPr>
                <w:rFonts w:hint="eastAsia" w:ascii="宋体" w:hAnsi="宋体" w:cs="宋体"/>
                <w:szCs w:val="21"/>
              </w:rPr>
              <w:t>确保工程质量、工期的技术和组织措施（2-6分）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cantSplit/>
          <w:trHeight w:val="621" w:hRule="atLeast"/>
          <w:jc w:val="center"/>
        </w:trPr>
        <w:tc>
          <w:tcPr>
            <w:tcW w:w="10740" w:type="dxa"/>
            <w:gridSpan w:val="5"/>
            <w:vAlign w:val="center"/>
          </w:tcPr>
          <w:p>
            <w:pPr>
              <w:spacing w:line="360" w:lineRule="auto"/>
              <w:rPr>
                <w:rFonts w:ascii="宋体" w:hAnsi="宋体" w:cs="宋体"/>
                <w:color w:val="FF0000"/>
                <w:szCs w:val="21"/>
              </w:rPr>
            </w:pPr>
            <w:r>
              <w:rPr>
                <w:rFonts w:hint="eastAsia" w:ascii="宋体" w:hAnsi="宋体" w:cs="宋体"/>
                <w:color w:val="000000" w:themeColor="text1"/>
                <w:szCs w:val="21"/>
              </w:rPr>
              <w:t>注：有缺项则该项按0分计。</w:t>
            </w:r>
          </w:p>
        </w:tc>
      </w:tr>
    </w:tbl>
    <w:p>
      <w:pPr>
        <w:spacing w:line="360" w:lineRule="auto"/>
        <w:rPr>
          <w:rFonts w:ascii="新宋体" w:hAnsi="新宋体" w:eastAsia="新宋体" w:cs="新宋体"/>
          <w:b/>
          <w:sz w:val="24"/>
          <w:lang w:val="zh-CN"/>
        </w:rPr>
      </w:pPr>
    </w:p>
    <w:p>
      <w:pPr>
        <w:pStyle w:val="2"/>
        <w:ind w:firstLine="241"/>
        <w:rPr>
          <w:rFonts w:ascii="新宋体" w:hAnsi="新宋体" w:eastAsia="新宋体" w:cs="新宋体"/>
          <w:b/>
          <w:sz w:val="24"/>
          <w:lang w:val="zh-CN"/>
        </w:rPr>
      </w:pPr>
    </w:p>
    <w:p>
      <w:pPr>
        <w:pStyle w:val="4"/>
        <w:rPr>
          <w:lang w:val="zh-CN"/>
        </w:rPr>
      </w:pPr>
    </w:p>
    <w:p>
      <w:pPr>
        <w:spacing w:line="360" w:lineRule="auto"/>
        <w:rPr>
          <w:rFonts w:ascii="新宋体" w:hAnsi="新宋体" w:eastAsia="新宋体" w:cs="新宋体"/>
          <w:b/>
          <w:sz w:val="24"/>
          <w:lang w:val="zh-CN"/>
        </w:rPr>
      </w:pPr>
      <w:r>
        <w:rPr>
          <w:rFonts w:hint="eastAsia" w:ascii="新宋体" w:hAnsi="新宋体" w:eastAsia="新宋体" w:cs="新宋体"/>
          <w:b/>
          <w:sz w:val="24"/>
          <w:lang w:val="zh-CN"/>
        </w:rPr>
        <w:t>其中：价格分计算（落实政府采购政策价格调整部分）</w:t>
      </w:r>
    </w:p>
    <w:tbl>
      <w:tblPr>
        <w:tblStyle w:val="1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非联合体投标人</w:t>
            </w:r>
          </w:p>
        </w:tc>
        <w:tc>
          <w:tcPr>
            <w:tcW w:w="2552" w:type="dxa"/>
            <w:vAlign w:val="center"/>
          </w:tcPr>
          <w:p>
            <w:pPr>
              <w:jc w:val="center"/>
              <w:rPr>
                <w:rFonts w:ascii="ˎ̥" w:hAnsi="ˎ̥"/>
                <w:szCs w:val="21"/>
              </w:rPr>
            </w:pPr>
            <w:r>
              <w:rPr>
                <w:rFonts w:hint="eastAsia" w:ascii="ˎ̥" w:hAnsi="ˎ̥"/>
                <w:szCs w:val="21"/>
              </w:rPr>
              <w:t>对小型和微型企业报价</w:t>
            </w:r>
          </w:p>
          <w:p>
            <w:pPr>
              <w:jc w:val="center"/>
              <w:rPr>
                <w:rFonts w:ascii="宋体" w:hAnsi="宋体"/>
                <w:b/>
                <w:szCs w:val="21"/>
                <w:lang w:val="en-GB"/>
              </w:rPr>
            </w:pPr>
            <w:r>
              <w:rPr>
                <w:rFonts w:hint="eastAsia" w:ascii="ˎ̥" w:hAnsi="ˎ̥"/>
                <w:szCs w:val="21"/>
              </w:rPr>
              <w:t>扣除6%</w:t>
            </w:r>
          </w:p>
        </w:tc>
        <w:tc>
          <w:tcPr>
            <w:tcW w:w="2835" w:type="dxa"/>
            <w:vMerge w:val="restart"/>
            <w:shd w:val="clear" w:color="auto" w:fill="auto"/>
            <w:vAlign w:val="center"/>
          </w:tcPr>
          <w:p>
            <w:pPr>
              <w:jc w:val="center"/>
              <w:rPr>
                <w:szCs w:val="21"/>
                <w:lang w:val="en-GB"/>
              </w:rPr>
            </w:pPr>
            <w:r>
              <w:rPr>
                <w:rFonts w:hint="eastAsia"/>
                <w:szCs w:val="21"/>
                <w:lang w:val="en-GB"/>
              </w:rPr>
              <w:t>评标价格＝</w:t>
            </w:r>
            <w:r>
              <w:rPr>
                <w:rFonts w:hint="eastAsia" w:ascii="ˎ̥" w:hAnsi="ˎ̥"/>
                <w:szCs w:val="21"/>
              </w:rPr>
              <w:t>小型和微型企业报价</w:t>
            </w:r>
            <w:r>
              <w:rPr>
                <w:rFonts w:hint="eastAsia" w:ascii="宋体" w:hAnsi="宋体"/>
                <w:szCs w:val="21"/>
                <w:lang w:val="en-GB"/>
              </w:rPr>
              <w:t>×（1-</w:t>
            </w:r>
            <w:r>
              <w:rPr>
                <w:rFonts w:hint="eastAsia"/>
                <w:szCs w:val="21"/>
                <w:lang w:val="en-GB"/>
              </w:rPr>
              <w:t>6%</w:t>
            </w:r>
            <w:r>
              <w:rPr>
                <w:rFonts w:hint="eastAsia" w:ascii="宋体" w:hAnsi="宋体"/>
                <w:szCs w:val="21"/>
                <w:lang w:val="en-GB"/>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szCs w:val="21"/>
                <w:lang w:val="en-GB"/>
              </w:rPr>
            </w:pPr>
            <w:r>
              <w:rPr>
                <w:rFonts w:hint="eastAsia" w:ascii="宋体" w:hAnsi="宋体"/>
                <w:szCs w:val="21"/>
                <w:lang w:val="en-GB"/>
              </w:rPr>
              <w:t>联合体各方均为</w:t>
            </w:r>
          </w:p>
          <w:p>
            <w:pPr>
              <w:jc w:val="center"/>
              <w:rPr>
                <w:rFonts w:ascii="宋体" w:hAnsi="宋体"/>
                <w:b/>
                <w:szCs w:val="21"/>
              </w:rPr>
            </w:pPr>
            <w:r>
              <w:rPr>
                <w:rFonts w:hint="eastAsia" w:ascii="宋体" w:hAnsi="宋体"/>
                <w:szCs w:val="21"/>
                <w:lang w:val="en-GB"/>
              </w:rPr>
              <w:t>小型、微型企业</w:t>
            </w:r>
          </w:p>
        </w:tc>
        <w:tc>
          <w:tcPr>
            <w:tcW w:w="2552" w:type="dxa"/>
            <w:vAlign w:val="center"/>
          </w:tcPr>
          <w:p>
            <w:pPr>
              <w:jc w:val="center"/>
              <w:rPr>
                <w:rFonts w:ascii="宋体" w:hAnsi="宋体"/>
                <w:szCs w:val="21"/>
              </w:rPr>
            </w:pPr>
            <w:r>
              <w:rPr>
                <w:rFonts w:hint="eastAsia" w:ascii="ˎ̥" w:hAnsi="ˎ̥"/>
                <w:szCs w:val="21"/>
              </w:rPr>
              <w:t>对小型和微型企业报价</w:t>
            </w:r>
          </w:p>
          <w:p>
            <w:pPr>
              <w:jc w:val="center"/>
              <w:rPr>
                <w:rFonts w:ascii="宋体" w:hAnsi="宋体"/>
                <w:szCs w:val="21"/>
              </w:rPr>
            </w:pPr>
            <w:r>
              <w:rPr>
                <w:rFonts w:hint="eastAsia" w:ascii="宋体" w:hAnsi="宋体"/>
                <w:szCs w:val="21"/>
              </w:rPr>
              <w:t>扣除6%</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ascii="ˎ̥" w:hAnsi="ˎ̥"/>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szCs w:val="21"/>
              </w:rPr>
              <w:t>对联合体或者大中型企业的报价</w:t>
            </w:r>
            <w:r>
              <w:rPr>
                <w:rFonts w:hint="eastAsia" w:ascii="宋体" w:hAnsi="宋体"/>
                <w:szCs w:val="21"/>
                <w:lang w:val="en-GB"/>
              </w:rPr>
              <w:t>扣除</w:t>
            </w:r>
            <w:r>
              <w:rPr>
                <w:rFonts w:ascii="宋体" w:hAnsi="宋体"/>
                <w:szCs w:val="21"/>
              </w:rPr>
              <w:t>2</w:t>
            </w:r>
            <w:r>
              <w:rPr>
                <w:rFonts w:hint="eastAsia" w:ascii="宋体" w:hAnsi="宋体"/>
                <w:szCs w:val="21"/>
              </w:rPr>
              <w:t>%</w:t>
            </w:r>
          </w:p>
        </w:tc>
        <w:tc>
          <w:tcPr>
            <w:tcW w:w="2835" w:type="dxa"/>
            <w:shd w:val="clear" w:color="auto" w:fill="auto"/>
            <w:vAlign w:val="center"/>
          </w:tcPr>
          <w:p>
            <w:pPr>
              <w:jc w:val="center"/>
              <w:rPr>
                <w:rFonts w:ascii="宋体" w:hAnsi="宋体"/>
                <w:b/>
                <w:szCs w:val="21"/>
                <w:lang w:val="en-GB"/>
              </w:rPr>
            </w:pPr>
            <w:r>
              <w:rPr>
                <w:rFonts w:hint="eastAsia" w:ascii="宋体" w:hAnsi="宋体"/>
                <w:szCs w:val="21"/>
                <w:lang w:val="en-GB"/>
              </w:rPr>
              <w:t>评标价格＝投标报价×</w:t>
            </w:r>
            <w:r>
              <w:rPr>
                <w:rFonts w:hint="eastAsia" w:ascii="宋体" w:hAnsi="宋体"/>
                <w:szCs w:val="21"/>
              </w:rPr>
              <w:t>(1-</w:t>
            </w:r>
            <w:r>
              <w:rPr>
                <w:szCs w:val="21"/>
                <w:lang w:val="en-GB"/>
              </w:rPr>
              <w:t>2</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pStyle w:val="23"/>
        <w:rPr>
          <w:lang w:val="zh-CN"/>
        </w:rPr>
      </w:pPr>
    </w:p>
    <w:p>
      <w:pPr>
        <w:pStyle w:val="23"/>
        <w:rPr>
          <w:lang w:val="zh-CN"/>
        </w:rPr>
      </w:pPr>
      <w:r>
        <w:rPr>
          <w:rFonts w:hint="eastAsia"/>
          <w:lang w:val="zh-CN"/>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0"/>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9</w:t>
      </w:r>
      <w:r>
        <w:rPr>
          <w:rFonts w:hint="eastAsia" w:cs="仿宋_GB2312" w:asciiTheme="minorEastAsia" w:hAnsiTheme="minor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 xml:space="preserve">确定中标候选人名单，评标委员会按得分从高到低推荐三名中标人。 </w:t>
      </w:r>
    </w:p>
    <w:p>
      <w:pPr>
        <w:spacing w:line="360" w:lineRule="auto"/>
        <w:ind w:firstLine="422" w:firstLineChars="200"/>
        <w:contextualSpacing/>
        <w:rPr>
          <w:rFonts w:cs="仿宋_GB2312" w:asciiTheme="minorEastAsia" w:hAnsiTheme="minorEastAsia"/>
          <w:b/>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3"/>
        <w:rPr>
          <w:rFonts w:ascii="宋体" w:hAnsi="宋体" w:cs="Courier New"/>
          <w:szCs w:val="21"/>
        </w:rPr>
      </w:pPr>
    </w:p>
    <w:p>
      <w:pPr>
        <w:pStyle w:val="23"/>
        <w:rPr>
          <w:rFonts w:ascii="宋体" w:hAnsi="宋体" w:cs="Courier New"/>
          <w:szCs w:val="21"/>
        </w:rPr>
      </w:pPr>
    </w:p>
    <w:p>
      <w:pPr>
        <w:pStyle w:val="23"/>
        <w:rPr>
          <w:rFonts w:ascii="宋体" w:hAnsi="宋体" w:cs="Courier New"/>
          <w:szCs w:val="21"/>
        </w:rPr>
      </w:pPr>
    </w:p>
    <w:p>
      <w:pPr>
        <w:pStyle w:val="23"/>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ind w:firstLine="210"/>
        <w:rPr>
          <w:rFonts w:ascii="宋体" w:hAnsi="宋体" w:cs="Courier New"/>
          <w:szCs w:val="21"/>
        </w:rPr>
      </w:pPr>
    </w:p>
    <w:p>
      <w:pPr>
        <w:pStyle w:val="4"/>
        <w:rPr>
          <w:rFonts w:ascii="宋体" w:hAnsi="宋体" w:cs="Courier New"/>
          <w:szCs w:val="21"/>
        </w:rPr>
      </w:pPr>
    </w:p>
    <w:p>
      <w:pPr>
        <w:rPr>
          <w:rFonts w:ascii="宋体" w:hAnsi="宋体" w:cs="Courier New"/>
          <w:szCs w:val="21"/>
        </w:rPr>
      </w:pPr>
    </w:p>
    <w:p>
      <w:pPr>
        <w:pStyle w:val="2"/>
        <w:ind w:firstLine="210"/>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4"/>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1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1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1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1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1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1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14"/>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1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1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1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1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14"/>
        <w:spacing w:before="75" w:after="75" w:line="360" w:lineRule="auto"/>
        <w:rPr>
          <w:rFonts w:cs="宋体" w:asciiTheme="majorEastAsia" w:hAnsiTheme="majorEastAsia" w:eastAsiaTheme="majorEastAsia"/>
          <w:b/>
          <w:kern w:val="0"/>
          <w:sz w:val="36"/>
          <w:szCs w:val="36"/>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tabs>
          <w:tab w:val="left" w:pos="1260"/>
        </w:tabs>
        <w:autoSpaceDE w:val="0"/>
        <w:autoSpaceDN w:val="0"/>
        <w:adjustRightInd w:val="0"/>
        <w:spacing w:line="360" w:lineRule="auto"/>
        <w:ind w:firstLine="2249" w:firstLineChars="700"/>
        <w:contextualSpacing/>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ind w:firstLine="551"/>
        <w:jc w:val="center"/>
        <w:rPr>
          <w:rFonts w:cs="黑体" w:asciiTheme="minorEastAsia" w:hAnsiTheme="minorEastAsia"/>
          <w:b/>
          <w:bCs/>
          <w:sz w:val="44"/>
          <w:szCs w:val="44"/>
          <w:lang w:val="zh-CN"/>
        </w:rPr>
      </w:pPr>
      <w:r>
        <w:rPr>
          <w:rFonts w:cs="黑体" w:asciiTheme="minorEastAsia" w:hAnsiTheme="minorEastAsia"/>
          <w:b/>
          <w:bCs/>
          <w:sz w:val="32"/>
          <w:szCs w:val="32"/>
          <w:lang w:val="zh-CN"/>
        </w:rPr>
        <w:t>（如涉及本项目的提供）</w:t>
      </w:r>
    </w:p>
    <w:p>
      <w:pPr>
        <w:autoSpaceDE w:val="0"/>
        <w:autoSpaceDN w:val="0"/>
        <w:adjustRightInd w:val="0"/>
        <w:ind w:left="422" w:hanging="422" w:hangingChars="200"/>
        <w:rPr>
          <w:rFonts w:ascii="宋体" w:hAnsi="宋体" w:cs="宋体"/>
          <w:b/>
          <w:bCs/>
          <w:szCs w:val="21"/>
        </w:rPr>
      </w:pPr>
      <w:r>
        <w:rPr>
          <w:rFonts w:hint="eastAsia" w:ascii="宋体" w:hAnsi="宋体" w:cs="宋体"/>
          <w:b/>
          <w:bCs/>
          <w:szCs w:val="21"/>
          <w:lang w:val="zh-CN"/>
        </w:rPr>
        <w:t>注：</w:t>
      </w:r>
    </w:p>
    <w:p>
      <w:pPr>
        <w:autoSpaceDE w:val="0"/>
        <w:autoSpaceDN w:val="0"/>
        <w:adjustRightInd w:val="0"/>
        <w:ind w:left="420" w:leftChars="200"/>
        <w:rPr>
          <w:rFonts w:ascii="宋体" w:hAnsi="宋体" w:cs="宋体"/>
          <w:b/>
          <w:bCs/>
          <w:szCs w:val="21"/>
          <w:lang w:val="zh-CN"/>
        </w:rPr>
      </w:pPr>
      <w:r>
        <w:rPr>
          <w:rFonts w:hint="eastAsia" w:ascii="宋体" w:hAnsi="宋体" w:cs="宋体"/>
          <w:b/>
          <w:bCs/>
          <w:szCs w:val="21"/>
        </w:rPr>
        <w:t>1.</w:t>
      </w:r>
      <w:r>
        <w:rPr>
          <w:rFonts w:hint="eastAsia" w:ascii="宋体" w:hAnsi="宋体" w:cs="宋体"/>
          <w:b/>
          <w:bCs/>
          <w:szCs w:val="21"/>
          <w:lang w:val="zh-CN"/>
        </w:rPr>
        <w:t xml:space="preserve">以下的投标文件格式为通用的格式，投标人在制作投标文件时应以招标文件内容要求为准，选择相应的投标文件格式。 </w:t>
      </w:r>
    </w:p>
    <w:p>
      <w:pPr>
        <w:autoSpaceDE w:val="0"/>
        <w:autoSpaceDN w:val="0"/>
        <w:adjustRightInd w:val="0"/>
        <w:ind w:firstLine="422" w:firstLineChars="200"/>
        <w:rPr>
          <w:rFonts w:ascii="宋体" w:hAnsi="宋体" w:cs="宋体"/>
          <w:b/>
          <w:bCs/>
          <w:szCs w:val="21"/>
          <w:lang w:val="zh-CN"/>
        </w:rPr>
      </w:pPr>
      <w:r>
        <w:rPr>
          <w:rFonts w:hint="eastAsia" w:ascii="宋体" w:hAnsi="宋体" w:cs="宋体"/>
          <w:b/>
          <w:bCs/>
          <w:szCs w:val="21"/>
        </w:rPr>
        <w:t>2.</w:t>
      </w:r>
      <w:r>
        <w:rPr>
          <w:rFonts w:hint="eastAsia" w:ascii="宋体" w:hAnsi="宋体" w:cs="宋体"/>
          <w:b/>
          <w:bCs/>
          <w:szCs w:val="21"/>
          <w:lang w:val="zh-CN"/>
        </w:rPr>
        <w:t>没有给定格式的，投标人可以自行设计。</w:t>
      </w: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23"/>
        <w:ind w:firstLine="0" w:firstLineChars="0"/>
        <w:rPr>
          <w:lang w:val="zh-CN"/>
        </w:rPr>
      </w:pPr>
    </w:p>
    <w:p>
      <w:pPr>
        <w:pStyle w:val="6"/>
        <w:numPr>
          <w:ilvl w:val="3"/>
          <w:numId w:val="0"/>
        </w:numPr>
        <w:spacing w:before="14"/>
        <w:ind w:firstLine="5032" w:firstLineChars="1790"/>
        <w:jc w:val="both"/>
        <w:rPr>
          <w:rFonts w:ascii="宋体" w:hAnsi="宋体" w:eastAsia="宋体" w:cs="宋体"/>
          <w:u w:val="single"/>
        </w:rPr>
      </w:pPr>
      <w:bookmarkStart w:id="43" w:name="_Toc6552_WPSOffice_Level1"/>
      <w:r>
        <w:rPr>
          <w:rFonts w:hint="eastAsia" w:ascii="宋体" w:hAnsi="宋体" w:eastAsia="宋体" w:cs="宋体"/>
          <w:u w:val="single"/>
        </w:rPr>
        <w:t>（</w:t>
      </w:r>
      <w:r>
        <w:rPr>
          <w:rFonts w:hint="eastAsia" w:ascii="宋体" w:hAnsi="宋体" w:eastAsia="宋体" w:cs="宋体"/>
        </w:rPr>
        <w:t>项目名称</w:t>
      </w:r>
      <w:bookmarkEnd w:id="43"/>
      <w:r>
        <w:rPr>
          <w:rFonts w:hint="eastAsia" w:ascii="宋体" w:hAnsi="宋体" w:eastAsia="宋体" w:cs="宋体"/>
        </w:rPr>
        <w:t>）</w:t>
      </w:r>
    </w:p>
    <w:p>
      <w:pPr>
        <w:rPr>
          <w:rFonts w:ascii="宋体" w:hAnsi="宋体" w:cs="宋体"/>
          <w:sz w:val="20"/>
          <w:szCs w:val="20"/>
        </w:rPr>
      </w:pPr>
    </w:p>
    <w:p>
      <w:pPr>
        <w:rPr>
          <w:rFonts w:ascii="宋体" w:hAnsi="宋体" w:cs="宋体"/>
          <w:b/>
          <w:bCs/>
          <w:sz w:val="24"/>
        </w:rPr>
      </w:pP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9"/>
        <w:rPr>
          <w:rFonts w:ascii="宋体" w:hAnsi="宋体" w:cs="宋体"/>
          <w:sz w:val="15"/>
          <w:szCs w:val="15"/>
        </w:rPr>
      </w:pPr>
    </w:p>
    <w:p>
      <w:pPr>
        <w:jc w:val="center"/>
        <w:rPr>
          <w:rFonts w:ascii="宋体" w:hAnsi="宋体" w:cs="宋体"/>
          <w:b/>
          <w:sz w:val="56"/>
          <w:szCs w:val="56"/>
        </w:rPr>
      </w:pPr>
      <w:r>
        <w:rPr>
          <w:rFonts w:hint="eastAsia" w:ascii="宋体" w:hAnsi="宋体" w:cs="宋体"/>
          <w:b/>
          <w:sz w:val="56"/>
          <w:szCs w:val="56"/>
        </w:rPr>
        <w:t>投  标 文  件</w:t>
      </w:r>
    </w:p>
    <w:p>
      <w:pPr>
        <w:rPr>
          <w:rFonts w:ascii="宋体" w:hAnsi="宋体" w:cs="宋体"/>
          <w:sz w:val="44"/>
          <w:szCs w:val="44"/>
        </w:rPr>
      </w:pPr>
    </w:p>
    <w:p>
      <w:pPr>
        <w:rPr>
          <w:rFonts w:ascii="宋体" w:hAnsi="宋体" w:cs="宋体"/>
          <w:sz w:val="44"/>
          <w:szCs w:val="44"/>
        </w:rPr>
      </w:pPr>
    </w:p>
    <w:p>
      <w:pPr>
        <w:rPr>
          <w:rFonts w:ascii="宋体" w:hAnsi="宋体" w:cs="宋体"/>
          <w:sz w:val="44"/>
          <w:szCs w:val="44"/>
        </w:rPr>
      </w:pPr>
    </w:p>
    <w:p>
      <w:pPr>
        <w:rPr>
          <w:rFonts w:ascii="宋体" w:hAnsi="宋体" w:cs="宋体"/>
          <w:sz w:val="44"/>
          <w:szCs w:val="44"/>
        </w:rPr>
      </w:pPr>
    </w:p>
    <w:p>
      <w:pPr>
        <w:pStyle w:val="3"/>
        <w:rPr>
          <w:rFonts w:ascii="宋体" w:hAnsi="宋体" w:cs="宋体"/>
          <w:sz w:val="44"/>
          <w:szCs w:val="44"/>
        </w:rPr>
      </w:pPr>
    </w:p>
    <w:p>
      <w:pPr>
        <w:pStyle w:val="22"/>
      </w:pPr>
    </w:p>
    <w:p>
      <w:pPr>
        <w:pStyle w:val="3"/>
        <w:rPr>
          <w:rFonts w:ascii="宋体" w:hAnsi="宋体" w:cs="宋体"/>
          <w:sz w:val="44"/>
          <w:szCs w:val="44"/>
        </w:rPr>
      </w:pPr>
    </w:p>
    <w:p>
      <w:pPr>
        <w:pStyle w:val="2"/>
        <w:ind w:firstLine="440"/>
        <w:rPr>
          <w:rFonts w:ascii="宋体" w:hAnsi="宋体" w:cs="宋体"/>
          <w:sz w:val="44"/>
          <w:szCs w:val="44"/>
        </w:rPr>
      </w:pPr>
    </w:p>
    <w:p>
      <w:pPr>
        <w:pStyle w:val="4"/>
      </w:pPr>
    </w:p>
    <w:p>
      <w:pPr>
        <w:ind w:left="1079"/>
        <w:jc w:val="left"/>
        <w:rPr>
          <w:rFonts w:ascii="宋体" w:hAnsi="宋体" w:cs="宋体"/>
          <w:sz w:val="28"/>
          <w:u w:val="single"/>
        </w:rPr>
      </w:pPr>
      <w:r>
        <w:rPr>
          <w:rFonts w:hint="eastAsia" w:ascii="宋体" w:hAnsi="宋体" w:cs="宋体"/>
          <w:sz w:val="28"/>
        </w:rPr>
        <w:t>投  标  人：（盖单位章）</w:t>
      </w:r>
    </w:p>
    <w:p>
      <w:pPr>
        <w:ind w:left="1079"/>
        <w:jc w:val="left"/>
        <w:rPr>
          <w:rFonts w:ascii="宋体" w:hAnsi="宋体" w:cs="宋体"/>
          <w:sz w:val="28"/>
        </w:rPr>
      </w:pPr>
      <w:r>
        <w:rPr>
          <w:rFonts w:hint="eastAsia" w:ascii="宋体" w:hAnsi="宋体" w:cs="宋体"/>
          <w:sz w:val="28"/>
        </w:rPr>
        <w:t>法定代表人或其委托代理人：（签字或盖章）</w:t>
      </w:r>
    </w:p>
    <w:p>
      <w:pPr>
        <w:jc w:val="center"/>
        <w:rPr>
          <w:rFonts w:ascii="宋体" w:hAnsi="宋体" w:cs="宋体"/>
          <w:sz w:val="28"/>
        </w:rPr>
      </w:pPr>
      <w:r>
        <w:rPr>
          <w:rFonts w:hint="eastAsia" w:ascii="宋体" w:hAnsi="宋体" w:cs="宋体"/>
          <w:sz w:val="28"/>
        </w:rPr>
        <w:t>年    月    日</w:t>
      </w:r>
    </w:p>
    <w:p>
      <w:pPr>
        <w:pStyle w:val="27"/>
        <w:numPr>
          <w:ilvl w:val="0"/>
          <w:numId w:val="0"/>
        </w:numPr>
        <w:tabs>
          <w:tab w:val="left" w:pos="660"/>
        </w:tabs>
        <w:snapToGrid w:val="0"/>
        <w:spacing w:before="0" w:line="400" w:lineRule="exact"/>
        <w:rPr>
          <w:sz w:val="32"/>
          <w:szCs w:val="32"/>
        </w:rPr>
      </w:pPr>
    </w:p>
    <w:p>
      <w:pPr>
        <w:widowControl/>
        <w:jc w:val="center"/>
        <w:rPr>
          <w:rFonts w:ascii="宋体" w:hAnsi="宋体" w:cs="宋体"/>
          <w:b/>
          <w:bCs/>
          <w:color w:val="000000"/>
          <w:kern w:val="0"/>
          <w:sz w:val="32"/>
          <w:szCs w:val="32"/>
        </w:rPr>
      </w:pPr>
    </w:p>
    <w:p>
      <w:pPr>
        <w:widowControl/>
        <w:rPr>
          <w:rFonts w:ascii="宋体" w:hAnsi="宋体" w:cs="宋体"/>
          <w:b/>
          <w:bCs/>
          <w:color w:val="000000"/>
          <w:kern w:val="0"/>
          <w:sz w:val="32"/>
          <w:szCs w:val="32"/>
        </w:rPr>
      </w:pPr>
    </w:p>
    <w:p>
      <w:pPr>
        <w:pStyle w:val="3"/>
        <w:rPr>
          <w:rFonts w:ascii="宋体" w:hAnsi="宋体" w:cs="宋体"/>
          <w:b/>
          <w:bCs/>
          <w:color w:val="000000"/>
          <w:kern w:val="0"/>
          <w:sz w:val="32"/>
          <w:szCs w:val="32"/>
        </w:rPr>
      </w:pPr>
    </w:p>
    <w:p>
      <w:pPr>
        <w:widowControl/>
        <w:jc w:val="center"/>
        <w:rPr>
          <w:rFonts w:ascii="宋体" w:hAnsi="宋体" w:cs="宋体"/>
          <w:b/>
          <w:bCs/>
          <w:color w:val="000000"/>
          <w:kern w:val="0"/>
          <w:sz w:val="32"/>
          <w:szCs w:val="32"/>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目 录</w:t>
      </w:r>
    </w:p>
    <w:p>
      <w:pPr>
        <w:widowControl/>
        <w:jc w:val="left"/>
        <w:rPr>
          <w:rFonts w:ascii="宋体" w:hAnsi="宋体" w:cs="宋体"/>
          <w:sz w:val="32"/>
          <w:szCs w:val="32"/>
        </w:rPr>
      </w:pPr>
      <w:r>
        <w:rPr>
          <w:rFonts w:hint="eastAsia" w:ascii="宋体" w:hAnsi="宋体" w:cs="宋体"/>
          <w:b/>
          <w:bCs/>
          <w:color w:val="000000"/>
          <w:kern w:val="0"/>
          <w:sz w:val="32"/>
          <w:szCs w:val="32"/>
        </w:rPr>
        <w:t xml:space="preserve">一、投标人应答索引表 </w:t>
      </w:r>
    </w:p>
    <w:p>
      <w:pPr>
        <w:widowControl/>
        <w:jc w:val="left"/>
        <w:rPr>
          <w:rFonts w:ascii="宋体" w:hAnsi="宋体" w:cs="宋体"/>
          <w:sz w:val="32"/>
          <w:szCs w:val="32"/>
        </w:rPr>
      </w:pPr>
      <w:r>
        <w:rPr>
          <w:rFonts w:hint="eastAsia" w:ascii="宋体" w:hAnsi="宋体" w:cs="宋体"/>
          <w:b/>
          <w:bCs/>
          <w:color w:val="000000"/>
          <w:kern w:val="0"/>
          <w:sz w:val="32"/>
          <w:szCs w:val="32"/>
        </w:rPr>
        <w:t xml:space="preserve">二、开标一览表 </w:t>
      </w:r>
    </w:p>
    <w:p>
      <w:pPr>
        <w:widowControl/>
        <w:jc w:val="left"/>
        <w:rPr>
          <w:rFonts w:ascii="宋体" w:hAnsi="宋体" w:cs="宋体"/>
          <w:sz w:val="32"/>
          <w:szCs w:val="32"/>
        </w:rPr>
      </w:pPr>
      <w:r>
        <w:rPr>
          <w:rFonts w:hint="eastAsia" w:ascii="宋体" w:hAnsi="宋体" w:cs="宋体"/>
          <w:b/>
          <w:bCs/>
          <w:color w:val="000000"/>
          <w:kern w:val="0"/>
          <w:sz w:val="32"/>
          <w:szCs w:val="32"/>
        </w:rPr>
        <w:t xml:space="preserve">三、资格审查证明材料 </w:t>
      </w:r>
    </w:p>
    <w:p>
      <w:pPr>
        <w:widowControl/>
        <w:jc w:val="left"/>
        <w:rPr>
          <w:rFonts w:ascii="宋体" w:hAnsi="宋体" w:cs="宋体"/>
          <w:sz w:val="32"/>
          <w:szCs w:val="32"/>
        </w:rPr>
      </w:pPr>
      <w:r>
        <w:rPr>
          <w:rFonts w:hint="eastAsia" w:ascii="宋体" w:hAnsi="宋体" w:cs="宋体"/>
          <w:b/>
          <w:bCs/>
          <w:color w:val="000000"/>
          <w:kern w:val="0"/>
          <w:sz w:val="32"/>
          <w:szCs w:val="32"/>
        </w:rPr>
        <w:t xml:space="preserve">四、符合性审查证明材料 </w:t>
      </w:r>
    </w:p>
    <w:p>
      <w:pPr>
        <w:widowControl/>
        <w:jc w:val="left"/>
        <w:rPr>
          <w:rFonts w:cs="黑体" w:asciiTheme="minorEastAsia" w:hAnsiTheme="minorEastAsia" w:eastAsiaTheme="minorEastAsia"/>
          <w:sz w:val="28"/>
          <w:szCs w:val="28"/>
          <w:lang w:val="zh-CN"/>
        </w:rPr>
      </w:pPr>
      <w:r>
        <w:rPr>
          <w:rFonts w:hint="eastAsia" w:ascii="宋体" w:hAnsi="宋体" w:cs="宋体"/>
          <w:b/>
          <w:bCs/>
          <w:color w:val="000000"/>
          <w:kern w:val="0"/>
          <w:sz w:val="32"/>
          <w:szCs w:val="32"/>
        </w:rPr>
        <w:t>五、其他资料（若有）</w:t>
      </w:r>
    </w:p>
    <w:p/>
    <w:p>
      <w:pPr>
        <w:pStyle w:val="3"/>
      </w:pPr>
    </w:p>
    <w:p>
      <w:pPr>
        <w:pStyle w:val="22"/>
      </w:pPr>
    </w:p>
    <w:p/>
    <w:p>
      <w:pPr>
        <w:pStyle w:val="3"/>
      </w:pPr>
    </w:p>
    <w:p>
      <w:pPr>
        <w:pStyle w:val="22"/>
      </w:pPr>
    </w:p>
    <w:p/>
    <w:p>
      <w:pPr>
        <w:pStyle w:val="3"/>
      </w:pPr>
    </w:p>
    <w:p>
      <w:pPr>
        <w:pStyle w:val="22"/>
      </w:pPr>
    </w:p>
    <w:p/>
    <w:p>
      <w:pPr>
        <w:pStyle w:val="3"/>
      </w:pPr>
    </w:p>
    <w:p>
      <w:pPr>
        <w:pStyle w:val="22"/>
      </w:pPr>
    </w:p>
    <w:p/>
    <w:p>
      <w:pPr>
        <w:pStyle w:val="3"/>
      </w:pPr>
    </w:p>
    <w:p>
      <w:pPr>
        <w:pStyle w:val="22"/>
      </w:pPr>
    </w:p>
    <w:p/>
    <w:p>
      <w:pPr>
        <w:pStyle w:val="3"/>
      </w:pPr>
    </w:p>
    <w:p>
      <w:pPr>
        <w:pStyle w:val="22"/>
      </w:pPr>
    </w:p>
    <w:p/>
    <w:p>
      <w:pPr>
        <w:pStyle w:val="3"/>
      </w:pPr>
    </w:p>
    <w:p>
      <w:pPr>
        <w:pStyle w:val="22"/>
      </w:pPr>
    </w:p>
    <w:p/>
    <w:p>
      <w:pPr>
        <w:pStyle w:val="3"/>
      </w:pPr>
    </w:p>
    <w:p>
      <w:pPr>
        <w:pStyle w:val="2"/>
        <w:ind w:firstLine="210"/>
      </w:pPr>
    </w:p>
    <w:p>
      <w:pPr>
        <w:pStyle w:val="27"/>
        <w:numPr>
          <w:ilvl w:val="0"/>
          <w:numId w:val="0"/>
        </w:numPr>
        <w:tabs>
          <w:tab w:val="left" w:pos="660"/>
        </w:tabs>
        <w:snapToGrid w:val="0"/>
        <w:spacing w:before="0" w:line="360" w:lineRule="auto"/>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1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0"/>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0"/>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0"/>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0"/>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0"/>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0"/>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0"/>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0"/>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0"/>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0"/>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0"/>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0"/>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0"/>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0"/>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0"/>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0"/>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0"/>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0"/>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0"/>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0"/>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0"/>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0"/>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0"/>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0"/>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0"/>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0"/>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0"/>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0"/>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0"/>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rPr>
      </w:pPr>
      <w:r>
        <w:rPr>
          <w:rFonts w:hint="eastAsia" w:ascii="楷体" w:hAnsi="楷体" w:eastAsia="楷体"/>
          <w:color w:val="000000"/>
          <w:sz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rPr>
      </w:pPr>
      <w:r>
        <w:rPr>
          <w:rFonts w:hint="eastAsia" w:ascii="楷体" w:hAnsi="楷体" w:eastAsia="楷体"/>
          <w:color w:val="000000"/>
          <w:sz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rPr>
      </w:pPr>
      <w:r>
        <w:rPr>
          <w:rFonts w:hint="eastAsia" w:ascii="楷体" w:hAnsi="楷体" w:eastAsia="楷体"/>
          <w:color w:val="000000"/>
          <w:sz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rPr>
      </w:pPr>
      <w:r>
        <w:rPr>
          <w:rFonts w:ascii="楷体" w:hAnsi="楷体" w:eastAsia="楷体"/>
          <w:color w:val="000000"/>
          <w:sz w:val="24"/>
        </w:rPr>
        <w:fldChar w:fldCharType="begin"/>
      </w:r>
      <w:r>
        <w:rPr>
          <w:rFonts w:hint="eastAsia" w:ascii="楷体" w:hAnsi="楷体" w:eastAsia="楷体"/>
          <w:color w:val="000000"/>
          <w:sz w:val="24"/>
        </w:rPr>
        <w:instrText xml:space="preserve">= 4 \* GB3</w:instrText>
      </w:r>
      <w:r>
        <w:rPr>
          <w:rFonts w:ascii="楷体" w:hAnsi="楷体" w:eastAsia="楷体"/>
          <w:color w:val="000000"/>
          <w:sz w:val="24"/>
        </w:rPr>
        <w:fldChar w:fldCharType="separate"/>
      </w:r>
      <w:r>
        <w:rPr>
          <w:rFonts w:hint="eastAsia" w:ascii="楷体" w:hAnsi="楷体" w:eastAsia="楷体"/>
          <w:color w:val="000000"/>
          <w:sz w:val="24"/>
        </w:rPr>
        <w:t>④</w:t>
      </w:r>
      <w:r>
        <w:rPr>
          <w:rFonts w:ascii="楷体" w:hAnsi="楷体" w:eastAsia="楷体"/>
          <w:color w:val="000000"/>
          <w:sz w:val="24"/>
        </w:rPr>
        <w:fldChar w:fldCharType="end"/>
      </w:r>
      <w:r>
        <w:rPr>
          <w:rFonts w:hint="eastAsia" w:ascii="楷体" w:hAnsi="楷体" w:eastAsia="楷体"/>
          <w:color w:val="000000"/>
          <w:sz w:val="24"/>
        </w:rPr>
        <w:t>本表序号30～32仅适用于物业项目。</w:t>
      </w:r>
    </w:p>
    <w:p>
      <w:pPr>
        <w:pStyle w:val="10"/>
        <w:spacing w:line="360" w:lineRule="auto"/>
        <w:jc w:val="center"/>
        <w:rPr>
          <w:rFonts w:asciiTheme="majorEastAsia" w:hAnsiTheme="majorEastAsia" w:eastAsiaTheme="majorEastAsia"/>
          <w:b/>
          <w:snapToGrid w:val="0"/>
          <w:kern w:val="0"/>
          <w:sz w:val="28"/>
          <w:szCs w:val="28"/>
        </w:rPr>
      </w:pPr>
    </w:p>
    <w:p>
      <w:pPr>
        <w:pStyle w:val="10"/>
        <w:spacing w:line="360" w:lineRule="auto"/>
        <w:jc w:val="center"/>
        <w:rPr>
          <w:rFonts w:asciiTheme="majorEastAsia" w:hAnsiTheme="majorEastAsia" w:eastAsiaTheme="majorEastAsia"/>
          <w:b/>
          <w:snapToGrid w:val="0"/>
          <w:kern w:val="0"/>
          <w:sz w:val="28"/>
          <w:szCs w:val="28"/>
        </w:rPr>
      </w:pPr>
    </w:p>
    <w:p>
      <w:pPr>
        <w:pStyle w:val="10"/>
        <w:spacing w:line="360" w:lineRule="auto"/>
        <w:jc w:val="center"/>
        <w:rPr>
          <w:rFonts w:asciiTheme="majorEastAsia" w:hAnsiTheme="majorEastAsia" w:eastAsiaTheme="majorEastAsia"/>
          <w:b/>
          <w:snapToGrid w:val="0"/>
          <w:kern w:val="0"/>
          <w:sz w:val="28"/>
          <w:szCs w:val="28"/>
        </w:rPr>
      </w:pPr>
    </w:p>
    <w:p>
      <w:pPr>
        <w:pStyle w:val="10"/>
        <w:spacing w:line="360" w:lineRule="auto"/>
        <w:jc w:val="center"/>
        <w:rPr>
          <w:rFonts w:asciiTheme="majorEastAsia" w:hAnsiTheme="majorEastAsia" w:eastAsiaTheme="majorEastAsia"/>
          <w:b/>
          <w:snapToGrid w:val="0"/>
          <w:kern w:val="0"/>
          <w:sz w:val="28"/>
          <w:szCs w:val="28"/>
        </w:rPr>
      </w:pPr>
    </w:p>
    <w:p>
      <w:pPr>
        <w:pStyle w:val="10"/>
        <w:spacing w:line="360" w:lineRule="auto"/>
        <w:jc w:val="center"/>
        <w:rPr>
          <w:rFonts w:asciiTheme="majorEastAsia" w:hAnsiTheme="majorEastAsia" w:eastAsiaTheme="majorEastAsia"/>
          <w:b/>
          <w:snapToGrid w:val="0"/>
          <w:kern w:val="0"/>
          <w:sz w:val="28"/>
          <w:szCs w:val="28"/>
        </w:rPr>
      </w:pPr>
    </w:p>
    <w:p>
      <w:pPr>
        <w:pStyle w:val="10"/>
        <w:spacing w:line="360" w:lineRule="auto"/>
        <w:jc w:val="center"/>
        <w:rPr>
          <w:rFonts w:asciiTheme="majorEastAsia" w:hAnsiTheme="majorEastAsia" w:eastAsiaTheme="majorEastAsia"/>
          <w:b/>
          <w:snapToGrid w:val="0"/>
          <w:kern w:val="0"/>
          <w:sz w:val="28"/>
          <w:szCs w:val="28"/>
        </w:rPr>
      </w:pPr>
    </w:p>
    <w:p>
      <w:pPr>
        <w:pStyle w:val="10"/>
        <w:spacing w:line="360" w:lineRule="auto"/>
        <w:jc w:val="center"/>
        <w:rPr>
          <w:rFonts w:asciiTheme="majorEastAsia" w:hAnsiTheme="majorEastAsia" w:eastAsiaTheme="majorEastAsia"/>
          <w:b/>
          <w:snapToGrid w:val="0"/>
          <w:kern w:val="0"/>
          <w:sz w:val="28"/>
          <w:szCs w:val="28"/>
        </w:rPr>
      </w:pPr>
    </w:p>
    <w:p>
      <w:pPr>
        <w:pStyle w:val="10"/>
        <w:spacing w:line="360" w:lineRule="auto"/>
        <w:jc w:val="center"/>
        <w:rPr>
          <w:rFonts w:asciiTheme="majorEastAsia" w:hAnsiTheme="majorEastAsia" w:eastAsiaTheme="majorEastAsia"/>
          <w:b/>
          <w:snapToGrid w:val="0"/>
          <w:kern w:val="0"/>
          <w:sz w:val="28"/>
          <w:szCs w:val="28"/>
        </w:rPr>
      </w:pPr>
    </w:p>
    <w:p>
      <w:pPr>
        <w:pStyle w:val="10"/>
        <w:spacing w:line="360" w:lineRule="auto"/>
        <w:jc w:val="center"/>
        <w:rPr>
          <w:rFonts w:asciiTheme="majorEastAsia" w:hAnsiTheme="majorEastAsia" w:eastAsiaTheme="majorEastAsia"/>
          <w:b/>
          <w:snapToGrid w:val="0"/>
          <w:kern w:val="0"/>
          <w:sz w:val="28"/>
          <w:szCs w:val="28"/>
        </w:rPr>
      </w:pPr>
    </w:p>
    <w:p>
      <w:pPr>
        <w:pStyle w:val="10"/>
        <w:spacing w:line="360" w:lineRule="auto"/>
        <w:jc w:val="center"/>
        <w:rPr>
          <w:rFonts w:asciiTheme="majorEastAsia" w:hAnsiTheme="majorEastAsia" w:eastAsiaTheme="majorEastAsia"/>
          <w:b/>
          <w:snapToGrid w:val="0"/>
          <w:kern w:val="0"/>
          <w:sz w:val="28"/>
          <w:szCs w:val="28"/>
        </w:rPr>
      </w:pPr>
    </w:p>
    <w:p>
      <w:pPr>
        <w:pStyle w:val="10"/>
        <w:spacing w:line="360" w:lineRule="auto"/>
        <w:jc w:val="center"/>
        <w:rPr>
          <w:rFonts w:asciiTheme="majorEastAsia" w:hAnsiTheme="majorEastAsia" w:eastAsiaTheme="majorEastAsia"/>
          <w:b/>
          <w:snapToGrid w:val="0"/>
          <w:kern w:val="0"/>
          <w:sz w:val="28"/>
          <w:szCs w:val="28"/>
        </w:rPr>
      </w:pPr>
    </w:p>
    <w:p>
      <w:pPr>
        <w:pStyle w:val="10"/>
        <w:spacing w:line="360" w:lineRule="auto"/>
        <w:rPr>
          <w:rFonts w:asciiTheme="majorEastAsia" w:hAnsiTheme="majorEastAsia" w:eastAsiaTheme="majorEastAsia"/>
          <w:b/>
          <w:snapToGrid w:val="0"/>
          <w:kern w:val="0"/>
          <w:sz w:val="28"/>
          <w:szCs w:val="28"/>
        </w:rPr>
      </w:pPr>
    </w:p>
    <w:p>
      <w:pPr>
        <w:pStyle w:val="10"/>
        <w:spacing w:line="360" w:lineRule="auto"/>
        <w:rPr>
          <w:rFonts w:asciiTheme="majorEastAsia" w:hAnsiTheme="majorEastAsia" w:eastAsiaTheme="majorEastAsia"/>
          <w:b/>
          <w:snapToGrid w:val="0"/>
          <w:kern w:val="0"/>
          <w:sz w:val="28"/>
          <w:szCs w:val="28"/>
        </w:rPr>
      </w:pPr>
    </w:p>
    <w:p>
      <w:pPr>
        <w:pStyle w:val="10"/>
        <w:spacing w:line="360" w:lineRule="auto"/>
        <w:rPr>
          <w:rFonts w:asciiTheme="majorEastAsia" w:hAnsiTheme="majorEastAsia" w:eastAsiaTheme="majorEastAsia"/>
          <w:b/>
          <w:snapToGrid w:val="0"/>
          <w:kern w:val="0"/>
          <w:sz w:val="28"/>
          <w:szCs w:val="28"/>
        </w:rPr>
      </w:pPr>
    </w:p>
    <w:p>
      <w:pPr>
        <w:pStyle w:val="10"/>
        <w:spacing w:line="360" w:lineRule="auto"/>
        <w:rPr>
          <w:rFonts w:asciiTheme="majorEastAsia" w:hAnsiTheme="majorEastAsia" w:eastAsiaTheme="majorEastAsia"/>
          <w:b/>
          <w:snapToGrid w:val="0"/>
          <w:kern w:val="0"/>
          <w:sz w:val="28"/>
          <w:szCs w:val="28"/>
        </w:rPr>
      </w:pPr>
    </w:p>
    <w:p>
      <w:pPr>
        <w:pStyle w:val="10"/>
        <w:spacing w:line="360" w:lineRule="auto"/>
        <w:rPr>
          <w:rFonts w:asciiTheme="majorEastAsia" w:hAnsiTheme="majorEastAsia" w:eastAsiaTheme="majorEastAsia"/>
          <w:b/>
          <w:snapToGrid w:val="0"/>
          <w:kern w:val="0"/>
          <w:sz w:val="28"/>
          <w:szCs w:val="28"/>
        </w:rPr>
      </w:pPr>
    </w:p>
    <w:p>
      <w:pPr>
        <w:pStyle w:val="10"/>
        <w:spacing w:line="360" w:lineRule="auto"/>
        <w:rPr>
          <w:rFonts w:asciiTheme="majorEastAsia" w:hAnsiTheme="majorEastAsia" w:eastAsiaTheme="majorEastAsia"/>
          <w:b/>
          <w:snapToGrid w:val="0"/>
          <w:kern w:val="0"/>
          <w:sz w:val="28"/>
          <w:szCs w:val="28"/>
        </w:rPr>
      </w:pPr>
    </w:p>
    <w:p>
      <w:pPr>
        <w:pStyle w:val="10"/>
        <w:spacing w:line="360" w:lineRule="auto"/>
        <w:rPr>
          <w:rFonts w:asciiTheme="majorEastAsia" w:hAnsiTheme="majorEastAsia" w:eastAsiaTheme="majorEastAsia"/>
          <w:b/>
          <w:snapToGrid w:val="0"/>
          <w:kern w:val="0"/>
          <w:sz w:val="28"/>
          <w:szCs w:val="28"/>
        </w:rPr>
      </w:pPr>
    </w:p>
    <w:p>
      <w:pPr>
        <w:pStyle w:val="10"/>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0"/>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1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rPr>
              <w:t>服务期限</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注：1、服务期限指完成该项目的最终时间。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3"/>
        <w:rPr>
          <w:rFonts w:ascii="宋体" w:cs="宋体"/>
          <w:sz w:val="24"/>
          <w:lang w:val="zh-CN"/>
        </w:rPr>
      </w:pPr>
    </w:p>
    <w:p>
      <w:pPr>
        <w:pStyle w:val="22"/>
        <w:rPr>
          <w:lang w:val="zh-CN"/>
        </w:rPr>
      </w:pPr>
    </w:p>
    <w:p>
      <w:pPr>
        <w:rPr>
          <w:rFonts w:ascii="宋体" w:cs="宋体"/>
          <w:sz w:val="24"/>
          <w:lang w:val="zh-CN"/>
        </w:rPr>
      </w:pPr>
    </w:p>
    <w:p>
      <w:pPr>
        <w:pStyle w:val="3"/>
        <w:rPr>
          <w:lang w:val="zh-CN"/>
        </w:rPr>
      </w:pPr>
    </w:p>
    <w:p>
      <w:pPr>
        <w:pStyle w:val="2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0"/>
        <w:spacing w:line="360" w:lineRule="auto"/>
        <w:jc w:val="center"/>
        <w:rPr>
          <w:rFonts w:asciiTheme="majorEastAsia" w:hAnsiTheme="majorEastAsia" w:eastAsiaTheme="majorEastAsia"/>
          <w:b/>
          <w:snapToGrid w:val="0"/>
          <w:kern w:val="0"/>
        </w:rPr>
      </w:pPr>
      <w:r>
        <w:rPr>
          <w:rFonts w:hint="eastAsia" w:asciiTheme="majorEastAsia" w:hAnsiTheme="majorEastAsia" w:eastAsiaTheme="majorEastAsia"/>
          <w:b/>
          <w:snapToGrid w:val="0"/>
          <w:kern w:val="0"/>
        </w:rPr>
        <w:t>3.1 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根据贵方（项目名称、招标编号）采购的招标公告及投标邀请，_______（姓名和职务）被正式授权并代表投标人（投标人名称、地址）提交。</w:t>
      </w:r>
    </w:p>
    <w:p>
      <w:pPr>
        <w:pStyle w:val="10"/>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0"/>
        <w:adjustRightInd w:val="0"/>
        <w:spacing w:line="360" w:lineRule="auto"/>
        <w:ind w:firstLine="420" w:firstLineChars="200"/>
        <w:contextualSpacing/>
        <w:rPr>
          <w:rFonts w:ascii="宋体" w:hAnsi="宋体"/>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pStyle w:val="10"/>
        <w:adjustRightInd w:val="0"/>
        <w:spacing w:line="360" w:lineRule="auto"/>
        <w:ind w:firstLine="420" w:firstLineChars="200"/>
        <w:contextualSpacing/>
        <w:rPr>
          <w:rFonts w:ascii="宋体" w:hAnsi="宋体"/>
          <w:color w:val="FF0000"/>
          <w:sz w:val="21"/>
          <w:szCs w:val="21"/>
          <w:u w:val="single"/>
        </w:rPr>
      </w:pPr>
      <w:r>
        <w:rPr>
          <w:rFonts w:hint="eastAsia" w:ascii="宋体" w:hAnsi="宋体"/>
          <w:color w:val="FF0000"/>
          <w:sz w:val="21"/>
          <w:szCs w:val="21"/>
          <w:u w:val="single"/>
        </w:rPr>
        <w:t xml:space="preserve">(投标人名称)        </w:t>
      </w:r>
      <w:r>
        <w:rPr>
          <w:rFonts w:hint="eastAsia" w:ascii="宋体" w:hAnsi="宋体"/>
          <w:color w:val="FF0000"/>
          <w:sz w:val="21"/>
          <w:szCs w:val="21"/>
        </w:rPr>
        <w:t>作为投标人正式授权</w:t>
      </w:r>
      <w:r>
        <w:rPr>
          <w:rFonts w:hint="eastAsia" w:ascii="宋体" w:hAnsi="宋体"/>
          <w:color w:val="FF0000"/>
          <w:sz w:val="21"/>
          <w:szCs w:val="21"/>
          <w:u w:val="single"/>
        </w:rPr>
        <w:t xml:space="preserve">       (授权代表全名, 职务)        </w:t>
      </w:r>
    </w:p>
    <w:p>
      <w:pPr>
        <w:pStyle w:val="10"/>
        <w:adjustRightInd w:val="0"/>
        <w:spacing w:line="360" w:lineRule="auto"/>
        <w:contextualSpacing/>
        <w:rPr>
          <w:rFonts w:ascii="宋体" w:hAnsi="宋体"/>
          <w:color w:val="FF0000"/>
          <w:sz w:val="21"/>
          <w:szCs w:val="21"/>
        </w:rPr>
      </w:pPr>
      <w:r>
        <w:rPr>
          <w:rFonts w:hint="eastAsia" w:ascii="宋体" w:hAnsi="宋体"/>
          <w:color w:val="FF0000"/>
          <w:sz w:val="21"/>
          <w:szCs w:val="21"/>
        </w:rPr>
        <w:t xml:space="preserve">代表我方全权处理有关本投标的一切事宜。 </w:t>
      </w:r>
    </w:p>
    <w:p>
      <w:pPr>
        <w:pStyle w:val="10"/>
        <w:adjustRightInd w:val="0"/>
        <w:spacing w:line="360" w:lineRule="auto"/>
        <w:ind w:firstLine="420" w:firstLineChars="200"/>
        <w:contextualSpacing/>
        <w:rPr>
          <w:rFonts w:ascii="宋体" w:hAnsi="宋体"/>
          <w:color w:val="FF0000"/>
          <w:sz w:val="21"/>
          <w:szCs w:val="21"/>
        </w:rPr>
      </w:pPr>
      <w:r>
        <w:rPr>
          <w:rFonts w:hint="eastAsia" w:ascii="宋体" w:hAnsi="宋体"/>
          <w:color w:val="FF0000"/>
          <w:sz w:val="21"/>
          <w:szCs w:val="21"/>
        </w:rPr>
        <w:t>拟投入</w:t>
      </w:r>
      <w:r>
        <w:rPr>
          <w:rFonts w:hint="eastAsia" w:ascii="宋体" w:hAnsi="宋体"/>
          <w:color w:val="FF0000"/>
          <w:sz w:val="21"/>
          <w:szCs w:val="21"/>
          <w:u w:val="single"/>
        </w:rPr>
        <w:t xml:space="preserve">        (项目名称)     </w:t>
      </w:r>
      <w:r>
        <w:rPr>
          <w:rFonts w:hint="eastAsia" w:ascii="宋体" w:hAnsi="宋体"/>
          <w:color w:val="FF0000"/>
          <w:sz w:val="21"/>
          <w:szCs w:val="21"/>
        </w:rPr>
        <w:t>的项目负责人姓名：</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1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 xml:space="preserve">七、我方在此保证所提交的所有文件和全部说明是真实的和正确的,未提供虚假的资格证书及业绩证明材料谋取中标，若存在虚假证书或者业绩证明材料的违规违法行为，承担法律责任，接受财政部门的处罚。 </w:t>
      </w:r>
    </w:p>
    <w:p>
      <w:pPr>
        <w:pStyle w:val="10"/>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0"/>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0"/>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0"/>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0"/>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0"/>
        <w:adjustRightInd w:val="0"/>
        <w:snapToGrid w:val="0"/>
        <w:spacing w:line="360" w:lineRule="auto"/>
        <w:rPr>
          <w:rFonts w:asciiTheme="minorEastAsia" w:hAnsiTheme="minorEastAsia" w:eastAsiaTheme="minorEastAsia"/>
          <w:sz w:val="21"/>
          <w:szCs w:val="21"/>
        </w:rPr>
      </w:pPr>
    </w:p>
    <w:p>
      <w:pPr>
        <w:pStyle w:val="10"/>
        <w:adjustRightInd w:val="0"/>
        <w:snapToGrid w:val="0"/>
        <w:spacing w:line="360" w:lineRule="auto"/>
        <w:rPr>
          <w:rFonts w:asciiTheme="minorEastAsia" w:hAnsiTheme="minorEastAsia" w:eastAsiaTheme="minorEastAsia"/>
          <w:sz w:val="21"/>
          <w:szCs w:val="21"/>
        </w:rPr>
      </w:pPr>
    </w:p>
    <w:p>
      <w:pPr>
        <w:pStyle w:val="10"/>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址：邮政编码：</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电    话：传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日期：年月日</w:t>
      </w:r>
    </w:p>
    <w:p>
      <w:pPr>
        <w:widowControl/>
        <w:jc w:val="left"/>
        <w:rPr>
          <w:rFonts w:asciiTheme="majorEastAsia" w:hAnsiTheme="majorEastAsia" w:eastAsiaTheme="majorEastAsia"/>
          <w:b/>
          <w:bCs/>
          <w:color w:val="000000"/>
          <w:sz w:val="24"/>
        </w:rPr>
      </w:pPr>
      <w:r>
        <w:rPr>
          <w:rFonts w:asciiTheme="majorEastAsia" w:hAnsiTheme="majorEastAsia" w:eastAsiaTheme="majorEastAsia"/>
          <w:b/>
          <w:bCs/>
          <w:color w:val="000000"/>
          <w:sz w:val="24"/>
        </w:rPr>
        <w:br w:type="page"/>
      </w:r>
    </w:p>
    <w:p/>
    <w:p>
      <w:pPr>
        <w:spacing w:line="480" w:lineRule="exact"/>
        <w:jc w:val="center"/>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3.2 法定代表人（单位负责人）</w:t>
      </w:r>
      <w:r>
        <w:rPr>
          <w:rFonts w:asciiTheme="majorEastAsia" w:hAnsiTheme="majorEastAsia" w:eastAsiaTheme="majorEastAsia"/>
          <w:b/>
          <w:bCs/>
          <w:color w:val="000000"/>
          <w:sz w:val="24"/>
        </w:rPr>
        <w:t>资</w:t>
      </w:r>
      <w:r>
        <w:rPr>
          <w:rFonts w:hint="eastAsia" w:asciiTheme="majorEastAsia" w:hAnsiTheme="majorEastAsia" w:eastAsiaTheme="majorEastAsia"/>
          <w:b/>
          <w:bCs/>
          <w:color w:val="000000"/>
          <w:sz w:val="24"/>
        </w:rPr>
        <w:t>格</w:t>
      </w:r>
      <w:r>
        <w:rPr>
          <w:rFonts w:asciiTheme="majorEastAsia" w:hAnsiTheme="majorEastAsia" w:eastAsiaTheme="majorEastAsia"/>
          <w:b/>
          <w:bCs/>
          <w:color w:val="000000"/>
          <w:sz w:val="24"/>
        </w:rPr>
        <w:t>证</w:t>
      </w:r>
      <w:r>
        <w:rPr>
          <w:rFonts w:hint="eastAsia" w:asciiTheme="majorEastAsia" w:hAnsiTheme="majorEastAsia" w:eastAsiaTheme="majorEastAsia"/>
          <w:b/>
          <w:bCs/>
          <w:color w:val="000000"/>
          <w:sz w:val="24"/>
        </w:rPr>
        <w:t>明</w:t>
      </w:r>
      <w:r>
        <w:rPr>
          <w:rFonts w:asciiTheme="majorEastAsia" w:hAnsiTheme="majorEastAsia" w:eastAsiaTheme="majorEastAsia"/>
          <w:b/>
          <w:bCs/>
          <w:color w:val="000000"/>
          <w:sz w:val="24"/>
        </w:rPr>
        <w:t>书</w:t>
      </w:r>
    </w:p>
    <w:p>
      <w:pPr>
        <w:autoSpaceDE w:val="0"/>
        <w:autoSpaceDN w:val="0"/>
        <w:adjustRightInd w:val="0"/>
        <w:spacing w:line="480" w:lineRule="auto"/>
        <w:ind w:firstLine="616" w:firstLineChars="257"/>
        <w:rPr>
          <w:rFonts w:ascii="宋体" w:hAnsi="宋体"/>
          <w:color w:val="000000"/>
          <w:sz w:val="24"/>
        </w:rPr>
      </w:pPr>
    </w:p>
    <w:p>
      <w:pPr>
        <w:pStyle w:val="28"/>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2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2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2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2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28"/>
        <w:spacing w:line="480" w:lineRule="auto"/>
        <w:ind w:firstLine="540" w:firstLineChars="225"/>
        <w:jc w:val="left"/>
        <w:rPr>
          <w:rFonts w:asciiTheme="minorEastAsia" w:hAnsiTheme="minorEastAsia"/>
          <w:sz w:val="21"/>
          <w:szCs w:val="21"/>
        </w:rPr>
      </w:pPr>
      <w:r>
        <w:rPr>
          <w:rFonts w:hint="eastAsia" w:asciiTheme="minorEastAsia" w:hAnsiTheme="minorEastAsia"/>
          <w:szCs w:val="21"/>
        </w:rPr>
        <w:t>法定代表人（单位负责人）联系电话（手机）：</w:t>
      </w:r>
    </w:p>
    <w:p>
      <w:pPr>
        <w:pStyle w:val="28"/>
        <w:spacing w:line="480" w:lineRule="auto"/>
        <w:ind w:firstLine="472" w:firstLineChars="225"/>
        <w:jc w:val="left"/>
        <w:rPr>
          <w:rFonts w:asciiTheme="minorEastAsia" w:hAnsiTheme="minorEastAsia"/>
          <w:sz w:val="21"/>
          <w:szCs w:val="21"/>
        </w:rPr>
      </w:pPr>
    </w:p>
    <w:p>
      <w:pPr>
        <w:pStyle w:val="28"/>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28"/>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pPr>
        <w:pStyle w:val="29"/>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签署日期：年 月 日</w:t>
      </w:r>
    </w:p>
    <w:p>
      <w:pPr>
        <w:pStyle w:val="30"/>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r>
        <w:rPr>
          <w:rFonts w:hint="eastAsia" w:ascii="宋体" w:hAnsi="宋体"/>
          <w:b/>
          <w:bCs/>
          <w:sz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w:t>
      </w:r>
      <w:r>
        <w:rPr>
          <w:rFonts w:asciiTheme="minorEastAsia" w:hAnsiTheme="minorEastAsia"/>
          <w:i/>
          <w:szCs w:val="21"/>
          <w:u w:val="single"/>
        </w:rPr>
        <w:t>项目编号</w:t>
      </w:r>
      <w:r>
        <w:rPr>
          <w:rFonts w:hint="eastAsia" w:asciiTheme="minorEastAsia" w:hAnsiTheme="minorEastAsia"/>
          <w:szCs w:val="21"/>
        </w:rPr>
        <w:t>的</w:t>
      </w:r>
      <w:r>
        <w:rPr>
          <w:rFonts w:asciiTheme="minorEastAsia" w:hAnsiTheme="minorEastAsia"/>
          <w:i/>
          <w:szCs w:val="21"/>
          <w:u w:val="single"/>
        </w:rPr>
        <w:t>项目</w:t>
      </w:r>
      <w:r>
        <w:rPr>
          <w:rFonts w:hint="eastAsia" w:asciiTheme="minorEastAsia" w:hAnsiTheme="minorEastAsia"/>
          <w:i/>
          <w:szCs w:val="21"/>
          <w:u w:val="single"/>
        </w:rPr>
        <w:t>名</w:t>
      </w:r>
      <w:r>
        <w:rPr>
          <w:rFonts w:asciiTheme="minorEastAsia" w:hAnsiTheme="minorEastAsia"/>
          <w:i/>
          <w:szCs w:val="21"/>
          <w:u w:val="single"/>
        </w:rPr>
        <w:t>称</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法定代表人（单位负责人）授权代表联系电话（手机）：</w:t>
      </w:r>
    </w:p>
    <w:tbl>
      <w:tblPr>
        <w:tblStyle w:val="1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4" w:name="_资格证明文件"/>
            <w:bookmarkEnd w:id="44"/>
            <w:bookmarkStart w:id="4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45"/>
          </w:p>
        </w:tc>
        <w:tc>
          <w:tcPr>
            <w:tcW w:w="4492" w:type="dxa"/>
            <w:gridSpan w:val="2"/>
            <w:vAlign w:val="center"/>
          </w:tcPr>
          <w:p>
            <w:pPr>
              <w:jc w:val="center"/>
              <w:rPr>
                <w:rFonts w:asciiTheme="minorEastAsia" w:hAnsiTheme="minorEastAsia"/>
                <w:szCs w:val="21"/>
              </w:rPr>
            </w:pPr>
            <w:bookmarkStart w:id="4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46"/>
          </w:p>
        </w:tc>
      </w:tr>
    </w:tbl>
    <w:p>
      <w:pPr>
        <w:spacing w:line="320" w:lineRule="exact"/>
        <w:ind w:left="2" w:firstLine="357" w:firstLineChars="149"/>
        <w:rPr>
          <w:rFonts w:cs="Courier New" w:asciiTheme="minorEastAsia" w:hAnsiTheme="minorEastAsia"/>
          <w:sz w:val="24"/>
        </w:rPr>
      </w:pPr>
    </w:p>
    <w:p>
      <w:pPr>
        <w:widowControl/>
        <w:spacing w:before="100" w:beforeAutospacing="1" w:after="100" w:afterAutospacing="1" w:line="360" w:lineRule="auto"/>
        <w:jc w:val="center"/>
        <w:rPr>
          <w:rFonts w:ascii="宋体" w:hAnsi="宋体"/>
          <w:b/>
          <w:bCs/>
          <w:color w:val="000000"/>
          <w:sz w:val="24"/>
        </w:rPr>
      </w:pPr>
      <w:r>
        <w:rPr>
          <w:rFonts w:hint="eastAsia" w:ascii="宋体" w:hAnsi="宋体"/>
          <w:b/>
          <w:bCs/>
          <w:color w:val="000000"/>
          <w:sz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beforeLines="50" w:afterLines="50" w:line="360" w:lineRule="auto"/>
        <w:ind w:right="420" w:firstLine="5486" w:firstLineChars="2286"/>
        <w:rPr>
          <w:rFonts w:cs="宋体" w:asciiTheme="minorEastAsia" w:hAnsiTheme="minorEastAsia"/>
          <w:sz w:val="24"/>
          <w:lang w:val="zh-CN"/>
        </w:rPr>
      </w:pPr>
    </w:p>
    <w:p>
      <w:pPr>
        <w:spacing w:beforeLines="50" w:afterLines="50" w:line="360" w:lineRule="auto"/>
        <w:ind w:right="420" w:firstLine="5486" w:firstLineChars="2286"/>
        <w:rPr>
          <w:rFonts w:cs="宋体" w:asciiTheme="minorEastAsia" w:hAnsiTheme="minorEastAsia"/>
          <w:sz w:val="24"/>
          <w:lang w:val="zh-CN"/>
        </w:rPr>
      </w:pPr>
    </w:p>
    <w:p>
      <w:pPr>
        <w:spacing w:beforeLines="50" w:afterLines="50" w:line="360" w:lineRule="auto"/>
        <w:ind w:right="420" w:firstLine="5486" w:firstLineChars="2286"/>
        <w:rPr>
          <w:rFonts w:cs="宋体" w:asciiTheme="minorEastAsia" w:hAnsiTheme="minorEastAsia"/>
          <w:sz w:val="24"/>
          <w:lang w:val="zh-CN"/>
        </w:rPr>
      </w:pPr>
    </w:p>
    <w:p>
      <w:pPr>
        <w:spacing w:beforeLines="50" w:afterLines="50" w:line="360" w:lineRule="auto"/>
        <w:ind w:right="420" w:firstLine="5486" w:firstLineChars="2286"/>
        <w:rPr>
          <w:rFonts w:cs="宋体" w:asciiTheme="minorEastAsia" w:hAnsiTheme="minorEastAsia"/>
          <w:sz w:val="24"/>
          <w:lang w:val="zh-CN"/>
        </w:rPr>
      </w:pPr>
    </w:p>
    <w:p>
      <w:pPr>
        <w:spacing w:beforeLines="50" w:afterLines="50" w:line="360" w:lineRule="auto"/>
        <w:ind w:right="420" w:firstLine="5486" w:firstLineChars="2286"/>
        <w:rPr>
          <w:rFonts w:cs="宋体" w:asciiTheme="minorEastAsia" w:hAnsiTheme="minorEastAsia"/>
          <w:sz w:val="24"/>
          <w:lang w:val="zh-CN"/>
        </w:rPr>
      </w:pPr>
    </w:p>
    <w:p>
      <w:pPr>
        <w:spacing w:beforeLines="50" w:afterLines="50" w:line="360" w:lineRule="auto"/>
        <w:ind w:right="420" w:firstLine="5486" w:firstLineChars="2286"/>
        <w:rPr>
          <w:rFonts w:cs="宋体" w:asciiTheme="minorEastAsia" w:hAnsiTheme="minorEastAsia"/>
          <w:sz w:val="24"/>
          <w:lang w:val="zh-CN"/>
        </w:rPr>
      </w:pPr>
    </w:p>
    <w:p>
      <w:pPr>
        <w:spacing w:beforeLines="50" w:afterLines="50" w:line="360" w:lineRule="auto"/>
        <w:ind w:right="420" w:firstLine="5486" w:firstLineChars="2286"/>
        <w:rPr>
          <w:rFonts w:cs="宋体" w:asciiTheme="minorEastAsia" w:hAnsiTheme="minorEastAsia"/>
          <w:sz w:val="24"/>
          <w:lang w:val="zh-CN"/>
        </w:rPr>
      </w:pPr>
    </w:p>
    <w:p>
      <w:pPr>
        <w:spacing w:beforeLines="50" w:afterLines="50" w:line="360" w:lineRule="auto"/>
        <w:ind w:right="420" w:firstLine="5486" w:firstLineChars="2286"/>
        <w:rPr>
          <w:rFonts w:cs="宋体" w:asciiTheme="minorEastAsia" w:hAnsiTheme="minorEastAsia"/>
          <w:sz w:val="24"/>
          <w:lang w:val="zh-CN"/>
        </w:rPr>
      </w:pPr>
    </w:p>
    <w:p>
      <w:pPr>
        <w:spacing w:beforeLines="50" w:afterLines="50" w:line="360" w:lineRule="auto"/>
        <w:ind w:right="420" w:firstLine="5486" w:firstLineChars="2286"/>
        <w:rPr>
          <w:rFonts w:cs="宋体" w:asciiTheme="minorEastAsia" w:hAnsiTheme="minorEastAsia"/>
          <w:sz w:val="24"/>
          <w:lang w:val="zh-CN"/>
        </w:rPr>
      </w:pPr>
    </w:p>
    <w:p>
      <w:pPr>
        <w:spacing w:beforeLines="50" w:afterLines="50" w:line="360" w:lineRule="auto"/>
        <w:ind w:right="420" w:firstLine="5486" w:firstLineChars="2286"/>
        <w:rPr>
          <w:rFonts w:cs="宋体" w:asciiTheme="minorEastAsia" w:hAnsiTheme="minorEastAsia"/>
          <w:sz w:val="24"/>
          <w:lang w:val="zh-CN"/>
        </w:rPr>
      </w:pPr>
    </w:p>
    <w:p>
      <w:pPr>
        <w:pStyle w:val="3"/>
        <w:rPr>
          <w:rFonts w:cs="宋体" w:asciiTheme="minorEastAsia" w:hAnsiTheme="minorEastAsia"/>
          <w:sz w:val="24"/>
          <w:lang w:val="zh-CN"/>
        </w:rPr>
      </w:pPr>
    </w:p>
    <w:p>
      <w:pPr>
        <w:pStyle w:val="22"/>
        <w:rPr>
          <w:rFonts w:asciiTheme="minorEastAsia" w:hAnsiTheme="minorEastAsia"/>
          <w:lang w:val="zh-CN"/>
        </w:rPr>
      </w:pPr>
    </w:p>
    <w:p>
      <w:pPr>
        <w:rPr>
          <w:lang w:val="zh-CN"/>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3.5 投标承诺函</w:t>
      </w:r>
    </w:p>
    <w:p>
      <w:pPr>
        <w:autoSpaceDE w:val="0"/>
        <w:autoSpaceDN w:val="0"/>
        <w:snapToGrid w:val="0"/>
        <w:spacing w:line="360" w:lineRule="auto"/>
        <w:jc w:val="center"/>
        <w:rPr>
          <w:rFonts w:ascii="宋体" w:hAnsi="宋体" w:cs="宋体"/>
          <w:b/>
          <w:bCs/>
          <w:color w:val="000000"/>
          <w:szCs w:val="21"/>
        </w:rPr>
      </w:pPr>
    </w:p>
    <w:p>
      <w:pPr>
        <w:widowControl/>
        <w:spacing w:line="360" w:lineRule="auto"/>
        <w:jc w:val="left"/>
        <w:rPr>
          <w:rFonts w:ascii="宋体" w:hAnsi="宋体" w:cs="宋体"/>
          <w:szCs w:val="21"/>
        </w:rPr>
      </w:pPr>
      <w:r>
        <w:rPr>
          <w:rFonts w:hint="eastAsia" w:ascii="宋体" w:hAnsi="宋体" w:cs="宋体"/>
          <w:color w:val="000000"/>
          <w:kern w:val="0"/>
          <w:szCs w:val="21"/>
        </w:rPr>
        <w:t xml:space="preserve">本企业郑重承诺：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一、将遵循公开、公平、公正和诚实信用的原则参加</w:t>
      </w:r>
      <w:r>
        <w:rPr>
          <w:rFonts w:hint="eastAsia" w:ascii="宋体" w:hAnsi="宋体" w:cs="宋体"/>
          <w:color w:val="000000" w:themeColor="text1"/>
          <w:kern w:val="0"/>
          <w:szCs w:val="21"/>
        </w:rPr>
        <w:t>(具体采购项目名称）的</w:t>
      </w:r>
      <w:r>
        <w:rPr>
          <w:rFonts w:hint="eastAsia" w:ascii="宋体" w:hAnsi="宋体" w:cs="宋体"/>
          <w:color w:val="000000"/>
          <w:kern w:val="0"/>
          <w:szCs w:val="21"/>
        </w:rPr>
        <w:t>投标；</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二、本次投标所提供的一切材料都是真实、有效、合法的；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三、不与其他投标人相互串通投标报价，不排挤其他投标人的公平竞争，不损害采 </w:t>
      </w:r>
    </w:p>
    <w:p>
      <w:pPr>
        <w:widowControl/>
        <w:spacing w:line="360" w:lineRule="auto"/>
        <w:jc w:val="left"/>
        <w:rPr>
          <w:rFonts w:ascii="宋体" w:hAnsi="宋体" w:cs="宋体"/>
          <w:szCs w:val="21"/>
        </w:rPr>
      </w:pPr>
      <w:r>
        <w:rPr>
          <w:rFonts w:hint="eastAsia" w:ascii="宋体" w:hAnsi="宋体" w:cs="宋体"/>
          <w:color w:val="000000"/>
          <w:kern w:val="0"/>
          <w:szCs w:val="21"/>
        </w:rPr>
        <w:t xml:space="preserve">购人或其他投标人的合法权益；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四、不与采购人或集中采购机构串通投标，不损害国家利益、社会公共利益或者他 </w:t>
      </w:r>
    </w:p>
    <w:p>
      <w:pPr>
        <w:widowControl/>
        <w:spacing w:line="360" w:lineRule="auto"/>
        <w:jc w:val="left"/>
        <w:rPr>
          <w:rFonts w:ascii="宋体" w:hAnsi="宋体" w:cs="宋体"/>
          <w:szCs w:val="21"/>
        </w:rPr>
      </w:pPr>
      <w:r>
        <w:rPr>
          <w:rFonts w:hint="eastAsia" w:ascii="宋体" w:hAnsi="宋体" w:cs="宋体"/>
          <w:color w:val="000000"/>
          <w:kern w:val="0"/>
          <w:szCs w:val="21"/>
        </w:rPr>
        <w:t>人的合法权益；</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五、不向采购人或者评标委员会成员行贿以牟取中标；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六、不以他人名义投标或者以其他方式弄虚作假，骗取中标；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七、不扰乱禹州市政府采购市场秩序；</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八、不在开标后进行虚假恶意投诉；</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九、中标后不得将招标文件规定不予转包、分包的项目转包、分包于他人。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本公司若有违反本承诺内容的行为，愿意承担法律责任，包括：愿意接受相关行政主管部门作出的处罚，愿意接受监督管理部门作出的罚没履约保证金或者现金处罚、限制交易和停止交易等市场准入与清出的处理。 </w:t>
      </w:r>
    </w:p>
    <w:p>
      <w:pPr>
        <w:widowControl/>
        <w:spacing w:line="360" w:lineRule="auto"/>
        <w:ind w:firstLine="5880" w:firstLineChars="2800"/>
        <w:jc w:val="left"/>
        <w:rPr>
          <w:rFonts w:ascii="宋体" w:hAnsi="宋体" w:cs="宋体"/>
          <w:color w:val="000000"/>
          <w:kern w:val="0"/>
          <w:szCs w:val="21"/>
        </w:rPr>
      </w:pPr>
    </w:p>
    <w:p>
      <w:pPr>
        <w:widowControl/>
        <w:spacing w:line="360" w:lineRule="auto"/>
        <w:ind w:firstLine="5880" w:firstLineChars="2800"/>
        <w:jc w:val="left"/>
        <w:rPr>
          <w:rFonts w:ascii="宋体" w:hAnsi="宋体" w:cs="宋体"/>
          <w:color w:val="000000"/>
          <w:kern w:val="0"/>
          <w:szCs w:val="21"/>
        </w:rPr>
      </w:pPr>
    </w:p>
    <w:p>
      <w:pPr>
        <w:widowControl/>
        <w:spacing w:line="360" w:lineRule="auto"/>
        <w:ind w:firstLine="6510" w:firstLineChars="3100"/>
        <w:jc w:val="left"/>
        <w:rPr>
          <w:rFonts w:ascii="宋体" w:hAnsi="宋体" w:cs="宋体"/>
          <w:szCs w:val="21"/>
        </w:rPr>
      </w:pPr>
      <w:r>
        <w:rPr>
          <w:rFonts w:hint="eastAsia" w:ascii="宋体" w:hAnsi="宋体" w:cs="宋体"/>
          <w:color w:val="000000"/>
          <w:kern w:val="0"/>
          <w:szCs w:val="21"/>
        </w:rPr>
        <w:t xml:space="preserve">投标商名称(盖章)： </w:t>
      </w:r>
    </w:p>
    <w:p>
      <w:pPr>
        <w:widowControl/>
        <w:spacing w:line="360" w:lineRule="auto"/>
        <w:ind w:firstLine="6720" w:firstLineChars="3200"/>
        <w:jc w:val="left"/>
        <w:rPr>
          <w:rFonts w:ascii="宋体" w:hAnsi="宋体" w:cs="宋体"/>
          <w:szCs w:val="21"/>
        </w:rPr>
      </w:pPr>
      <w:r>
        <w:rPr>
          <w:rFonts w:hint="eastAsia" w:ascii="宋体" w:hAnsi="宋体" w:cs="宋体"/>
          <w:color w:val="000000"/>
          <w:kern w:val="0"/>
          <w:szCs w:val="21"/>
        </w:rPr>
        <w:t xml:space="preserve">年     月   日 </w:t>
      </w:r>
    </w:p>
    <w:p>
      <w:pPr>
        <w:autoSpaceDE w:val="0"/>
        <w:autoSpaceDN w:val="0"/>
        <w:adjustRightInd w:val="0"/>
        <w:spacing w:line="360" w:lineRule="auto"/>
        <w:jc w:val="center"/>
        <w:outlineLvl w:val="0"/>
        <w:rPr>
          <w:rFonts w:ascii="宋体" w:hAnsi="宋体" w:cs="宋体"/>
          <w:b/>
          <w:snapToGrid w:val="0"/>
          <w:kern w:val="0"/>
          <w:szCs w:val="21"/>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lang w:val="zh-CN"/>
        </w:rPr>
      </w:pPr>
    </w:p>
    <w:p>
      <w:pPr>
        <w:spacing w:line="360" w:lineRule="auto"/>
        <w:jc w:val="center"/>
        <w:rPr>
          <w:rFonts w:ascii="宋体" w:hAnsi="宋体"/>
          <w:b/>
          <w:bCs/>
          <w:color w:val="000000"/>
          <w:sz w:val="24"/>
        </w:rPr>
      </w:pPr>
      <w:r>
        <w:rPr>
          <w:rFonts w:hint="eastAsia" w:ascii="宋体" w:hAnsi="宋体"/>
          <w:b/>
          <w:bCs/>
          <w:color w:val="000000"/>
          <w:sz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rPr>
      </w:pPr>
      <w:r>
        <w:rPr>
          <w:rFonts w:hint="eastAsia" w:ascii="宋体" w:hAnsi="宋体"/>
          <w:bCs/>
          <w:color w:val="000000"/>
          <w:sz w:val="24"/>
        </w:rPr>
        <w:t>（承诺函格式自拟）</w:t>
      </w:r>
    </w:p>
    <w:p>
      <w:pPr>
        <w:autoSpaceDE w:val="0"/>
        <w:autoSpaceDN w:val="0"/>
        <w:adjustRightInd w:val="0"/>
        <w:spacing w:line="360" w:lineRule="auto"/>
        <w:jc w:val="center"/>
        <w:outlineLvl w:val="0"/>
        <w:rPr>
          <w:rFonts w:ascii="宋体" w:hAnsi="宋体"/>
          <w:b/>
          <w:bCs/>
          <w:color w:val="000000"/>
          <w:sz w:val="24"/>
        </w:rPr>
      </w:pPr>
    </w:p>
    <w:p>
      <w:pPr>
        <w:widowControl/>
        <w:jc w:val="left"/>
        <w:rPr>
          <w:rFonts w:ascii="宋体" w:hAnsi="宋体"/>
          <w:b/>
          <w:bCs/>
          <w:color w:val="000000"/>
          <w:sz w:val="24"/>
        </w:rPr>
      </w:pPr>
    </w:p>
    <w:p>
      <w:pPr>
        <w:pStyle w:val="3"/>
        <w:rPr>
          <w:rFonts w:ascii="宋体" w:hAnsi="宋体"/>
          <w:b/>
          <w:bCs/>
          <w:color w:val="000000"/>
          <w:sz w:val="24"/>
        </w:rPr>
      </w:pPr>
    </w:p>
    <w:p>
      <w:pPr>
        <w:pStyle w:val="22"/>
        <w:rPr>
          <w:rFonts w:hAnsi="宋体"/>
          <w:b/>
          <w:bCs/>
        </w:rPr>
      </w:pPr>
    </w:p>
    <w:p>
      <w:pPr>
        <w:rPr>
          <w:rFonts w:ascii="宋体" w:hAnsi="宋体"/>
          <w:b/>
          <w:bCs/>
          <w:color w:val="000000"/>
          <w:sz w:val="24"/>
        </w:rPr>
      </w:pPr>
    </w:p>
    <w:p>
      <w:pPr>
        <w:pStyle w:val="3"/>
        <w:rPr>
          <w:rFonts w:ascii="宋体" w:hAnsi="宋体"/>
          <w:b/>
          <w:bCs/>
          <w:color w:val="000000"/>
          <w:sz w:val="24"/>
        </w:rPr>
      </w:pPr>
    </w:p>
    <w:p>
      <w:pPr>
        <w:pStyle w:val="22"/>
        <w:rPr>
          <w:rFonts w:hAnsi="宋体"/>
          <w:b/>
          <w:bCs/>
        </w:rPr>
      </w:pPr>
    </w:p>
    <w:p>
      <w:pPr>
        <w:rPr>
          <w:rFonts w:ascii="宋体" w:hAnsi="宋体"/>
          <w:b/>
          <w:bCs/>
          <w:color w:val="000000"/>
          <w:sz w:val="24"/>
        </w:rPr>
      </w:pPr>
    </w:p>
    <w:p>
      <w:pPr>
        <w:pStyle w:val="3"/>
      </w:pPr>
    </w:p>
    <w:p>
      <w:pPr>
        <w:spacing w:line="360" w:lineRule="auto"/>
        <w:jc w:val="center"/>
        <w:rPr>
          <w:rFonts w:ascii="宋体" w:hAnsi="宋体"/>
          <w:b/>
          <w:bCs/>
          <w:color w:val="000000"/>
          <w:sz w:val="24"/>
        </w:rPr>
      </w:pPr>
      <w:r>
        <w:rPr>
          <w:rFonts w:hint="eastAsia" w:ascii="宋体" w:hAnsi="宋体"/>
          <w:b/>
          <w:bCs/>
          <w:color w:val="000000"/>
          <w:sz w:val="24"/>
        </w:rPr>
        <w:t>3.7.投标人提供未为本项目提供整体设计、规范编制或者项目管理、监理、检测等服务承诺函</w:t>
      </w:r>
    </w:p>
    <w:p>
      <w:pPr>
        <w:spacing w:line="360" w:lineRule="auto"/>
        <w:jc w:val="center"/>
        <w:rPr>
          <w:rFonts w:ascii="宋体" w:hAnsi="宋体"/>
          <w:bCs/>
          <w:color w:val="000000"/>
          <w:sz w:val="24"/>
        </w:rPr>
      </w:pPr>
      <w:r>
        <w:rPr>
          <w:rFonts w:hint="eastAsia" w:ascii="宋体" w:hAnsi="宋体"/>
          <w:bCs/>
          <w:color w:val="000000"/>
          <w:sz w:val="24"/>
        </w:rPr>
        <w:t>（承诺函格式自拟）</w:t>
      </w: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pStyle w:val="3"/>
        <w:rPr>
          <w:rFonts w:ascii="宋体" w:hAnsi="宋体"/>
          <w:b/>
          <w:bCs/>
          <w:color w:val="000000"/>
          <w:sz w:val="24"/>
        </w:rPr>
      </w:pPr>
    </w:p>
    <w:p>
      <w:pPr>
        <w:pStyle w:val="22"/>
        <w:rPr>
          <w:rFonts w:hAnsi="宋体"/>
          <w:b/>
          <w:bCs/>
        </w:rPr>
      </w:pPr>
    </w:p>
    <w:p>
      <w:pPr>
        <w:rPr>
          <w:rFonts w:ascii="宋体" w:hAnsi="宋体"/>
          <w:b/>
          <w:bCs/>
          <w:color w:val="000000"/>
          <w:sz w:val="24"/>
        </w:rPr>
      </w:pPr>
    </w:p>
    <w:p>
      <w:pPr>
        <w:pStyle w:val="3"/>
      </w:pPr>
    </w:p>
    <w:p>
      <w:pPr>
        <w:autoSpaceDE w:val="0"/>
        <w:autoSpaceDN w:val="0"/>
        <w:adjustRightInd w:val="0"/>
        <w:spacing w:line="360" w:lineRule="auto"/>
        <w:jc w:val="center"/>
        <w:outlineLvl w:val="0"/>
        <w:rPr>
          <w:rFonts w:ascii="宋体" w:hAnsi="宋体"/>
          <w:b/>
          <w:bCs/>
          <w:color w:val="000000"/>
          <w:sz w:val="24"/>
        </w:rPr>
      </w:pPr>
    </w:p>
    <w:p>
      <w:pPr>
        <w:widowControl/>
        <w:rPr>
          <w:rFonts w:ascii="宋体" w:hAnsi="宋体"/>
          <w:b/>
          <w:bCs/>
          <w:color w:val="000000"/>
          <w:sz w:val="24"/>
        </w:rPr>
      </w:pPr>
      <w:r>
        <w:rPr>
          <w:rFonts w:hint="eastAsia" w:ascii="宋体" w:hAnsi="宋体"/>
          <w:b/>
          <w:bCs/>
          <w:color w:val="000000"/>
          <w:sz w:val="24"/>
        </w:rPr>
        <w:t>3.8 其他资格证书或材料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pStyle w:val="3"/>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b/>
          <w:snapToGrid w:val="0"/>
          <w:kern w:val="0"/>
          <w:szCs w:val="21"/>
        </w:rPr>
      </w:pPr>
      <w:r>
        <w:rPr>
          <w:rFonts w:hint="eastAsia" w:asciiTheme="minorEastAsia" w:hAnsiTheme="minorEastAsia"/>
          <w:color w:val="000000"/>
          <w:szCs w:val="21"/>
        </w:rPr>
        <w:t xml:space="preserve">项目名称：                                                    单位：元（人民币） </w:t>
      </w:r>
    </w:p>
    <w:tbl>
      <w:tblPr>
        <w:tblStyle w:val="16"/>
        <w:tblW w:w="8499" w:type="dxa"/>
        <w:tblInd w:w="0" w:type="dxa"/>
        <w:tblLayout w:type="fixed"/>
        <w:tblCellMar>
          <w:top w:w="0" w:type="dxa"/>
          <w:left w:w="108" w:type="dxa"/>
          <w:bottom w:w="0" w:type="dxa"/>
          <w:right w:w="108" w:type="dxa"/>
        </w:tblCellMar>
      </w:tblPr>
      <w:tblGrid>
        <w:gridCol w:w="954"/>
        <w:gridCol w:w="1635"/>
        <w:gridCol w:w="2535"/>
        <w:gridCol w:w="855"/>
        <w:gridCol w:w="660"/>
        <w:gridCol w:w="975"/>
        <w:gridCol w:w="885"/>
      </w:tblGrid>
      <w:tr>
        <w:tblPrEx>
          <w:tblCellMar>
            <w:top w:w="0" w:type="dxa"/>
            <w:left w:w="108" w:type="dxa"/>
            <w:bottom w:w="0" w:type="dxa"/>
            <w:right w:w="108" w:type="dxa"/>
          </w:tblCellMar>
        </w:tblPrEx>
        <w:trPr>
          <w:trHeight w:val="851" w:hRule="atLeast"/>
        </w:trPr>
        <w:tc>
          <w:tcPr>
            <w:tcW w:w="95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63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服务项目</w:t>
            </w:r>
          </w:p>
        </w:tc>
        <w:tc>
          <w:tcPr>
            <w:tcW w:w="253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cs="宋体" w:asciiTheme="minorEastAsia" w:hAnsiTheme="minorEastAsia"/>
                <w:b/>
                <w:szCs w:val="21"/>
                <w:lang w:val="zh-CN"/>
              </w:rPr>
              <w:t>具体内容</w:t>
            </w:r>
          </w:p>
        </w:tc>
        <w:tc>
          <w:tcPr>
            <w:tcW w:w="85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6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9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8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6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szCs w:val="21"/>
              </w:rPr>
            </w:pPr>
          </w:p>
        </w:tc>
        <w:tc>
          <w:tcPr>
            <w:tcW w:w="25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szCs w:val="21"/>
              </w:rPr>
            </w:pPr>
          </w:p>
        </w:tc>
        <w:tc>
          <w:tcPr>
            <w:tcW w:w="8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szCs w:val="21"/>
              </w:rPr>
            </w:pPr>
          </w:p>
        </w:tc>
        <w:tc>
          <w:tcPr>
            <w:tcW w:w="6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szCs w:val="21"/>
              </w:rPr>
            </w:pPr>
          </w:p>
        </w:tc>
        <w:tc>
          <w:tcPr>
            <w:tcW w:w="9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szCs w:val="21"/>
              </w:rPr>
            </w:pPr>
          </w:p>
        </w:tc>
        <w:tc>
          <w:tcPr>
            <w:tcW w:w="8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9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6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5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8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8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9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3</w:t>
            </w:r>
          </w:p>
        </w:tc>
        <w:tc>
          <w:tcPr>
            <w:tcW w:w="16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5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8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8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9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4</w:t>
            </w:r>
          </w:p>
        </w:tc>
        <w:tc>
          <w:tcPr>
            <w:tcW w:w="16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5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8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8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9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Theme="minorEastAsia" w:hAnsiTheme="minorEastAsia"/>
                <w:szCs w:val="21"/>
              </w:rPr>
            </w:pPr>
            <w:r>
              <w:rPr>
                <w:rFonts w:hint="eastAsia" w:asciiTheme="minorEastAsia" w:hAnsiTheme="minorEastAsia"/>
                <w:szCs w:val="21"/>
              </w:rPr>
              <w:t xml:space="preserve">   5</w:t>
            </w:r>
          </w:p>
        </w:tc>
        <w:tc>
          <w:tcPr>
            <w:tcW w:w="16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5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8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8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9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6</w:t>
            </w:r>
          </w:p>
        </w:tc>
        <w:tc>
          <w:tcPr>
            <w:tcW w:w="16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5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8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8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9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6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5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8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8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124"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szCs w:val="21"/>
              </w:rPr>
            </w:pPr>
            <w:r>
              <w:rPr>
                <w:rFonts w:asciiTheme="minorEastAsia" w:hAnsiTheme="minorEastAsia"/>
                <w:szCs w:val="21"/>
              </w:rPr>
              <w:t xml:space="preserve">投标总价（大写）： </w:t>
            </w:r>
          </w:p>
        </w:tc>
        <w:tc>
          <w:tcPr>
            <w:tcW w:w="3375"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r>
              <w:rPr>
                <w:rFonts w:asciiTheme="minorEastAsia" w:hAnsiTheme="minorEastAsia"/>
                <w:szCs w:val="21"/>
              </w:rPr>
              <w:t>（小写）</w:t>
            </w:r>
            <w:r>
              <w:rPr>
                <w:rFonts w:hint="eastAsia" w:asciiTheme="minorEastAsia" w:hAnsiTheme="minorEastAsia"/>
                <w:szCs w:val="21"/>
              </w:rPr>
              <w:t>：</w:t>
            </w:r>
          </w:p>
        </w:tc>
      </w:tr>
    </w:tbl>
    <w:p>
      <w:pPr>
        <w:autoSpaceDE w:val="0"/>
        <w:autoSpaceDN w:val="0"/>
        <w:adjustRightInd w:val="0"/>
        <w:spacing w:line="480" w:lineRule="auto"/>
        <w:rPr>
          <w:rFonts w:cs="宋体" w:asciiTheme="minorEastAsia" w:hAnsiTheme="minorEastAsia"/>
          <w:szCs w:val="21"/>
          <w:lang w:val="zh-CN"/>
        </w:rPr>
      </w:pPr>
      <w:r>
        <w:rPr>
          <w:rFonts w:cs="宋体" w:asciiTheme="minorEastAsia" w:hAnsiTheme="minorEastAsia"/>
          <w:szCs w:val="21"/>
          <w:lang w:val="zh-CN"/>
        </w:rPr>
        <w:t xml:space="preserve">填写说明： </w:t>
      </w:r>
    </w:p>
    <w:p>
      <w:pPr>
        <w:autoSpaceDE w:val="0"/>
        <w:autoSpaceDN w:val="0"/>
        <w:adjustRightInd w:val="0"/>
        <w:spacing w:line="360" w:lineRule="auto"/>
        <w:rPr>
          <w:rFonts w:cs="宋体" w:asciiTheme="minorEastAsia" w:hAnsiTheme="minorEastAsia"/>
          <w:szCs w:val="21"/>
          <w:lang w:val="zh-CN"/>
        </w:rPr>
      </w:pPr>
      <w:r>
        <w:rPr>
          <w:rFonts w:cs="宋体" w:asciiTheme="minorEastAsia" w:hAnsiTheme="minorEastAsia"/>
          <w:szCs w:val="21"/>
          <w:lang w:val="zh-CN"/>
        </w:rPr>
        <w:t xml:space="preserve">1. 如果以单价计算的结果与总价不一致，则以单价为准修正总价。 </w:t>
      </w:r>
    </w:p>
    <w:p>
      <w:pPr>
        <w:autoSpaceDE w:val="0"/>
        <w:autoSpaceDN w:val="0"/>
        <w:adjustRightInd w:val="0"/>
        <w:spacing w:line="360" w:lineRule="auto"/>
        <w:rPr>
          <w:rFonts w:cs="宋体" w:asciiTheme="minorEastAsia" w:hAnsiTheme="minorEastAsia"/>
          <w:szCs w:val="21"/>
          <w:lang w:val="zh-CN"/>
        </w:rPr>
      </w:pPr>
      <w:r>
        <w:rPr>
          <w:rFonts w:cs="宋体" w:asciiTheme="minorEastAsia" w:hAnsiTheme="minorEastAsia"/>
          <w:szCs w:val="21"/>
          <w:lang w:val="zh-CN"/>
        </w:rPr>
        <w:t xml:space="preserve">2. 投标明细报价应按投标序号填列。 </w:t>
      </w:r>
    </w:p>
    <w:p>
      <w:pPr>
        <w:autoSpaceDE w:val="0"/>
        <w:autoSpaceDN w:val="0"/>
        <w:adjustRightInd w:val="0"/>
        <w:spacing w:line="360" w:lineRule="auto"/>
        <w:rPr>
          <w:rFonts w:cs="宋体" w:asciiTheme="minorEastAsia" w:hAnsiTheme="minorEastAsia"/>
          <w:szCs w:val="21"/>
          <w:lang w:val="zh-CN"/>
        </w:rPr>
      </w:pPr>
      <w:r>
        <w:rPr>
          <w:rFonts w:cs="宋体" w:asciiTheme="minorEastAsia" w:hAnsiTheme="minorEastAsia"/>
          <w:szCs w:val="21"/>
          <w:lang w:val="zh-CN"/>
        </w:rPr>
        <w:t xml:space="preserve">投标人名称（并加盖公章）： </w:t>
      </w:r>
    </w:p>
    <w:p>
      <w:pPr>
        <w:autoSpaceDE w:val="0"/>
        <w:autoSpaceDN w:val="0"/>
        <w:adjustRightInd w:val="0"/>
        <w:spacing w:line="360" w:lineRule="auto"/>
        <w:rPr>
          <w:rFonts w:cs="宋体" w:asciiTheme="minorEastAsia" w:hAnsiTheme="minorEastAsia"/>
          <w:szCs w:val="21"/>
          <w:lang w:val="zh-CN"/>
        </w:rPr>
      </w:pPr>
      <w:r>
        <w:rPr>
          <w:rFonts w:cs="宋体" w:asciiTheme="minorEastAsia" w:hAnsiTheme="minorEastAsia"/>
          <w:szCs w:val="21"/>
          <w:lang w:val="zh-CN"/>
        </w:rPr>
        <w:t>法定代表人（代表人）或其授权委托人：</w:t>
      </w:r>
    </w:p>
    <w:p>
      <w:pPr>
        <w:autoSpaceDE w:val="0"/>
        <w:autoSpaceDN w:val="0"/>
        <w:adjustRightInd w:val="0"/>
        <w:spacing w:line="360" w:lineRule="auto"/>
        <w:rPr>
          <w:rFonts w:cs="宋体" w:asciiTheme="minorEastAsia" w:hAnsiTheme="minorEastAsia"/>
          <w:szCs w:val="21"/>
          <w:lang w:val="zh-CN"/>
        </w:rPr>
      </w:pPr>
      <w:r>
        <w:rPr>
          <w:rFonts w:cs="宋体" w:asciiTheme="minorEastAsia" w:hAnsiTheme="minorEastAsia"/>
          <w:szCs w:val="21"/>
          <w:lang w:val="zh-CN"/>
        </w:rPr>
        <w:t xml:space="preserve">签署日期：年月日 </w:t>
      </w:r>
    </w:p>
    <w:p>
      <w:pPr>
        <w:autoSpaceDE w:val="0"/>
        <w:autoSpaceDN w:val="0"/>
        <w:adjustRightInd w:val="0"/>
        <w:spacing w:line="480" w:lineRule="auto"/>
        <w:rPr>
          <w:rFonts w:cs="宋体" w:asciiTheme="minorEastAsia" w:hAnsiTheme="minorEastAsia"/>
          <w:szCs w:val="21"/>
          <w:lang w:val="zh-CN"/>
        </w:rPr>
      </w:pPr>
    </w:p>
    <w:p/>
    <w:p>
      <w:pPr>
        <w:spacing w:before="50" w:afterLines="50" w:line="360" w:lineRule="auto"/>
        <w:contextualSpacing/>
        <w:jc w:val="center"/>
        <w:rPr>
          <w:rFonts w:ascii="宋体" w:hAnsi="宋体"/>
          <w:b/>
          <w:bCs/>
          <w:color w:val="000000"/>
          <w:sz w:val="24"/>
        </w:rPr>
      </w:pPr>
      <w:r>
        <w:rPr>
          <w:rFonts w:hint="eastAsia" w:ascii="宋体" w:hAnsi="宋体"/>
          <w:b/>
          <w:bCs/>
          <w:color w:val="000000"/>
          <w:sz w:val="24"/>
        </w:rPr>
        <w:t>4.2技术服务要求响应表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b/>
          <w:snapToGrid w:val="0"/>
          <w:kern w:val="0"/>
          <w:szCs w:val="21"/>
        </w:rPr>
      </w:pPr>
    </w:p>
    <w:tbl>
      <w:tblPr>
        <w:tblStyle w:val="16"/>
        <w:tblW w:w="8394" w:type="dxa"/>
        <w:tblInd w:w="0" w:type="dxa"/>
        <w:tblLayout w:type="fixed"/>
        <w:tblCellMar>
          <w:top w:w="0" w:type="dxa"/>
          <w:left w:w="108" w:type="dxa"/>
          <w:bottom w:w="0" w:type="dxa"/>
          <w:right w:w="108" w:type="dxa"/>
        </w:tblCellMar>
      </w:tblPr>
      <w:tblGrid>
        <w:gridCol w:w="675"/>
        <w:gridCol w:w="1418"/>
        <w:gridCol w:w="1276"/>
        <w:gridCol w:w="1559"/>
        <w:gridCol w:w="2176"/>
        <w:gridCol w:w="1290"/>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ascii="宋体" w:hAnsi="宋体" w:eastAsia="宋体" w:cs="宋体"/>
                <w:b/>
                <w:bCs/>
                <w:sz w:val="21"/>
                <w:szCs w:val="21"/>
              </w:rPr>
              <w:t xml:space="preserve">分项名称 </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ascii="宋体" w:hAnsi="宋体" w:eastAsia="宋体" w:cs="宋体"/>
                <w:b/>
                <w:bCs/>
                <w:sz w:val="21"/>
                <w:szCs w:val="21"/>
              </w:rPr>
              <w:t>招标文件的技术指标</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ascii="宋体" w:hAnsi="宋体" w:eastAsia="宋体" w:cs="宋体"/>
                <w:b/>
                <w:bCs/>
                <w:sz w:val="21"/>
                <w:szCs w:val="21"/>
              </w:rPr>
              <w:t xml:space="preserve">投标文件的技 </w:t>
            </w:r>
          </w:p>
          <w:p>
            <w:pPr>
              <w:pStyle w:val="7"/>
              <w:jc w:val="center"/>
              <w:rPr>
                <w:rFonts w:ascii="宋体" w:hAnsi="宋体" w:eastAsia="宋体" w:cs="宋体"/>
                <w:b/>
                <w:bCs/>
                <w:sz w:val="21"/>
                <w:szCs w:val="21"/>
              </w:rPr>
            </w:pPr>
            <w:r>
              <w:rPr>
                <w:rFonts w:ascii="宋体" w:hAnsi="宋体" w:eastAsia="宋体" w:cs="宋体"/>
                <w:b/>
                <w:bCs/>
                <w:sz w:val="21"/>
                <w:szCs w:val="21"/>
              </w:rPr>
              <w:t xml:space="preserve">术指标 </w:t>
            </w:r>
          </w:p>
        </w:tc>
        <w:tc>
          <w:tcPr>
            <w:tcW w:w="21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szCs w:val="21"/>
              </w:rPr>
            </w:pPr>
            <w:r>
              <w:rPr>
                <w:rFonts w:hint="eastAsia" w:ascii="宋体" w:hAnsi="宋体" w:cs="宋体"/>
                <w:b/>
                <w:bCs/>
                <w:szCs w:val="21"/>
              </w:rPr>
              <w:t>（无偏离/正偏离/负偏离）</w:t>
            </w:r>
          </w:p>
        </w:tc>
        <w:tc>
          <w:tcPr>
            <w:tcW w:w="129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21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21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3</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21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4</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21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5</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21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6</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21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21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ind w:firstLine="420" w:firstLineChars="200"/>
        <w:rPr>
          <w:rFonts w:cs="宋体" w:asciiTheme="minorEastAsia" w:hAnsiTheme="minorEastAsia"/>
          <w:szCs w:val="21"/>
          <w:lang w:val="zh-CN"/>
        </w:rPr>
      </w:pPr>
      <w:r>
        <w:rPr>
          <w:rFonts w:cs="宋体" w:asciiTheme="minorEastAsia" w:hAnsiTheme="minorEastAsia"/>
          <w:szCs w:val="21"/>
          <w:lang w:val="zh-CN"/>
        </w:rPr>
        <w:t xml:space="preserve">我们承诺本技术指标响应表的内容真实有效，无任何虚假之处，并且愿意承担因不满足此承诺而引起的相应的法律责任并接受相关部门的处罚。 </w:t>
      </w:r>
    </w:p>
    <w:p>
      <w:pPr>
        <w:autoSpaceDE w:val="0"/>
        <w:autoSpaceDN w:val="0"/>
        <w:adjustRightInd w:val="0"/>
        <w:spacing w:line="480" w:lineRule="auto"/>
        <w:rPr>
          <w:rFonts w:cs="宋体" w:asciiTheme="minorEastAsia" w:hAnsiTheme="minorEastAsia"/>
          <w:szCs w:val="21"/>
          <w:lang w:val="zh-CN"/>
        </w:rPr>
      </w:pPr>
      <w:r>
        <w:rPr>
          <w:rFonts w:cs="宋体" w:asciiTheme="minorEastAsia" w:hAnsiTheme="minorEastAsia"/>
          <w:szCs w:val="21"/>
          <w:lang w:val="zh-CN"/>
        </w:rPr>
        <w:t xml:space="preserve">投标人（公章）： </w:t>
      </w:r>
    </w:p>
    <w:p>
      <w:pPr>
        <w:autoSpaceDE w:val="0"/>
        <w:autoSpaceDN w:val="0"/>
        <w:adjustRightInd w:val="0"/>
        <w:spacing w:line="480" w:lineRule="auto"/>
        <w:rPr>
          <w:rFonts w:cs="宋体" w:asciiTheme="minorEastAsia" w:hAnsiTheme="minorEastAsia"/>
          <w:szCs w:val="21"/>
          <w:lang w:val="zh-CN"/>
        </w:rPr>
      </w:pPr>
      <w:r>
        <w:rPr>
          <w:rFonts w:cs="宋体" w:asciiTheme="minorEastAsia" w:hAnsiTheme="minorEastAsia"/>
          <w:szCs w:val="21"/>
          <w:lang w:val="zh-CN"/>
        </w:rPr>
        <w:t xml:space="preserve">投标人法定代表人（单位负责人）或授权代表签字： </w:t>
      </w:r>
    </w:p>
    <w:p>
      <w:pPr>
        <w:autoSpaceDE w:val="0"/>
        <w:autoSpaceDN w:val="0"/>
        <w:adjustRightInd w:val="0"/>
        <w:spacing w:line="480" w:lineRule="auto"/>
        <w:rPr>
          <w:rFonts w:cs="宋体" w:asciiTheme="minorEastAsia" w:hAnsiTheme="minorEastAsia"/>
          <w:szCs w:val="21"/>
          <w:lang w:val="zh-CN"/>
        </w:rPr>
      </w:pPr>
      <w:r>
        <w:rPr>
          <w:rFonts w:cs="宋体" w:asciiTheme="minorEastAsia" w:hAnsiTheme="minorEastAsia"/>
          <w:szCs w:val="21"/>
          <w:lang w:val="zh-CN"/>
        </w:rPr>
        <w:t>签署日期：年月日</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4.3 技术方案（实施方案）</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pStyle w:val="3"/>
        <w:rPr>
          <w:rFonts w:hAnsi="宋体"/>
          <w:b/>
          <w:snapToGrid w:val="0"/>
          <w:kern w:val="0"/>
          <w:sz w:val="36"/>
          <w:szCs w:val="36"/>
        </w:rPr>
      </w:pPr>
    </w:p>
    <w:p>
      <w:pPr>
        <w:pStyle w:val="22"/>
        <w:rPr>
          <w:rFonts w:hAnsi="宋体"/>
          <w:b/>
          <w:snapToGrid w:val="0"/>
          <w:sz w:val="36"/>
          <w:szCs w:val="36"/>
        </w:rPr>
      </w:pPr>
    </w:p>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cs="宋体"/>
          <w:color w:val="000000"/>
          <w:sz w:val="28"/>
          <w:szCs w:val="28"/>
        </w:rPr>
      </w:pPr>
      <w:r>
        <w:rPr>
          <w:rFonts w:hint="eastAsia" w:ascii="宋体" w:hAnsi="宋体"/>
          <w:b/>
          <w:bCs/>
          <w:color w:val="000000"/>
          <w:sz w:val="24"/>
        </w:rPr>
        <w:t xml:space="preserve">4.4 </w:t>
      </w:r>
      <w:bookmarkStart w:id="47" w:name="_Toc25824"/>
      <w:bookmarkStart w:id="48" w:name="_Toc26470"/>
      <w:bookmarkStart w:id="49" w:name="_Toc13581"/>
      <w:r>
        <w:rPr>
          <w:rFonts w:hint="eastAsia" w:ascii="宋体" w:hAnsi="宋体" w:cs="宋体"/>
          <w:b/>
          <w:bCs/>
          <w:color w:val="000000"/>
          <w:sz w:val="24"/>
        </w:rPr>
        <w:t>业绩证明材料</w:t>
      </w:r>
      <w:bookmarkEnd w:id="47"/>
      <w:bookmarkEnd w:id="48"/>
      <w:bookmarkEnd w:id="49"/>
    </w:p>
    <w:p>
      <w:pPr>
        <w:spacing w:line="360" w:lineRule="auto"/>
        <w:rPr>
          <w:rFonts w:ascii="宋体" w:hAnsi="宋体" w:cs="宋体"/>
          <w:szCs w:val="21"/>
        </w:rPr>
      </w:pPr>
      <w:r>
        <w:rPr>
          <w:rFonts w:hint="eastAsia" w:ascii="宋体" w:hAnsi="宋体" w:cs="宋体"/>
          <w:szCs w:val="21"/>
        </w:rPr>
        <w:t>项目名称：</w:t>
      </w:r>
    </w:p>
    <w:p>
      <w:pPr>
        <w:spacing w:line="360" w:lineRule="auto"/>
        <w:rPr>
          <w:rFonts w:ascii="宋体" w:hAnsi="宋体" w:cs="宋体"/>
          <w:szCs w:val="21"/>
        </w:rPr>
      </w:pPr>
      <w:r>
        <w:rPr>
          <w:rFonts w:hint="eastAsia" w:ascii="宋体" w:hAnsi="宋体" w:cs="宋体"/>
          <w:szCs w:val="21"/>
        </w:rPr>
        <w:t>采购编号：</w:t>
      </w:r>
    </w:p>
    <w:tbl>
      <w:tblPr>
        <w:tblStyle w:val="16"/>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75"/>
        <w:gridCol w:w="1701"/>
        <w:gridCol w:w="2048"/>
        <w:gridCol w:w="1437"/>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275" w:type="dxa"/>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1701" w:type="dxa"/>
            <w:vAlign w:val="center"/>
          </w:tcPr>
          <w:p>
            <w:pPr>
              <w:spacing w:line="360" w:lineRule="auto"/>
              <w:jc w:val="center"/>
              <w:rPr>
                <w:rFonts w:ascii="宋体" w:hAnsi="宋体" w:cs="宋体"/>
                <w:szCs w:val="21"/>
              </w:rPr>
            </w:pPr>
            <w:r>
              <w:rPr>
                <w:rFonts w:hint="eastAsia" w:ascii="宋体" w:hAnsi="宋体" w:cs="宋体"/>
                <w:szCs w:val="21"/>
              </w:rPr>
              <w:t>采购单位名称</w:t>
            </w:r>
          </w:p>
        </w:tc>
        <w:tc>
          <w:tcPr>
            <w:tcW w:w="2048" w:type="dxa"/>
            <w:vAlign w:val="center"/>
          </w:tcPr>
          <w:p>
            <w:pPr>
              <w:spacing w:line="360" w:lineRule="auto"/>
              <w:jc w:val="center"/>
              <w:rPr>
                <w:rFonts w:ascii="宋体" w:hAnsi="宋体" w:cs="宋体"/>
                <w:szCs w:val="21"/>
              </w:rPr>
            </w:pPr>
            <w:r>
              <w:rPr>
                <w:rFonts w:hint="eastAsia" w:ascii="宋体" w:hAnsi="宋体" w:cs="宋体"/>
                <w:szCs w:val="21"/>
              </w:rPr>
              <w:t>合同金额（元）</w:t>
            </w:r>
          </w:p>
        </w:tc>
        <w:tc>
          <w:tcPr>
            <w:tcW w:w="1437" w:type="dxa"/>
            <w:vAlign w:val="center"/>
          </w:tcPr>
          <w:p>
            <w:pPr>
              <w:spacing w:line="360" w:lineRule="auto"/>
              <w:jc w:val="center"/>
              <w:rPr>
                <w:rFonts w:ascii="宋体" w:hAnsi="宋体" w:cs="宋体"/>
                <w:szCs w:val="21"/>
              </w:rPr>
            </w:pPr>
            <w:r>
              <w:rPr>
                <w:rFonts w:hint="eastAsia" w:ascii="宋体" w:hAnsi="宋体" w:cs="宋体"/>
                <w:szCs w:val="21"/>
              </w:rPr>
              <w:t>签订时间</w:t>
            </w:r>
          </w:p>
        </w:tc>
        <w:tc>
          <w:tcPr>
            <w:tcW w:w="1385"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宋体" w:hAnsi="宋体" w:cs="宋体"/>
                <w:szCs w:val="21"/>
              </w:rPr>
            </w:pPr>
          </w:p>
        </w:tc>
        <w:tc>
          <w:tcPr>
            <w:tcW w:w="1275" w:type="dxa"/>
            <w:vAlign w:val="center"/>
          </w:tcPr>
          <w:p>
            <w:pPr>
              <w:spacing w:line="360" w:lineRule="auto"/>
              <w:jc w:val="center"/>
              <w:rPr>
                <w:rFonts w:ascii="宋体" w:hAnsi="宋体" w:cs="宋体"/>
                <w:szCs w:val="21"/>
              </w:rPr>
            </w:pPr>
          </w:p>
        </w:tc>
        <w:tc>
          <w:tcPr>
            <w:tcW w:w="1701" w:type="dxa"/>
            <w:vAlign w:val="center"/>
          </w:tcPr>
          <w:p>
            <w:pPr>
              <w:spacing w:line="360" w:lineRule="auto"/>
              <w:jc w:val="center"/>
              <w:rPr>
                <w:rFonts w:ascii="宋体" w:hAnsi="宋体" w:cs="宋体"/>
                <w:szCs w:val="21"/>
              </w:rPr>
            </w:pPr>
          </w:p>
        </w:tc>
        <w:tc>
          <w:tcPr>
            <w:tcW w:w="2048" w:type="dxa"/>
            <w:vAlign w:val="center"/>
          </w:tcPr>
          <w:p>
            <w:pPr>
              <w:spacing w:line="360" w:lineRule="auto"/>
              <w:jc w:val="center"/>
              <w:rPr>
                <w:rFonts w:ascii="宋体" w:hAnsi="宋体" w:cs="宋体"/>
                <w:szCs w:val="21"/>
              </w:rPr>
            </w:pPr>
          </w:p>
        </w:tc>
        <w:tc>
          <w:tcPr>
            <w:tcW w:w="1437" w:type="dxa"/>
            <w:vAlign w:val="center"/>
          </w:tcPr>
          <w:p>
            <w:pPr>
              <w:spacing w:line="360" w:lineRule="auto"/>
              <w:jc w:val="center"/>
              <w:rPr>
                <w:rFonts w:ascii="宋体" w:hAnsi="宋体" w:cs="宋体"/>
                <w:szCs w:val="21"/>
              </w:rPr>
            </w:pPr>
          </w:p>
        </w:tc>
        <w:tc>
          <w:tcPr>
            <w:tcW w:w="1385"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宋体" w:hAnsi="宋体" w:cs="宋体"/>
                <w:szCs w:val="21"/>
              </w:rPr>
            </w:pPr>
          </w:p>
        </w:tc>
        <w:tc>
          <w:tcPr>
            <w:tcW w:w="1275" w:type="dxa"/>
            <w:vAlign w:val="center"/>
          </w:tcPr>
          <w:p>
            <w:pPr>
              <w:spacing w:line="360" w:lineRule="auto"/>
              <w:jc w:val="center"/>
              <w:rPr>
                <w:rFonts w:ascii="宋体" w:hAnsi="宋体" w:cs="宋体"/>
                <w:szCs w:val="21"/>
              </w:rPr>
            </w:pPr>
          </w:p>
        </w:tc>
        <w:tc>
          <w:tcPr>
            <w:tcW w:w="1701" w:type="dxa"/>
            <w:vAlign w:val="center"/>
          </w:tcPr>
          <w:p>
            <w:pPr>
              <w:spacing w:line="360" w:lineRule="auto"/>
              <w:jc w:val="center"/>
              <w:rPr>
                <w:rFonts w:ascii="宋体" w:hAnsi="宋体" w:cs="宋体"/>
                <w:szCs w:val="21"/>
              </w:rPr>
            </w:pPr>
          </w:p>
        </w:tc>
        <w:tc>
          <w:tcPr>
            <w:tcW w:w="2048" w:type="dxa"/>
            <w:vAlign w:val="center"/>
          </w:tcPr>
          <w:p>
            <w:pPr>
              <w:spacing w:line="360" w:lineRule="auto"/>
              <w:jc w:val="center"/>
              <w:rPr>
                <w:rFonts w:ascii="宋体" w:hAnsi="宋体" w:cs="宋体"/>
                <w:szCs w:val="21"/>
              </w:rPr>
            </w:pPr>
          </w:p>
        </w:tc>
        <w:tc>
          <w:tcPr>
            <w:tcW w:w="1437" w:type="dxa"/>
            <w:vAlign w:val="center"/>
          </w:tcPr>
          <w:p>
            <w:pPr>
              <w:spacing w:line="360" w:lineRule="auto"/>
              <w:jc w:val="center"/>
              <w:rPr>
                <w:rFonts w:ascii="宋体" w:hAnsi="宋体" w:cs="宋体"/>
                <w:szCs w:val="21"/>
              </w:rPr>
            </w:pPr>
          </w:p>
        </w:tc>
        <w:tc>
          <w:tcPr>
            <w:tcW w:w="1385"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8" w:type="dxa"/>
            <w:vAlign w:val="center"/>
          </w:tcPr>
          <w:p>
            <w:pPr>
              <w:spacing w:line="360" w:lineRule="auto"/>
              <w:jc w:val="center"/>
              <w:rPr>
                <w:rFonts w:ascii="宋体" w:hAnsi="宋体" w:cs="宋体"/>
                <w:szCs w:val="21"/>
              </w:rPr>
            </w:pPr>
          </w:p>
        </w:tc>
        <w:tc>
          <w:tcPr>
            <w:tcW w:w="1275" w:type="dxa"/>
            <w:vAlign w:val="center"/>
          </w:tcPr>
          <w:p>
            <w:pPr>
              <w:spacing w:line="360" w:lineRule="auto"/>
              <w:jc w:val="center"/>
              <w:rPr>
                <w:rFonts w:ascii="宋体" w:hAnsi="宋体" w:cs="宋体"/>
                <w:szCs w:val="21"/>
              </w:rPr>
            </w:pPr>
          </w:p>
        </w:tc>
        <w:tc>
          <w:tcPr>
            <w:tcW w:w="1701" w:type="dxa"/>
            <w:vAlign w:val="center"/>
          </w:tcPr>
          <w:p>
            <w:pPr>
              <w:spacing w:line="360" w:lineRule="auto"/>
              <w:jc w:val="center"/>
              <w:rPr>
                <w:rFonts w:ascii="宋体" w:hAnsi="宋体" w:cs="宋体"/>
                <w:szCs w:val="21"/>
              </w:rPr>
            </w:pPr>
          </w:p>
        </w:tc>
        <w:tc>
          <w:tcPr>
            <w:tcW w:w="2048" w:type="dxa"/>
            <w:vAlign w:val="center"/>
          </w:tcPr>
          <w:p>
            <w:pPr>
              <w:spacing w:line="360" w:lineRule="auto"/>
              <w:jc w:val="center"/>
              <w:rPr>
                <w:rFonts w:ascii="宋体" w:hAnsi="宋体" w:cs="宋体"/>
                <w:szCs w:val="21"/>
              </w:rPr>
            </w:pPr>
          </w:p>
        </w:tc>
        <w:tc>
          <w:tcPr>
            <w:tcW w:w="1437" w:type="dxa"/>
            <w:vAlign w:val="center"/>
          </w:tcPr>
          <w:p>
            <w:pPr>
              <w:spacing w:line="360" w:lineRule="auto"/>
              <w:jc w:val="center"/>
              <w:rPr>
                <w:rFonts w:ascii="宋体" w:hAnsi="宋体" w:cs="宋体"/>
                <w:szCs w:val="21"/>
              </w:rPr>
            </w:pPr>
          </w:p>
        </w:tc>
        <w:tc>
          <w:tcPr>
            <w:tcW w:w="1385"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宋体" w:hAnsi="宋体" w:cs="宋体"/>
                <w:szCs w:val="21"/>
              </w:rPr>
            </w:pPr>
          </w:p>
        </w:tc>
        <w:tc>
          <w:tcPr>
            <w:tcW w:w="1275" w:type="dxa"/>
            <w:vAlign w:val="center"/>
          </w:tcPr>
          <w:p>
            <w:pPr>
              <w:spacing w:line="360" w:lineRule="auto"/>
              <w:jc w:val="center"/>
              <w:rPr>
                <w:rFonts w:ascii="宋体" w:hAnsi="宋体" w:cs="宋体"/>
                <w:szCs w:val="21"/>
              </w:rPr>
            </w:pPr>
          </w:p>
        </w:tc>
        <w:tc>
          <w:tcPr>
            <w:tcW w:w="1701" w:type="dxa"/>
            <w:vAlign w:val="center"/>
          </w:tcPr>
          <w:p>
            <w:pPr>
              <w:spacing w:line="360" w:lineRule="auto"/>
              <w:jc w:val="center"/>
              <w:rPr>
                <w:rFonts w:ascii="宋体" w:hAnsi="宋体" w:cs="宋体"/>
                <w:szCs w:val="21"/>
              </w:rPr>
            </w:pPr>
          </w:p>
        </w:tc>
        <w:tc>
          <w:tcPr>
            <w:tcW w:w="2048" w:type="dxa"/>
            <w:vAlign w:val="center"/>
          </w:tcPr>
          <w:p>
            <w:pPr>
              <w:spacing w:line="360" w:lineRule="auto"/>
              <w:jc w:val="center"/>
              <w:rPr>
                <w:rFonts w:ascii="宋体" w:hAnsi="宋体" w:cs="宋体"/>
                <w:szCs w:val="21"/>
              </w:rPr>
            </w:pPr>
          </w:p>
        </w:tc>
        <w:tc>
          <w:tcPr>
            <w:tcW w:w="1437" w:type="dxa"/>
            <w:vAlign w:val="center"/>
          </w:tcPr>
          <w:p>
            <w:pPr>
              <w:spacing w:line="360" w:lineRule="auto"/>
              <w:jc w:val="center"/>
              <w:rPr>
                <w:rFonts w:ascii="宋体" w:hAnsi="宋体" w:cs="宋体"/>
                <w:szCs w:val="21"/>
              </w:rPr>
            </w:pPr>
          </w:p>
        </w:tc>
        <w:tc>
          <w:tcPr>
            <w:tcW w:w="1385"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360" w:lineRule="auto"/>
              <w:jc w:val="center"/>
              <w:rPr>
                <w:rFonts w:ascii="宋体" w:hAnsi="宋体" w:cs="宋体"/>
                <w:szCs w:val="21"/>
              </w:rPr>
            </w:pPr>
          </w:p>
        </w:tc>
        <w:tc>
          <w:tcPr>
            <w:tcW w:w="1275" w:type="dxa"/>
            <w:vAlign w:val="center"/>
          </w:tcPr>
          <w:p>
            <w:pPr>
              <w:spacing w:line="360" w:lineRule="auto"/>
              <w:jc w:val="center"/>
              <w:rPr>
                <w:rFonts w:ascii="宋体" w:hAnsi="宋体" w:cs="宋体"/>
                <w:szCs w:val="21"/>
              </w:rPr>
            </w:pPr>
          </w:p>
        </w:tc>
        <w:tc>
          <w:tcPr>
            <w:tcW w:w="1701" w:type="dxa"/>
            <w:vAlign w:val="center"/>
          </w:tcPr>
          <w:p>
            <w:pPr>
              <w:spacing w:line="360" w:lineRule="auto"/>
              <w:jc w:val="center"/>
              <w:rPr>
                <w:rFonts w:ascii="宋体" w:hAnsi="宋体" w:cs="宋体"/>
                <w:szCs w:val="21"/>
              </w:rPr>
            </w:pPr>
          </w:p>
        </w:tc>
        <w:tc>
          <w:tcPr>
            <w:tcW w:w="2048" w:type="dxa"/>
            <w:vAlign w:val="center"/>
          </w:tcPr>
          <w:p>
            <w:pPr>
              <w:spacing w:line="360" w:lineRule="auto"/>
              <w:jc w:val="center"/>
              <w:rPr>
                <w:rFonts w:ascii="宋体" w:hAnsi="宋体" w:cs="宋体"/>
                <w:szCs w:val="21"/>
              </w:rPr>
            </w:pPr>
          </w:p>
        </w:tc>
        <w:tc>
          <w:tcPr>
            <w:tcW w:w="1437" w:type="dxa"/>
            <w:vAlign w:val="center"/>
          </w:tcPr>
          <w:p>
            <w:pPr>
              <w:spacing w:line="360" w:lineRule="auto"/>
              <w:jc w:val="center"/>
              <w:rPr>
                <w:rFonts w:ascii="宋体" w:hAnsi="宋体" w:cs="宋体"/>
                <w:szCs w:val="21"/>
              </w:rPr>
            </w:pPr>
          </w:p>
        </w:tc>
        <w:tc>
          <w:tcPr>
            <w:tcW w:w="1385" w:type="dxa"/>
            <w:vAlign w:val="center"/>
          </w:tcPr>
          <w:p>
            <w:pPr>
              <w:spacing w:line="360" w:lineRule="auto"/>
              <w:jc w:val="center"/>
              <w:rPr>
                <w:rFonts w:ascii="宋体" w:hAnsi="宋体" w:cs="宋体"/>
                <w:szCs w:val="21"/>
              </w:rPr>
            </w:pPr>
          </w:p>
        </w:tc>
      </w:tr>
    </w:tbl>
    <w:p>
      <w:pPr>
        <w:autoSpaceDE w:val="0"/>
        <w:autoSpaceDN w:val="0"/>
        <w:adjustRightInd w:val="0"/>
        <w:spacing w:line="480" w:lineRule="auto"/>
        <w:rPr>
          <w:rFonts w:cs="宋体" w:asciiTheme="minorEastAsia" w:hAnsiTheme="minorEastAsia"/>
          <w:szCs w:val="21"/>
          <w:lang w:val="zh-CN"/>
        </w:rPr>
      </w:pPr>
      <w:r>
        <w:rPr>
          <w:rFonts w:cs="宋体" w:asciiTheme="minorEastAsia" w:hAnsiTheme="minorEastAsia"/>
          <w:szCs w:val="21"/>
          <w:lang w:val="zh-CN"/>
        </w:rPr>
        <w:t xml:space="preserve">投标人（公章）： </w:t>
      </w:r>
    </w:p>
    <w:p>
      <w:pPr>
        <w:autoSpaceDE w:val="0"/>
        <w:autoSpaceDN w:val="0"/>
        <w:adjustRightInd w:val="0"/>
        <w:spacing w:line="480" w:lineRule="auto"/>
        <w:rPr>
          <w:rFonts w:cs="宋体" w:asciiTheme="minorEastAsia" w:hAnsiTheme="minorEastAsia"/>
          <w:szCs w:val="21"/>
          <w:lang w:val="zh-CN"/>
        </w:rPr>
      </w:pPr>
      <w:r>
        <w:rPr>
          <w:rFonts w:cs="宋体" w:asciiTheme="minorEastAsia" w:hAnsiTheme="minorEastAsia"/>
          <w:szCs w:val="21"/>
          <w:lang w:val="zh-CN"/>
        </w:rPr>
        <w:t xml:space="preserve">投标人法定代表人（单位负责人）或授权代表签字： </w:t>
      </w:r>
    </w:p>
    <w:p>
      <w:pPr>
        <w:autoSpaceDE w:val="0"/>
        <w:autoSpaceDN w:val="0"/>
        <w:adjustRightInd w:val="0"/>
        <w:spacing w:line="480" w:lineRule="auto"/>
        <w:rPr>
          <w:rFonts w:cs="宋体" w:asciiTheme="minorEastAsia" w:hAnsiTheme="minorEastAsia"/>
          <w:szCs w:val="21"/>
          <w:lang w:val="zh-CN"/>
        </w:rPr>
      </w:pPr>
      <w:r>
        <w:rPr>
          <w:rFonts w:cs="宋体" w:asciiTheme="minorEastAsia" w:hAnsiTheme="minorEastAsia"/>
          <w:szCs w:val="21"/>
          <w:lang w:val="zh-CN"/>
        </w:rPr>
        <w:t>签署日期：年月日</w:t>
      </w:r>
    </w:p>
    <w:p>
      <w:pPr>
        <w:spacing w:line="360" w:lineRule="auto"/>
        <w:rPr>
          <w:rFonts w:ascii="宋体" w:hAnsi="宋体" w:cs="宋体"/>
          <w:szCs w:val="21"/>
        </w:rPr>
        <w:sectPr>
          <w:footerReference r:id="rId3" w:type="default"/>
          <w:pgSz w:w="11906" w:h="16838"/>
          <w:pgMar w:top="1757" w:right="1531" w:bottom="1531" w:left="1531" w:header="1134" w:footer="1077" w:gutter="0"/>
          <w:pgNumType w:start="1"/>
          <w:cols w:space="720" w:num="1"/>
          <w:docGrid w:type="lines" w:linePitch="312" w:charSpace="0"/>
        </w:sectPr>
      </w:pPr>
      <w:r>
        <w:rPr>
          <w:rFonts w:hint="eastAsia" w:ascii="宋体" w:hAnsi="宋体" w:cs="宋体"/>
          <w:szCs w:val="21"/>
        </w:rPr>
        <w:t>注：投标人可根据需要自行增减表格行，须附中标通知书或合同的复印件。</w:t>
      </w:r>
    </w:p>
    <w:p>
      <w:pPr>
        <w:pStyle w:val="5"/>
        <w:tabs>
          <w:tab w:val="left" w:pos="420"/>
          <w:tab w:val="left" w:pos="840"/>
        </w:tabs>
        <w:adjustRightInd w:val="0"/>
        <w:snapToGrid w:val="0"/>
        <w:spacing w:before="0" w:after="0" w:line="440" w:lineRule="exact"/>
        <w:ind w:left="-420"/>
        <w:jc w:val="center"/>
        <w:rPr>
          <w:rFonts w:ascii="宋体" w:hAnsi="宋体" w:cs="宋体"/>
          <w:color w:val="000000"/>
          <w:sz w:val="24"/>
          <w:szCs w:val="24"/>
        </w:rPr>
      </w:pPr>
      <w:bookmarkStart w:id="50" w:name="_Toc28836"/>
      <w:bookmarkStart w:id="51" w:name="_Toc26790"/>
      <w:bookmarkStart w:id="52" w:name="_Toc15520"/>
      <w:r>
        <w:rPr>
          <w:rFonts w:hint="eastAsia" w:ascii="宋体" w:hAnsi="宋体" w:cs="宋体"/>
          <w:color w:val="000000"/>
          <w:sz w:val="24"/>
          <w:szCs w:val="24"/>
        </w:rPr>
        <w:t>4.5、项目配置人员情况</w:t>
      </w:r>
      <w:bookmarkEnd w:id="50"/>
      <w:bookmarkEnd w:id="51"/>
      <w:bookmarkEnd w:id="52"/>
    </w:p>
    <w:tbl>
      <w:tblPr>
        <w:tblStyle w:val="16"/>
        <w:tblW w:w="78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000"/>
        <w:gridCol w:w="724"/>
        <w:gridCol w:w="1459"/>
        <w:gridCol w:w="1027"/>
        <w:gridCol w:w="1191"/>
        <w:gridCol w:w="1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exact"/>
        </w:trPr>
        <w:tc>
          <w:tcPr>
            <w:tcW w:w="758" w:type="dxa"/>
          </w:tcPr>
          <w:p>
            <w:pPr>
              <w:pStyle w:val="31"/>
              <w:spacing w:before="15"/>
              <w:jc w:val="center"/>
              <w:rPr>
                <w:b/>
                <w:sz w:val="21"/>
                <w:szCs w:val="21"/>
                <w:lang w:eastAsia="zh-CN"/>
              </w:rPr>
            </w:pPr>
          </w:p>
          <w:p>
            <w:pPr>
              <w:pStyle w:val="31"/>
              <w:ind w:left="127"/>
              <w:jc w:val="center"/>
              <w:rPr>
                <w:sz w:val="21"/>
                <w:szCs w:val="21"/>
              </w:rPr>
            </w:pPr>
            <w:r>
              <w:rPr>
                <w:rFonts w:hint="eastAsia"/>
                <w:sz w:val="21"/>
                <w:szCs w:val="21"/>
              </w:rPr>
              <w:t>序号</w:t>
            </w:r>
          </w:p>
        </w:tc>
        <w:tc>
          <w:tcPr>
            <w:tcW w:w="1000" w:type="dxa"/>
          </w:tcPr>
          <w:p>
            <w:pPr>
              <w:pStyle w:val="31"/>
              <w:spacing w:before="15"/>
              <w:jc w:val="center"/>
              <w:rPr>
                <w:b/>
                <w:sz w:val="21"/>
                <w:szCs w:val="21"/>
              </w:rPr>
            </w:pPr>
          </w:p>
          <w:p>
            <w:pPr>
              <w:pStyle w:val="31"/>
              <w:ind w:left="203"/>
              <w:jc w:val="center"/>
              <w:rPr>
                <w:sz w:val="21"/>
                <w:szCs w:val="21"/>
              </w:rPr>
            </w:pPr>
            <w:r>
              <w:rPr>
                <w:rFonts w:hint="eastAsia"/>
                <w:sz w:val="21"/>
                <w:szCs w:val="21"/>
              </w:rPr>
              <w:t>姓名</w:t>
            </w:r>
          </w:p>
        </w:tc>
        <w:tc>
          <w:tcPr>
            <w:tcW w:w="724" w:type="dxa"/>
          </w:tcPr>
          <w:p>
            <w:pPr>
              <w:pStyle w:val="31"/>
              <w:spacing w:before="15"/>
              <w:jc w:val="center"/>
              <w:rPr>
                <w:b/>
                <w:sz w:val="21"/>
                <w:szCs w:val="21"/>
              </w:rPr>
            </w:pPr>
          </w:p>
          <w:p>
            <w:pPr>
              <w:pStyle w:val="31"/>
              <w:ind w:left="67"/>
              <w:jc w:val="center"/>
              <w:rPr>
                <w:sz w:val="21"/>
                <w:szCs w:val="21"/>
              </w:rPr>
            </w:pPr>
            <w:r>
              <w:rPr>
                <w:rFonts w:hint="eastAsia"/>
                <w:sz w:val="21"/>
                <w:szCs w:val="21"/>
              </w:rPr>
              <w:t>性别</w:t>
            </w:r>
          </w:p>
        </w:tc>
        <w:tc>
          <w:tcPr>
            <w:tcW w:w="1459" w:type="dxa"/>
          </w:tcPr>
          <w:p>
            <w:pPr>
              <w:pStyle w:val="31"/>
              <w:spacing w:before="15"/>
              <w:jc w:val="center"/>
              <w:rPr>
                <w:b/>
                <w:sz w:val="21"/>
                <w:szCs w:val="21"/>
              </w:rPr>
            </w:pPr>
          </w:p>
          <w:p>
            <w:pPr>
              <w:pStyle w:val="31"/>
              <w:ind w:left="412"/>
              <w:jc w:val="both"/>
              <w:rPr>
                <w:sz w:val="21"/>
                <w:szCs w:val="21"/>
              </w:rPr>
            </w:pPr>
            <w:r>
              <w:rPr>
                <w:rFonts w:hint="eastAsia"/>
                <w:sz w:val="21"/>
                <w:szCs w:val="21"/>
              </w:rPr>
              <w:t>专业</w:t>
            </w:r>
          </w:p>
        </w:tc>
        <w:tc>
          <w:tcPr>
            <w:tcW w:w="1027" w:type="dxa"/>
          </w:tcPr>
          <w:p>
            <w:pPr>
              <w:pStyle w:val="31"/>
              <w:spacing w:before="15"/>
              <w:jc w:val="center"/>
              <w:rPr>
                <w:b/>
                <w:sz w:val="21"/>
                <w:szCs w:val="21"/>
              </w:rPr>
            </w:pPr>
          </w:p>
          <w:p>
            <w:pPr>
              <w:pStyle w:val="31"/>
              <w:ind w:left="216"/>
              <w:jc w:val="both"/>
              <w:rPr>
                <w:sz w:val="21"/>
                <w:szCs w:val="21"/>
              </w:rPr>
            </w:pPr>
            <w:r>
              <w:rPr>
                <w:rFonts w:hint="eastAsia"/>
                <w:sz w:val="21"/>
                <w:szCs w:val="21"/>
              </w:rPr>
              <w:t>职称</w:t>
            </w:r>
          </w:p>
        </w:tc>
        <w:tc>
          <w:tcPr>
            <w:tcW w:w="1191" w:type="dxa"/>
          </w:tcPr>
          <w:p>
            <w:pPr>
              <w:pStyle w:val="31"/>
              <w:spacing w:before="39" w:line="357" w:lineRule="auto"/>
              <w:ind w:left="172" w:right="153"/>
              <w:jc w:val="center"/>
              <w:rPr>
                <w:sz w:val="21"/>
                <w:szCs w:val="21"/>
              </w:rPr>
            </w:pPr>
            <w:r>
              <w:rPr>
                <w:rFonts w:hint="eastAsia"/>
                <w:sz w:val="21"/>
                <w:szCs w:val="21"/>
              </w:rPr>
              <w:t>资格证书编号</w:t>
            </w:r>
          </w:p>
        </w:tc>
        <w:tc>
          <w:tcPr>
            <w:tcW w:w="1717" w:type="dxa"/>
          </w:tcPr>
          <w:p>
            <w:pPr>
              <w:pStyle w:val="31"/>
              <w:spacing w:before="39" w:line="357" w:lineRule="auto"/>
              <w:ind w:left="286" w:right="153" w:hanging="120"/>
              <w:jc w:val="center"/>
              <w:rPr>
                <w:sz w:val="21"/>
                <w:szCs w:val="21"/>
              </w:rPr>
            </w:pPr>
            <w:r>
              <w:rPr>
                <w:rFonts w:hint="eastAsia"/>
                <w:sz w:val="21"/>
                <w:szCs w:val="21"/>
              </w:rPr>
              <w:t>拟在本项目担任职务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758" w:type="dxa"/>
          </w:tcPr>
          <w:p>
            <w:pPr>
              <w:rPr>
                <w:rFonts w:ascii="宋体" w:hAnsi="宋体" w:cs="宋体"/>
                <w:szCs w:val="21"/>
              </w:rPr>
            </w:pPr>
          </w:p>
        </w:tc>
        <w:tc>
          <w:tcPr>
            <w:tcW w:w="1000" w:type="dxa"/>
          </w:tcPr>
          <w:p>
            <w:pPr>
              <w:rPr>
                <w:rFonts w:ascii="宋体" w:hAnsi="宋体" w:cs="宋体"/>
                <w:szCs w:val="21"/>
              </w:rPr>
            </w:pPr>
          </w:p>
        </w:tc>
        <w:tc>
          <w:tcPr>
            <w:tcW w:w="724" w:type="dxa"/>
          </w:tcPr>
          <w:p>
            <w:pPr>
              <w:rPr>
                <w:rFonts w:ascii="宋体" w:hAnsi="宋体" w:cs="宋体"/>
                <w:szCs w:val="21"/>
              </w:rPr>
            </w:pPr>
          </w:p>
        </w:tc>
        <w:tc>
          <w:tcPr>
            <w:tcW w:w="1459" w:type="dxa"/>
          </w:tcPr>
          <w:p>
            <w:pPr>
              <w:rPr>
                <w:rFonts w:ascii="宋体" w:hAnsi="宋体" w:cs="宋体"/>
                <w:szCs w:val="21"/>
              </w:rPr>
            </w:pPr>
          </w:p>
        </w:tc>
        <w:tc>
          <w:tcPr>
            <w:tcW w:w="1027" w:type="dxa"/>
          </w:tcPr>
          <w:p>
            <w:pPr>
              <w:rPr>
                <w:rFonts w:ascii="宋体" w:hAnsi="宋体" w:cs="宋体"/>
                <w:szCs w:val="21"/>
              </w:rPr>
            </w:pPr>
          </w:p>
        </w:tc>
        <w:tc>
          <w:tcPr>
            <w:tcW w:w="1191" w:type="dxa"/>
          </w:tcPr>
          <w:p>
            <w:pPr>
              <w:rPr>
                <w:rFonts w:ascii="宋体" w:hAnsi="宋体" w:cs="宋体"/>
                <w:szCs w:val="21"/>
              </w:rPr>
            </w:pPr>
          </w:p>
        </w:tc>
        <w:tc>
          <w:tcPr>
            <w:tcW w:w="1717" w:type="dxa"/>
          </w:tcPr>
          <w:p>
            <w:pP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exact"/>
        </w:trPr>
        <w:tc>
          <w:tcPr>
            <w:tcW w:w="758" w:type="dxa"/>
          </w:tcPr>
          <w:p>
            <w:pPr>
              <w:rPr>
                <w:rFonts w:ascii="宋体" w:hAnsi="宋体" w:cs="宋体"/>
                <w:szCs w:val="21"/>
              </w:rPr>
            </w:pPr>
          </w:p>
        </w:tc>
        <w:tc>
          <w:tcPr>
            <w:tcW w:w="1000" w:type="dxa"/>
          </w:tcPr>
          <w:p>
            <w:pPr>
              <w:rPr>
                <w:rFonts w:ascii="宋体" w:hAnsi="宋体" w:cs="宋体"/>
                <w:szCs w:val="21"/>
              </w:rPr>
            </w:pPr>
          </w:p>
        </w:tc>
        <w:tc>
          <w:tcPr>
            <w:tcW w:w="724" w:type="dxa"/>
          </w:tcPr>
          <w:p>
            <w:pPr>
              <w:rPr>
                <w:rFonts w:ascii="宋体" w:hAnsi="宋体" w:cs="宋体"/>
                <w:szCs w:val="21"/>
              </w:rPr>
            </w:pPr>
          </w:p>
        </w:tc>
        <w:tc>
          <w:tcPr>
            <w:tcW w:w="1459" w:type="dxa"/>
          </w:tcPr>
          <w:p>
            <w:pPr>
              <w:rPr>
                <w:rFonts w:ascii="宋体" w:hAnsi="宋体" w:cs="宋体"/>
                <w:szCs w:val="21"/>
              </w:rPr>
            </w:pPr>
          </w:p>
        </w:tc>
        <w:tc>
          <w:tcPr>
            <w:tcW w:w="1027" w:type="dxa"/>
          </w:tcPr>
          <w:p>
            <w:pPr>
              <w:rPr>
                <w:rFonts w:ascii="宋体" w:hAnsi="宋体" w:cs="宋体"/>
                <w:szCs w:val="21"/>
              </w:rPr>
            </w:pPr>
          </w:p>
        </w:tc>
        <w:tc>
          <w:tcPr>
            <w:tcW w:w="1191" w:type="dxa"/>
          </w:tcPr>
          <w:p>
            <w:pPr>
              <w:rPr>
                <w:rFonts w:ascii="宋体" w:hAnsi="宋体" w:cs="宋体"/>
                <w:szCs w:val="21"/>
              </w:rPr>
            </w:pPr>
          </w:p>
        </w:tc>
        <w:tc>
          <w:tcPr>
            <w:tcW w:w="1717" w:type="dxa"/>
          </w:tcPr>
          <w:p>
            <w:pP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exact"/>
        </w:trPr>
        <w:tc>
          <w:tcPr>
            <w:tcW w:w="758" w:type="dxa"/>
          </w:tcPr>
          <w:p>
            <w:pPr>
              <w:rPr>
                <w:rFonts w:ascii="宋体" w:hAnsi="宋体" w:cs="宋体"/>
                <w:szCs w:val="21"/>
              </w:rPr>
            </w:pPr>
          </w:p>
        </w:tc>
        <w:tc>
          <w:tcPr>
            <w:tcW w:w="1000" w:type="dxa"/>
          </w:tcPr>
          <w:p>
            <w:pPr>
              <w:rPr>
                <w:rFonts w:ascii="宋体" w:hAnsi="宋体" w:cs="宋体"/>
                <w:szCs w:val="21"/>
              </w:rPr>
            </w:pPr>
          </w:p>
        </w:tc>
        <w:tc>
          <w:tcPr>
            <w:tcW w:w="724" w:type="dxa"/>
          </w:tcPr>
          <w:p>
            <w:pPr>
              <w:rPr>
                <w:rFonts w:ascii="宋体" w:hAnsi="宋体" w:cs="宋体"/>
                <w:szCs w:val="21"/>
              </w:rPr>
            </w:pPr>
          </w:p>
        </w:tc>
        <w:tc>
          <w:tcPr>
            <w:tcW w:w="1459" w:type="dxa"/>
          </w:tcPr>
          <w:p>
            <w:pPr>
              <w:rPr>
                <w:rFonts w:ascii="宋体" w:hAnsi="宋体" w:cs="宋体"/>
                <w:szCs w:val="21"/>
              </w:rPr>
            </w:pPr>
          </w:p>
        </w:tc>
        <w:tc>
          <w:tcPr>
            <w:tcW w:w="1027" w:type="dxa"/>
          </w:tcPr>
          <w:p>
            <w:pPr>
              <w:rPr>
                <w:rFonts w:ascii="宋体" w:hAnsi="宋体" w:cs="宋体"/>
                <w:szCs w:val="21"/>
              </w:rPr>
            </w:pPr>
          </w:p>
        </w:tc>
        <w:tc>
          <w:tcPr>
            <w:tcW w:w="1191" w:type="dxa"/>
          </w:tcPr>
          <w:p>
            <w:pPr>
              <w:rPr>
                <w:rFonts w:ascii="宋体" w:hAnsi="宋体" w:cs="宋体"/>
                <w:szCs w:val="21"/>
              </w:rPr>
            </w:pPr>
          </w:p>
        </w:tc>
        <w:tc>
          <w:tcPr>
            <w:tcW w:w="1717" w:type="dxa"/>
          </w:tcPr>
          <w:p>
            <w:pP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exact"/>
        </w:trPr>
        <w:tc>
          <w:tcPr>
            <w:tcW w:w="758" w:type="dxa"/>
          </w:tcPr>
          <w:p>
            <w:pPr>
              <w:rPr>
                <w:rFonts w:ascii="宋体" w:hAnsi="宋体" w:cs="宋体"/>
                <w:szCs w:val="21"/>
              </w:rPr>
            </w:pPr>
          </w:p>
        </w:tc>
        <w:tc>
          <w:tcPr>
            <w:tcW w:w="1000" w:type="dxa"/>
          </w:tcPr>
          <w:p>
            <w:pPr>
              <w:rPr>
                <w:rFonts w:ascii="宋体" w:hAnsi="宋体" w:cs="宋体"/>
                <w:szCs w:val="21"/>
              </w:rPr>
            </w:pPr>
          </w:p>
        </w:tc>
        <w:tc>
          <w:tcPr>
            <w:tcW w:w="724" w:type="dxa"/>
          </w:tcPr>
          <w:p>
            <w:pPr>
              <w:rPr>
                <w:rFonts w:ascii="宋体" w:hAnsi="宋体" w:cs="宋体"/>
                <w:szCs w:val="21"/>
              </w:rPr>
            </w:pPr>
          </w:p>
        </w:tc>
        <w:tc>
          <w:tcPr>
            <w:tcW w:w="1459" w:type="dxa"/>
          </w:tcPr>
          <w:p>
            <w:pPr>
              <w:rPr>
                <w:rFonts w:ascii="宋体" w:hAnsi="宋体" w:cs="宋体"/>
                <w:szCs w:val="21"/>
              </w:rPr>
            </w:pPr>
          </w:p>
        </w:tc>
        <w:tc>
          <w:tcPr>
            <w:tcW w:w="1027" w:type="dxa"/>
          </w:tcPr>
          <w:p>
            <w:pPr>
              <w:rPr>
                <w:rFonts w:ascii="宋体" w:hAnsi="宋体" w:cs="宋体"/>
                <w:szCs w:val="21"/>
              </w:rPr>
            </w:pPr>
          </w:p>
        </w:tc>
        <w:tc>
          <w:tcPr>
            <w:tcW w:w="1191" w:type="dxa"/>
          </w:tcPr>
          <w:p>
            <w:pPr>
              <w:rPr>
                <w:rFonts w:ascii="宋体" w:hAnsi="宋体" w:cs="宋体"/>
                <w:szCs w:val="21"/>
              </w:rPr>
            </w:pPr>
          </w:p>
        </w:tc>
        <w:tc>
          <w:tcPr>
            <w:tcW w:w="1717" w:type="dxa"/>
          </w:tcPr>
          <w:p>
            <w:pP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exact"/>
        </w:trPr>
        <w:tc>
          <w:tcPr>
            <w:tcW w:w="758" w:type="dxa"/>
          </w:tcPr>
          <w:p>
            <w:pPr>
              <w:rPr>
                <w:rFonts w:ascii="宋体" w:hAnsi="宋体" w:cs="宋体"/>
                <w:szCs w:val="21"/>
              </w:rPr>
            </w:pPr>
          </w:p>
        </w:tc>
        <w:tc>
          <w:tcPr>
            <w:tcW w:w="1000" w:type="dxa"/>
          </w:tcPr>
          <w:p>
            <w:pPr>
              <w:rPr>
                <w:rFonts w:ascii="宋体" w:hAnsi="宋体" w:cs="宋体"/>
                <w:szCs w:val="21"/>
              </w:rPr>
            </w:pPr>
          </w:p>
        </w:tc>
        <w:tc>
          <w:tcPr>
            <w:tcW w:w="724" w:type="dxa"/>
          </w:tcPr>
          <w:p>
            <w:pPr>
              <w:rPr>
                <w:rFonts w:ascii="宋体" w:hAnsi="宋体" w:cs="宋体"/>
                <w:szCs w:val="21"/>
              </w:rPr>
            </w:pPr>
          </w:p>
        </w:tc>
        <w:tc>
          <w:tcPr>
            <w:tcW w:w="1459" w:type="dxa"/>
          </w:tcPr>
          <w:p>
            <w:pPr>
              <w:rPr>
                <w:rFonts w:ascii="宋体" w:hAnsi="宋体" w:cs="宋体"/>
                <w:szCs w:val="21"/>
              </w:rPr>
            </w:pPr>
          </w:p>
        </w:tc>
        <w:tc>
          <w:tcPr>
            <w:tcW w:w="1027" w:type="dxa"/>
          </w:tcPr>
          <w:p>
            <w:pPr>
              <w:rPr>
                <w:rFonts w:ascii="宋体" w:hAnsi="宋体" w:cs="宋体"/>
                <w:szCs w:val="21"/>
              </w:rPr>
            </w:pPr>
          </w:p>
        </w:tc>
        <w:tc>
          <w:tcPr>
            <w:tcW w:w="1191" w:type="dxa"/>
          </w:tcPr>
          <w:p>
            <w:pPr>
              <w:rPr>
                <w:rFonts w:ascii="宋体" w:hAnsi="宋体" w:cs="宋体"/>
                <w:szCs w:val="21"/>
              </w:rPr>
            </w:pPr>
          </w:p>
        </w:tc>
        <w:tc>
          <w:tcPr>
            <w:tcW w:w="1717" w:type="dxa"/>
          </w:tcPr>
          <w:p>
            <w:pP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exact"/>
        </w:trPr>
        <w:tc>
          <w:tcPr>
            <w:tcW w:w="758" w:type="dxa"/>
          </w:tcPr>
          <w:p>
            <w:pPr>
              <w:rPr>
                <w:rFonts w:ascii="宋体" w:hAnsi="宋体" w:cs="宋体"/>
                <w:szCs w:val="21"/>
              </w:rPr>
            </w:pPr>
          </w:p>
        </w:tc>
        <w:tc>
          <w:tcPr>
            <w:tcW w:w="1000" w:type="dxa"/>
          </w:tcPr>
          <w:p>
            <w:pPr>
              <w:rPr>
                <w:rFonts w:ascii="宋体" w:hAnsi="宋体" w:cs="宋体"/>
                <w:szCs w:val="21"/>
              </w:rPr>
            </w:pPr>
          </w:p>
        </w:tc>
        <w:tc>
          <w:tcPr>
            <w:tcW w:w="724" w:type="dxa"/>
          </w:tcPr>
          <w:p>
            <w:pPr>
              <w:rPr>
                <w:rFonts w:ascii="宋体" w:hAnsi="宋体" w:cs="宋体"/>
                <w:szCs w:val="21"/>
              </w:rPr>
            </w:pPr>
          </w:p>
        </w:tc>
        <w:tc>
          <w:tcPr>
            <w:tcW w:w="1459" w:type="dxa"/>
          </w:tcPr>
          <w:p>
            <w:pPr>
              <w:rPr>
                <w:rFonts w:ascii="宋体" w:hAnsi="宋体" w:cs="宋体"/>
                <w:szCs w:val="21"/>
              </w:rPr>
            </w:pPr>
          </w:p>
        </w:tc>
        <w:tc>
          <w:tcPr>
            <w:tcW w:w="1027" w:type="dxa"/>
          </w:tcPr>
          <w:p>
            <w:pPr>
              <w:rPr>
                <w:rFonts w:ascii="宋体" w:hAnsi="宋体" w:cs="宋体"/>
                <w:szCs w:val="21"/>
              </w:rPr>
            </w:pPr>
          </w:p>
        </w:tc>
        <w:tc>
          <w:tcPr>
            <w:tcW w:w="1191" w:type="dxa"/>
          </w:tcPr>
          <w:p>
            <w:pPr>
              <w:rPr>
                <w:rFonts w:ascii="宋体" w:hAnsi="宋体" w:cs="宋体"/>
                <w:szCs w:val="21"/>
              </w:rPr>
            </w:pPr>
          </w:p>
        </w:tc>
        <w:tc>
          <w:tcPr>
            <w:tcW w:w="1717" w:type="dxa"/>
          </w:tcPr>
          <w:p>
            <w:pP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exact"/>
        </w:trPr>
        <w:tc>
          <w:tcPr>
            <w:tcW w:w="758" w:type="dxa"/>
          </w:tcPr>
          <w:p>
            <w:pPr>
              <w:rPr>
                <w:rFonts w:ascii="宋体" w:hAnsi="宋体" w:cs="宋体"/>
                <w:szCs w:val="21"/>
              </w:rPr>
            </w:pPr>
          </w:p>
        </w:tc>
        <w:tc>
          <w:tcPr>
            <w:tcW w:w="1000" w:type="dxa"/>
          </w:tcPr>
          <w:p>
            <w:pPr>
              <w:rPr>
                <w:rFonts w:ascii="宋体" w:hAnsi="宋体" w:cs="宋体"/>
                <w:szCs w:val="21"/>
              </w:rPr>
            </w:pPr>
          </w:p>
        </w:tc>
        <w:tc>
          <w:tcPr>
            <w:tcW w:w="724" w:type="dxa"/>
          </w:tcPr>
          <w:p>
            <w:pPr>
              <w:rPr>
                <w:rFonts w:ascii="宋体" w:hAnsi="宋体" w:cs="宋体"/>
                <w:szCs w:val="21"/>
              </w:rPr>
            </w:pPr>
          </w:p>
        </w:tc>
        <w:tc>
          <w:tcPr>
            <w:tcW w:w="1459" w:type="dxa"/>
          </w:tcPr>
          <w:p>
            <w:pPr>
              <w:rPr>
                <w:rFonts w:ascii="宋体" w:hAnsi="宋体" w:cs="宋体"/>
                <w:szCs w:val="21"/>
              </w:rPr>
            </w:pPr>
          </w:p>
        </w:tc>
        <w:tc>
          <w:tcPr>
            <w:tcW w:w="1027" w:type="dxa"/>
          </w:tcPr>
          <w:p>
            <w:pPr>
              <w:rPr>
                <w:rFonts w:ascii="宋体" w:hAnsi="宋体" w:cs="宋体"/>
                <w:szCs w:val="21"/>
              </w:rPr>
            </w:pPr>
          </w:p>
        </w:tc>
        <w:tc>
          <w:tcPr>
            <w:tcW w:w="1191" w:type="dxa"/>
          </w:tcPr>
          <w:p>
            <w:pPr>
              <w:rPr>
                <w:rFonts w:ascii="宋体" w:hAnsi="宋体" w:cs="宋体"/>
                <w:szCs w:val="21"/>
              </w:rPr>
            </w:pPr>
          </w:p>
        </w:tc>
        <w:tc>
          <w:tcPr>
            <w:tcW w:w="1717" w:type="dxa"/>
          </w:tcPr>
          <w:p>
            <w:pP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exact"/>
        </w:trPr>
        <w:tc>
          <w:tcPr>
            <w:tcW w:w="758" w:type="dxa"/>
          </w:tcPr>
          <w:p>
            <w:pPr>
              <w:rPr>
                <w:rFonts w:ascii="宋体" w:hAnsi="宋体" w:cs="宋体"/>
                <w:szCs w:val="21"/>
              </w:rPr>
            </w:pPr>
          </w:p>
        </w:tc>
        <w:tc>
          <w:tcPr>
            <w:tcW w:w="1000" w:type="dxa"/>
          </w:tcPr>
          <w:p>
            <w:pPr>
              <w:rPr>
                <w:rFonts w:ascii="宋体" w:hAnsi="宋体" w:cs="宋体"/>
                <w:szCs w:val="21"/>
              </w:rPr>
            </w:pPr>
          </w:p>
        </w:tc>
        <w:tc>
          <w:tcPr>
            <w:tcW w:w="724" w:type="dxa"/>
          </w:tcPr>
          <w:p>
            <w:pPr>
              <w:rPr>
                <w:rFonts w:ascii="宋体" w:hAnsi="宋体" w:cs="宋体"/>
                <w:szCs w:val="21"/>
              </w:rPr>
            </w:pPr>
          </w:p>
        </w:tc>
        <w:tc>
          <w:tcPr>
            <w:tcW w:w="1459" w:type="dxa"/>
          </w:tcPr>
          <w:p>
            <w:pPr>
              <w:rPr>
                <w:rFonts w:ascii="宋体" w:hAnsi="宋体" w:cs="宋体"/>
                <w:szCs w:val="21"/>
              </w:rPr>
            </w:pPr>
          </w:p>
        </w:tc>
        <w:tc>
          <w:tcPr>
            <w:tcW w:w="1027" w:type="dxa"/>
          </w:tcPr>
          <w:p>
            <w:pPr>
              <w:rPr>
                <w:rFonts w:ascii="宋体" w:hAnsi="宋体" w:cs="宋体"/>
                <w:szCs w:val="21"/>
              </w:rPr>
            </w:pPr>
          </w:p>
        </w:tc>
        <w:tc>
          <w:tcPr>
            <w:tcW w:w="1191" w:type="dxa"/>
          </w:tcPr>
          <w:p>
            <w:pPr>
              <w:rPr>
                <w:rFonts w:ascii="宋体" w:hAnsi="宋体" w:cs="宋体"/>
                <w:szCs w:val="21"/>
              </w:rPr>
            </w:pPr>
          </w:p>
        </w:tc>
        <w:tc>
          <w:tcPr>
            <w:tcW w:w="1717" w:type="dxa"/>
          </w:tcPr>
          <w:p>
            <w:pP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exact"/>
        </w:trPr>
        <w:tc>
          <w:tcPr>
            <w:tcW w:w="758" w:type="dxa"/>
          </w:tcPr>
          <w:p>
            <w:pPr>
              <w:rPr>
                <w:rFonts w:ascii="宋体" w:hAnsi="宋体" w:cs="宋体"/>
                <w:szCs w:val="21"/>
              </w:rPr>
            </w:pPr>
          </w:p>
        </w:tc>
        <w:tc>
          <w:tcPr>
            <w:tcW w:w="1000" w:type="dxa"/>
          </w:tcPr>
          <w:p>
            <w:pPr>
              <w:rPr>
                <w:rFonts w:ascii="宋体" w:hAnsi="宋体" w:cs="宋体"/>
                <w:szCs w:val="21"/>
              </w:rPr>
            </w:pPr>
          </w:p>
        </w:tc>
        <w:tc>
          <w:tcPr>
            <w:tcW w:w="724" w:type="dxa"/>
          </w:tcPr>
          <w:p>
            <w:pPr>
              <w:rPr>
                <w:rFonts w:ascii="宋体" w:hAnsi="宋体" w:cs="宋体"/>
                <w:szCs w:val="21"/>
              </w:rPr>
            </w:pPr>
          </w:p>
        </w:tc>
        <w:tc>
          <w:tcPr>
            <w:tcW w:w="1459" w:type="dxa"/>
          </w:tcPr>
          <w:p>
            <w:pPr>
              <w:rPr>
                <w:rFonts w:ascii="宋体" w:hAnsi="宋体" w:cs="宋体"/>
                <w:szCs w:val="21"/>
              </w:rPr>
            </w:pPr>
          </w:p>
        </w:tc>
        <w:tc>
          <w:tcPr>
            <w:tcW w:w="1027" w:type="dxa"/>
          </w:tcPr>
          <w:p>
            <w:pPr>
              <w:rPr>
                <w:rFonts w:ascii="宋体" w:hAnsi="宋体" w:cs="宋体"/>
                <w:szCs w:val="21"/>
              </w:rPr>
            </w:pPr>
          </w:p>
        </w:tc>
        <w:tc>
          <w:tcPr>
            <w:tcW w:w="1191" w:type="dxa"/>
          </w:tcPr>
          <w:p>
            <w:pPr>
              <w:rPr>
                <w:rFonts w:ascii="宋体" w:hAnsi="宋体" w:cs="宋体"/>
                <w:szCs w:val="21"/>
              </w:rPr>
            </w:pPr>
          </w:p>
        </w:tc>
        <w:tc>
          <w:tcPr>
            <w:tcW w:w="1717" w:type="dxa"/>
          </w:tcPr>
          <w:p>
            <w:pPr>
              <w:rPr>
                <w:rFonts w:ascii="宋体" w:hAnsi="宋体" w:cs="宋体"/>
                <w:szCs w:val="21"/>
              </w:rPr>
            </w:pPr>
          </w:p>
        </w:tc>
      </w:tr>
    </w:tbl>
    <w:p>
      <w:pPr>
        <w:spacing w:line="360" w:lineRule="auto"/>
        <w:rPr>
          <w:rFonts w:ascii="宋体" w:hAnsi="宋体" w:cs="宋体"/>
          <w:szCs w:val="21"/>
        </w:rPr>
      </w:pPr>
      <w:r>
        <w:rPr>
          <w:rFonts w:hint="eastAsia" w:ascii="宋体" w:hAnsi="宋体" w:cs="宋体"/>
          <w:szCs w:val="21"/>
        </w:rPr>
        <w:t>注：此表后须附项目负责人身份证、职称证书、劳动合同及社保证明材料；其他主要人员应附职称证（执业证或上岗证书）复印件。</w:t>
      </w:r>
    </w:p>
    <w:p>
      <w:pPr>
        <w:spacing w:line="360" w:lineRule="auto"/>
        <w:rPr>
          <w:rFonts w:ascii="宋体" w:hAnsi="宋体" w:cs="宋体"/>
          <w:szCs w:val="21"/>
        </w:rPr>
      </w:pPr>
    </w:p>
    <w:p>
      <w:pPr>
        <w:autoSpaceDE w:val="0"/>
        <w:autoSpaceDN w:val="0"/>
        <w:adjustRightInd w:val="0"/>
        <w:spacing w:line="480" w:lineRule="auto"/>
        <w:rPr>
          <w:rFonts w:cs="宋体" w:asciiTheme="minorEastAsia" w:hAnsiTheme="minorEastAsia"/>
          <w:szCs w:val="21"/>
          <w:lang w:val="zh-CN"/>
        </w:rPr>
      </w:pPr>
      <w:r>
        <w:rPr>
          <w:rFonts w:cs="宋体" w:asciiTheme="minorEastAsia" w:hAnsiTheme="minorEastAsia"/>
          <w:szCs w:val="21"/>
          <w:lang w:val="zh-CN"/>
        </w:rPr>
        <w:t xml:space="preserve">投标人（公章）： </w:t>
      </w:r>
    </w:p>
    <w:p>
      <w:pPr>
        <w:autoSpaceDE w:val="0"/>
        <w:autoSpaceDN w:val="0"/>
        <w:adjustRightInd w:val="0"/>
        <w:spacing w:line="480" w:lineRule="auto"/>
        <w:rPr>
          <w:rFonts w:cs="宋体" w:asciiTheme="minorEastAsia" w:hAnsiTheme="minorEastAsia"/>
          <w:szCs w:val="21"/>
          <w:lang w:val="zh-CN"/>
        </w:rPr>
      </w:pPr>
      <w:r>
        <w:rPr>
          <w:rFonts w:cs="宋体" w:asciiTheme="minorEastAsia" w:hAnsiTheme="minorEastAsia"/>
          <w:szCs w:val="21"/>
          <w:lang w:val="zh-CN"/>
        </w:rPr>
        <w:t xml:space="preserve">投标人法定代表人（单位负责人）或授权代表签字： </w:t>
      </w:r>
    </w:p>
    <w:p>
      <w:pPr>
        <w:autoSpaceDE w:val="0"/>
        <w:autoSpaceDN w:val="0"/>
        <w:adjustRightInd w:val="0"/>
        <w:spacing w:line="480" w:lineRule="auto"/>
        <w:rPr>
          <w:rFonts w:ascii="宋体" w:hAnsi="宋体"/>
          <w:b/>
          <w:bCs/>
          <w:color w:val="000000"/>
          <w:sz w:val="36"/>
          <w:szCs w:val="36"/>
        </w:rPr>
      </w:pPr>
      <w:r>
        <w:rPr>
          <w:rFonts w:cs="宋体" w:asciiTheme="minorEastAsia" w:hAnsiTheme="minorEastAsia"/>
          <w:szCs w:val="21"/>
          <w:lang w:val="zh-CN"/>
        </w:rPr>
        <w:t>签署日期：年月日</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pStyle w:val="3"/>
        <w:rPr>
          <w:rFonts w:ascii="宋体" w:hAnsi="宋体"/>
          <w:b/>
          <w:bCs/>
          <w:color w:val="000000"/>
          <w:sz w:val="36"/>
          <w:szCs w:val="36"/>
        </w:rPr>
      </w:pPr>
    </w:p>
    <w:p>
      <w:pPr>
        <w:pStyle w:val="22"/>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4.6</w:t>
      </w:r>
      <w:r>
        <w:rPr>
          <w:rFonts w:ascii="宋体" w:hAnsi="宋体"/>
          <w:b/>
          <w:bCs/>
          <w:color w:val="000000"/>
          <w:sz w:val="24"/>
        </w:rPr>
        <w:t>中小企业声明函（</w:t>
      </w:r>
      <w:r>
        <w:rPr>
          <w:rFonts w:hint="eastAsia" w:ascii="宋体" w:hAnsi="宋体"/>
          <w:b/>
          <w:bCs/>
          <w:color w:val="000000"/>
          <w:sz w:val="24"/>
        </w:rPr>
        <w:t>服务</w:t>
      </w:r>
      <w:r>
        <w:rPr>
          <w:rFonts w:ascii="宋体" w:hAnsi="宋体"/>
          <w:b/>
          <w:bCs/>
          <w:color w:val="000000"/>
          <w:sz w:val="24"/>
        </w:rPr>
        <w:t>）</w:t>
      </w:r>
    </w:p>
    <w:p>
      <w:pPr>
        <w:spacing w:line="360" w:lineRule="auto"/>
        <w:jc w:val="center"/>
        <w:rPr>
          <w:rFonts w:ascii="宋体" w:hAnsi="宋体"/>
          <w:b/>
          <w:bCs/>
          <w:color w:val="000000"/>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color w:val="000000"/>
          <w:szCs w:val="21"/>
        </w:rPr>
      </w:pPr>
      <w:r>
        <w:t>日期：</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p>
    <w:p>
      <w:pPr>
        <w:spacing w:line="480" w:lineRule="auto"/>
        <w:ind w:left="4358" w:leftChars="2075"/>
        <w:rPr>
          <w:rFonts w:cs="Arial" w:asciiTheme="minorEastAsia" w:hAnsiTheme="minorEastAsia"/>
          <w:color w:val="000000"/>
          <w:szCs w:val="21"/>
        </w:rPr>
      </w:pPr>
    </w:p>
    <w:p>
      <w:pPr>
        <w:autoSpaceDE w:val="0"/>
        <w:autoSpaceDN w:val="0"/>
        <w:adjustRightInd w:val="0"/>
        <w:spacing w:line="360" w:lineRule="auto"/>
        <w:jc w:val="center"/>
        <w:outlineLvl w:val="0"/>
        <w:rPr>
          <w:rFonts w:ascii="宋体" w:hAnsi="宋体"/>
          <w:b/>
          <w:bCs/>
          <w:color w:val="000000"/>
          <w:sz w:val="24"/>
        </w:rPr>
      </w:pPr>
      <w:bookmarkStart w:id="53" w:name="OLE_LINK14"/>
      <w:bookmarkStart w:id="54" w:name="OLE_LINK13"/>
      <w:r>
        <w:rPr>
          <w:rFonts w:hint="eastAsia" w:ascii="宋体" w:hAnsi="宋体"/>
          <w:b/>
          <w:bCs/>
          <w:color w:val="000000"/>
          <w:sz w:val="24"/>
        </w:rPr>
        <w:t>4.7 残疾人福利性单位声明函（若是）</w:t>
      </w:r>
    </w:p>
    <w:bookmarkEnd w:id="53"/>
    <w:bookmarkEnd w:id="5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pStyle w:val="3"/>
        <w:rPr>
          <w:rFonts w:ascii="宋体" w:hAnsi="宋体"/>
          <w:szCs w:val="21"/>
        </w:rPr>
      </w:pPr>
    </w:p>
    <w:p>
      <w:pPr>
        <w:pStyle w:val="22"/>
        <w:rPr>
          <w:rFonts w:hAnsi="宋体"/>
          <w:szCs w:val="21"/>
        </w:rPr>
      </w:pPr>
    </w:p>
    <w:p>
      <w:pPr>
        <w:rPr>
          <w:rFonts w:ascii="宋体" w:hAnsi="宋体"/>
          <w:szCs w:val="21"/>
        </w:rPr>
      </w:pPr>
    </w:p>
    <w:p>
      <w:pPr>
        <w:pStyle w:val="3"/>
      </w:pPr>
    </w:p>
    <w:p>
      <w:pPr>
        <w:adjustRightInd w:val="0"/>
        <w:snapToGrid w:val="0"/>
        <w:spacing w:line="360" w:lineRule="auto"/>
        <w:ind w:firstLine="5250" w:firstLineChars="2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adjustRightInd w:val="0"/>
        <w:snapToGrid w:val="0"/>
        <w:spacing w:line="360" w:lineRule="auto"/>
        <w:ind w:firstLine="5250" w:firstLineChars="2500"/>
        <w:rPr>
          <w:rFonts w:cs="宋体" w:asciiTheme="minorEastAsia" w:hAnsiTheme="minorEastAsia"/>
          <w:szCs w:val="21"/>
        </w:rPr>
      </w:pPr>
      <w:r>
        <w:rPr>
          <w:rFonts w:hint="eastAsia" w:cs="宋体" w:asciiTheme="minorEastAsia" w:hAnsiTheme="minorEastAsia"/>
          <w:szCs w:val="21"/>
        </w:rPr>
        <w:t>日期：年月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ind w:firstLine="2530" w:firstLineChars="900"/>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0"/>
        <w:spacing w:line="360" w:lineRule="auto"/>
        <w:contextualSpacing/>
        <w:jc w:val="center"/>
        <w:rPr>
          <w:rFonts w:cs="宋体" w:asciiTheme="majorEastAsia" w:hAnsiTheme="majorEastAsia" w:eastAsiaTheme="majorEastAsia"/>
          <w:b/>
          <w:kern w:val="0"/>
          <w:sz w:val="36"/>
          <w:szCs w:val="36"/>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7D43D"/>
    <w:multiLevelType w:val="singleLevel"/>
    <w:tmpl w:val="8A17D43D"/>
    <w:lvl w:ilvl="0" w:tentative="0">
      <w:start w:val="1"/>
      <w:numFmt w:val="chineseCounting"/>
      <w:suff w:val="nothing"/>
      <w:lvlText w:val="%1、"/>
      <w:lvlJc w:val="left"/>
      <w:rPr>
        <w:rFonts w:hint="eastAsia"/>
      </w:rPr>
    </w:lvl>
  </w:abstractNum>
  <w:abstractNum w:abstractNumId="1">
    <w:nsid w:val="A4ACFEBA"/>
    <w:multiLevelType w:val="singleLevel"/>
    <w:tmpl w:val="A4ACFEBA"/>
    <w:lvl w:ilvl="0" w:tentative="0">
      <w:start w:val="5"/>
      <w:numFmt w:val="decimal"/>
      <w:suff w:val="nothing"/>
      <w:lvlText w:val="%1、"/>
      <w:lvlJc w:val="left"/>
    </w:lvl>
  </w:abstractNum>
  <w:abstractNum w:abstractNumId="2">
    <w:nsid w:val="00000002"/>
    <w:multiLevelType w:val="singleLevel"/>
    <w:tmpl w:val="00000002"/>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3FC7E5F"/>
    <w:multiLevelType w:val="multilevel"/>
    <w:tmpl w:val="03FC7E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66C147B"/>
    <w:multiLevelType w:val="singleLevel"/>
    <w:tmpl w:val="166C147B"/>
    <w:lvl w:ilvl="0" w:tentative="0">
      <w:start w:val="3"/>
      <w:numFmt w:val="decimal"/>
      <w:suff w:val="nothing"/>
      <w:lvlText w:val="%1、"/>
      <w:lvlJc w:val="left"/>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4259C78B"/>
    <w:multiLevelType w:val="singleLevel"/>
    <w:tmpl w:val="4259C78B"/>
    <w:lvl w:ilvl="0" w:tentative="0">
      <w:start w:val="4"/>
      <w:numFmt w:val="chineseCounting"/>
      <w:suff w:val="nothing"/>
      <w:lvlText w:val="%1、"/>
      <w:lvlJc w:val="left"/>
      <w:rPr>
        <w:rFonts w:hint="eastAsia"/>
      </w:rPr>
    </w:lvl>
  </w:abstractNum>
  <w:abstractNum w:abstractNumId="9">
    <w:nsid w:val="47CAF6A2"/>
    <w:multiLevelType w:val="singleLevel"/>
    <w:tmpl w:val="47CAF6A2"/>
    <w:lvl w:ilvl="0" w:tentative="0">
      <w:start w:val="4"/>
      <w:numFmt w:val="decimal"/>
      <w:suff w:val="nothing"/>
      <w:lvlText w:val="%1、"/>
      <w:lvlJc w:val="left"/>
    </w:lvl>
  </w:abstractNum>
  <w:abstractNum w:abstractNumId="10">
    <w:nsid w:val="59F817E8"/>
    <w:multiLevelType w:val="singleLevel"/>
    <w:tmpl w:val="59F817E8"/>
    <w:lvl w:ilvl="0" w:tentative="0">
      <w:start w:val="1"/>
      <w:numFmt w:val="chineseCounting"/>
      <w:pStyle w:val="27"/>
      <w:suff w:val="nothing"/>
      <w:lvlText w:val="%1、"/>
      <w:lvlJc w:val="left"/>
    </w:lvl>
  </w:abstractNum>
  <w:num w:numId="1">
    <w:abstractNumId w:val="3"/>
  </w:num>
  <w:num w:numId="2">
    <w:abstractNumId w:val="10"/>
  </w:num>
  <w:num w:numId="3">
    <w:abstractNumId w:val="1"/>
  </w:num>
  <w:num w:numId="4">
    <w:abstractNumId w:val="6"/>
  </w:num>
  <w:num w:numId="5">
    <w:abstractNumId w:val="2"/>
  </w:num>
  <w:num w:numId="6">
    <w:abstractNumId w:val="9"/>
  </w:num>
  <w:num w:numId="7">
    <w:abstractNumId w:val="7"/>
  </w:num>
  <w:num w:numId="8">
    <w:abstractNumId w:val="8"/>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3B83194"/>
    <w:rsid w:val="00126A2F"/>
    <w:rsid w:val="00155A7F"/>
    <w:rsid w:val="0030152B"/>
    <w:rsid w:val="0035530B"/>
    <w:rsid w:val="004137A9"/>
    <w:rsid w:val="0045117E"/>
    <w:rsid w:val="00462B23"/>
    <w:rsid w:val="00475B21"/>
    <w:rsid w:val="005C7B29"/>
    <w:rsid w:val="005F3526"/>
    <w:rsid w:val="00773317"/>
    <w:rsid w:val="00781E43"/>
    <w:rsid w:val="00797A87"/>
    <w:rsid w:val="00841D08"/>
    <w:rsid w:val="008660B4"/>
    <w:rsid w:val="008B35E2"/>
    <w:rsid w:val="009D6E49"/>
    <w:rsid w:val="00B3002B"/>
    <w:rsid w:val="00C44C72"/>
    <w:rsid w:val="00C46A2C"/>
    <w:rsid w:val="00D01165"/>
    <w:rsid w:val="00D34C9B"/>
    <w:rsid w:val="00DD2F5A"/>
    <w:rsid w:val="00E13E3C"/>
    <w:rsid w:val="00E57CF0"/>
    <w:rsid w:val="00FB0002"/>
    <w:rsid w:val="032134F4"/>
    <w:rsid w:val="04031A77"/>
    <w:rsid w:val="0EB80A72"/>
    <w:rsid w:val="10726FB4"/>
    <w:rsid w:val="12CF486E"/>
    <w:rsid w:val="161E7B96"/>
    <w:rsid w:val="18CA443A"/>
    <w:rsid w:val="19EA58A0"/>
    <w:rsid w:val="1A2F1943"/>
    <w:rsid w:val="1D6F5DD4"/>
    <w:rsid w:val="1D8040B4"/>
    <w:rsid w:val="1FA351DF"/>
    <w:rsid w:val="218B0A6A"/>
    <w:rsid w:val="249B1FC7"/>
    <w:rsid w:val="27E06827"/>
    <w:rsid w:val="29C50651"/>
    <w:rsid w:val="30574D25"/>
    <w:rsid w:val="31AF5ADF"/>
    <w:rsid w:val="370D0242"/>
    <w:rsid w:val="3A0D3FAE"/>
    <w:rsid w:val="3E726777"/>
    <w:rsid w:val="45BC7FC5"/>
    <w:rsid w:val="48075527"/>
    <w:rsid w:val="4A937BB6"/>
    <w:rsid w:val="4E774CB7"/>
    <w:rsid w:val="4F5114F9"/>
    <w:rsid w:val="51E43352"/>
    <w:rsid w:val="526D39BF"/>
    <w:rsid w:val="52946733"/>
    <w:rsid w:val="53B83194"/>
    <w:rsid w:val="58CB119E"/>
    <w:rsid w:val="5AF151F1"/>
    <w:rsid w:val="5EDA50F7"/>
    <w:rsid w:val="5EF760FC"/>
    <w:rsid w:val="69383F96"/>
    <w:rsid w:val="6AB17354"/>
    <w:rsid w:val="6E0E3856"/>
    <w:rsid w:val="6E832962"/>
    <w:rsid w:val="739D4270"/>
    <w:rsid w:val="75CD0F53"/>
    <w:rsid w:val="78811A45"/>
    <w:rsid w:val="7C2D07C5"/>
    <w:rsid w:val="7F61212A"/>
    <w:rsid w:val="7F7545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unhideWhenUsed/>
    <w:qFormat/>
    <w:uiPriority w:val="0"/>
    <w:pPr>
      <w:keepNext/>
      <w:keepLines/>
      <w:spacing w:before="100" w:after="100" w:line="600" w:lineRule="exact"/>
      <w:outlineLvl w:val="1"/>
    </w:pPr>
    <w:rPr>
      <w:rFonts w:ascii="Cambria" w:hAnsi="Cambria"/>
      <w:b/>
      <w:bCs/>
      <w:sz w:val="30"/>
      <w:szCs w:val="32"/>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100" w:firstLineChars="100"/>
    </w:pPr>
  </w:style>
  <w:style w:type="paragraph" w:styleId="3">
    <w:name w:val="Body Text"/>
    <w:basedOn w:val="1"/>
    <w:next w:val="2"/>
    <w:qFormat/>
    <w:uiPriority w:val="0"/>
    <w:pPr>
      <w:spacing w:after="120"/>
    </w:pPr>
  </w:style>
  <w:style w:type="paragraph" w:customStyle="1" w:styleId="4">
    <w:name w:val="List Paragraph1"/>
    <w:basedOn w:val="1"/>
    <w:next w:val="1"/>
    <w:qFormat/>
    <w:uiPriority w:val="0"/>
    <w:pPr>
      <w:ind w:left="420" w:firstLine="3748"/>
    </w:pPr>
  </w:style>
  <w:style w:type="paragraph" w:styleId="7">
    <w:name w:val="caption"/>
    <w:basedOn w:val="1"/>
    <w:next w:val="1"/>
    <w:qFormat/>
    <w:uiPriority w:val="0"/>
    <w:rPr>
      <w:rFonts w:ascii="Arial" w:hAnsi="Arial" w:eastAsia="黑体" w:cs="Arial"/>
      <w:sz w:val="20"/>
      <w:szCs w:val="20"/>
    </w:rPr>
  </w:style>
  <w:style w:type="paragraph" w:styleId="8">
    <w:name w:val="Body Text Indent"/>
    <w:basedOn w:val="1"/>
    <w:qFormat/>
    <w:uiPriority w:val="0"/>
    <w:pPr>
      <w:spacing w:after="120"/>
      <w:ind w:left="200" w:leftChars="200"/>
    </w:pPr>
  </w:style>
  <w:style w:type="paragraph" w:styleId="9">
    <w:name w:val="List Continue"/>
    <w:basedOn w:val="1"/>
    <w:qFormat/>
    <w:uiPriority w:val="0"/>
    <w:pPr>
      <w:ind w:left="420" w:leftChars="200"/>
    </w:pPr>
  </w:style>
  <w:style w:type="paragraph" w:styleId="10">
    <w:name w:val="Plain Text"/>
    <w:basedOn w:val="1"/>
    <w:qFormat/>
    <w:uiPriority w:val="0"/>
    <w:rPr>
      <w:sz w:val="24"/>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before="120" w:after="120"/>
      <w:ind w:firstLine="6656"/>
    </w:pPr>
    <w:rPr>
      <w:rFonts w:ascii="Calibri"/>
      <w:caps/>
    </w:rPr>
  </w:style>
  <w:style w:type="paragraph" w:styleId="14">
    <w:name w:val="Normal (Web)"/>
    <w:basedOn w:val="1"/>
    <w:next w:val="13"/>
    <w:qFormat/>
    <w:uiPriority w:val="99"/>
    <w:rPr>
      <w:rFonts w:ascii="Calibri" w:hAnsi="Calibri"/>
      <w:sz w:val="24"/>
    </w:rPr>
  </w:style>
  <w:style w:type="paragraph" w:styleId="15">
    <w:name w:val="Body Text First Indent 2"/>
    <w:basedOn w:val="8"/>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17">
    <w:name w:val="Table Grid"/>
    <w:basedOn w:val="16"/>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qFormat/>
    <w:uiPriority w:val="0"/>
    <w:rPr>
      <w:color w:val="000000"/>
      <w:u w:val="none"/>
    </w:rPr>
  </w:style>
  <w:style w:type="character" w:styleId="20">
    <w:name w:val="Emphasis"/>
    <w:basedOn w:val="18"/>
    <w:qFormat/>
    <w:uiPriority w:val="0"/>
  </w:style>
  <w:style w:type="character" w:styleId="21">
    <w:name w:val="Hyperlink"/>
    <w:basedOn w:val="18"/>
    <w:unhideWhenUsed/>
    <w:qFormat/>
    <w:uiPriority w:val="0"/>
    <w:rPr>
      <w:color w:val="0000FF"/>
      <w:u w:val="single"/>
    </w:rPr>
  </w:style>
  <w:style w:type="paragraph" w:customStyle="1" w:styleId="22">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列出段落1"/>
    <w:basedOn w:val="1"/>
    <w:qFormat/>
    <w:uiPriority w:val="34"/>
    <w:pPr>
      <w:ind w:firstLine="420" w:firstLineChars="200"/>
    </w:pPr>
  </w:style>
  <w:style w:type="paragraph" w:customStyle="1" w:styleId="24">
    <w:name w:val="_Style 2"/>
    <w:basedOn w:val="1"/>
    <w:next w:val="1"/>
    <w:qFormat/>
    <w:uiPriority w:val="0"/>
    <w:pPr>
      <w:ind w:firstLine="420" w:firstLineChars="200"/>
    </w:pPr>
  </w:style>
  <w:style w:type="paragraph" w:styleId="25">
    <w:name w:val="List Paragraph"/>
    <w:basedOn w:val="1"/>
    <w:unhideWhenUsed/>
    <w:qFormat/>
    <w:uiPriority w:val="99"/>
    <w:pPr>
      <w:ind w:firstLine="420" w:firstLineChars="200"/>
    </w:pPr>
  </w:style>
  <w:style w:type="paragraph" w:customStyle="1" w:styleId="26">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28">
    <w:name w:val="正文文本缩进1"/>
    <w:basedOn w:val="1"/>
    <w:qFormat/>
    <w:uiPriority w:val="0"/>
    <w:pPr>
      <w:spacing w:line="360" w:lineRule="auto"/>
      <w:ind w:firstLine="480" w:firstLineChars="200"/>
    </w:pPr>
    <w:rPr>
      <w:rFonts w:ascii="宋体"/>
      <w:sz w:val="24"/>
    </w:rPr>
  </w:style>
  <w:style w:type="paragraph" w:customStyle="1" w:styleId="29">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30">
    <w:name w:val="日期1"/>
    <w:basedOn w:val="1"/>
    <w:next w:val="1"/>
    <w:qFormat/>
    <w:uiPriority w:val="0"/>
    <w:rPr>
      <w:sz w:val="24"/>
    </w:rPr>
  </w:style>
  <w:style w:type="paragraph" w:customStyle="1" w:styleId="31">
    <w:name w:val="Table Paragraph"/>
    <w:basedOn w:val="1"/>
    <w:qFormat/>
    <w:uiPriority w:val="0"/>
    <w:pPr>
      <w:jc w:val="left"/>
    </w:pPr>
    <w:rPr>
      <w:rFonts w:ascii="宋体" w:hAnsi="宋体" w:cs="宋体"/>
      <w:kern w:val="0"/>
      <w:sz w:val="22"/>
      <w:lang w:eastAsia="en-US"/>
    </w:rPr>
  </w:style>
  <w:style w:type="character" w:customStyle="1" w:styleId="32">
    <w:name w:val="gb-jt"/>
    <w:basedOn w:val="18"/>
    <w:qFormat/>
    <w:uiPriority w:val="0"/>
  </w:style>
  <w:style w:type="character" w:customStyle="1" w:styleId="33">
    <w:name w:val="hover25"/>
    <w:basedOn w:val="18"/>
    <w:qFormat/>
    <w:uiPriority w:val="0"/>
  </w:style>
  <w:style w:type="character" w:customStyle="1" w:styleId="34">
    <w:name w:val="green"/>
    <w:basedOn w:val="18"/>
    <w:qFormat/>
    <w:uiPriority w:val="0"/>
    <w:rPr>
      <w:color w:val="66AE00"/>
      <w:sz w:val="18"/>
      <w:szCs w:val="18"/>
    </w:rPr>
  </w:style>
  <w:style w:type="character" w:customStyle="1" w:styleId="35">
    <w:name w:val="green1"/>
    <w:basedOn w:val="18"/>
    <w:qFormat/>
    <w:uiPriority w:val="0"/>
    <w:rPr>
      <w:color w:val="66AE00"/>
      <w:sz w:val="18"/>
      <w:szCs w:val="18"/>
    </w:rPr>
  </w:style>
  <w:style w:type="character" w:customStyle="1" w:styleId="36">
    <w:name w:val="red"/>
    <w:basedOn w:val="18"/>
    <w:qFormat/>
    <w:uiPriority w:val="0"/>
    <w:rPr>
      <w:color w:val="FF0000"/>
      <w:sz w:val="18"/>
      <w:szCs w:val="18"/>
    </w:rPr>
  </w:style>
  <w:style w:type="character" w:customStyle="1" w:styleId="37">
    <w:name w:val="red1"/>
    <w:basedOn w:val="18"/>
    <w:qFormat/>
    <w:uiPriority w:val="0"/>
    <w:rPr>
      <w:color w:val="FF0000"/>
      <w:sz w:val="18"/>
      <w:szCs w:val="18"/>
    </w:rPr>
  </w:style>
  <w:style w:type="character" w:customStyle="1" w:styleId="38">
    <w:name w:val="red2"/>
    <w:basedOn w:val="18"/>
    <w:qFormat/>
    <w:uiPriority w:val="0"/>
    <w:rPr>
      <w:color w:val="CC0000"/>
    </w:rPr>
  </w:style>
  <w:style w:type="character" w:customStyle="1" w:styleId="39">
    <w:name w:val="red3"/>
    <w:basedOn w:val="18"/>
    <w:qFormat/>
    <w:uiPriority w:val="0"/>
    <w:rPr>
      <w:color w:val="FF0000"/>
    </w:rPr>
  </w:style>
  <w:style w:type="character" w:customStyle="1" w:styleId="40">
    <w:name w:val="blue"/>
    <w:basedOn w:val="18"/>
    <w:qFormat/>
    <w:uiPriority w:val="0"/>
    <w:rPr>
      <w:color w:val="0371C6"/>
      <w:sz w:val="21"/>
      <w:szCs w:val="21"/>
    </w:rPr>
  </w:style>
  <w:style w:type="character" w:customStyle="1" w:styleId="41">
    <w:name w:val="right"/>
    <w:basedOn w:val="18"/>
    <w:qFormat/>
    <w:uiPriority w:val="0"/>
    <w:rPr>
      <w:color w:val="999999"/>
      <w:sz w:val="18"/>
      <w:szCs w:val="18"/>
    </w:rPr>
  </w:style>
  <w:style w:type="character" w:customStyle="1" w:styleId="42">
    <w:name w:val="active4"/>
    <w:basedOn w:val="18"/>
    <w:qFormat/>
    <w:uiPriority w:val="0"/>
    <w:rPr>
      <w:color w:val="FFFFFF"/>
      <w:shd w:val="clear" w:color="auto" w:fill="2B7AFC"/>
    </w:rPr>
  </w:style>
  <w:style w:type="character" w:customStyle="1" w:styleId="43">
    <w:name w:val="hover24"/>
    <w:basedOn w:val="18"/>
    <w:qFormat/>
    <w:uiPriority w:val="0"/>
  </w:style>
  <w:style w:type="character" w:customStyle="1" w:styleId="44">
    <w:name w:val="页眉 Char"/>
    <w:basedOn w:val="18"/>
    <w:link w:val="1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69</Pages>
  <Words>6310</Words>
  <Characters>35971</Characters>
  <Lines>299</Lines>
  <Paragraphs>84</Paragraphs>
  <TotalTime>123</TotalTime>
  <ScaleCrop>false</ScaleCrop>
  <LinksUpToDate>false</LinksUpToDate>
  <CharactersWithSpaces>42197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2021-05-17T03:25:00Z</dcterms:created>
  <dc:creator>宗顺</dc:creator>
  <cp:lastModifiedBy>懒懒的喵喵</cp:lastModifiedBy>
  <cp:lastPrinted>2021-05-31T01:32:00Z</cp:lastPrinted>
  <dcterms:modified xsi:type="dcterms:W3CDTF">2021-06-23T05:56:39Z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71A7899CF95E417A9BAB1EB8D65BE492</vt:lpwstr>
  </property>
</Properties>
</file>