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36"/>
          <w:lang w:eastAsia="zh-CN"/>
        </w:rPr>
      </w:pPr>
      <w:r>
        <w:rPr>
          <w:rFonts w:hint="eastAsia" w:ascii="仿宋" w:hAnsi="仿宋" w:eastAsia="仿宋" w:cs="仿宋"/>
          <w:b/>
          <w:bCs/>
          <w:sz w:val="28"/>
          <w:szCs w:val="36"/>
          <w:lang w:eastAsia="zh-CN"/>
        </w:rPr>
        <w:t>鄢陵县自然资源局漆井村安置区控制性详细规划及修建性详细规划项目招标项目</w:t>
      </w:r>
      <w:r>
        <w:rPr>
          <w:rFonts w:hint="eastAsia" w:ascii="仿宋" w:hAnsi="仿宋" w:eastAsia="仿宋" w:cs="仿宋"/>
          <w:b/>
          <w:bCs/>
          <w:sz w:val="28"/>
          <w:szCs w:val="36"/>
          <w:lang w:val="en-US" w:eastAsia="zh-CN"/>
        </w:rPr>
        <w:t>结果</w:t>
      </w:r>
      <w:r>
        <w:rPr>
          <w:rFonts w:hint="eastAsia" w:ascii="仿宋" w:hAnsi="仿宋" w:eastAsia="仿宋" w:cs="仿宋"/>
          <w:b/>
          <w:bCs/>
          <w:sz w:val="28"/>
          <w:szCs w:val="36"/>
          <w:lang w:eastAsia="zh-CN"/>
        </w:rPr>
        <w:t>公告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sz w:val="24"/>
          <w:szCs w:val="32"/>
          <w:lang w:eastAsia="zh-CN"/>
        </w:rPr>
      </w:pPr>
      <w:r>
        <w:rPr>
          <w:rFonts w:hint="eastAsia" w:ascii="仿宋" w:hAnsi="仿宋" w:eastAsia="仿宋" w:cs="仿宋"/>
          <w:b/>
          <w:bCs/>
          <w:sz w:val="24"/>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eastAsia="zh-CN"/>
        </w:rPr>
        <w:t>1、采购项目编号：Y2021FZ094</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2、采购项目名称：鄢陵县自然资源局漆井村安置区控制性详细规划及修建性详细规划项目招标项目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3、采购方式：</w:t>
      </w:r>
      <w:r>
        <w:rPr>
          <w:rFonts w:hint="eastAsia" w:ascii="仿宋" w:hAnsi="仿宋" w:eastAsia="仿宋" w:cs="仿宋"/>
          <w:sz w:val="24"/>
          <w:szCs w:val="32"/>
          <w:lang w:val="en-US" w:eastAsia="zh-CN"/>
        </w:rPr>
        <w:t>公开招标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4、招标公告发布日期：2021年5月</w:t>
      </w:r>
      <w:r>
        <w:rPr>
          <w:rFonts w:hint="eastAsia" w:ascii="仿宋" w:hAnsi="仿宋" w:eastAsia="仿宋" w:cs="仿宋"/>
          <w:sz w:val="24"/>
          <w:szCs w:val="32"/>
          <w:lang w:val="en-US" w:eastAsia="zh-CN"/>
        </w:rPr>
        <w:t>21</w:t>
      </w:r>
      <w:r>
        <w:rPr>
          <w:rFonts w:hint="eastAsia" w:ascii="仿宋" w:hAnsi="仿宋" w:eastAsia="仿宋" w:cs="仿宋"/>
          <w:sz w:val="24"/>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5、评审日期：2021年</w:t>
      </w:r>
      <w:r>
        <w:rPr>
          <w:rFonts w:hint="eastAsia" w:ascii="仿宋" w:hAnsi="仿宋" w:eastAsia="仿宋" w:cs="仿宋"/>
          <w:sz w:val="24"/>
          <w:szCs w:val="32"/>
          <w:lang w:val="en-US" w:eastAsia="zh-CN"/>
        </w:rPr>
        <w:t>6</w:t>
      </w:r>
      <w:r>
        <w:rPr>
          <w:rFonts w:hint="eastAsia" w:ascii="仿宋" w:hAnsi="仿宋" w:eastAsia="仿宋" w:cs="仿宋"/>
          <w:sz w:val="24"/>
          <w:szCs w:val="32"/>
          <w:lang w:eastAsia="zh-CN"/>
        </w:rPr>
        <w:t>月</w:t>
      </w:r>
      <w:r>
        <w:rPr>
          <w:rFonts w:hint="eastAsia" w:ascii="仿宋" w:hAnsi="仿宋" w:eastAsia="仿宋" w:cs="仿宋"/>
          <w:sz w:val="24"/>
          <w:szCs w:val="32"/>
          <w:lang w:val="en-US" w:eastAsia="zh-CN"/>
        </w:rPr>
        <w:t>11</w:t>
      </w:r>
      <w:r>
        <w:rPr>
          <w:rFonts w:hint="eastAsia" w:ascii="仿宋" w:hAnsi="仿宋" w:eastAsia="仿宋" w:cs="仿宋"/>
          <w:sz w:val="24"/>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w:t>
      </w:r>
      <w:r>
        <w:rPr>
          <w:rFonts w:hint="eastAsia" w:ascii="仿宋" w:hAnsi="仿宋" w:eastAsia="仿宋" w:cs="仿宋"/>
          <w:b/>
          <w:bCs/>
          <w:sz w:val="24"/>
          <w:szCs w:val="32"/>
          <w:lang w:eastAsia="zh-CN"/>
        </w:rPr>
        <w:t>采购项目用途、数量、简要技术要求、合同履行日期：</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1.项目编号：Y2021FZ094</w:t>
      </w:r>
      <w:r>
        <w:rPr>
          <w:rFonts w:hint="eastAsia" w:ascii="仿宋" w:hAnsi="仿宋" w:eastAsia="仿宋" w:cs="仿宋"/>
          <w:sz w:val="24"/>
          <w:szCs w:val="32"/>
          <w:lang w:val="en-US" w:eastAsia="zh-CN"/>
        </w:rPr>
        <w:br w:type="textWrapping"/>
      </w:r>
      <w:r>
        <w:rPr>
          <w:rFonts w:hint="eastAsia" w:ascii="仿宋" w:hAnsi="仿宋" w:eastAsia="仿宋" w:cs="仿宋"/>
          <w:sz w:val="24"/>
          <w:szCs w:val="32"/>
          <w:lang w:val="en-US" w:eastAsia="zh-CN"/>
        </w:rPr>
        <w:t>2.招标编号：2021-05-4</w:t>
      </w:r>
      <w:r>
        <w:rPr>
          <w:rFonts w:hint="eastAsia" w:ascii="仿宋" w:hAnsi="仿宋" w:eastAsia="仿宋" w:cs="仿宋"/>
          <w:sz w:val="24"/>
          <w:szCs w:val="32"/>
          <w:lang w:val="en-US" w:eastAsia="zh-CN"/>
        </w:rPr>
        <w:br w:type="textWrapping"/>
      </w:r>
      <w:r>
        <w:rPr>
          <w:rFonts w:hint="eastAsia" w:ascii="仿宋" w:hAnsi="仿宋" w:eastAsia="仿宋" w:cs="仿宋"/>
          <w:sz w:val="24"/>
          <w:szCs w:val="32"/>
          <w:lang w:val="en-US" w:eastAsia="zh-CN"/>
        </w:rPr>
        <w:t>3.项目名称：鄢陵县自然资源局漆井村安置区控制性详细规划及修建性详细规划项目</w:t>
      </w:r>
    </w:p>
    <w:p>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4.预算金额：43.20万元</w:t>
      </w:r>
      <w:bookmarkStart w:id="0" w:name="_GoBack"/>
      <w:bookmarkEnd w:id="0"/>
      <w:r>
        <w:rPr>
          <w:rFonts w:hint="eastAsia" w:ascii="仿宋" w:hAnsi="仿宋" w:eastAsia="仿宋" w:cs="仿宋"/>
          <w:sz w:val="24"/>
          <w:szCs w:val="32"/>
          <w:lang w:val="en-US" w:eastAsia="zh-CN"/>
        </w:rPr>
        <w:br w:type="textWrapping"/>
      </w:r>
      <w:r>
        <w:rPr>
          <w:rFonts w:hint="eastAsia" w:ascii="仿宋" w:hAnsi="仿宋" w:eastAsia="仿宋" w:cs="仿宋"/>
          <w:sz w:val="24"/>
          <w:szCs w:val="32"/>
          <w:lang w:val="en-US" w:eastAsia="zh-CN"/>
        </w:rPr>
        <w:t xml:space="preserve"> 5.最高限价：43.20万元</w:t>
      </w:r>
      <w:r>
        <w:rPr>
          <w:rFonts w:hint="eastAsia" w:ascii="仿宋" w:hAnsi="仿宋" w:eastAsia="仿宋" w:cs="仿宋"/>
          <w:sz w:val="24"/>
          <w:szCs w:val="32"/>
          <w:lang w:val="en-US" w:eastAsia="zh-CN"/>
        </w:rPr>
        <w:br w:type="textWrapping"/>
      </w:r>
      <w:r>
        <w:rPr>
          <w:rFonts w:hint="eastAsia" w:ascii="仿宋" w:hAnsi="仿宋" w:eastAsia="仿宋" w:cs="仿宋"/>
          <w:sz w:val="24"/>
          <w:szCs w:val="32"/>
          <w:lang w:val="en-US" w:eastAsia="zh-CN"/>
        </w:rPr>
        <w:t xml:space="preserve"> 6.采购需求：本项目规划范围人民西路北侧、花园路东侧,共两个地块,包括城市公共绿地、居住用地等,规划范围用地面积为9.694公顷。其中用于安置区建设总用地面积为   6.682公顷:二类居住用地占地3.012公顷。（具体技术要求详见招标文件）</w:t>
      </w:r>
      <w:r>
        <w:rPr>
          <w:rFonts w:hint="eastAsia" w:ascii="仿宋" w:hAnsi="仿宋" w:eastAsia="仿宋" w:cs="仿宋"/>
          <w:sz w:val="24"/>
          <w:szCs w:val="32"/>
          <w:lang w:val="en-US" w:eastAsia="zh-CN"/>
        </w:rPr>
        <w:br w:type="textWrapping"/>
      </w:r>
      <w:r>
        <w:rPr>
          <w:rFonts w:hint="eastAsia" w:ascii="仿宋" w:hAnsi="仿宋" w:eastAsia="仿宋" w:cs="仿宋"/>
          <w:sz w:val="24"/>
          <w:szCs w:val="32"/>
          <w:lang w:val="en-US" w:eastAsia="zh-CN"/>
        </w:rPr>
        <w:t xml:space="preserve"> 7.交货期限：自合同签订起10天。</w:t>
      </w:r>
      <w:r>
        <w:rPr>
          <w:rFonts w:hint="eastAsia" w:ascii="仿宋" w:hAnsi="仿宋" w:eastAsia="仿宋" w:cs="仿宋"/>
          <w:sz w:val="24"/>
          <w:szCs w:val="32"/>
          <w:lang w:val="en-US" w:eastAsia="zh-CN"/>
        </w:rPr>
        <w:br w:type="textWrapping"/>
      </w:r>
      <w:r>
        <w:rPr>
          <w:rFonts w:hint="eastAsia" w:ascii="仿宋" w:hAnsi="仿宋" w:eastAsia="仿宋" w:cs="仿宋"/>
          <w:sz w:val="24"/>
          <w:szCs w:val="32"/>
          <w:lang w:val="en-US" w:eastAsia="zh-CN"/>
        </w:rPr>
        <w:t xml:space="preserve"> 8.本项目是否接受联合体投标：否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val="en-US" w:eastAsia="zh-CN"/>
        </w:rPr>
        <w:t>三</w:t>
      </w:r>
      <w:r>
        <w:rPr>
          <w:rFonts w:hint="eastAsia" w:ascii="仿宋" w:hAnsi="仿宋" w:eastAsia="仿宋" w:cs="仿宋"/>
          <w:b/>
          <w:bCs/>
          <w:sz w:val="24"/>
          <w:szCs w:val="32"/>
          <w:lang w:eastAsia="zh-CN"/>
        </w:rPr>
        <w:t>、</w:t>
      </w:r>
      <w:r>
        <w:rPr>
          <w:rFonts w:hint="eastAsia" w:ascii="仿宋" w:hAnsi="仿宋" w:eastAsia="仿宋" w:cs="仿宋"/>
          <w:b/>
          <w:bCs/>
          <w:sz w:val="24"/>
          <w:szCs w:val="32"/>
          <w:lang w:val="en-US" w:eastAsia="zh-CN"/>
        </w:rPr>
        <w:t>中标</w:t>
      </w:r>
      <w:r>
        <w:rPr>
          <w:rFonts w:hint="eastAsia" w:ascii="仿宋" w:hAnsi="仿宋" w:eastAsia="仿宋" w:cs="仿宋"/>
          <w:b/>
          <w:bCs/>
          <w:sz w:val="24"/>
          <w:szCs w:val="32"/>
          <w:lang w:eastAsia="zh-CN"/>
        </w:rPr>
        <w:t>情况</w:t>
      </w:r>
    </w:p>
    <w:tbl>
      <w:tblPr>
        <w:tblStyle w:val="3"/>
        <w:tblW w:w="9465" w:type="dxa"/>
        <w:tblCellSpacing w:w="0" w:type="dxa"/>
        <w:tblInd w:w="-26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6"/>
        <w:gridCol w:w="772"/>
        <w:gridCol w:w="1503"/>
        <w:gridCol w:w="1897"/>
        <w:gridCol w:w="1838"/>
        <w:gridCol w:w="1325"/>
        <w:gridCol w:w="11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946"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i w:val="0"/>
                <w:color w:val="000000"/>
                <w:kern w:val="0"/>
                <w:sz w:val="24"/>
                <w:szCs w:val="24"/>
                <w:lang w:val="en-US" w:eastAsia="zh-CN" w:bidi="ar"/>
              </w:rPr>
              <w:t>包号</w:t>
            </w:r>
          </w:p>
        </w:tc>
        <w:tc>
          <w:tcPr>
            <w:tcW w:w="2275" w:type="dxa"/>
            <w:gridSpan w:val="2"/>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i w:val="0"/>
                <w:color w:val="000000"/>
                <w:kern w:val="0"/>
                <w:sz w:val="24"/>
                <w:szCs w:val="24"/>
                <w:lang w:val="en-US" w:eastAsia="zh-CN" w:bidi="ar"/>
              </w:rPr>
              <w:t>采购内容</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i w:val="0"/>
                <w:color w:val="000000"/>
                <w:kern w:val="0"/>
                <w:sz w:val="24"/>
                <w:szCs w:val="24"/>
                <w:lang w:val="en-US" w:eastAsia="zh-CN" w:bidi="ar"/>
              </w:rPr>
              <w:t>供应商名称</w:t>
            </w: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i w:val="0"/>
                <w:color w:val="000000"/>
                <w:kern w:val="0"/>
                <w:sz w:val="24"/>
                <w:szCs w:val="24"/>
                <w:lang w:val="en-US" w:eastAsia="zh-CN" w:bidi="ar"/>
              </w:rPr>
              <w:t>地 址</w:t>
            </w:r>
          </w:p>
        </w:tc>
        <w:tc>
          <w:tcPr>
            <w:tcW w:w="1325"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i w:val="0"/>
                <w:color w:val="000000"/>
                <w:kern w:val="0"/>
                <w:sz w:val="24"/>
                <w:szCs w:val="24"/>
                <w:lang w:val="en-US" w:eastAsia="zh-CN" w:bidi="ar"/>
              </w:rPr>
              <w:t>中标金额</w:t>
            </w:r>
          </w:p>
        </w:tc>
        <w:tc>
          <w:tcPr>
            <w:tcW w:w="1184"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i w:val="0"/>
                <w:color w:val="000000"/>
                <w:kern w:val="0"/>
                <w:sz w:val="24"/>
                <w:szCs w:val="24"/>
                <w:lang w:val="en-US" w:eastAsia="zh-CN" w:bidi="ar"/>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46" w:type="dxa"/>
            <w:vMerge w:val="restart"/>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2021-05-4-1</w:t>
            </w:r>
          </w:p>
        </w:tc>
        <w:tc>
          <w:tcPr>
            <w:tcW w:w="2275" w:type="dxa"/>
            <w:gridSpan w:val="2"/>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本项目规划范围人民西路北侧、花园路东侧,共两个地块,包括城市公共绿地、居住用地等,规划范围用地面积为9.694公顷。其中用于安置区建设总用地面积为6.682公顷:二类居住用地占地3.012公顷。</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河南省中辰建筑设计有限公司</w:t>
            </w: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河南省郑州市郑东新区白沙镇郑开大道与锦绣路交汇处伟业国际A 座1806 室</w:t>
            </w:r>
          </w:p>
        </w:tc>
        <w:tc>
          <w:tcPr>
            <w:tcW w:w="1325"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426000.00</w:t>
            </w:r>
          </w:p>
        </w:tc>
        <w:tc>
          <w:tcPr>
            <w:tcW w:w="1184"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7" w:hRule="atLeast"/>
          <w:tblCellSpacing w:w="0" w:type="dxa"/>
        </w:trPr>
        <w:tc>
          <w:tcPr>
            <w:tcW w:w="946" w:type="dxa"/>
            <w:vMerge w:val="continue"/>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p>
        </w:tc>
        <w:tc>
          <w:tcPr>
            <w:tcW w:w="772" w:type="dxa"/>
            <w:tcBorders>
              <w:righ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序号</w:t>
            </w:r>
          </w:p>
        </w:tc>
        <w:tc>
          <w:tcPr>
            <w:tcW w:w="1503" w:type="dxa"/>
            <w:tcBorders>
              <w:lef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名称</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服务范围</w:t>
            </w: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服务要求</w:t>
            </w:r>
          </w:p>
        </w:tc>
        <w:tc>
          <w:tcPr>
            <w:tcW w:w="1325"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服务时间</w:t>
            </w:r>
          </w:p>
        </w:tc>
        <w:tc>
          <w:tcPr>
            <w:tcW w:w="1184"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41" w:hRule="atLeast"/>
          <w:tblCellSpacing w:w="0" w:type="dxa"/>
        </w:trPr>
        <w:tc>
          <w:tcPr>
            <w:tcW w:w="946" w:type="dxa"/>
            <w:vMerge w:val="continue"/>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p>
        </w:tc>
        <w:tc>
          <w:tcPr>
            <w:tcW w:w="772" w:type="dxa"/>
            <w:tcBorders>
              <w:righ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1</w:t>
            </w:r>
          </w:p>
        </w:tc>
        <w:tc>
          <w:tcPr>
            <w:tcW w:w="1503" w:type="dxa"/>
            <w:tcBorders>
              <w:lef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鄢陵县自然资源局漆井村安置区控制性详细规划及修建性详细规划项目招标项目</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本项目规划范围人民西路北侧、花园路东侧,共两个地块,包括城市公共绿地、居住用地等,规划范围用地面积为9.694公顷。其中用于安置区建设总用地面积为6.682公顷:二类居住用地占地3.012公顷</w:t>
            </w: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宋体" w:cs="宋体"/>
                <w:szCs w:val="21"/>
                <w:lang w:val="zh-CN"/>
              </w:rPr>
              <w:t>本项目为交钥匙工程</w:t>
            </w:r>
          </w:p>
        </w:tc>
        <w:tc>
          <w:tcPr>
            <w:tcW w:w="1325"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cs="仿宋_GB2312" w:asciiTheme="minorEastAsia" w:hAnsiTheme="minorEastAsia" w:eastAsiaTheme="minorEastAsia"/>
                <w:sz w:val="21"/>
                <w:szCs w:val="21"/>
                <w:lang w:val="en-US" w:eastAsia="zh-CN"/>
              </w:rPr>
              <w:t>自合同签订起</w:t>
            </w:r>
            <w:r>
              <w:rPr>
                <w:rFonts w:hint="eastAsia" w:cs="仿宋_GB2312" w:asciiTheme="minorEastAsia" w:hAnsiTheme="minorEastAsia"/>
                <w:sz w:val="21"/>
                <w:szCs w:val="21"/>
                <w:lang w:val="en-US" w:eastAsia="zh-CN"/>
              </w:rPr>
              <w:t>10</w:t>
            </w:r>
            <w:r>
              <w:rPr>
                <w:rFonts w:hint="eastAsia" w:cs="仿宋_GB2312" w:asciiTheme="minorEastAsia" w:hAnsiTheme="minorEastAsia" w:eastAsiaTheme="minorEastAsia"/>
                <w:sz w:val="21"/>
                <w:szCs w:val="21"/>
                <w:lang w:val="en-US" w:eastAsia="zh-CN"/>
              </w:rPr>
              <w:t>天</w:t>
            </w:r>
          </w:p>
        </w:tc>
        <w:tc>
          <w:tcPr>
            <w:tcW w:w="1184"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4"/>
                <w:szCs w:val="24"/>
                <w:lang w:val="en-US" w:eastAsia="zh-CN" w:bidi="ar"/>
              </w:rPr>
            </w:pPr>
            <w:r>
              <w:rPr>
                <w:rFonts w:hint="eastAsia" w:ascii="仿宋" w:hAnsi="仿宋" w:eastAsia="仿宋" w:cs="仿宋"/>
                <w:b w:val="0"/>
                <w:i w:val="0"/>
                <w:color w:val="000000"/>
                <w:kern w:val="0"/>
                <w:sz w:val="24"/>
                <w:szCs w:val="24"/>
                <w:lang w:val="en-US" w:eastAsia="zh-CN" w:bidi="ar"/>
              </w:rPr>
              <w:t>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sz w:val="24"/>
          <w:szCs w:val="32"/>
          <w:lang w:eastAsia="zh-CN"/>
        </w:rPr>
      </w:pPr>
      <w:r>
        <w:rPr>
          <w:rFonts w:hint="eastAsia" w:ascii="仿宋" w:hAnsi="仿宋" w:eastAsia="仿宋" w:cs="仿宋"/>
          <w:b/>
          <w:bCs/>
          <w:sz w:val="24"/>
          <w:szCs w:val="32"/>
          <w:lang w:val="en-US" w:eastAsia="zh-CN"/>
        </w:rPr>
        <w:t>四</w:t>
      </w:r>
      <w:r>
        <w:rPr>
          <w:rFonts w:hint="eastAsia" w:ascii="仿宋" w:hAnsi="仿宋" w:eastAsia="仿宋" w:cs="仿宋"/>
          <w:b/>
          <w:bCs/>
          <w:sz w:val="24"/>
          <w:szCs w:val="32"/>
          <w:lang w:eastAsia="zh-CN"/>
        </w:rPr>
        <w:t>、评审专家名单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谢宗伟</w:t>
      </w:r>
      <w:r>
        <w:rPr>
          <w:rFonts w:hint="eastAsia" w:ascii="仿宋" w:hAnsi="仿宋" w:eastAsia="仿宋" w:cs="仿宋"/>
          <w:sz w:val="24"/>
          <w:szCs w:val="32"/>
          <w:lang w:eastAsia="zh-CN"/>
        </w:rPr>
        <w:t>（组长）、</w:t>
      </w:r>
      <w:r>
        <w:rPr>
          <w:rFonts w:hint="eastAsia" w:ascii="仿宋" w:hAnsi="仿宋" w:eastAsia="仿宋" w:cs="仿宋"/>
          <w:sz w:val="24"/>
          <w:szCs w:val="32"/>
          <w:lang w:val="en-US" w:eastAsia="zh-CN"/>
        </w:rPr>
        <w:t>冯红雨</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梁爱仙、裴彦峰</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常青</w:t>
      </w:r>
      <w:r>
        <w:rPr>
          <w:rFonts w:hint="eastAsia" w:ascii="仿宋" w:hAnsi="仿宋" w:eastAsia="仿宋" w:cs="仿宋"/>
          <w:sz w:val="24"/>
          <w:szCs w:val="32"/>
          <w:lang w:eastAsia="zh-CN"/>
        </w:rPr>
        <w:t>（采购人代表）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sz w:val="24"/>
          <w:szCs w:val="32"/>
          <w:lang w:eastAsia="zh-CN"/>
        </w:rPr>
      </w:pPr>
      <w:r>
        <w:rPr>
          <w:rFonts w:hint="eastAsia" w:ascii="仿宋" w:hAnsi="仿宋" w:eastAsia="仿宋" w:cs="仿宋"/>
          <w:b/>
          <w:bCs/>
          <w:sz w:val="24"/>
          <w:szCs w:val="32"/>
          <w:lang w:val="en-US" w:eastAsia="zh-CN"/>
        </w:rPr>
        <w:t>五</w:t>
      </w:r>
      <w:r>
        <w:rPr>
          <w:rFonts w:hint="eastAsia" w:ascii="仿宋" w:hAnsi="仿宋" w:eastAsia="仿宋" w:cs="仿宋"/>
          <w:b/>
          <w:bCs/>
          <w:sz w:val="24"/>
          <w:szCs w:val="32"/>
          <w:lang w:eastAsia="zh-CN"/>
        </w:rPr>
        <w:t>、代理服务收费标准及金额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hAnsi="Webdings"/>
          <w:szCs w:val="21"/>
        </w:rPr>
      </w:pPr>
      <w:r>
        <w:rPr>
          <w:rFonts w:hint="eastAsia" w:ascii="仿宋" w:hAnsi="仿宋" w:eastAsia="仿宋" w:cs="Times New Roman"/>
          <w:bCs/>
          <w:spacing w:val="14"/>
          <w:sz w:val="24"/>
          <w:szCs w:val="24"/>
          <w:lang w:val="en-US" w:eastAsia="zh-CN" w:bidi="ar-SA"/>
        </w:rPr>
        <w:t>收费标准：</w:t>
      </w:r>
      <w:r>
        <w:rPr>
          <w:rFonts w:hint="eastAsia" w:hAnsi="Webdings"/>
          <w:szCs w:val="21"/>
        </w:rPr>
        <w:t>参照国家计委计价格[2002]1980号文、发改价格[2015]299号文、[2011]534号文文件费率标准计算。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color w:val="auto"/>
          <w:spacing w:val="14"/>
          <w:sz w:val="24"/>
          <w:szCs w:val="24"/>
          <w:lang w:val="en-US" w:eastAsia="zh-CN" w:bidi="ar-SA"/>
        </w:rPr>
      </w:pPr>
      <w:r>
        <w:rPr>
          <w:rFonts w:hint="eastAsia" w:ascii="仿宋" w:hAnsi="仿宋" w:eastAsia="仿宋" w:cs="Times New Roman"/>
          <w:bCs/>
          <w:color w:val="auto"/>
          <w:spacing w:val="14"/>
          <w:sz w:val="24"/>
          <w:szCs w:val="24"/>
          <w:lang w:val="en-US" w:eastAsia="zh-CN" w:bidi="ar-SA"/>
        </w:rPr>
        <w:t>收费金额：6390.00元。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sz w:val="24"/>
          <w:szCs w:val="32"/>
          <w:lang w:eastAsia="zh-CN"/>
        </w:rPr>
      </w:pPr>
      <w:r>
        <w:rPr>
          <w:rFonts w:hint="eastAsia" w:ascii="仿宋" w:hAnsi="仿宋" w:eastAsia="仿宋" w:cs="仿宋"/>
          <w:b/>
          <w:bCs/>
          <w:sz w:val="24"/>
          <w:szCs w:val="32"/>
          <w:lang w:val="en-US" w:eastAsia="zh-CN"/>
        </w:rPr>
        <w:t>六</w:t>
      </w:r>
      <w:r>
        <w:rPr>
          <w:rFonts w:hint="eastAsia" w:ascii="仿宋" w:hAnsi="仿宋" w:eastAsia="仿宋" w:cs="仿宋"/>
          <w:b/>
          <w:bCs/>
          <w:sz w:val="24"/>
          <w:szCs w:val="32"/>
          <w:lang w:eastAsia="zh-CN"/>
        </w:rPr>
        <w:t>、</w:t>
      </w:r>
      <w:r>
        <w:rPr>
          <w:rFonts w:hint="eastAsia" w:ascii="仿宋" w:hAnsi="仿宋" w:eastAsia="仿宋" w:cs="仿宋"/>
          <w:b/>
          <w:bCs/>
          <w:sz w:val="24"/>
          <w:szCs w:val="32"/>
          <w:lang w:val="en-US" w:eastAsia="zh-CN"/>
        </w:rPr>
        <w:t>中标</w:t>
      </w:r>
      <w:r>
        <w:rPr>
          <w:rFonts w:hint="eastAsia" w:ascii="仿宋" w:hAnsi="仿宋" w:eastAsia="仿宋" w:cs="仿宋"/>
          <w:b/>
          <w:bCs/>
          <w:sz w:val="24"/>
          <w:szCs w:val="32"/>
          <w:lang w:eastAsia="zh-CN"/>
        </w:rPr>
        <w:t>公告发布的媒介及</w:t>
      </w:r>
      <w:r>
        <w:rPr>
          <w:rFonts w:hint="eastAsia" w:ascii="仿宋" w:hAnsi="仿宋" w:eastAsia="仿宋" w:cs="仿宋"/>
          <w:b/>
          <w:bCs/>
          <w:sz w:val="24"/>
          <w:szCs w:val="32"/>
          <w:lang w:val="en-US" w:eastAsia="zh-CN"/>
        </w:rPr>
        <w:t>中标</w:t>
      </w:r>
      <w:r>
        <w:rPr>
          <w:rFonts w:hint="eastAsia" w:ascii="仿宋" w:hAnsi="仿宋" w:eastAsia="仿宋" w:cs="仿宋"/>
          <w:b/>
          <w:bCs/>
          <w:sz w:val="24"/>
          <w:szCs w:val="32"/>
          <w:lang w:eastAsia="zh-CN"/>
        </w:rPr>
        <w:t>公告期限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本次招标公告在《河南省政府采购网》“中国政府采购网”、“许昌市政府采购网”、 “全国公共资源交易平台（河南省·许昌市）”上发布。成交公告期限为1个工作日。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Times New Roman"/>
          <w:b/>
          <w:bCs w:val="0"/>
          <w:spacing w:val="14"/>
          <w:sz w:val="24"/>
          <w:szCs w:val="24"/>
          <w:lang w:val="en-US" w:eastAsia="zh-CN" w:bidi="ar-SA"/>
        </w:rPr>
      </w:pPr>
      <w:r>
        <w:rPr>
          <w:rFonts w:hint="eastAsia" w:ascii="仿宋" w:hAnsi="仿宋" w:eastAsia="仿宋" w:cs="Times New Roman"/>
          <w:b/>
          <w:bCs w:val="0"/>
          <w:spacing w:val="14"/>
          <w:sz w:val="24"/>
          <w:szCs w:val="24"/>
          <w:lang w:val="en-US" w:eastAsia="zh-CN" w:bidi="ar-SA"/>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各有关当事人对中标结果有异议的，可以在中标结果公告期限届满之日起7个工作日内，以书面形式向采购人或采购代理机构提出质疑(加盖单位公章并法定代表人签字)，由法定代表人或其授权代表携带本人身份证件提交。逾期提交或未按照要求提交的质疑函将不予受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Times New Roman"/>
          <w:b/>
          <w:bCs w:val="0"/>
          <w:spacing w:val="14"/>
          <w:sz w:val="24"/>
          <w:szCs w:val="24"/>
          <w:lang w:val="en-US" w:eastAsia="zh-CN" w:bidi="ar-SA"/>
        </w:rPr>
      </w:pPr>
      <w:r>
        <w:rPr>
          <w:rFonts w:hint="eastAsia" w:ascii="仿宋" w:hAnsi="仿宋" w:eastAsia="仿宋" w:cs="Times New Roman"/>
          <w:b/>
          <w:bCs w:val="0"/>
          <w:spacing w:val="14"/>
          <w:sz w:val="24"/>
          <w:szCs w:val="24"/>
          <w:lang w:val="en-US" w:eastAsia="zh-CN" w:bidi="ar-SA"/>
        </w:rPr>
        <w:t>八、凡对本次公告内容提出询问，请按以下方式联系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1.采购人名称：鄢陵县自然资源局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地</w:t>
      </w:r>
      <w:r>
        <w:rPr>
          <w:rFonts w:hint="eastAsia" w:ascii="仿宋" w:hAnsi="仿宋" w:eastAsia="仿宋" w:cs="Times New Roman"/>
          <w:b w:val="0"/>
          <w:bCs/>
          <w:spacing w:val="14"/>
          <w:sz w:val="24"/>
          <w:szCs w:val="24"/>
          <w:lang w:val="en-US" w:eastAsia="zh-CN" w:bidi="ar-SA"/>
        </w:rPr>
        <w:tab/>
      </w:r>
      <w:r>
        <w:rPr>
          <w:rFonts w:hint="eastAsia" w:ascii="仿宋" w:hAnsi="仿宋" w:eastAsia="仿宋" w:cs="Times New Roman"/>
          <w:b w:val="0"/>
          <w:bCs/>
          <w:spacing w:val="14"/>
          <w:sz w:val="24"/>
          <w:szCs w:val="24"/>
          <w:lang w:val="en-US" w:eastAsia="zh-CN" w:bidi="ar-SA"/>
        </w:rPr>
        <w:t>址：鄢陵县花都大道869号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联系人：康先生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电</w:t>
      </w:r>
      <w:r>
        <w:rPr>
          <w:rFonts w:hint="eastAsia" w:ascii="仿宋" w:hAnsi="仿宋" w:eastAsia="仿宋" w:cs="Times New Roman"/>
          <w:b w:val="0"/>
          <w:bCs/>
          <w:spacing w:val="14"/>
          <w:sz w:val="24"/>
          <w:szCs w:val="24"/>
          <w:lang w:val="en-US" w:eastAsia="zh-CN" w:bidi="ar-SA"/>
        </w:rPr>
        <w:tab/>
      </w:r>
      <w:r>
        <w:rPr>
          <w:rFonts w:hint="eastAsia" w:ascii="仿宋" w:hAnsi="仿宋" w:eastAsia="仿宋" w:cs="Times New Roman"/>
          <w:b w:val="0"/>
          <w:bCs/>
          <w:spacing w:val="14"/>
          <w:sz w:val="24"/>
          <w:szCs w:val="24"/>
          <w:lang w:val="en-US" w:eastAsia="zh-CN" w:bidi="ar-SA"/>
        </w:rPr>
        <w:t>话：0374-7126605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2.采购代理机构信息（如有）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采购代理机构：河南旭航工程咨询有限公司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地址：鄢陵县人民路中段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联系人：司先生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联系电话：18538289510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Times New Roman"/>
          <w:b w:val="0"/>
          <w:bCs/>
          <w:spacing w:val="14"/>
          <w:sz w:val="24"/>
          <w:szCs w:val="24"/>
          <w:lang w:val="en-US" w:eastAsia="zh-CN" w:bidi="ar-SA"/>
        </w:rPr>
      </w:pPr>
      <w:r>
        <w:rPr>
          <w:rFonts w:hint="eastAsia" w:ascii="仿宋" w:hAnsi="仿宋" w:eastAsia="仿宋" w:cs="Times New Roman"/>
          <w:b w:val="0"/>
          <w:bCs/>
          <w:spacing w:val="14"/>
          <w:sz w:val="24"/>
          <w:szCs w:val="24"/>
          <w:lang w:val="en-US" w:eastAsia="zh-CN" w:bidi="ar-SA"/>
        </w:rPr>
        <w:t>项目联系人：司先生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pPr>
      <w:r>
        <w:rPr>
          <w:rFonts w:hint="eastAsia" w:ascii="仿宋" w:hAnsi="仿宋" w:eastAsia="仿宋" w:cs="Times New Roman"/>
          <w:b w:val="0"/>
          <w:bCs/>
          <w:spacing w:val="14"/>
          <w:sz w:val="24"/>
          <w:szCs w:val="24"/>
          <w:lang w:val="en-US" w:eastAsia="zh-CN" w:bidi="ar-SA"/>
        </w:rPr>
        <w:t>项目联系方式：18538289510</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5E16"/>
    <w:rsid w:val="27155E16"/>
    <w:rsid w:val="4662613E"/>
    <w:rsid w:val="5B1F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44"/>
      <w:szCs w:val="20"/>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8">
    <w:name w:val="green"/>
    <w:basedOn w:val="4"/>
    <w:uiPriority w:val="0"/>
    <w:rPr>
      <w:color w:val="66AE00"/>
      <w:sz w:val="14"/>
      <w:szCs w:val="14"/>
    </w:rPr>
  </w:style>
  <w:style w:type="character" w:customStyle="1" w:styleId="9">
    <w:name w:val="green1"/>
    <w:basedOn w:val="4"/>
    <w:uiPriority w:val="0"/>
    <w:rPr>
      <w:color w:val="66AE00"/>
      <w:sz w:val="14"/>
      <w:szCs w:val="14"/>
    </w:rPr>
  </w:style>
  <w:style w:type="character" w:customStyle="1" w:styleId="10">
    <w:name w:val="red"/>
    <w:basedOn w:val="4"/>
    <w:uiPriority w:val="0"/>
    <w:rPr>
      <w:color w:val="FF0000"/>
      <w:sz w:val="14"/>
      <w:szCs w:val="14"/>
    </w:rPr>
  </w:style>
  <w:style w:type="character" w:customStyle="1" w:styleId="11">
    <w:name w:val="red1"/>
    <w:basedOn w:val="4"/>
    <w:uiPriority w:val="0"/>
    <w:rPr>
      <w:color w:val="FF0000"/>
      <w:sz w:val="14"/>
      <w:szCs w:val="14"/>
    </w:rPr>
  </w:style>
  <w:style w:type="character" w:customStyle="1" w:styleId="12">
    <w:name w:val="red2"/>
    <w:basedOn w:val="4"/>
    <w:uiPriority w:val="0"/>
    <w:rPr>
      <w:color w:val="CC0000"/>
    </w:rPr>
  </w:style>
  <w:style w:type="character" w:customStyle="1" w:styleId="13">
    <w:name w:val="red3"/>
    <w:basedOn w:val="4"/>
    <w:uiPriority w:val="0"/>
    <w:rPr>
      <w:color w:val="FF0000"/>
    </w:rPr>
  </w:style>
  <w:style w:type="character" w:customStyle="1" w:styleId="14">
    <w:name w:val="hover25"/>
    <w:basedOn w:val="4"/>
    <w:qFormat/>
    <w:uiPriority w:val="0"/>
  </w:style>
  <w:style w:type="character" w:customStyle="1" w:styleId="15">
    <w:name w:val="right"/>
    <w:basedOn w:val="4"/>
    <w:qFormat/>
    <w:uiPriority w:val="0"/>
    <w:rPr>
      <w:color w:val="999999"/>
      <w:sz w:val="14"/>
      <w:szCs w:val="14"/>
    </w:rPr>
  </w:style>
  <w:style w:type="character" w:customStyle="1" w:styleId="16">
    <w:name w:val="gb-jt"/>
    <w:basedOn w:val="4"/>
    <w:uiPriority w:val="0"/>
  </w:style>
  <w:style w:type="character" w:customStyle="1" w:styleId="17">
    <w:name w:val="blue"/>
    <w:basedOn w:val="4"/>
    <w:qFormat/>
    <w:uiPriority w:val="0"/>
    <w:rPr>
      <w:color w:val="0371C6"/>
      <w:sz w:val="16"/>
      <w:szCs w:val="16"/>
    </w:rPr>
  </w:style>
  <w:style w:type="character" w:customStyle="1" w:styleId="18">
    <w:name w:val="active4"/>
    <w:basedOn w:val="4"/>
    <w:qFormat/>
    <w:uiPriority w:val="0"/>
    <w:rPr>
      <w:color w:val="FFFFFF"/>
      <w:shd w:val="clear" w:fill="2B7AFC"/>
    </w:rPr>
  </w:style>
  <w:style w:type="character" w:customStyle="1" w:styleId="19">
    <w:name w:val="hover"/>
    <w:basedOn w:val="4"/>
    <w:uiPriority w:val="0"/>
  </w:style>
  <w:style w:type="character" w:customStyle="1" w:styleId="20">
    <w:name w:val="active"/>
    <w:basedOn w:val="4"/>
    <w:uiPriority w:val="0"/>
    <w:rPr>
      <w:color w:val="FFFFFF"/>
      <w:shd w:val="clear" w:fill="2B7AFC"/>
    </w:rPr>
  </w:style>
  <w:style w:type="character" w:customStyle="1" w:styleId="21">
    <w:name w:val="red4"/>
    <w:basedOn w:val="4"/>
    <w:qFormat/>
    <w:uiPriority w:val="0"/>
    <w:rPr>
      <w:color w:val="FF0000"/>
      <w:sz w:val="14"/>
      <w:szCs w:val="14"/>
    </w:rPr>
  </w:style>
  <w:style w:type="character" w:customStyle="1" w:styleId="22">
    <w:name w:val="red5"/>
    <w:basedOn w:val="4"/>
    <w:uiPriority w:val="0"/>
    <w:rPr>
      <w:color w:val="FF0000"/>
      <w:sz w:val="14"/>
      <w:szCs w:val="14"/>
    </w:rPr>
  </w:style>
  <w:style w:type="character" w:customStyle="1" w:styleId="23">
    <w:name w:val="red6"/>
    <w:basedOn w:val="4"/>
    <w:qFormat/>
    <w:uiPriority w:val="0"/>
    <w:rPr>
      <w:color w:val="CC0000"/>
    </w:rPr>
  </w:style>
  <w:style w:type="character" w:customStyle="1" w:styleId="24">
    <w:name w:val="red7"/>
    <w:basedOn w:val="4"/>
    <w:uiPriority w:val="0"/>
    <w:rPr>
      <w:color w:val="FF0000"/>
    </w:rPr>
  </w:style>
  <w:style w:type="character" w:customStyle="1" w:styleId="25">
    <w:name w:val="active3"/>
    <w:basedOn w:val="4"/>
    <w:uiPriority w:val="0"/>
    <w:rPr>
      <w:color w:val="FFFFFF"/>
      <w:shd w:val="clear" w:fill="2B7AFC"/>
    </w:rPr>
  </w:style>
  <w:style w:type="character" w:customStyle="1" w:styleId="26">
    <w:name w:val="hover24"/>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2021-06-11T07:30:00Z</dcterms:created>
  <dc:creator> 时间</dc:creator>
  <cp:lastModifiedBy> 时间</cp:lastModifiedBy>
  <dcterms:modified xsi:type="dcterms:W3CDTF">2021-06-11T08:25:28Z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297A470CBFD04DF2BA2AE7C961172455</vt:lpwstr>
  </property>
</Properties>
</file>