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ind w:firstLine="531" w:firstLineChars="147"/>
        <w:jc w:val="center"/>
        <w:rPr>
          <w:rFonts w:ascii="黑体" w:hAnsi="黑体" w:eastAsia="黑体" w:cs="宋体"/>
          <w:b/>
          <w:color w:val="000000"/>
          <w:sz w:val="36"/>
          <w:szCs w:val="36"/>
        </w:rPr>
      </w:pPr>
      <w:r>
        <w:rPr>
          <w:rFonts w:hint="eastAsia" w:ascii="黑体" w:hAnsi="黑体" w:eastAsia="黑体" w:cs="宋体"/>
          <w:b/>
          <w:color w:val="000000"/>
          <w:sz w:val="36"/>
          <w:szCs w:val="36"/>
        </w:rPr>
        <w:t>中共禹州市委党校物业服务项目（不见面开标）</w:t>
      </w:r>
    </w:p>
    <w:p>
      <w:pPr>
        <w:jc w:val="center"/>
        <w:rPr>
          <w:rFonts w:ascii="黑体" w:hAnsi="黑体" w:eastAsia="黑体" w:cs="宋体"/>
          <w:b/>
          <w:color w:val="000000"/>
          <w:sz w:val="36"/>
          <w:szCs w:val="36"/>
        </w:rPr>
      </w:pPr>
    </w:p>
    <w:p>
      <w:pPr>
        <w:spacing w:line="600" w:lineRule="exact"/>
        <w:jc w:val="center"/>
        <w:rPr>
          <w:rFonts w:ascii="黑体" w:hAnsi="黑体" w:eastAsia="黑体" w:cs="黑体"/>
          <w:b/>
          <w:bCs/>
          <w:sz w:val="36"/>
          <w:szCs w:val="36"/>
        </w:rPr>
      </w:pPr>
    </w:p>
    <w:p>
      <w:pPr>
        <w:rPr>
          <w:rFonts w:ascii="黑体" w:hAnsi="黑体" w:eastAsia="黑体" w:cs="黑体"/>
          <w:b/>
          <w:bCs/>
          <w:color w:val="000000"/>
          <w:sz w:val="32"/>
          <w:szCs w:val="32"/>
          <w:u w:val="single"/>
        </w:rPr>
      </w:pPr>
    </w:p>
    <w:p>
      <w:pPr>
        <w:rPr>
          <w:rFonts w:ascii="微软简隶书" w:eastAsia="微软简隶书"/>
          <w:color w:val="000000"/>
        </w:rPr>
      </w:pPr>
    </w:p>
    <w:p>
      <w:pPr>
        <w:rPr>
          <w:rFonts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widowControl/>
        <w:shd w:val="clear" w:color="auto" w:fill="FFFFFF"/>
        <w:spacing w:line="440" w:lineRule="exact"/>
        <w:ind w:firstLine="1084" w:firstLineChars="300"/>
        <w:jc w:val="left"/>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采购编号：YZCG-G2021018</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采购单位：中共禹州市委党校</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代理机构：禹州市政府采购中心</w:t>
      </w:r>
    </w:p>
    <w:p>
      <w:pPr>
        <w:ind w:firstLine="2150" w:firstLineChars="595"/>
        <w:rPr>
          <w:rFonts w:asciiTheme="majorEastAsia" w:hAnsiTheme="majorEastAsia" w:eastAsiaTheme="majorEastAsia" w:cstheme="majorEastAsia"/>
          <w:b/>
          <w:bCs/>
          <w:color w:val="000000"/>
          <w:sz w:val="36"/>
          <w:szCs w:val="36"/>
        </w:rPr>
      </w:pPr>
    </w:p>
    <w:p>
      <w:pPr>
        <w:ind w:firstLine="2150" w:firstLineChars="595"/>
        <w:rPr>
          <w:rFonts w:asciiTheme="majorEastAsia" w:hAnsiTheme="majorEastAsia" w:eastAsiaTheme="majorEastAsia" w:cstheme="majorEastAsia"/>
          <w:b/>
          <w:bCs/>
          <w:color w:val="000000"/>
          <w:sz w:val="36"/>
          <w:szCs w:val="36"/>
        </w:rPr>
      </w:pPr>
    </w:p>
    <w:p>
      <w:pPr>
        <w:ind w:firstLine="2692" w:firstLineChars="745"/>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二〇二一年六月</w:t>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pStyle w:val="2"/>
        <w:ind w:firstLine="0" w:firstLineChars="0"/>
      </w:pPr>
    </w:p>
    <w:p>
      <w:pPr>
        <w:pStyle w:val="2"/>
        <w:ind w:firstLine="0" w:firstLineChars="0"/>
      </w:pPr>
    </w:p>
    <w:p>
      <w:pPr>
        <w:pStyle w:val="3"/>
      </w:pPr>
    </w:p>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pStyle w:val="2"/>
      </w:pPr>
    </w:p>
    <w:p>
      <w:pPr>
        <w:shd w:val="clear" w:color="auto" w:fill="FFFFFF"/>
        <w:spacing w:line="360" w:lineRule="auto"/>
        <w:ind w:firstLine="308" w:firstLineChars="147"/>
        <w:rPr>
          <w:rFonts w:cs="仿宋" w:asciiTheme="majorEastAsia" w:hAnsiTheme="majorEastAsia" w:eastAsiaTheme="majorEastAsia"/>
          <w:szCs w:val="21"/>
        </w:rPr>
      </w:pPr>
      <w:r>
        <w:rPr>
          <w:rFonts w:hint="eastAsia" w:cs="仿宋" w:asciiTheme="majorEastAsia" w:hAnsiTheme="majorEastAsia" w:eastAsiaTheme="majorEastAsia"/>
          <w:szCs w:val="21"/>
        </w:rPr>
        <w:t>禹州市政府采购中心受中共禹州市委党校的委托，就“中共禹州市委党校物业服务项目（不见面开标）”进行公开招标，欢迎合格的投标人前来投标。</w:t>
      </w:r>
    </w:p>
    <w:p>
      <w:pPr>
        <w:widowControl/>
        <w:numPr>
          <w:ilvl w:val="0"/>
          <w:numId w:val="5"/>
        </w:numPr>
        <w:shd w:val="clear" w:color="auto" w:fill="FFFFFF"/>
        <w:spacing w:line="440" w:lineRule="exact"/>
        <w:ind w:firstLine="482"/>
        <w:jc w:val="left"/>
        <w:rPr>
          <w:rFonts w:cs="仿宋" w:asciiTheme="majorEastAsia" w:hAnsiTheme="majorEastAsia" w:eastAsiaTheme="majorEastAsia"/>
          <w:b/>
          <w:color w:val="000000"/>
          <w:kern w:val="0"/>
          <w:szCs w:val="21"/>
        </w:rPr>
      </w:pPr>
      <w:r>
        <w:rPr>
          <w:rFonts w:hint="eastAsia" w:cs="仿宋" w:asciiTheme="majorEastAsia" w:hAnsiTheme="majorEastAsia" w:eastAsiaTheme="majorEastAsia"/>
          <w:b/>
          <w:color w:val="000000"/>
          <w:kern w:val="0"/>
          <w:szCs w:val="21"/>
        </w:rPr>
        <w:t>项目基本情况</w:t>
      </w:r>
    </w:p>
    <w:p>
      <w:pPr>
        <w:widowControl/>
        <w:numPr>
          <w:ilvl w:val="0"/>
          <w:numId w:val="6"/>
        </w:numPr>
        <w:shd w:val="clear" w:color="auto" w:fill="FFFFFF"/>
        <w:spacing w:line="44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采购人：中共禹州市委党校</w:t>
      </w:r>
    </w:p>
    <w:p>
      <w:pPr>
        <w:pStyle w:val="45"/>
        <w:widowControl/>
        <w:numPr>
          <w:ilvl w:val="0"/>
          <w:numId w:val="6"/>
        </w:numPr>
        <w:shd w:val="clear" w:color="auto" w:fill="FFFFFF"/>
        <w:spacing w:line="440" w:lineRule="exact"/>
        <w:ind w:firstLineChars="0"/>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项目名称：</w:t>
      </w:r>
      <w:r>
        <w:rPr>
          <w:rFonts w:hint="eastAsia" w:cs="仿宋" w:asciiTheme="majorEastAsia" w:hAnsiTheme="majorEastAsia" w:eastAsiaTheme="majorEastAsia"/>
          <w:szCs w:val="21"/>
        </w:rPr>
        <w:t>中共禹州市委党校物业服务项目（不见面开标）</w:t>
      </w:r>
    </w:p>
    <w:p>
      <w:pPr>
        <w:pStyle w:val="45"/>
        <w:widowControl/>
        <w:shd w:val="clear" w:color="auto" w:fill="FFFFFF"/>
        <w:spacing w:line="440" w:lineRule="exact"/>
        <w:ind w:left="120" w:leftChars="57" w:firstLine="315" w:firstLineChars="150"/>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3、采购编号：</w:t>
      </w:r>
      <w:r>
        <w:rPr>
          <w:rFonts w:hint="eastAsia" w:cs="仿宋" w:asciiTheme="majorEastAsia" w:hAnsiTheme="majorEastAsia" w:eastAsiaTheme="majorEastAsia"/>
          <w:szCs w:val="21"/>
        </w:rPr>
        <w:t>YZCG-G2021018</w:t>
      </w:r>
    </w:p>
    <w:p>
      <w:pPr>
        <w:widowControl/>
        <w:shd w:val="clear" w:color="auto" w:fill="FFFFFF"/>
        <w:spacing w:line="440" w:lineRule="exact"/>
        <w:ind w:firstLine="482"/>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4、项目需求：中共禹州市委党校室内外所有区域（除教职工办公室内）物业服务（</w:t>
      </w:r>
      <w:r>
        <w:rPr>
          <w:rFonts w:hint="eastAsia" w:cs="仿宋" w:asciiTheme="majorEastAsia" w:hAnsiTheme="majorEastAsia" w:eastAsiaTheme="majorEastAsia"/>
          <w:szCs w:val="21"/>
        </w:rPr>
        <w:t>详见招标文件）</w:t>
      </w:r>
    </w:p>
    <w:p>
      <w:pPr>
        <w:pStyle w:val="2"/>
        <w:rPr>
          <w:rFonts w:cs="仿宋" w:asciiTheme="majorEastAsia" w:hAnsiTheme="majorEastAsia" w:eastAsiaTheme="majorEastAsia"/>
          <w:szCs w:val="21"/>
        </w:rPr>
      </w:pPr>
      <w:r>
        <w:rPr>
          <w:rFonts w:hint="eastAsia" w:cs="仿宋" w:asciiTheme="majorEastAsia" w:hAnsiTheme="majorEastAsia" w:eastAsiaTheme="majorEastAsia"/>
          <w:szCs w:val="21"/>
        </w:rPr>
        <w:t>5、合同履约期限：合同签订后一年。</w:t>
      </w:r>
    </w:p>
    <w:p>
      <w:pPr>
        <w:widowControl/>
        <w:shd w:val="clear" w:color="auto" w:fill="FFFFFF"/>
        <w:spacing w:line="440" w:lineRule="exact"/>
        <w:ind w:firstLine="482"/>
        <w:jc w:val="left"/>
        <w:rPr>
          <w:rFonts w:cs="仿宋" w:asciiTheme="majorEastAsia" w:hAnsiTheme="majorEastAsia" w:eastAsiaTheme="majorEastAsia"/>
          <w:szCs w:val="21"/>
        </w:rPr>
      </w:pPr>
      <w:r>
        <w:rPr>
          <w:rFonts w:hint="eastAsia" w:cs="仿宋" w:asciiTheme="majorEastAsia" w:hAnsiTheme="majorEastAsia" w:eastAsiaTheme="majorEastAsia"/>
          <w:szCs w:val="21"/>
        </w:rPr>
        <w:t>6、采购预算：91.49万元</w:t>
      </w:r>
    </w:p>
    <w:p>
      <w:pPr>
        <w:widowControl/>
        <w:shd w:val="clear" w:color="auto" w:fill="FFFFFF"/>
        <w:spacing w:line="440" w:lineRule="exact"/>
        <w:ind w:firstLine="482"/>
        <w:jc w:val="left"/>
        <w:rPr>
          <w:rFonts w:asciiTheme="majorEastAsia" w:hAnsiTheme="majorEastAsia" w:eastAsiaTheme="majorEastAsia"/>
          <w:szCs w:val="21"/>
        </w:rPr>
      </w:pPr>
      <w:r>
        <w:rPr>
          <w:rFonts w:hint="eastAsia" w:cs="仿宋" w:asciiTheme="majorEastAsia" w:hAnsiTheme="majorEastAsia" w:eastAsiaTheme="majorEastAsia"/>
          <w:szCs w:val="21"/>
        </w:rPr>
        <w:t>7、最高限价：91.49万元；</w:t>
      </w:r>
    </w:p>
    <w:p>
      <w:pPr>
        <w:widowControl/>
        <w:shd w:val="clear" w:color="auto" w:fill="FFFFFF"/>
        <w:spacing w:line="440" w:lineRule="exact"/>
        <w:ind w:firstLine="310" w:firstLineChars="147"/>
        <w:jc w:val="left"/>
        <w:rPr>
          <w:rFonts w:cs="仿宋" w:asciiTheme="majorEastAsia" w:hAnsiTheme="majorEastAsia" w:eastAsiaTheme="majorEastAsia"/>
          <w:b/>
          <w:color w:val="000000"/>
          <w:kern w:val="0"/>
          <w:szCs w:val="21"/>
        </w:rPr>
      </w:pPr>
      <w:r>
        <w:rPr>
          <w:rFonts w:hint="eastAsia" w:cs="仿宋" w:asciiTheme="majorEastAsia" w:hAnsiTheme="majorEastAsia" w:eastAsiaTheme="majorEastAsia"/>
          <w:b/>
          <w:color w:val="000000"/>
          <w:kern w:val="0"/>
          <w:szCs w:val="21"/>
        </w:rPr>
        <w:t>二、需要落实的政府采购政策</w:t>
      </w:r>
    </w:p>
    <w:p>
      <w:pPr>
        <w:widowControl/>
        <w:shd w:val="clear" w:color="auto" w:fill="FFFFFF"/>
        <w:spacing w:line="440" w:lineRule="exact"/>
        <w:ind w:firstLine="420" w:firstLineChars="200"/>
        <w:jc w:val="left"/>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本项目落实节约能源、保护环境、扶持不发达地区和少数民族地区、促进中小企业、监狱企业发展等政府采购政策。</w:t>
      </w:r>
    </w:p>
    <w:p>
      <w:pPr>
        <w:widowControl/>
        <w:shd w:val="clear" w:color="auto" w:fill="FFFFFF"/>
        <w:spacing w:line="440" w:lineRule="exact"/>
        <w:ind w:firstLine="211" w:firstLineChars="100"/>
        <w:jc w:val="left"/>
        <w:rPr>
          <w:rFonts w:cs="仿宋" w:asciiTheme="majorEastAsia" w:hAnsiTheme="majorEastAsia" w:eastAsiaTheme="majorEastAsia"/>
          <w:b/>
          <w:color w:val="000000"/>
          <w:kern w:val="0"/>
          <w:szCs w:val="21"/>
        </w:rPr>
      </w:pPr>
      <w:r>
        <w:rPr>
          <w:rFonts w:hint="eastAsia" w:cs="仿宋" w:asciiTheme="majorEastAsia" w:hAnsiTheme="majorEastAsia" w:eastAsiaTheme="majorEastAsia"/>
          <w:b/>
          <w:color w:val="000000"/>
          <w:kern w:val="0"/>
          <w:szCs w:val="21"/>
        </w:rPr>
        <w:t>三、供应商资格要求</w:t>
      </w:r>
    </w:p>
    <w:p>
      <w:pPr>
        <w:widowControl/>
        <w:numPr>
          <w:ilvl w:val="0"/>
          <w:numId w:val="7"/>
        </w:numPr>
        <w:shd w:val="clear" w:color="auto" w:fill="FFFFFF"/>
        <w:spacing w:line="440" w:lineRule="exact"/>
        <w:ind w:firstLine="420" w:firstLineChars="200"/>
        <w:jc w:val="left"/>
        <w:rPr>
          <w:rFonts w:cs="仿宋" w:asciiTheme="majorEastAsia" w:hAnsiTheme="majorEastAsia" w:eastAsiaTheme="majorEastAsia"/>
          <w:b/>
          <w:color w:val="000000"/>
          <w:kern w:val="0"/>
          <w:szCs w:val="21"/>
        </w:rPr>
      </w:pPr>
      <w:r>
        <w:rPr>
          <w:rFonts w:hint="eastAsia" w:cs="仿宋" w:asciiTheme="majorEastAsia" w:hAnsiTheme="majorEastAsia" w:eastAsiaTheme="majorEastAsia"/>
          <w:szCs w:val="21"/>
        </w:rPr>
        <w:t>符合《政府采购法》第二十二条之规定；</w:t>
      </w:r>
    </w:p>
    <w:p>
      <w:pPr>
        <w:widowControl/>
        <w:shd w:val="clear" w:color="auto" w:fill="FFFFFF"/>
        <w:spacing w:line="440" w:lineRule="exact"/>
        <w:ind w:left="480"/>
        <w:jc w:val="left"/>
        <w:rPr>
          <w:rFonts w:cs="仿宋" w:asciiTheme="majorEastAsia" w:hAnsiTheme="majorEastAsia" w:eastAsiaTheme="majorEastAsia"/>
          <w:b/>
          <w:color w:val="000000"/>
          <w:kern w:val="0"/>
          <w:szCs w:val="21"/>
        </w:rPr>
      </w:pPr>
      <w:r>
        <w:rPr>
          <w:rFonts w:hint="eastAsia" w:cs="仿宋" w:asciiTheme="majorEastAsia" w:hAnsiTheme="majorEastAsia" w:eastAsiaTheme="majorEastAsia"/>
          <w:szCs w:val="21"/>
        </w:rPr>
        <w:t>2、本项目不接受联合体投标。</w:t>
      </w:r>
    </w:p>
    <w:p>
      <w:pPr>
        <w:widowControl/>
        <w:shd w:val="clear" w:color="auto" w:fill="FFFFFF"/>
        <w:spacing w:line="440" w:lineRule="exact"/>
        <w:ind w:firstLine="482"/>
        <w:jc w:val="left"/>
        <w:rPr>
          <w:rFonts w:cs="仿宋" w:asciiTheme="majorEastAsia" w:hAnsiTheme="majorEastAsia" w:eastAsiaTheme="majorEastAsia"/>
          <w:b/>
          <w:color w:val="000000"/>
          <w:kern w:val="0"/>
          <w:szCs w:val="21"/>
        </w:rPr>
      </w:pPr>
      <w:r>
        <w:rPr>
          <w:rFonts w:hint="eastAsia" w:cs="仿宋" w:asciiTheme="majorEastAsia" w:hAnsiTheme="majorEastAsia" w:eastAsiaTheme="majorEastAsia"/>
          <w:b/>
          <w:color w:val="000000"/>
          <w:kern w:val="0"/>
          <w:szCs w:val="21"/>
        </w:rPr>
        <w:t>四、获取招标文件的方式</w:t>
      </w:r>
    </w:p>
    <w:p>
      <w:pPr>
        <w:pStyle w:val="25"/>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cs="仿宋" w:asciiTheme="majorEastAsia" w:hAnsiTheme="majorEastAsia" w:eastAsiaTheme="majorEastAsia"/>
          <w:sz w:val="21"/>
          <w:szCs w:val="21"/>
        </w:rPr>
        <w:t>http://ggzy.xuchang.gov.cn:8088/ggzy/eps/public/RegistAllJcxx.html）</w:t>
      </w:r>
      <w:r>
        <w:rPr>
          <w:rFonts w:hint="eastAsia" w:cs="仿宋" w:asciiTheme="majorEastAsia" w:hAnsiTheme="majorEastAsia" w:eastAsiaTheme="majorEastAsia"/>
          <w:sz w:val="21"/>
          <w:szCs w:val="21"/>
        </w:rPr>
        <w:fldChar w:fldCharType="end"/>
      </w:r>
      <w:r>
        <w:rPr>
          <w:rFonts w:hint="eastAsia" w:cs="仿宋" w:asciiTheme="majorEastAsia" w:hAnsiTheme="majorEastAsia" w:eastAsiaTheme="majorEastAsia"/>
          <w:sz w:val="21"/>
          <w:szCs w:val="21"/>
        </w:rPr>
        <w:t>进行免费注册登记（详见“常见问题解答-诚信库网上注册相关资料下载”）；</w:t>
      </w:r>
    </w:p>
    <w:p>
      <w:pPr>
        <w:pStyle w:val="25"/>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（二）在招标响应截止时间前均可登录《全国公共资源交易平台（河南省·许昌市）》“投标人/供应商登录”入口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cs="仿宋" w:asciiTheme="majorEastAsia" w:hAnsiTheme="majorEastAsia" w:eastAsiaTheme="majorEastAsia"/>
          <w:sz w:val="21"/>
          <w:szCs w:val="21"/>
        </w:rPr>
        <w:t>（http://ggzy.xuchang.gov.cn:8088/ggzy/）</w:t>
      </w:r>
      <w:r>
        <w:rPr>
          <w:rFonts w:hint="eastAsia" w:cs="仿宋" w:asciiTheme="majorEastAsia" w:hAnsiTheme="majorEastAsia" w:eastAsiaTheme="majorEastAsia"/>
          <w:sz w:val="21"/>
          <w:szCs w:val="21"/>
        </w:rPr>
        <w:fldChar w:fldCharType="end"/>
      </w:r>
      <w:r>
        <w:rPr>
          <w:rFonts w:hint="eastAsia" w:cs="仿宋" w:asciiTheme="majorEastAsia" w:hAnsiTheme="majorEastAsia" w:eastAsiaTheme="majorEastAsia"/>
          <w:sz w:val="21"/>
          <w:szCs w:val="21"/>
        </w:rPr>
        <w:t>自行下载招标文件（详见“常见问题解答-交易系统操作手册”）。</w:t>
      </w:r>
    </w:p>
    <w:p>
      <w:pPr>
        <w:widowControl/>
        <w:shd w:val="clear" w:color="auto" w:fill="FFFFFF"/>
        <w:spacing w:line="440" w:lineRule="exact"/>
        <w:ind w:firstLine="422" w:firstLineChars="200"/>
        <w:jc w:val="left"/>
        <w:rPr>
          <w:rFonts w:cs="仿宋" w:asciiTheme="majorEastAsia" w:hAnsiTheme="majorEastAsia" w:eastAsiaTheme="majorEastAsia"/>
          <w:b/>
          <w:szCs w:val="21"/>
        </w:rPr>
      </w:pPr>
      <w:r>
        <w:rPr>
          <w:rFonts w:hint="eastAsia" w:cs="仿宋" w:asciiTheme="majorEastAsia" w:hAnsiTheme="majorEastAsia" w:eastAsiaTheme="majorEastAsia"/>
          <w:b/>
          <w:szCs w:val="21"/>
        </w:rPr>
        <w:t>五、投标文件提交截止时间及开标时间</w:t>
      </w:r>
    </w:p>
    <w:p>
      <w:pPr>
        <w:spacing w:line="440" w:lineRule="exact"/>
        <w:ind w:firstLine="640"/>
        <w:rPr>
          <w:rFonts w:cs="仿宋" w:asciiTheme="majorEastAsia" w:hAnsiTheme="majorEastAsia" w:eastAsiaTheme="majorEastAsia"/>
          <w:szCs w:val="21"/>
        </w:rPr>
      </w:pPr>
      <w:r>
        <w:rPr>
          <w:rFonts w:hint="eastAsia" w:cs="仿宋" w:asciiTheme="majorEastAsia" w:hAnsiTheme="majorEastAsia" w:eastAsiaTheme="majorEastAsia"/>
          <w:szCs w:val="21"/>
        </w:rPr>
        <w:t>1、投标文件提交截止时间及开标时间：2021年6月30日 8：30分 （北京时间），逾期送达或不符合规定的响应文件恕不接受。</w:t>
      </w:r>
    </w:p>
    <w:p>
      <w:pPr>
        <w:spacing w:line="440" w:lineRule="exact"/>
        <w:ind w:firstLine="640"/>
        <w:rPr>
          <w:rFonts w:cs="仿宋" w:asciiTheme="majorEastAsia" w:hAnsiTheme="majorEastAsia" w:eastAsiaTheme="majorEastAsia"/>
          <w:szCs w:val="21"/>
        </w:rPr>
      </w:pPr>
      <w:r>
        <w:rPr>
          <w:rFonts w:hint="eastAsia" w:cs="仿宋" w:asciiTheme="majorEastAsia" w:hAnsiTheme="majorEastAsia" w:eastAsiaTheme="majorEastAsia"/>
          <w:szCs w:val="21"/>
        </w:rPr>
        <w:t>2、投标文件开启时间：同投标文件提交截止时间。</w:t>
      </w:r>
    </w:p>
    <w:p>
      <w:pPr>
        <w:pStyle w:val="25"/>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六、投标响应文件开启</w:t>
      </w:r>
    </w:p>
    <w:p>
      <w:pPr>
        <w:pStyle w:val="25"/>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（一）投标文件开启地点：禹州市公共资源交易中心九楼第二开标室。（本项目采用远程不见面开标，供应商无须到达现场）。</w:t>
      </w:r>
    </w:p>
    <w:p>
      <w:pPr>
        <w:pStyle w:val="25"/>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（二）本项目为全流程电子化交易项目，供应商须提交电子投标文件。</w:t>
      </w:r>
    </w:p>
    <w:p>
      <w:pPr>
        <w:pStyle w:val="25"/>
        <w:widowControl/>
        <w:shd w:val="clear" w:color="auto" w:fill="FFFFFF"/>
        <w:spacing w:line="440" w:lineRule="exact"/>
        <w:ind w:firstLine="420"/>
        <w:contextualSpacing/>
        <w:jc w:val="left"/>
        <w:rPr>
          <w:rFonts w:cs="仿宋" w:asciiTheme="majorEastAsia" w:hAnsiTheme="majorEastAsia" w:eastAsiaTheme="majorEastAsia"/>
          <w:color w:val="000000"/>
          <w:sz w:val="21"/>
          <w:szCs w:val="21"/>
        </w:rPr>
      </w:pPr>
      <w:r>
        <w:rPr>
          <w:rFonts w:hint="eastAsia" w:cs="仿宋" w:asciiTheme="majorEastAsia" w:hAnsiTheme="majorEastAsia" w:eastAsiaTheme="majorEastAsia"/>
          <w:color w:val="000000"/>
          <w:sz w:val="21"/>
          <w:szCs w:val="21"/>
        </w:rPr>
        <w:t>1、加密电子投标文件（.file格式）须在投标文件提交截止时间（投标截止时间）前通过《全国公共资源交易平台(河南省▪许昌市)》公共资源交易系统成功上传。</w:t>
      </w:r>
    </w:p>
    <w:p>
      <w:pPr>
        <w:pStyle w:val="25"/>
        <w:widowControl/>
        <w:shd w:val="clear" w:color="auto" w:fill="FFFFFF"/>
        <w:spacing w:line="440" w:lineRule="exact"/>
        <w:ind w:firstLine="420"/>
        <w:contextualSpacing/>
        <w:jc w:val="left"/>
        <w:rPr>
          <w:rFonts w:cs="仿宋" w:asciiTheme="majorEastAsia" w:hAnsiTheme="majorEastAsia" w:eastAsiaTheme="majorEastAsia"/>
          <w:color w:val="000000"/>
          <w:sz w:val="21"/>
          <w:szCs w:val="21"/>
        </w:rPr>
      </w:pPr>
      <w:r>
        <w:rPr>
          <w:rFonts w:hint="eastAsia" w:cs="仿宋" w:asciiTheme="majorEastAsia" w:hAnsiTheme="majorEastAsia" w:eastAsiaTheme="majorEastAsia"/>
          <w:color w:val="000000"/>
          <w:sz w:val="21"/>
          <w:szCs w:val="21"/>
        </w:rPr>
        <w:t>2、投标截止时间前，供应商</w:t>
      </w:r>
      <w:r>
        <w:rPr>
          <w:rFonts w:hint="eastAsia" w:cs="仿宋" w:asciiTheme="majorEastAsia" w:hAnsiTheme="majorEastAsia" w:eastAsiaTheme="majorEastAsia"/>
          <w:color w:val="000000"/>
          <w:sz w:val="21"/>
          <w:szCs w:val="21"/>
          <w:shd w:val="clear" w:color="auto" w:fill="FFFFFF"/>
        </w:rPr>
        <w:t>应登录不见面开标大厅，</w:t>
      </w:r>
      <w:r>
        <w:rPr>
          <w:rFonts w:hint="eastAsia" w:cs="仿宋" w:asciiTheme="majorEastAsia" w:hAnsiTheme="majorEastAsia" w:eastAsiaTheme="majorEastAsia"/>
          <w:color w:val="000000"/>
          <w:sz w:val="21"/>
          <w:szCs w:val="21"/>
        </w:rPr>
        <w:t>按照投标截止时间准时参加线上投标文件开启，在系统规定时间内对电子投标文件进行远程解密，未在规定时间内解密或因供应商原因解密失败的，其投标文件将被拒绝。</w:t>
      </w:r>
    </w:p>
    <w:p>
      <w:pPr>
        <w:pStyle w:val="25"/>
        <w:widowControl/>
        <w:shd w:val="clear" w:color="auto" w:fill="FFFFFF"/>
        <w:spacing w:line="440" w:lineRule="exact"/>
        <w:ind w:firstLine="420"/>
        <w:contextualSpacing/>
        <w:jc w:val="left"/>
        <w:rPr>
          <w:rFonts w:cs="仿宋" w:asciiTheme="majorEastAsia" w:hAnsiTheme="majorEastAsia" w:eastAsiaTheme="majorEastAsia"/>
          <w:color w:val="000000"/>
          <w:sz w:val="21"/>
          <w:szCs w:val="21"/>
        </w:rPr>
      </w:pPr>
      <w:r>
        <w:rPr>
          <w:rFonts w:hint="eastAsia" w:cs="仿宋" w:asciiTheme="majorEastAsia" w:hAnsiTheme="majorEastAsia" w:eastAsiaTheme="majorEastAsia"/>
          <w:color w:val="000000"/>
          <w:sz w:val="21"/>
          <w:szCs w:val="21"/>
        </w:rPr>
        <w:t>3、不见面开标大厅登录：供应商</w:t>
      </w:r>
      <w:r>
        <w:rPr>
          <w:rFonts w:hint="eastAsia" w:cs="仿宋" w:asciiTheme="majorEastAsia" w:hAnsiTheme="majorEastAsia" w:eastAsiaTheme="majorEastAsia"/>
          <w:color w:val="000000"/>
          <w:sz w:val="21"/>
          <w:szCs w:val="21"/>
          <w:shd w:val="clear" w:color="auto" w:fill="FFFFFF"/>
        </w:rPr>
        <w:t>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Style w:val="33"/>
          <w:rFonts w:hint="eastAsia" w:cs="仿宋" w:asciiTheme="majorEastAsia" w:hAnsiTheme="majorEastAsia" w:eastAsiaTheme="majorEastAsia"/>
          <w:color w:val="000000"/>
          <w:sz w:val="21"/>
          <w:szCs w:val="21"/>
          <w:shd w:val="clear" w:color="auto" w:fill="FFFFFF"/>
        </w:rPr>
        <w:t>（http://ggzy.xuchang.gov.cn:8088/ggzy/）</w:t>
      </w:r>
      <w:r>
        <w:rPr>
          <w:rStyle w:val="33"/>
          <w:rFonts w:hint="eastAsia" w:cs="仿宋" w:asciiTheme="majorEastAsia" w:hAnsiTheme="majorEastAsia" w:eastAsiaTheme="majorEastAsia"/>
          <w:color w:val="000000"/>
          <w:sz w:val="21"/>
          <w:szCs w:val="21"/>
          <w:shd w:val="clear" w:color="auto" w:fill="FFFFFF"/>
        </w:rPr>
        <w:fldChar w:fldCharType="end"/>
      </w:r>
      <w:r>
        <w:rPr>
          <w:rFonts w:hint="eastAsia" w:cs="仿宋" w:asciiTheme="majorEastAsia" w:hAnsiTheme="majorEastAsia" w:eastAsiaTheme="maj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2" w:firstLineChars="200"/>
        <w:jc w:val="left"/>
        <w:rPr>
          <w:rFonts w:cs="仿宋" w:asciiTheme="majorEastAsia" w:hAnsiTheme="majorEastAsia" w:eastAsiaTheme="majorEastAsia"/>
          <w:b/>
          <w:bCs/>
          <w:color w:val="000000"/>
          <w:kern w:val="0"/>
          <w:szCs w:val="21"/>
        </w:rPr>
      </w:pPr>
      <w:r>
        <w:rPr>
          <w:rFonts w:hint="eastAsia" w:cs="仿宋" w:asciiTheme="majorEastAsia" w:hAnsiTheme="majorEastAsia" w:eastAsiaTheme="majorEastAsia"/>
          <w:b/>
          <w:bCs/>
          <w:color w:val="000000"/>
          <w:kern w:val="0"/>
          <w:szCs w:val="21"/>
        </w:rPr>
        <w:t>七、本次招标公告同时在《中国政府采购网》、《河南省政府采购网》、《全国公共资源交易平台（河南省·许昌市）》发布等。</w:t>
      </w:r>
    </w:p>
    <w:p>
      <w:pPr>
        <w:widowControl/>
        <w:shd w:val="clear" w:color="auto" w:fill="FFFFFF"/>
        <w:spacing w:line="440" w:lineRule="exact"/>
        <w:ind w:firstLine="641"/>
        <w:jc w:val="left"/>
        <w:rPr>
          <w:rFonts w:cs="仿宋" w:asciiTheme="majorEastAsia" w:hAnsiTheme="majorEastAsia" w:eastAsiaTheme="majorEastAsia"/>
          <w:b/>
          <w:bCs/>
          <w:color w:val="000000"/>
          <w:kern w:val="0"/>
          <w:szCs w:val="21"/>
        </w:rPr>
      </w:pPr>
      <w:r>
        <w:rPr>
          <w:rFonts w:hint="eastAsia" w:cs="仿宋" w:asciiTheme="majorEastAsia" w:hAnsiTheme="majorEastAsia" w:eastAsiaTheme="majorEastAsia"/>
          <w:b/>
          <w:bCs/>
          <w:color w:val="000000"/>
          <w:kern w:val="0"/>
          <w:szCs w:val="21"/>
        </w:rPr>
        <w:t>八、代理机构及采购单位地址、联系人、联系电话</w:t>
      </w:r>
    </w:p>
    <w:p>
      <w:pPr>
        <w:widowControl/>
        <w:shd w:val="clear" w:color="auto" w:fill="FFFFFF"/>
        <w:spacing w:line="440" w:lineRule="exact"/>
        <w:ind w:firstLine="641"/>
        <w:jc w:val="left"/>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（一）代理机构：禹州市政府采购中心</w:t>
      </w:r>
    </w:p>
    <w:p>
      <w:pPr>
        <w:widowControl/>
        <w:shd w:val="clear" w:color="auto" w:fill="FFFFFF"/>
        <w:spacing w:line="440" w:lineRule="exact"/>
        <w:ind w:firstLine="641"/>
        <w:jc w:val="left"/>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地址：禹州市行政服务中心楼917房间</w:t>
      </w:r>
    </w:p>
    <w:p>
      <w:pPr>
        <w:widowControl/>
        <w:shd w:val="clear" w:color="auto" w:fill="FFFFFF"/>
        <w:spacing w:line="440" w:lineRule="exact"/>
        <w:ind w:firstLine="641"/>
        <w:jc w:val="left"/>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联系人：侯女士    联系电话：0374-2077111</w:t>
      </w:r>
    </w:p>
    <w:p>
      <w:pPr>
        <w:widowControl/>
        <w:numPr>
          <w:ilvl w:val="0"/>
          <w:numId w:val="8"/>
        </w:numPr>
        <w:shd w:val="clear" w:color="auto" w:fill="FFFFFF"/>
        <w:spacing w:line="440" w:lineRule="exact"/>
        <w:ind w:firstLine="641"/>
        <w:jc w:val="left"/>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采购单位：</w:t>
      </w:r>
      <w:r>
        <w:rPr>
          <w:rFonts w:hint="eastAsia" w:cs="仿宋" w:asciiTheme="majorEastAsia" w:hAnsiTheme="majorEastAsia" w:eastAsiaTheme="majorEastAsia"/>
          <w:szCs w:val="21"/>
        </w:rPr>
        <w:t>中共禹州市委党校</w:t>
      </w:r>
    </w:p>
    <w:p>
      <w:pPr>
        <w:widowControl/>
        <w:numPr>
          <w:ilvl w:val="0"/>
          <w:numId w:val="8"/>
        </w:numPr>
        <w:shd w:val="clear" w:color="auto" w:fill="FFFFFF"/>
        <w:spacing w:line="440" w:lineRule="exact"/>
        <w:ind w:firstLine="641"/>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地址：</w:t>
      </w:r>
      <w:r>
        <w:rPr>
          <w:rFonts w:hint="eastAsia" w:cs="仿宋" w:asciiTheme="majorEastAsia" w:hAnsiTheme="majorEastAsia" w:eastAsiaTheme="majorEastAsia"/>
          <w:szCs w:val="21"/>
        </w:rPr>
        <w:t>禹州市颍北大道西段</w:t>
      </w:r>
    </w:p>
    <w:p>
      <w:pPr>
        <w:widowControl/>
        <w:shd w:val="clear" w:color="auto" w:fill="FFFFFF"/>
        <w:spacing w:line="440" w:lineRule="exact"/>
        <w:ind w:firstLine="840" w:firstLineChars="400"/>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联系人： 李女士      联系电话：0374-7037679</w:t>
      </w:r>
    </w:p>
    <w:p>
      <w:pPr>
        <w:shd w:val="clear" w:color="auto" w:fill="FFFFFF"/>
        <w:spacing w:line="360" w:lineRule="auto"/>
        <w:ind w:firstLine="420" w:firstLineChars="200"/>
        <w:rPr>
          <w:rFonts w:cs="仿宋" w:asciiTheme="majorEastAsia" w:hAnsiTheme="majorEastAsia" w:eastAsiaTheme="majorEastAsia"/>
          <w:szCs w:val="21"/>
        </w:rPr>
      </w:pPr>
    </w:p>
    <w:p>
      <w:pPr>
        <w:rPr>
          <w:rFonts w:cs="宋体" w:asciiTheme="majorEastAsia" w:hAnsiTheme="majorEastAsia" w:eastAsiaTheme="majorEastAsia"/>
          <w:b/>
          <w:kern w:val="0"/>
          <w:sz w:val="32"/>
          <w:szCs w:val="32"/>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1.</w:t>
      </w:r>
      <w:r>
        <w:rPr>
          <w:rFonts w:hint="eastAsia" w:hAnsi="宋体"/>
          <w:b/>
          <w:color w:val="FF0000"/>
          <w:szCs w:val="21"/>
        </w:rPr>
        <w:t>投标人应按招标文件规定编制、提交、解密电子投标文件。</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2</w:t>
      </w:r>
      <w:r>
        <w:rPr>
          <w:rFonts w:asciiTheme="minorEastAsia" w:hAnsiTheme="minorEastAsia"/>
          <w:b/>
          <w:color w:val="FF0000"/>
          <w:szCs w:val="21"/>
        </w:rPr>
        <w:t>.</w:t>
      </w:r>
      <w:r>
        <w:rPr>
          <w:rFonts w:hint="eastAsia" w:hAnsi="宋体"/>
          <w:b/>
          <w:color w:val="FF0000"/>
          <w:szCs w:val="21"/>
        </w:rPr>
        <w:t>电子文件下载、制作、提交期间和远程不见面开标（</w:t>
      </w:r>
      <w:r>
        <w:rPr>
          <w:rFonts w:hint="eastAsia" w:hAnsi="宋体"/>
          <w:color w:val="FF0000"/>
          <w:szCs w:val="21"/>
        </w:rPr>
        <w:t>电子投标文件的解密</w:t>
      </w:r>
      <w:r>
        <w:rPr>
          <w:rFonts w:hint="eastAsia" w:hAnsi="宋体"/>
          <w:b/>
          <w:color w:val="FF0000"/>
          <w:szCs w:val="21"/>
        </w:rPr>
        <w:t>）环节，投标人须使用同一个</w:t>
      </w:r>
      <w:r>
        <w:rPr>
          <w:rFonts w:hAnsi="宋体"/>
          <w:b/>
          <w:color w:val="FF0000"/>
          <w:szCs w:val="21"/>
        </w:rPr>
        <w:t>CA数字证书</w:t>
      </w:r>
      <w:r>
        <w:rPr>
          <w:rFonts w:hint="eastAsia" w:hAnsi="宋体"/>
          <w:b/>
          <w:color w:val="FF0000"/>
          <w:szCs w:val="21"/>
        </w:rPr>
        <w:t>（证书须在有效期内并可正常使用）</w:t>
      </w:r>
      <w:r>
        <w:rPr>
          <w:rFonts w:hAnsi="宋体"/>
          <w:b/>
          <w:color w:val="FF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3"/>
          <w:rFonts w:hAnsi="宋体"/>
          <w:szCs w:val="21"/>
        </w:rPr>
        <w:t>http://221.14.6.70:8088/ggzy/</w:t>
      </w:r>
      <w:r>
        <w:rPr>
          <w:rStyle w:val="33"/>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FF0000"/>
          <w:szCs w:val="21"/>
        </w:rPr>
      </w:pPr>
      <w:r>
        <w:rPr>
          <w:rFonts w:hint="eastAsia" w:hAnsi="宋体"/>
          <w:color w:val="FF0000"/>
          <w:szCs w:val="21"/>
        </w:rPr>
        <w:t>一个标段对应生成一个文件夹（xxxx项目xx标段）,其中后缀名为“</w:t>
      </w:r>
      <w:r>
        <w:rPr>
          <w:rFonts w:hAnsi="宋体"/>
          <w:color w:val="FF0000"/>
          <w:szCs w:val="21"/>
        </w:rPr>
        <w:t>.file</w:t>
      </w:r>
      <w:r>
        <w:rPr>
          <w:rFonts w:hint="eastAsia" w:hAnsi="宋体"/>
          <w:color w:val="FF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w:t>
      </w:r>
      <w:r>
        <w:rPr>
          <w:rFonts w:hint="eastAsia" w:asciiTheme="minorEastAsia" w:hAnsiTheme="minorEastAsia"/>
          <w:color w:val="FF0000"/>
          <w:szCs w:val="21"/>
        </w:rPr>
        <w:t>加密</w:t>
      </w:r>
      <w:r>
        <w:rPr>
          <w:rFonts w:hint="eastAsia" w:hAnsi="宋体"/>
          <w:color w:val="FF0000"/>
          <w:szCs w:val="21"/>
        </w:rPr>
        <w:t>电子投标文件应按规定在投标截止时间</w:t>
      </w:r>
      <w:r>
        <w:rPr>
          <w:rFonts w:hint="eastAsia" w:hAnsi="宋体"/>
          <w:color w:val="000000"/>
          <w:szCs w:val="21"/>
        </w:rPr>
        <w:t>（开标时间）之前成功提交至《全国公共资源交易平台(河南省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3"/>
          <w:rFonts w:hAnsi="宋体"/>
          <w:szCs w:val="21"/>
        </w:rPr>
        <w:t>http://221.14.6.70:8088/ggzy/</w:t>
      </w:r>
      <w:r>
        <w:rPr>
          <w:rStyle w:val="33"/>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FF0000"/>
          <w:szCs w:val="21"/>
        </w:rPr>
      </w:pPr>
      <w:r>
        <w:rPr>
          <w:rFonts w:asciiTheme="minorEastAsia" w:hAnsiTheme="minorEastAsia"/>
          <w:color w:val="FF0000"/>
          <w:szCs w:val="21"/>
        </w:rPr>
        <w:t>4</w:t>
      </w:r>
      <w:r>
        <w:rPr>
          <w:rFonts w:hint="eastAsia" w:asciiTheme="minorEastAsia" w:hAnsiTheme="minorEastAsia"/>
          <w:color w:val="FF0000"/>
          <w:szCs w:val="21"/>
        </w:rPr>
        <w:t>.</w:t>
      </w:r>
      <w:r>
        <w:rPr>
          <w:rFonts w:asciiTheme="minorEastAsia" w:hAnsiTheme="minorEastAsia"/>
          <w:color w:val="FF0000"/>
          <w:szCs w:val="21"/>
        </w:rPr>
        <w:t>3</w:t>
      </w:r>
      <w:r>
        <w:rPr>
          <w:rFonts w:hint="eastAsia" w:asciiTheme="minorEastAsia" w:hAnsiTheme="minorEastAsia"/>
          <w:color w:val="FF0000"/>
          <w:szCs w:val="21"/>
        </w:rPr>
        <w:t xml:space="preserve"> 加密</w:t>
      </w:r>
      <w:r>
        <w:rPr>
          <w:rFonts w:hint="eastAsia" w:hAnsi="宋体"/>
          <w:color w:val="FF0000"/>
          <w:szCs w:val="21"/>
        </w:rPr>
        <w:t>电子投标文件成功提交后，《全国公共资源交易平台(河南省</w:t>
      </w:r>
      <w:r>
        <w:rPr>
          <w:rFonts w:hint="eastAsia" w:ascii="MS Mincho" w:hAnsi="MS Mincho" w:eastAsia="MS Mincho" w:cs="MS Mincho"/>
          <w:color w:val="FF0000"/>
          <w:szCs w:val="21"/>
        </w:rPr>
        <w:t>▪</w:t>
      </w:r>
      <w:r>
        <w:rPr>
          <w:rFonts w:hint="eastAsia" w:ascii="宋体" w:hAnsi="宋体" w:eastAsia="宋体" w:cs="宋体"/>
          <w:color w:val="FF0000"/>
          <w:szCs w:val="21"/>
        </w:rPr>
        <w:t>许昌市</w:t>
      </w:r>
      <w:r>
        <w:rPr>
          <w:rFonts w:hint="eastAsia" w:hAnsi="宋体"/>
          <w:color w:val="FF0000"/>
          <w:szCs w:val="21"/>
        </w:rPr>
        <w:t>)》公共资源交易系统（</w:t>
      </w:r>
      <w:r>
        <w:fldChar w:fldCharType="begin"/>
      </w:r>
      <w:r>
        <w:instrText xml:space="preserve"> HYPERLINK "http://221.14.6.70:8088/ggzy/" </w:instrText>
      </w:r>
      <w:r>
        <w:fldChar w:fldCharType="separate"/>
      </w:r>
      <w:r>
        <w:rPr>
          <w:rStyle w:val="33"/>
          <w:rFonts w:hAnsi="宋体"/>
          <w:color w:val="FF0000"/>
          <w:szCs w:val="21"/>
        </w:rPr>
        <w:t>http://221.14.6.70:8088/ggzy/</w:t>
      </w:r>
      <w:r>
        <w:rPr>
          <w:rStyle w:val="33"/>
          <w:rFonts w:hAnsi="宋体"/>
          <w:color w:val="FF0000"/>
          <w:szCs w:val="21"/>
        </w:rPr>
        <w:fldChar w:fldCharType="end"/>
      </w:r>
      <w:r>
        <w:rPr>
          <w:rFonts w:hint="eastAsia" w:hAnsi="宋体"/>
          <w:color w:val="FF0000"/>
          <w:szCs w:val="21"/>
        </w:rPr>
        <w:t>）</w:t>
      </w:r>
      <w:r>
        <w:rPr>
          <w:rFonts w:hint="eastAsia" w:cs="仿宋_GB2312" w:asciiTheme="minorEastAsia" w:hAnsiTheme="minorEastAsia"/>
          <w:color w:val="FF0000"/>
          <w:szCs w:val="21"/>
        </w:rPr>
        <w:t>生成“投标文件提交回执单”。</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5.远程不见面开标（</w:t>
      </w:r>
      <w:r>
        <w:rPr>
          <w:rFonts w:hint="eastAsia" w:hAnsi="宋体"/>
          <w:b/>
          <w:color w:val="FF0000"/>
          <w:szCs w:val="21"/>
        </w:rPr>
        <w:t>电子投标文件的解密</w:t>
      </w:r>
      <w:r>
        <w:rPr>
          <w:rFonts w:hint="eastAsia" w:asciiTheme="minorEastAsia" w:hAnsiTheme="minorEastAsia"/>
          <w:b/>
          <w:color w:val="FF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 xml:space="preserve">1 </w:t>
      </w:r>
      <w:r>
        <w:rPr>
          <w:rFonts w:hint="eastAsia" w:hAnsi="宋体"/>
          <w:color w:val="000000"/>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hint="eastAsia" w:cs="宋体" w:asciiTheme="minorEastAsia" w:hAnsiTheme="minorEastAsia"/>
          <w:kern w:val="0"/>
          <w:szCs w:val="21"/>
        </w:rPr>
        <w:t>因投标人原因解密失败的，其投标将被拒绝。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6.</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FF0000"/>
          <w:szCs w:val="21"/>
        </w:rPr>
      </w:pPr>
      <w:r>
        <w:rPr>
          <w:rFonts w:hint="eastAsia" w:asciiTheme="minorEastAsia" w:hAnsiTheme="minorEastAsia"/>
          <w:color w:val="FF0000"/>
          <w:szCs w:val="21"/>
        </w:rPr>
        <w:t>6.1</w:t>
      </w:r>
      <w:r>
        <w:rPr>
          <w:rFonts w:hint="eastAsia" w:hAnsi="宋体"/>
          <w:color w:val="FF0000"/>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FF0000"/>
          <w:szCs w:val="21"/>
        </w:rPr>
      </w:pPr>
      <w:r>
        <w:rPr>
          <w:rFonts w:hint="eastAsia" w:asciiTheme="minorEastAsia" w:hAnsiTheme="minorEastAsia"/>
          <w:color w:val="FF0000"/>
          <w:szCs w:val="21"/>
        </w:rPr>
        <w:t>6.2 评标期间，投标人应保持通讯手机畅通。</w:t>
      </w:r>
      <w:r>
        <w:rPr>
          <w:rFonts w:hint="eastAsia" w:cs="宋体" w:asciiTheme="minorEastAsia" w:hAnsiTheme="minorEastAsia"/>
          <w:color w:val="FF0000"/>
          <w:kern w:val="0"/>
          <w:szCs w:val="21"/>
        </w:rPr>
        <w:t>评标委员会</w:t>
      </w:r>
      <w:r>
        <w:rPr>
          <w:rFonts w:hint="eastAsia" w:asciiTheme="minorEastAsia" w:hAnsiTheme="minorEastAsia"/>
          <w:color w:val="FF0000"/>
          <w:szCs w:val="21"/>
        </w:rPr>
        <w:t>如</w:t>
      </w:r>
      <w:r>
        <w:rPr>
          <w:rFonts w:hint="eastAsia" w:cs="宋体" w:asciiTheme="minorEastAsia" w:hAnsiTheme="minorEastAsia"/>
          <w:color w:val="FF0000"/>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FF0000"/>
        </w:rPr>
      </w:pPr>
      <w:r>
        <w:rPr>
          <w:rFonts w:hint="eastAsia" w:cs="宋体" w:asciiTheme="minorEastAsia" w:hAnsiTheme="minorEastAsia"/>
          <w:color w:val="FF0000"/>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9"/>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pStyle w:val="2"/>
      </w:pPr>
    </w:p>
    <w:p>
      <w:pPr>
        <w:pStyle w:val="45"/>
        <w:numPr>
          <w:ilvl w:val="0"/>
          <w:numId w:val="10"/>
        </w:numPr>
        <w:spacing w:line="360" w:lineRule="auto"/>
        <w:ind w:firstLineChars="0"/>
        <w:rPr>
          <w:rFonts w:cs="黑体" w:asciiTheme="minorEastAsia" w:hAnsiTheme="minorEastAsia"/>
          <w:b/>
          <w:bCs/>
          <w:color w:val="000000"/>
          <w:szCs w:val="21"/>
          <w:shd w:val="clear" w:color="auto" w:fill="FFFFFF"/>
        </w:rPr>
      </w:pPr>
      <w:r>
        <w:rPr>
          <w:rFonts w:hint="eastAsia" w:cs="黑体" w:asciiTheme="minorEastAsia" w:hAnsiTheme="minorEastAsia"/>
          <w:b/>
          <w:bCs/>
          <w:color w:val="000000"/>
          <w:szCs w:val="21"/>
          <w:shd w:val="clear" w:color="auto" w:fill="FFFFFF"/>
        </w:rPr>
        <w:t>本项目需实现的功能或者目标：</w:t>
      </w:r>
    </w:p>
    <w:p>
      <w:pPr>
        <w:spacing w:line="560" w:lineRule="exact"/>
        <w:ind w:firstLine="420" w:firstLineChars="200"/>
        <w:rPr>
          <w:rFonts w:cs="仿宋_GB2312"/>
          <w:szCs w:val="32"/>
        </w:rPr>
      </w:pPr>
      <w:r>
        <w:rPr>
          <w:rFonts w:hint="eastAsia" w:cs="仿宋_GB2312"/>
          <w:szCs w:val="32"/>
        </w:rPr>
        <w:t>禹州市委党校是禹州市委重要职能部门，党校的物业管理，能否管出最佳效果，能否实现“管理、服务、文明”三位一体化的物业管理，对禹州市干部教育培训影响很大。</w:t>
      </w:r>
    </w:p>
    <w:p>
      <w:pPr>
        <w:spacing w:line="560" w:lineRule="exact"/>
        <w:ind w:firstLine="420" w:firstLineChars="200"/>
        <w:rPr>
          <w:rFonts w:cs="仿宋_GB2312"/>
          <w:szCs w:val="32"/>
        </w:rPr>
      </w:pPr>
      <w:r>
        <w:rPr>
          <w:rFonts w:hint="eastAsia" w:cs="仿宋_GB2312"/>
          <w:szCs w:val="32"/>
        </w:rPr>
        <w:t>所有要求本着对党校高度负责的精神，实现以下四项目标。</w:t>
      </w:r>
    </w:p>
    <w:p>
      <w:pPr>
        <w:numPr>
          <w:ilvl w:val="0"/>
          <w:numId w:val="11"/>
        </w:numPr>
        <w:spacing w:line="560" w:lineRule="exact"/>
        <w:ind w:left="-2" w:firstLine="632"/>
        <w:rPr>
          <w:rFonts w:cs="仿宋_GB2312"/>
          <w:szCs w:val="32"/>
        </w:rPr>
      </w:pPr>
      <w:r>
        <w:rPr>
          <w:rFonts w:hint="eastAsia" w:cs="仿宋_GB2312"/>
          <w:szCs w:val="32"/>
        </w:rPr>
        <w:t>安全放心的环境。通过专业化的安全管理、规范化的安全服务、贯穿 “以人为本”的服务思想，在禹州市委党校创建一个舒心、安心、顺心的培训环境。</w:t>
      </w:r>
    </w:p>
    <w:p>
      <w:pPr>
        <w:numPr>
          <w:ilvl w:val="0"/>
          <w:numId w:val="11"/>
        </w:numPr>
        <w:spacing w:line="560" w:lineRule="exact"/>
        <w:ind w:left="-2" w:firstLine="632"/>
        <w:rPr>
          <w:rFonts w:cs="仿宋_GB2312"/>
          <w:szCs w:val="32"/>
        </w:rPr>
      </w:pPr>
      <w:r>
        <w:rPr>
          <w:rFonts w:hint="eastAsia" w:cs="仿宋_GB2312"/>
          <w:szCs w:val="32"/>
        </w:rPr>
        <w:t>整洁有序的环境。按优质标准实施卫生保洁管理服务，做到党校窗明几净，环境优美。</w:t>
      </w:r>
    </w:p>
    <w:p>
      <w:pPr>
        <w:numPr>
          <w:ilvl w:val="0"/>
          <w:numId w:val="11"/>
        </w:numPr>
        <w:spacing w:line="560" w:lineRule="exact"/>
        <w:ind w:left="-2" w:firstLine="632"/>
      </w:pPr>
      <w:r>
        <w:rPr>
          <w:rFonts w:hint="eastAsia" w:cs="仿宋_GB2312"/>
          <w:szCs w:val="32"/>
        </w:rPr>
        <w:t>严格落实秩序维护制度，使党校秩序良好。</w:t>
      </w:r>
    </w:p>
    <w:p>
      <w:pPr>
        <w:spacing w:line="560" w:lineRule="exact"/>
        <w:ind w:firstLine="420" w:firstLineChars="200"/>
        <w:rPr>
          <w:rFonts w:cs="仿宋_GB2312"/>
        </w:rPr>
      </w:pPr>
      <w:r>
        <w:rPr>
          <w:rFonts w:hint="eastAsia" w:cs="仿宋_GB2312"/>
          <w:szCs w:val="32"/>
        </w:rPr>
        <w:t>4. 托管物业达到全省县级一流党校、省级文明单位服务要求（依禹州市政府和财政局为参照标准）。</w:t>
      </w:r>
    </w:p>
    <w:p>
      <w:pPr>
        <w:widowControl/>
        <w:shd w:val="clear" w:color="auto" w:fill="FFFFFF"/>
        <w:spacing w:line="560" w:lineRule="exact"/>
        <w:ind w:firstLine="211" w:firstLineChars="100"/>
        <w:rPr>
          <w:rFonts w:cs="仿宋_GB2312"/>
          <w:b/>
          <w:szCs w:val="32"/>
        </w:rPr>
      </w:pPr>
      <w:r>
        <w:rPr>
          <w:rFonts w:hint="eastAsia" w:cs="仿宋_GB2312"/>
          <w:b/>
          <w:szCs w:val="32"/>
        </w:rPr>
        <w:t>二、采购清单：</w:t>
      </w:r>
    </w:p>
    <w:p>
      <w:pPr>
        <w:pStyle w:val="2"/>
        <w:numPr>
          <w:ilvl w:val="0"/>
          <w:numId w:val="12"/>
        </w:numPr>
        <w:spacing w:line="560" w:lineRule="exact"/>
        <w:rPr>
          <w:rFonts w:cs="仿宋_GB2312"/>
          <w:szCs w:val="32"/>
        </w:rPr>
      </w:pPr>
      <w:r>
        <w:rPr>
          <w:rFonts w:hint="eastAsia" w:cs="仿宋_GB2312"/>
          <w:szCs w:val="32"/>
        </w:rPr>
        <w:t>管理服务区域范围及内容</w:t>
      </w:r>
    </w:p>
    <w:p>
      <w:pPr>
        <w:pStyle w:val="2"/>
        <w:spacing w:line="560" w:lineRule="exact"/>
        <w:rPr>
          <w:rFonts w:cs="仿宋_GB2312"/>
          <w:szCs w:val="32"/>
        </w:rPr>
      </w:pPr>
      <w:r>
        <w:rPr>
          <w:rFonts w:hint="eastAsia" w:cs="仿宋_GB2312"/>
          <w:szCs w:val="32"/>
        </w:rPr>
        <w:t>①党校室内外所有区域（除教职工办公室内），包括主楼17层（含楼顶）。共用宗地面积18181.43平方米，房屋建筑面积21068.81平方米。</w:t>
      </w:r>
    </w:p>
    <w:p>
      <w:pPr>
        <w:pStyle w:val="2"/>
        <w:spacing w:line="560" w:lineRule="exact"/>
        <w:rPr>
          <w:rFonts w:cs="仿宋_GB2312"/>
          <w:szCs w:val="32"/>
        </w:rPr>
      </w:pPr>
      <w:r>
        <w:rPr>
          <w:rFonts w:hint="eastAsia" w:cs="仿宋_GB2312"/>
          <w:szCs w:val="32"/>
        </w:rPr>
        <w:t>②固定资产：健身器材、LED显示屏、投影仪、中央空调、办公桌、椅子等所有教学、住宿约168个宾馆式房间及会务用资产。</w:t>
      </w:r>
    </w:p>
    <w:p>
      <w:pPr>
        <w:pStyle w:val="2"/>
        <w:spacing w:line="560" w:lineRule="exact"/>
        <w:rPr>
          <w:rFonts w:cs="仿宋_GB2312"/>
          <w:szCs w:val="32"/>
        </w:rPr>
      </w:pPr>
      <w:r>
        <w:rPr>
          <w:rFonts w:hint="eastAsia" w:cs="仿宋_GB2312"/>
          <w:szCs w:val="32"/>
        </w:rPr>
        <w:t>③管理服务内容：门口出入、安全、保洁、电梯5部，中央空调（1套）、水电、消防等党校的所有正常运转以及校园内绿植的浇水、修剪、打药、等养护。</w:t>
      </w:r>
    </w:p>
    <w:p>
      <w:pPr>
        <w:numPr>
          <w:ilvl w:val="0"/>
          <w:numId w:val="13"/>
        </w:numPr>
        <w:spacing w:line="560" w:lineRule="exact"/>
        <w:ind w:firstLine="420" w:firstLineChars="200"/>
        <w:rPr>
          <w:rFonts w:cs="仿宋_GB2312"/>
          <w:szCs w:val="32"/>
        </w:rPr>
      </w:pPr>
      <w:r>
        <w:rPr>
          <w:rFonts w:hint="eastAsia" w:cs="仿宋_GB2312"/>
          <w:szCs w:val="32"/>
        </w:rPr>
        <w:t>物业管理指标</w:t>
      </w:r>
    </w:p>
    <w:tbl>
      <w:tblPr>
        <w:tblStyle w:val="2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4252"/>
        <w:gridCol w:w="1701"/>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60" w:lineRule="exact"/>
              <w:rPr>
                <w:rFonts w:cs="仿宋_GB2312"/>
                <w:szCs w:val="32"/>
              </w:rPr>
            </w:pPr>
            <w:r>
              <w:rPr>
                <w:rFonts w:hint="eastAsia" w:cs="仿宋_GB2312"/>
                <w:szCs w:val="32"/>
              </w:rPr>
              <w:t>序号</w:t>
            </w:r>
          </w:p>
        </w:tc>
        <w:tc>
          <w:tcPr>
            <w:tcW w:w="4252" w:type="dxa"/>
            <w:noWrap/>
            <w:vAlign w:val="center"/>
          </w:tcPr>
          <w:p>
            <w:pPr>
              <w:spacing w:line="560" w:lineRule="exact"/>
              <w:rPr>
                <w:rFonts w:cs="仿宋_GB2312"/>
                <w:szCs w:val="32"/>
              </w:rPr>
            </w:pPr>
            <w:r>
              <w:rPr>
                <w:rFonts w:hint="eastAsia" w:cs="仿宋_GB2312"/>
                <w:szCs w:val="32"/>
              </w:rPr>
              <w:t>指标体系</w:t>
            </w:r>
          </w:p>
        </w:tc>
        <w:tc>
          <w:tcPr>
            <w:tcW w:w="1701" w:type="dxa"/>
            <w:noWrap/>
            <w:vAlign w:val="center"/>
          </w:tcPr>
          <w:p>
            <w:pPr>
              <w:spacing w:line="560" w:lineRule="exact"/>
              <w:rPr>
                <w:rFonts w:cs="仿宋_GB2312"/>
                <w:szCs w:val="32"/>
              </w:rPr>
            </w:pPr>
            <w:r>
              <w:rPr>
                <w:rFonts w:hint="eastAsia" w:cs="仿宋_GB2312"/>
                <w:szCs w:val="32"/>
              </w:rPr>
              <w:t>国家标准</w:t>
            </w:r>
          </w:p>
        </w:tc>
        <w:tc>
          <w:tcPr>
            <w:tcW w:w="1610" w:type="dxa"/>
            <w:noWrap/>
            <w:vAlign w:val="center"/>
          </w:tcPr>
          <w:p>
            <w:pPr>
              <w:spacing w:line="560" w:lineRule="exact"/>
              <w:rPr>
                <w:rFonts w:cs="仿宋_GB2312"/>
                <w:szCs w:val="32"/>
              </w:rPr>
            </w:pPr>
            <w:r>
              <w:rPr>
                <w:rFonts w:hint="eastAsia" w:cs="仿宋_GB2312"/>
                <w:szCs w:val="32"/>
              </w:rPr>
              <w:t>承诺标准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60" w:lineRule="exact"/>
              <w:rPr>
                <w:rFonts w:cs="仿宋_GB2312"/>
                <w:szCs w:val="32"/>
              </w:rPr>
            </w:pPr>
            <w:r>
              <w:rPr>
                <w:rFonts w:hint="eastAsia" w:cs="仿宋_GB2312"/>
                <w:szCs w:val="32"/>
              </w:rPr>
              <w:t>1</w:t>
            </w:r>
          </w:p>
        </w:tc>
        <w:tc>
          <w:tcPr>
            <w:tcW w:w="4252" w:type="dxa"/>
            <w:noWrap/>
            <w:vAlign w:val="center"/>
          </w:tcPr>
          <w:p>
            <w:pPr>
              <w:spacing w:line="560" w:lineRule="exact"/>
              <w:rPr>
                <w:rFonts w:cs="仿宋_GB2312"/>
                <w:szCs w:val="32"/>
              </w:rPr>
            </w:pPr>
            <w:r>
              <w:rPr>
                <w:rFonts w:hint="eastAsia" w:cs="仿宋_GB2312"/>
                <w:szCs w:val="32"/>
              </w:rPr>
              <w:t>党校治安事件年发生率</w:t>
            </w:r>
          </w:p>
        </w:tc>
        <w:tc>
          <w:tcPr>
            <w:tcW w:w="1701" w:type="dxa"/>
            <w:noWrap/>
            <w:vAlign w:val="center"/>
          </w:tcPr>
          <w:p>
            <w:pPr>
              <w:spacing w:line="560" w:lineRule="exact"/>
              <w:rPr>
                <w:rFonts w:cs="仿宋_GB2312"/>
                <w:szCs w:val="32"/>
              </w:rPr>
            </w:pPr>
            <w:r>
              <w:rPr>
                <w:rFonts w:hint="eastAsia" w:cs="仿宋_GB2312"/>
                <w:szCs w:val="32"/>
              </w:rPr>
              <w:t>0</w:t>
            </w:r>
          </w:p>
        </w:tc>
        <w:tc>
          <w:tcPr>
            <w:tcW w:w="1610" w:type="dxa"/>
            <w:noWrap/>
            <w:vAlign w:val="center"/>
          </w:tcPr>
          <w:p>
            <w:pPr>
              <w:spacing w:line="560" w:lineRule="exact"/>
              <w:rPr>
                <w:rFonts w:cs="仿宋_GB2312"/>
                <w:szCs w:val="32"/>
              </w:rPr>
            </w:pPr>
            <w:r>
              <w:rPr>
                <w:rFonts w:hint="eastAsia" w:cs="仿宋_GB2312"/>
                <w:szCs w:val="3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60" w:lineRule="exact"/>
              <w:rPr>
                <w:rFonts w:cs="仿宋_GB2312"/>
                <w:szCs w:val="32"/>
              </w:rPr>
            </w:pPr>
            <w:r>
              <w:rPr>
                <w:rFonts w:hint="eastAsia" w:cs="仿宋_GB2312"/>
                <w:szCs w:val="32"/>
              </w:rPr>
              <w:t>2</w:t>
            </w:r>
          </w:p>
        </w:tc>
        <w:tc>
          <w:tcPr>
            <w:tcW w:w="4252" w:type="dxa"/>
            <w:noWrap/>
            <w:vAlign w:val="center"/>
          </w:tcPr>
          <w:p>
            <w:pPr>
              <w:spacing w:line="560" w:lineRule="exact"/>
              <w:rPr>
                <w:rFonts w:cs="仿宋_GB2312"/>
                <w:szCs w:val="32"/>
              </w:rPr>
            </w:pPr>
            <w:r>
              <w:rPr>
                <w:rFonts w:hint="eastAsia" w:cs="仿宋_GB2312"/>
                <w:szCs w:val="32"/>
              </w:rPr>
              <w:t>清洁保洁率</w:t>
            </w:r>
          </w:p>
        </w:tc>
        <w:tc>
          <w:tcPr>
            <w:tcW w:w="1701" w:type="dxa"/>
            <w:noWrap/>
            <w:vAlign w:val="center"/>
          </w:tcPr>
          <w:p>
            <w:pPr>
              <w:spacing w:line="560" w:lineRule="exact"/>
              <w:rPr>
                <w:rFonts w:cs="仿宋_GB2312"/>
                <w:szCs w:val="32"/>
              </w:rPr>
            </w:pPr>
            <w:r>
              <w:rPr>
                <w:rFonts w:hint="eastAsia" w:cs="仿宋_GB2312"/>
                <w:szCs w:val="32"/>
              </w:rPr>
              <w:t>100%</w:t>
            </w:r>
          </w:p>
        </w:tc>
        <w:tc>
          <w:tcPr>
            <w:tcW w:w="1610" w:type="dxa"/>
            <w:noWrap/>
            <w:vAlign w:val="center"/>
          </w:tcPr>
          <w:p>
            <w:pPr>
              <w:spacing w:line="560" w:lineRule="exact"/>
              <w:rPr>
                <w:rFonts w:cs="仿宋_GB2312"/>
                <w:szCs w:val="32"/>
              </w:rPr>
            </w:pPr>
            <w:r>
              <w:rPr>
                <w:rFonts w:hint="eastAsia" w:cs="仿宋_GB2312"/>
                <w:szCs w:val="32"/>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60" w:lineRule="exact"/>
              <w:rPr>
                <w:rFonts w:cs="仿宋_GB2312"/>
                <w:szCs w:val="32"/>
              </w:rPr>
            </w:pPr>
            <w:r>
              <w:rPr>
                <w:rFonts w:hint="eastAsia" w:cs="仿宋_GB2312"/>
                <w:szCs w:val="32"/>
              </w:rPr>
              <w:t>3</w:t>
            </w:r>
          </w:p>
        </w:tc>
        <w:tc>
          <w:tcPr>
            <w:tcW w:w="4252" w:type="dxa"/>
            <w:noWrap/>
            <w:vAlign w:val="center"/>
          </w:tcPr>
          <w:p>
            <w:pPr>
              <w:spacing w:line="560" w:lineRule="exact"/>
              <w:rPr>
                <w:rFonts w:cs="仿宋_GB2312"/>
                <w:szCs w:val="32"/>
              </w:rPr>
            </w:pPr>
            <w:r>
              <w:rPr>
                <w:rFonts w:hint="eastAsia" w:cs="仿宋_GB2312"/>
                <w:szCs w:val="32"/>
              </w:rPr>
              <w:t>党校有效投诉率</w:t>
            </w:r>
          </w:p>
        </w:tc>
        <w:tc>
          <w:tcPr>
            <w:tcW w:w="1701" w:type="dxa"/>
            <w:noWrap/>
            <w:vAlign w:val="center"/>
          </w:tcPr>
          <w:p>
            <w:pPr>
              <w:spacing w:line="560" w:lineRule="exact"/>
              <w:rPr>
                <w:rFonts w:cs="仿宋_GB2312"/>
                <w:szCs w:val="32"/>
              </w:rPr>
            </w:pPr>
            <w:r>
              <w:rPr>
                <w:rFonts w:hint="eastAsia" w:cs="仿宋_GB2312"/>
                <w:szCs w:val="32"/>
              </w:rPr>
              <w:t>2‰以下</w:t>
            </w:r>
          </w:p>
        </w:tc>
        <w:tc>
          <w:tcPr>
            <w:tcW w:w="1610" w:type="dxa"/>
            <w:noWrap/>
            <w:vAlign w:val="center"/>
          </w:tcPr>
          <w:p>
            <w:pPr>
              <w:spacing w:line="560" w:lineRule="exact"/>
              <w:rPr>
                <w:rFonts w:cs="仿宋_GB2312"/>
                <w:szCs w:val="32"/>
              </w:rPr>
            </w:pPr>
            <w:r>
              <w:rPr>
                <w:rFonts w:hint="eastAsia" w:cs="仿宋_GB2312"/>
                <w:szCs w:val="32"/>
              </w:rPr>
              <w:t>1‰以下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60" w:lineRule="exact"/>
              <w:rPr>
                <w:rFonts w:cs="仿宋_GB2312"/>
                <w:szCs w:val="32"/>
              </w:rPr>
            </w:pPr>
            <w:r>
              <w:rPr>
                <w:rFonts w:hint="eastAsia" w:cs="仿宋_GB2312"/>
                <w:szCs w:val="32"/>
              </w:rPr>
              <w:t>4</w:t>
            </w:r>
          </w:p>
        </w:tc>
        <w:tc>
          <w:tcPr>
            <w:tcW w:w="4252" w:type="dxa"/>
            <w:noWrap/>
            <w:vAlign w:val="center"/>
          </w:tcPr>
          <w:p>
            <w:pPr>
              <w:spacing w:line="560" w:lineRule="exact"/>
              <w:rPr>
                <w:rFonts w:cs="仿宋_GB2312"/>
                <w:szCs w:val="32"/>
              </w:rPr>
            </w:pPr>
            <w:r>
              <w:rPr>
                <w:rFonts w:hint="eastAsia" w:cs="仿宋_GB2312"/>
                <w:szCs w:val="32"/>
              </w:rPr>
              <w:t>党校综合满意服务率</w:t>
            </w:r>
          </w:p>
        </w:tc>
        <w:tc>
          <w:tcPr>
            <w:tcW w:w="1701" w:type="dxa"/>
            <w:noWrap/>
            <w:vAlign w:val="center"/>
          </w:tcPr>
          <w:p>
            <w:pPr>
              <w:spacing w:line="560" w:lineRule="exact"/>
              <w:rPr>
                <w:rFonts w:cs="仿宋_GB2312"/>
                <w:szCs w:val="32"/>
              </w:rPr>
            </w:pPr>
            <w:r>
              <w:rPr>
                <w:rFonts w:hint="eastAsia" w:cs="仿宋_GB2312"/>
                <w:szCs w:val="32"/>
              </w:rPr>
              <w:t>90%</w:t>
            </w:r>
          </w:p>
        </w:tc>
        <w:tc>
          <w:tcPr>
            <w:tcW w:w="1610" w:type="dxa"/>
            <w:noWrap/>
            <w:vAlign w:val="center"/>
          </w:tcPr>
          <w:p>
            <w:pPr>
              <w:spacing w:line="560" w:lineRule="exact"/>
              <w:rPr>
                <w:rFonts w:cs="仿宋_GB2312"/>
                <w:szCs w:val="32"/>
              </w:rPr>
            </w:pPr>
            <w:r>
              <w:rPr>
                <w:rFonts w:hint="eastAsia" w:cs="仿宋_GB2312"/>
                <w:szCs w:val="32"/>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60" w:lineRule="exact"/>
              <w:rPr>
                <w:rFonts w:cs="仿宋_GB2312"/>
                <w:szCs w:val="32"/>
              </w:rPr>
            </w:pPr>
            <w:r>
              <w:rPr>
                <w:rFonts w:hint="eastAsia" w:cs="仿宋_GB2312"/>
                <w:szCs w:val="32"/>
              </w:rPr>
              <w:t>5</w:t>
            </w:r>
          </w:p>
        </w:tc>
        <w:tc>
          <w:tcPr>
            <w:tcW w:w="4252" w:type="dxa"/>
            <w:noWrap/>
            <w:vAlign w:val="center"/>
          </w:tcPr>
          <w:p>
            <w:pPr>
              <w:spacing w:line="560" w:lineRule="exact"/>
              <w:rPr>
                <w:rFonts w:cs="仿宋_GB2312"/>
                <w:szCs w:val="32"/>
              </w:rPr>
            </w:pPr>
            <w:r>
              <w:rPr>
                <w:rFonts w:hint="eastAsia" w:cs="仿宋_GB2312"/>
                <w:szCs w:val="32"/>
              </w:rPr>
              <w:t>管理人员专业培训合格率</w:t>
            </w:r>
          </w:p>
        </w:tc>
        <w:tc>
          <w:tcPr>
            <w:tcW w:w="1701" w:type="dxa"/>
            <w:noWrap/>
            <w:vAlign w:val="center"/>
          </w:tcPr>
          <w:p>
            <w:pPr>
              <w:spacing w:line="560" w:lineRule="exact"/>
              <w:rPr>
                <w:rFonts w:cs="仿宋_GB2312"/>
                <w:szCs w:val="32"/>
              </w:rPr>
            </w:pPr>
            <w:r>
              <w:rPr>
                <w:rFonts w:hint="eastAsia" w:cs="仿宋_GB2312"/>
                <w:szCs w:val="32"/>
              </w:rPr>
              <w:t>100%</w:t>
            </w:r>
          </w:p>
        </w:tc>
        <w:tc>
          <w:tcPr>
            <w:tcW w:w="1610" w:type="dxa"/>
            <w:noWrap/>
            <w:vAlign w:val="center"/>
          </w:tcPr>
          <w:p>
            <w:pPr>
              <w:spacing w:line="560" w:lineRule="exact"/>
              <w:rPr>
                <w:rFonts w:cs="仿宋_GB2312"/>
                <w:szCs w:val="32"/>
              </w:rPr>
            </w:pPr>
            <w:r>
              <w:rPr>
                <w:rFonts w:hint="eastAsia" w:cs="仿宋_GB2312"/>
                <w:szCs w:val="3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60" w:lineRule="exact"/>
              <w:rPr>
                <w:rFonts w:cs="仿宋_GB2312"/>
                <w:szCs w:val="32"/>
              </w:rPr>
            </w:pPr>
            <w:r>
              <w:rPr>
                <w:rFonts w:hint="eastAsia" w:cs="仿宋_GB2312"/>
                <w:szCs w:val="32"/>
              </w:rPr>
              <w:t>6</w:t>
            </w:r>
          </w:p>
        </w:tc>
        <w:tc>
          <w:tcPr>
            <w:tcW w:w="4252" w:type="dxa"/>
            <w:noWrap/>
            <w:vAlign w:val="center"/>
          </w:tcPr>
          <w:p>
            <w:pPr>
              <w:spacing w:line="560" w:lineRule="exact"/>
              <w:rPr>
                <w:rFonts w:cs="仿宋_GB2312"/>
                <w:szCs w:val="32"/>
              </w:rPr>
            </w:pPr>
            <w:r>
              <w:rPr>
                <w:rFonts w:hint="eastAsia" w:cs="仿宋_GB2312"/>
                <w:szCs w:val="32"/>
              </w:rPr>
              <w:t>消防设施完好率</w:t>
            </w:r>
          </w:p>
        </w:tc>
        <w:tc>
          <w:tcPr>
            <w:tcW w:w="1701" w:type="dxa"/>
            <w:noWrap/>
            <w:vAlign w:val="center"/>
          </w:tcPr>
          <w:p>
            <w:pPr>
              <w:spacing w:line="560" w:lineRule="exact"/>
              <w:rPr>
                <w:rFonts w:cs="仿宋_GB2312"/>
                <w:szCs w:val="32"/>
              </w:rPr>
            </w:pPr>
            <w:r>
              <w:rPr>
                <w:rFonts w:hint="eastAsia" w:cs="仿宋_GB2312"/>
                <w:szCs w:val="32"/>
              </w:rPr>
              <w:t>100%</w:t>
            </w:r>
          </w:p>
        </w:tc>
        <w:tc>
          <w:tcPr>
            <w:tcW w:w="1610" w:type="dxa"/>
            <w:noWrap/>
            <w:vAlign w:val="center"/>
          </w:tcPr>
          <w:p>
            <w:pPr>
              <w:spacing w:line="560" w:lineRule="exact"/>
              <w:rPr>
                <w:rFonts w:cs="仿宋_GB2312"/>
                <w:szCs w:val="32"/>
              </w:rPr>
            </w:pPr>
            <w:r>
              <w:rPr>
                <w:rFonts w:hint="eastAsia" w:cs="仿宋_GB2312"/>
                <w:szCs w:val="3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560" w:lineRule="exact"/>
              <w:rPr>
                <w:rFonts w:cs="仿宋_GB2312"/>
                <w:szCs w:val="32"/>
              </w:rPr>
            </w:pPr>
            <w:r>
              <w:rPr>
                <w:rFonts w:hint="eastAsia" w:cs="仿宋_GB2312"/>
                <w:szCs w:val="32"/>
              </w:rPr>
              <w:t>7</w:t>
            </w:r>
          </w:p>
        </w:tc>
        <w:tc>
          <w:tcPr>
            <w:tcW w:w="4252" w:type="dxa"/>
            <w:noWrap/>
            <w:vAlign w:val="center"/>
          </w:tcPr>
          <w:p>
            <w:pPr>
              <w:spacing w:line="560" w:lineRule="exact"/>
              <w:rPr>
                <w:rFonts w:cs="仿宋_GB2312"/>
                <w:szCs w:val="32"/>
              </w:rPr>
            </w:pPr>
            <w:r>
              <w:rPr>
                <w:rFonts w:hint="eastAsia" w:cs="仿宋_GB2312"/>
                <w:szCs w:val="32"/>
              </w:rPr>
              <w:t>机电设备完好率</w:t>
            </w:r>
          </w:p>
        </w:tc>
        <w:tc>
          <w:tcPr>
            <w:tcW w:w="1701" w:type="dxa"/>
            <w:noWrap/>
            <w:vAlign w:val="center"/>
          </w:tcPr>
          <w:p>
            <w:pPr>
              <w:spacing w:line="560" w:lineRule="exact"/>
              <w:rPr>
                <w:rFonts w:cs="仿宋_GB2312"/>
                <w:szCs w:val="32"/>
              </w:rPr>
            </w:pPr>
            <w:r>
              <w:rPr>
                <w:rFonts w:hint="eastAsia" w:cs="仿宋_GB2312"/>
                <w:szCs w:val="32"/>
              </w:rPr>
              <w:t>100%</w:t>
            </w:r>
          </w:p>
        </w:tc>
        <w:tc>
          <w:tcPr>
            <w:tcW w:w="1610" w:type="dxa"/>
            <w:noWrap/>
            <w:vAlign w:val="center"/>
          </w:tcPr>
          <w:p>
            <w:pPr>
              <w:spacing w:line="560" w:lineRule="exact"/>
              <w:rPr>
                <w:rFonts w:cs="仿宋_GB2312"/>
                <w:szCs w:val="32"/>
              </w:rPr>
            </w:pPr>
            <w:r>
              <w:rPr>
                <w:rFonts w:hint="eastAsia" w:cs="仿宋_GB2312"/>
                <w:szCs w:val="32"/>
              </w:rPr>
              <w:t>100%</w:t>
            </w:r>
          </w:p>
        </w:tc>
      </w:tr>
    </w:tbl>
    <w:p>
      <w:pPr>
        <w:spacing w:line="560" w:lineRule="exact"/>
        <w:rPr>
          <w:rFonts w:cs="仿宋_GB2312"/>
          <w:szCs w:val="32"/>
        </w:rPr>
      </w:pPr>
      <w:r>
        <w:rPr>
          <w:rFonts w:hint="eastAsia" w:cs="仿宋_GB2312"/>
          <w:szCs w:val="32"/>
        </w:rPr>
        <w:t>具体项目指标：</w:t>
      </w:r>
    </w:p>
    <w:tbl>
      <w:tblPr>
        <w:tblStyle w:val="28"/>
        <w:tblW w:w="8443" w:type="dxa"/>
        <w:tblInd w:w="0" w:type="dxa"/>
        <w:tblLayout w:type="fixed"/>
        <w:tblCellMar>
          <w:top w:w="15" w:type="dxa"/>
          <w:left w:w="15" w:type="dxa"/>
          <w:bottom w:w="15" w:type="dxa"/>
          <w:right w:w="15" w:type="dxa"/>
        </w:tblCellMar>
      </w:tblPr>
      <w:tblGrid>
        <w:gridCol w:w="1543"/>
        <w:gridCol w:w="6900"/>
      </w:tblGrid>
      <w:tr>
        <w:tblPrEx>
          <w:tblCellMar>
            <w:top w:w="15" w:type="dxa"/>
            <w:left w:w="15" w:type="dxa"/>
            <w:bottom w:w="15" w:type="dxa"/>
            <w:right w:w="15" w:type="dxa"/>
          </w:tblCellMar>
        </w:tblPrEx>
        <w:trPr>
          <w:trHeight w:val="735" w:hRule="atLeast"/>
        </w:trPr>
        <w:tc>
          <w:tcPr>
            <w:tcW w:w="8443" w:type="dxa"/>
            <w:gridSpan w:val="2"/>
            <w:tcBorders>
              <w:top w:val="nil"/>
              <w:left w:val="nil"/>
              <w:bottom w:val="nil"/>
              <w:right w:val="nil"/>
            </w:tcBorders>
            <w:noWrap/>
            <w:vAlign w:val="center"/>
          </w:tcPr>
          <w:p>
            <w:pPr>
              <w:widowControl/>
              <w:spacing w:line="560" w:lineRule="exact"/>
              <w:ind w:firstLine="210" w:firstLineChars="100"/>
              <w:textAlignment w:val="center"/>
              <w:rPr>
                <w:rFonts w:cs="仿宋_GB2312"/>
                <w:szCs w:val="32"/>
              </w:rPr>
            </w:pPr>
            <w:r>
              <w:rPr>
                <w:rFonts w:hint="eastAsia" w:cs="仿宋_GB2312"/>
                <w:szCs w:val="32"/>
              </w:rPr>
              <w:t>主要指标</w:t>
            </w:r>
          </w:p>
        </w:tc>
      </w:tr>
      <w:tr>
        <w:tblPrEx>
          <w:tblCellMar>
            <w:top w:w="15" w:type="dxa"/>
            <w:left w:w="15" w:type="dxa"/>
            <w:bottom w:w="15" w:type="dxa"/>
            <w:right w:w="15" w:type="dxa"/>
          </w:tblCellMar>
        </w:tblPrEx>
        <w:trPr>
          <w:trHeight w:val="463" w:hRule="atLeast"/>
        </w:trPr>
        <w:tc>
          <w:tcPr>
            <w:tcW w:w="154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textAlignment w:val="center"/>
              <w:rPr>
                <w:rFonts w:cs="仿宋_GB2312"/>
                <w:szCs w:val="32"/>
              </w:rPr>
            </w:pPr>
            <w:r>
              <w:rPr>
                <w:rFonts w:hint="eastAsia" w:cs="仿宋_GB2312"/>
                <w:szCs w:val="32"/>
              </w:rPr>
              <w:t>安全管理</w:t>
            </w:r>
          </w:p>
        </w:tc>
        <w:tc>
          <w:tcPr>
            <w:tcW w:w="6900"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textAlignment w:val="center"/>
              <w:rPr>
                <w:rFonts w:cs="仿宋_GB2312"/>
                <w:szCs w:val="32"/>
              </w:rPr>
            </w:pPr>
            <w:r>
              <w:rPr>
                <w:rFonts w:hint="eastAsia" w:cs="仿宋_GB2312"/>
                <w:szCs w:val="32"/>
              </w:rPr>
              <w:t>保证党校人员及周边人身财产安全</w:t>
            </w:r>
          </w:p>
        </w:tc>
      </w:tr>
      <w:tr>
        <w:tblPrEx>
          <w:tblCellMar>
            <w:top w:w="15" w:type="dxa"/>
            <w:left w:w="15" w:type="dxa"/>
            <w:bottom w:w="15" w:type="dxa"/>
            <w:right w:w="15" w:type="dxa"/>
          </w:tblCellMar>
        </w:tblPrEx>
        <w:trPr>
          <w:trHeight w:val="452" w:hRule="atLeast"/>
        </w:trPr>
        <w:tc>
          <w:tcPr>
            <w:tcW w:w="154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560" w:lineRule="exact"/>
              <w:rPr>
                <w:rFonts w:cs="仿宋_GB2312"/>
                <w:szCs w:val="32"/>
              </w:rPr>
            </w:pPr>
          </w:p>
        </w:tc>
        <w:tc>
          <w:tcPr>
            <w:tcW w:w="6900"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textAlignment w:val="center"/>
              <w:rPr>
                <w:rFonts w:cs="仿宋_GB2312"/>
                <w:szCs w:val="32"/>
              </w:rPr>
            </w:pPr>
            <w:r>
              <w:rPr>
                <w:rFonts w:hint="eastAsia" w:cs="仿宋_GB2312"/>
                <w:szCs w:val="32"/>
              </w:rPr>
              <w:t>保证党校及周边公共安全（消防安全及水电使用安全等）</w:t>
            </w:r>
          </w:p>
        </w:tc>
      </w:tr>
      <w:tr>
        <w:tblPrEx>
          <w:tblCellMar>
            <w:top w:w="15" w:type="dxa"/>
            <w:left w:w="15" w:type="dxa"/>
            <w:bottom w:w="15" w:type="dxa"/>
            <w:right w:w="15" w:type="dxa"/>
          </w:tblCellMar>
        </w:tblPrEx>
        <w:trPr>
          <w:trHeight w:val="2423" w:hRule="atLeast"/>
        </w:trPr>
        <w:tc>
          <w:tcPr>
            <w:tcW w:w="154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textAlignment w:val="center"/>
              <w:rPr>
                <w:rFonts w:cs="仿宋_GB2312"/>
                <w:szCs w:val="32"/>
              </w:rPr>
            </w:pPr>
            <w:r>
              <w:rPr>
                <w:rFonts w:hint="eastAsia" w:cs="仿宋_GB2312"/>
                <w:szCs w:val="32"/>
              </w:rPr>
              <w:t>环境卫生管理</w:t>
            </w:r>
          </w:p>
        </w:tc>
        <w:tc>
          <w:tcPr>
            <w:tcW w:w="6900"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textAlignment w:val="center"/>
              <w:rPr>
                <w:rFonts w:cs="仿宋_GB2312"/>
                <w:szCs w:val="32"/>
              </w:rPr>
            </w:pPr>
            <w:r>
              <w:rPr>
                <w:rFonts w:hint="eastAsia" w:cs="仿宋_GB2312"/>
                <w:szCs w:val="32"/>
              </w:rPr>
              <w:t>党校综合楼及周边保持整洁卫生，做到“三无”即无异味、无污垢、无灰尘；“四不”即不见积水、积土、不漏收垃圾、不乱倒垃圾；“五净”即路面净、路沿净、人行道净、雨水口净、果皮箱净。</w:t>
            </w:r>
          </w:p>
        </w:tc>
      </w:tr>
      <w:tr>
        <w:tblPrEx>
          <w:tblCellMar>
            <w:top w:w="15" w:type="dxa"/>
            <w:left w:w="15" w:type="dxa"/>
            <w:bottom w:w="15" w:type="dxa"/>
            <w:right w:w="15" w:type="dxa"/>
          </w:tblCellMar>
        </w:tblPrEx>
        <w:trPr>
          <w:trHeight w:val="483" w:hRule="atLeast"/>
        </w:trPr>
        <w:tc>
          <w:tcPr>
            <w:tcW w:w="154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560" w:lineRule="exact"/>
              <w:rPr>
                <w:rFonts w:cs="仿宋_GB2312"/>
                <w:szCs w:val="32"/>
              </w:rPr>
            </w:pPr>
          </w:p>
        </w:tc>
        <w:tc>
          <w:tcPr>
            <w:tcW w:w="6900"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textAlignment w:val="center"/>
              <w:rPr>
                <w:rFonts w:cs="仿宋_GB2312"/>
                <w:szCs w:val="32"/>
              </w:rPr>
            </w:pPr>
            <w:r>
              <w:rPr>
                <w:rFonts w:hint="eastAsia" w:cs="仿宋_GB2312"/>
                <w:szCs w:val="32"/>
              </w:rPr>
              <w:t>党校内保持卫生和美化。</w:t>
            </w:r>
          </w:p>
        </w:tc>
      </w:tr>
      <w:tr>
        <w:tblPrEx>
          <w:tblCellMar>
            <w:top w:w="15" w:type="dxa"/>
            <w:left w:w="15" w:type="dxa"/>
            <w:bottom w:w="15" w:type="dxa"/>
            <w:right w:w="15" w:type="dxa"/>
          </w:tblCellMar>
        </w:tblPrEx>
        <w:trPr>
          <w:trHeight w:val="468" w:hRule="atLeast"/>
        </w:trPr>
        <w:tc>
          <w:tcPr>
            <w:tcW w:w="154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560" w:lineRule="exact"/>
              <w:rPr>
                <w:rFonts w:cs="仿宋_GB2312"/>
                <w:szCs w:val="32"/>
              </w:rPr>
            </w:pPr>
          </w:p>
        </w:tc>
        <w:tc>
          <w:tcPr>
            <w:tcW w:w="6900"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textAlignment w:val="center"/>
              <w:rPr>
                <w:rFonts w:cs="仿宋_GB2312"/>
                <w:szCs w:val="32"/>
              </w:rPr>
            </w:pPr>
            <w:r>
              <w:rPr>
                <w:rFonts w:hint="eastAsia" w:cs="仿宋_GB2312"/>
                <w:szCs w:val="32"/>
              </w:rPr>
              <w:t>做好传染性疾病防护预防与应急处理。</w:t>
            </w:r>
          </w:p>
        </w:tc>
      </w:tr>
      <w:tr>
        <w:tblPrEx>
          <w:tblCellMar>
            <w:top w:w="15" w:type="dxa"/>
            <w:left w:w="15" w:type="dxa"/>
            <w:bottom w:w="15" w:type="dxa"/>
            <w:right w:w="15" w:type="dxa"/>
          </w:tblCellMar>
        </w:tblPrEx>
        <w:trPr>
          <w:trHeight w:val="452"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textAlignment w:val="center"/>
              <w:rPr>
                <w:rFonts w:cs="仿宋_GB2312"/>
                <w:szCs w:val="32"/>
              </w:rPr>
            </w:pPr>
            <w:r>
              <w:rPr>
                <w:rFonts w:hint="eastAsia" w:cs="仿宋_GB2312"/>
                <w:szCs w:val="32"/>
              </w:rPr>
              <w:t>消防管理</w:t>
            </w:r>
          </w:p>
        </w:tc>
        <w:tc>
          <w:tcPr>
            <w:tcW w:w="6900"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textAlignment w:val="center"/>
              <w:rPr>
                <w:rFonts w:cs="仿宋_GB2312"/>
                <w:szCs w:val="32"/>
              </w:rPr>
            </w:pPr>
            <w:r>
              <w:rPr>
                <w:rFonts w:hint="eastAsia" w:cs="仿宋_GB2312"/>
                <w:szCs w:val="32"/>
              </w:rPr>
              <w:t>按照消防有关规范，结合党校实际情况，满足高层消防需求。</w:t>
            </w:r>
          </w:p>
        </w:tc>
      </w:tr>
      <w:tr>
        <w:tblPrEx>
          <w:tblCellMar>
            <w:top w:w="15" w:type="dxa"/>
            <w:left w:w="15" w:type="dxa"/>
            <w:bottom w:w="15" w:type="dxa"/>
            <w:right w:w="15" w:type="dxa"/>
          </w:tblCellMar>
        </w:tblPrEx>
        <w:trPr>
          <w:trHeight w:val="452"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textAlignment w:val="center"/>
              <w:rPr>
                <w:rFonts w:cs="仿宋_GB2312"/>
                <w:szCs w:val="32"/>
              </w:rPr>
            </w:pPr>
            <w:r>
              <w:rPr>
                <w:rFonts w:hint="eastAsia" w:cs="仿宋_GB2312"/>
                <w:szCs w:val="32"/>
              </w:rPr>
              <w:t>空调管理</w:t>
            </w:r>
          </w:p>
        </w:tc>
        <w:tc>
          <w:tcPr>
            <w:tcW w:w="6900"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textAlignment w:val="center"/>
              <w:rPr>
                <w:rFonts w:cs="仿宋_GB2312"/>
                <w:szCs w:val="32"/>
              </w:rPr>
            </w:pPr>
            <w:r>
              <w:rPr>
                <w:rFonts w:hint="eastAsia" w:cs="仿宋_GB2312"/>
                <w:szCs w:val="32"/>
              </w:rPr>
              <w:t>满足党校空调维保需求（地源热泵中央空调系统和其他室内空调）。</w:t>
            </w:r>
          </w:p>
        </w:tc>
      </w:tr>
      <w:tr>
        <w:tblPrEx>
          <w:tblCellMar>
            <w:top w:w="15" w:type="dxa"/>
            <w:left w:w="15" w:type="dxa"/>
            <w:bottom w:w="15" w:type="dxa"/>
            <w:right w:w="15" w:type="dxa"/>
          </w:tblCellMar>
        </w:tblPrEx>
        <w:trPr>
          <w:trHeight w:val="452"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textAlignment w:val="center"/>
              <w:rPr>
                <w:rFonts w:cs="仿宋_GB2312"/>
                <w:szCs w:val="32"/>
              </w:rPr>
            </w:pPr>
            <w:r>
              <w:rPr>
                <w:rFonts w:hint="eastAsia" w:cs="仿宋_GB2312"/>
                <w:szCs w:val="32"/>
              </w:rPr>
              <w:t>电梯管理</w:t>
            </w:r>
          </w:p>
        </w:tc>
        <w:tc>
          <w:tcPr>
            <w:tcW w:w="6900"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textAlignment w:val="center"/>
              <w:rPr>
                <w:rFonts w:cs="仿宋_GB2312"/>
                <w:szCs w:val="32"/>
              </w:rPr>
            </w:pPr>
            <w:r>
              <w:rPr>
                <w:rFonts w:hint="eastAsia" w:cs="仿宋_GB2312"/>
                <w:szCs w:val="32"/>
              </w:rPr>
              <w:t>专业人员按规定进行维保。</w:t>
            </w:r>
          </w:p>
        </w:tc>
      </w:tr>
      <w:tr>
        <w:tblPrEx>
          <w:tblCellMar>
            <w:top w:w="15" w:type="dxa"/>
            <w:left w:w="15" w:type="dxa"/>
            <w:bottom w:w="15" w:type="dxa"/>
            <w:right w:w="15" w:type="dxa"/>
          </w:tblCellMar>
        </w:tblPrEx>
        <w:trPr>
          <w:trHeight w:val="452"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textAlignment w:val="center"/>
              <w:rPr>
                <w:rFonts w:cs="仿宋_GB2312"/>
                <w:szCs w:val="32"/>
              </w:rPr>
            </w:pPr>
            <w:r>
              <w:rPr>
                <w:rFonts w:hint="eastAsia" w:cs="仿宋_GB2312"/>
                <w:szCs w:val="32"/>
              </w:rPr>
              <w:t>突发事件处理</w:t>
            </w:r>
          </w:p>
        </w:tc>
        <w:tc>
          <w:tcPr>
            <w:tcW w:w="6900"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textAlignment w:val="center"/>
              <w:rPr>
                <w:rFonts w:cs="仿宋_GB2312"/>
                <w:szCs w:val="32"/>
              </w:rPr>
            </w:pPr>
            <w:r>
              <w:rPr>
                <w:rFonts w:hint="eastAsia" w:cs="仿宋_GB2312"/>
                <w:szCs w:val="32"/>
              </w:rPr>
              <w:t>做好对突发事件的处理工作。</w:t>
            </w:r>
          </w:p>
        </w:tc>
      </w:tr>
    </w:tbl>
    <w:p>
      <w:pPr>
        <w:widowControl/>
        <w:spacing w:line="560" w:lineRule="exact"/>
        <w:ind w:firstLine="420" w:firstLineChars="200"/>
        <w:rPr>
          <w:rFonts w:cs="仿宋_GB2312"/>
          <w:szCs w:val="32"/>
        </w:rPr>
      </w:pPr>
      <w:r>
        <w:rPr>
          <w:rFonts w:hint="eastAsia" w:cs="仿宋_GB2312"/>
          <w:szCs w:val="32"/>
        </w:rPr>
        <w:t>党校的日常服务项目及措施</w:t>
      </w:r>
    </w:p>
    <w:p>
      <w:pPr>
        <w:spacing w:line="560" w:lineRule="exact"/>
        <w:ind w:firstLine="422" w:firstLineChars="200"/>
        <w:rPr>
          <w:rFonts w:cs="仿宋_GB2312"/>
          <w:b/>
          <w:szCs w:val="32"/>
        </w:rPr>
      </w:pPr>
      <w:r>
        <w:rPr>
          <w:rFonts w:hint="eastAsia" w:cs="仿宋_GB2312"/>
          <w:b/>
          <w:szCs w:val="32"/>
        </w:rPr>
        <w:t>（一）、治安安全及消防安全</w:t>
      </w:r>
    </w:p>
    <w:p>
      <w:pPr>
        <w:spacing w:line="560" w:lineRule="exact"/>
        <w:ind w:firstLine="420" w:firstLineChars="200"/>
        <w:rPr>
          <w:rFonts w:cs="仿宋_GB2312"/>
          <w:szCs w:val="32"/>
        </w:rPr>
      </w:pPr>
      <w:r>
        <w:rPr>
          <w:rFonts w:hint="eastAsia" w:cs="仿宋_GB2312"/>
          <w:szCs w:val="32"/>
        </w:rPr>
        <w:t>为确保工作人员人身安全和财产安全，制定以下党校安全管理办法。</w:t>
      </w:r>
    </w:p>
    <w:p>
      <w:pPr>
        <w:numPr>
          <w:ilvl w:val="0"/>
          <w:numId w:val="14"/>
        </w:numPr>
        <w:spacing w:line="560" w:lineRule="exact"/>
        <w:ind w:firstLine="420" w:firstLineChars="200"/>
        <w:rPr>
          <w:rFonts w:cs="仿宋_GB2312"/>
          <w:szCs w:val="32"/>
        </w:rPr>
      </w:pPr>
      <w:r>
        <w:rPr>
          <w:rFonts w:hint="eastAsia" w:cs="仿宋_GB2312"/>
          <w:szCs w:val="32"/>
        </w:rPr>
        <w:t>在党校出入口实行24小时值班制度，值班人员对出入口及重要部位实施完全监控。</w:t>
      </w:r>
    </w:p>
    <w:p>
      <w:pPr>
        <w:spacing w:line="560" w:lineRule="exact"/>
        <w:ind w:firstLine="420" w:firstLineChars="200"/>
        <w:rPr>
          <w:rFonts w:cs="仿宋_GB2312"/>
          <w:szCs w:val="32"/>
        </w:rPr>
      </w:pPr>
      <w:r>
        <w:rPr>
          <w:rFonts w:hint="eastAsia" w:cs="仿宋_GB2312"/>
          <w:szCs w:val="32"/>
        </w:rPr>
        <w:t>2.消防管理。树立“隐患险于明火，防范胜于救灾，责任重于泰山”的意识，加强巡逻，加强监督，做好消防设施的日常巡视，保证设备随时能用。消防工作贯彻“预防为主、防消结合”的方针。在平时的党校管理过程中，积极开展防火宣传，普及消防知识；对员工每半年进行消防知识的培训，落实有关消防措施；制定详尽的《党校突发火警火灾反应预案》以及《刑事突发事件反应预案》，在预案中要求管理站全体员工增强对火警、火灾、刑事突发事件的反应能力，遇突发事件时应迅速向基建科报告并立即通知全体当班人员，做到遇突发事件不慌不忙，有步骤、有秩序地实施各项紧急措施，确保工作人员及周边人员的人身安全。</w:t>
      </w:r>
    </w:p>
    <w:p>
      <w:pPr>
        <w:spacing w:line="560" w:lineRule="exact"/>
        <w:ind w:firstLine="420" w:firstLineChars="200"/>
        <w:rPr>
          <w:rFonts w:cs="仿宋_GB2312"/>
          <w:szCs w:val="32"/>
        </w:rPr>
      </w:pPr>
      <w:r>
        <w:rPr>
          <w:rFonts w:hint="eastAsia" w:cs="仿宋_GB2312"/>
          <w:szCs w:val="32"/>
        </w:rPr>
        <w:t>3. 做好防火、防盗、防电、防灾等安全排查巡查记录，发现问题及时处理并把结果及时上报基建科。</w:t>
      </w:r>
    </w:p>
    <w:p>
      <w:pPr>
        <w:spacing w:line="560" w:lineRule="exact"/>
        <w:ind w:firstLine="420" w:firstLineChars="200"/>
        <w:rPr>
          <w:rFonts w:cs="仿宋_GB2312"/>
          <w:szCs w:val="32"/>
        </w:rPr>
      </w:pPr>
      <w:r>
        <w:rPr>
          <w:rFonts w:hint="eastAsia" w:cs="仿宋_GB2312"/>
          <w:szCs w:val="32"/>
        </w:rPr>
        <w:t>4. 管理好学校内一切公物，对于损耗、损坏的公物及设施,及时报修。</w:t>
      </w:r>
    </w:p>
    <w:p>
      <w:pPr>
        <w:spacing w:line="560" w:lineRule="exact"/>
        <w:ind w:firstLine="420" w:firstLineChars="200"/>
        <w:rPr>
          <w:rFonts w:cs="仿宋_GB2312"/>
          <w:szCs w:val="32"/>
        </w:rPr>
      </w:pPr>
      <w:r>
        <w:rPr>
          <w:rFonts w:hint="eastAsia" w:cs="仿宋_GB2312"/>
          <w:szCs w:val="32"/>
        </w:rPr>
        <w:t>5. 按时开关党校的大门、送电、关灯，加强节水、节电意识。</w:t>
      </w:r>
    </w:p>
    <w:p>
      <w:pPr>
        <w:spacing w:line="560" w:lineRule="exact"/>
        <w:ind w:firstLine="420" w:firstLineChars="200"/>
        <w:rPr>
          <w:rFonts w:cs="仿宋_GB2312"/>
          <w:szCs w:val="32"/>
        </w:rPr>
      </w:pPr>
      <w:r>
        <w:rPr>
          <w:rFonts w:hint="eastAsia" w:cs="仿宋_GB2312"/>
          <w:szCs w:val="32"/>
        </w:rPr>
        <w:t>6. 认真询问和检查进出人员，做好进出登记，禁止携带危险品进入党校。</w:t>
      </w:r>
    </w:p>
    <w:p>
      <w:pPr>
        <w:spacing w:line="560" w:lineRule="exact"/>
        <w:ind w:firstLine="420" w:firstLineChars="200"/>
        <w:rPr>
          <w:rFonts w:cs="仿宋_GB2312"/>
          <w:szCs w:val="32"/>
        </w:rPr>
      </w:pPr>
      <w:r>
        <w:rPr>
          <w:rFonts w:hint="eastAsia" w:cs="仿宋_GB2312"/>
          <w:szCs w:val="32"/>
        </w:rPr>
        <w:t>7. 做到脚勤、手勤、嘴勤，定时巡查、做好记录。发现情况及时处理并上报基建科。</w:t>
      </w:r>
    </w:p>
    <w:p>
      <w:pPr>
        <w:spacing w:line="560" w:lineRule="exact"/>
        <w:ind w:firstLine="420" w:firstLineChars="200"/>
        <w:rPr>
          <w:rFonts w:cs="仿宋_GB2312"/>
          <w:szCs w:val="32"/>
        </w:rPr>
      </w:pPr>
      <w:r>
        <w:rPr>
          <w:rFonts w:hint="eastAsia" w:cs="仿宋_GB2312"/>
          <w:szCs w:val="32"/>
        </w:rPr>
        <w:t>8. 严禁物业人员赌博、喝酒、打架、斗殴等所有不良行为。</w:t>
      </w:r>
    </w:p>
    <w:p>
      <w:pPr>
        <w:spacing w:line="560" w:lineRule="exact"/>
        <w:ind w:firstLine="420" w:firstLineChars="200"/>
        <w:rPr>
          <w:rFonts w:cs="仿宋_GB2312"/>
          <w:szCs w:val="32"/>
        </w:rPr>
      </w:pPr>
      <w:r>
        <w:rPr>
          <w:rFonts w:hint="eastAsia" w:cs="仿宋_GB2312"/>
          <w:szCs w:val="32"/>
        </w:rPr>
        <w:t>9. 因物业人员个人原因或违规违纪造成不良影响、人身、财产事故等，由所托管物业公司承担一切责任。</w:t>
      </w:r>
    </w:p>
    <w:p>
      <w:pPr>
        <w:spacing w:line="560" w:lineRule="exact"/>
        <w:ind w:firstLine="420" w:firstLineChars="200"/>
        <w:rPr>
          <w:rFonts w:cs="仿宋_GB2312"/>
          <w:szCs w:val="32"/>
        </w:rPr>
      </w:pPr>
      <w:r>
        <w:rPr>
          <w:rFonts w:hint="eastAsia" w:cs="仿宋_GB2312"/>
          <w:szCs w:val="32"/>
        </w:rPr>
        <w:t>10. 服从党校安排，完成党校交办的临时性工作。</w:t>
      </w:r>
    </w:p>
    <w:p>
      <w:pPr>
        <w:pStyle w:val="2"/>
        <w:spacing w:line="560" w:lineRule="exact"/>
        <w:rPr>
          <w:rFonts w:cs="仿宋_GB2312"/>
          <w:szCs w:val="32"/>
        </w:rPr>
      </w:pPr>
      <w:r>
        <w:rPr>
          <w:rFonts w:hint="eastAsia" w:cs="仿宋_GB2312"/>
          <w:szCs w:val="32"/>
        </w:rPr>
        <w:t>11. 必须无条件接受校党委、基建科、各科室的监督。</w:t>
      </w:r>
    </w:p>
    <w:p>
      <w:pPr>
        <w:pStyle w:val="3"/>
        <w:spacing w:line="560" w:lineRule="exact"/>
        <w:ind w:left="0" w:firstLine="420" w:firstLineChars="200"/>
        <w:rPr>
          <w:rFonts w:cs="仿宋_GB2312" w:asciiTheme="minorHAnsi" w:hAnsiTheme="minorHAnsi" w:eastAsiaTheme="minorEastAsia"/>
          <w:szCs w:val="32"/>
        </w:rPr>
      </w:pPr>
      <w:r>
        <w:rPr>
          <w:rFonts w:hint="eastAsia" w:cs="仿宋_GB2312" w:asciiTheme="minorHAnsi" w:hAnsiTheme="minorHAnsi" w:eastAsiaTheme="minorEastAsia"/>
          <w:szCs w:val="32"/>
        </w:rPr>
        <w:t>12. 保洁员工作时间在岗在位，不能脱岗；消防室24小时不断人。</w:t>
      </w:r>
    </w:p>
    <w:p>
      <w:pPr>
        <w:spacing w:line="560" w:lineRule="exact"/>
        <w:ind w:firstLine="422" w:firstLineChars="200"/>
        <w:rPr>
          <w:rFonts w:cs="仿宋_GB2312"/>
          <w:b/>
          <w:szCs w:val="32"/>
        </w:rPr>
      </w:pPr>
      <w:r>
        <w:rPr>
          <w:rFonts w:hint="eastAsia" w:cs="仿宋_GB2312"/>
          <w:b/>
          <w:szCs w:val="32"/>
        </w:rPr>
        <w:t>（二）、环境保洁及其他服务</w:t>
      </w:r>
    </w:p>
    <w:p>
      <w:pPr>
        <w:pStyle w:val="2"/>
        <w:spacing w:line="560" w:lineRule="exact"/>
        <w:rPr>
          <w:rFonts w:cs="仿宋_GB2312"/>
          <w:szCs w:val="32"/>
        </w:rPr>
      </w:pPr>
      <w:r>
        <w:rPr>
          <w:rFonts w:hint="eastAsia" w:cs="仿宋_GB2312"/>
          <w:szCs w:val="32"/>
        </w:rPr>
        <w:t>主要服务场所：党校主楼（含楼顶）及东西裙楼包含办公室、大礼堂、会议室、配电间、设备间、卫生间、电梯间、门窗玻璃、玻璃幕墙、院落及门前广场等所有区域。</w:t>
      </w:r>
    </w:p>
    <w:p>
      <w:pPr>
        <w:spacing w:line="560" w:lineRule="exact"/>
        <w:ind w:firstLine="420" w:firstLineChars="200"/>
        <w:rPr>
          <w:rFonts w:cs="仿宋_GB2312"/>
          <w:szCs w:val="32"/>
        </w:rPr>
      </w:pPr>
      <w:r>
        <w:rPr>
          <w:rFonts w:hint="eastAsia" w:cs="仿宋_GB2312"/>
          <w:szCs w:val="32"/>
        </w:rPr>
        <w:t>1.1保洁服务内容</w:t>
      </w:r>
    </w:p>
    <w:p>
      <w:pPr>
        <w:spacing w:line="560" w:lineRule="exact"/>
        <w:ind w:firstLine="420" w:firstLineChars="200"/>
        <w:rPr>
          <w:rFonts w:cs="仿宋_GB2312"/>
          <w:szCs w:val="32"/>
        </w:rPr>
      </w:pPr>
      <w:r>
        <w:rPr>
          <w:rFonts w:hint="eastAsia" w:cs="仿宋_GB2312"/>
          <w:szCs w:val="32"/>
        </w:rPr>
        <w:t>1.1.1保洁区域每天打扫清洁二次，并坚持保洁和维护，包括但不限于地面、墙面、顶面、门窗、栏杆扶手等。文明创建等特殊阶段根据需要增加清洁次数；负责将每天清扫收集的垃圾，及时清运到指定的垃圾处理站（场），并承担运输费用。</w:t>
      </w:r>
    </w:p>
    <w:p>
      <w:pPr>
        <w:spacing w:line="560" w:lineRule="exact"/>
        <w:ind w:firstLine="420" w:firstLineChars="200"/>
        <w:rPr>
          <w:rFonts w:cs="仿宋_GB2312"/>
          <w:szCs w:val="32"/>
        </w:rPr>
      </w:pPr>
      <w:r>
        <w:rPr>
          <w:rFonts w:hint="eastAsia" w:cs="仿宋_GB2312"/>
          <w:szCs w:val="32"/>
        </w:rPr>
        <w:t>1.1.2 保洁服务区域范围内公用垃圾桶、纸篓、保洁袋等卫生设施的更换、维护、清洁。</w:t>
      </w:r>
    </w:p>
    <w:p>
      <w:pPr>
        <w:spacing w:line="560" w:lineRule="exact"/>
        <w:ind w:firstLine="420" w:firstLineChars="200"/>
        <w:rPr>
          <w:rFonts w:cs="仿宋_GB2312"/>
          <w:szCs w:val="32"/>
        </w:rPr>
      </w:pPr>
      <w:r>
        <w:rPr>
          <w:rFonts w:hint="eastAsia" w:cs="仿宋_GB2312"/>
          <w:szCs w:val="32"/>
        </w:rPr>
        <w:t>1.1.3各楼的清扫防止水管堵塞，并确保卫生间、洗手间、下水管道等的畅通。</w:t>
      </w:r>
    </w:p>
    <w:p>
      <w:pPr>
        <w:spacing w:line="560" w:lineRule="exact"/>
        <w:ind w:firstLine="420" w:firstLineChars="200"/>
        <w:rPr>
          <w:rFonts w:cs="仿宋_GB2312"/>
          <w:szCs w:val="32"/>
        </w:rPr>
      </w:pPr>
      <w:r>
        <w:rPr>
          <w:rFonts w:hint="eastAsia" w:cs="仿宋_GB2312"/>
          <w:szCs w:val="32"/>
        </w:rPr>
        <w:t>1.1.4保洁区域范围内灭蚊、灭蝇、灭鼠、灭蟑螂除四害工作（每年2次）。</w:t>
      </w:r>
    </w:p>
    <w:p>
      <w:pPr>
        <w:spacing w:line="560" w:lineRule="exact"/>
        <w:ind w:firstLine="420" w:firstLineChars="200"/>
        <w:rPr>
          <w:rFonts w:cs="仿宋_GB2312"/>
          <w:szCs w:val="32"/>
        </w:rPr>
      </w:pPr>
      <w:r>
        <w:rPr>
          <w:rFonts w:hint="eastAsia" w:cs="仿宋_GB2312"/>
          <w:szCs w:val="32"/>
        </w:rPr>
        <w:t>1.1.5完成党校交办的一些临时工作。</w:t>
      </w:r>
    </w:p>
    <w:p>
      <w:pPr>
        <w:spacing w:line="560" w:lineRule="exact"/>
        <w:ind w:firstLine="640"/>
        <w:rPr>
          <w:rFonts w:cs="仿宋_GB2312"/>
          <w:szCs w:val="32"/>
        </w:rPr>
      </w:pPr>
      <w:r>
        <w:rPr>
          <w:rFonts w:hint="eastAsia" w:cs="仿宋_GB2312"/>
          <w:szCs w:val="32"/>
        </w:rPr>
        <w:t>1.1.6服务标准和要求：各项综合指标和标准要求达到全省县级一流党校、省级文明单位服务要求。</w:t>
      </w:r>
    </w:p>
    <w:p>
      <w:pPr>
        <w:spacing w:line="560" w:lineRule="exact"/>
        <w:ind w:firstLine="420" w:firstLineChars="200"/>
        <w:rPr>
          <w:rFonts w:cs="仿宋_GB2312"/>
          <w:szCs w:val="32"/>
        </w:rPr>
      </w:pPr>
      <w:r>
        <w:rPr>
          <w:rFonts w:hint="eastAsia" w:cs="仿宋_GB2312"/>
          <w:szCs w:val="32"/>
        </w:rPr>
        <w:t>1.2保洁服务工作其他要求</w:t>
      </w:r>
    </w:p>
    <w:p>
      <w:pPr>
        <w:spacing w:line="560" w:lineRule="exact"/>
        <w:ind w:firstLine="420" w:firstLineChars="200"/>
        <w:rPr>
          <w:rFonts w:cs="仿宋_GB2312"/>
          <w:szCs w:val="32"/>
        </w:rPr>
      </w:pPr>
      <w:r>
        <w:rPr>
          <w:rFonts w:hint="eastAsia" w:cs="仿宋_GB2312"/>
          <w:szCs w:val="32"/>
        </w:rPr>
        <w:t>1.2.1日常清洁、保洁工作每天不低于两次，上班时间确保人员在岗。</w:t>
      </w:r>
    </w:p>
    <w:p>
      <w:pPr>
        <w:spacing w:line="560" w:lineRule="exact"/>
        <w:ind w:firstLine="420" w:firstLineChars="200"/>
        <w:rPr>
          <w:rFonts w:cs="仿宋_GB2312"/>
          <w:szCs w:val="32"/>
        </w:rPr>
      </w:pPr>
      <w:r>
        <w:rPr>
          <w:rFonts w:hint="eastAsia" w:cs="仿宋_GB2312"/>
          <w:szCs w:val="32"/>
        </w:rPr>
        <w:t>1.2.2如需举办培训班等有特殊保洁需求时，以党校通知为准。</w:t>
      </w:r>
    </w:p>
    <w:p>
      <w:pPr>
        <w:spacing w:line="560" w:lineRule="exact"/>
        <w:ind w:firstLine="420" w:firstLineChars="200"/>
        <w:rPr>
          <w:rFonts w:cs="仿宋_GB2312"/>
          <w:szCs w:val="32"/>
        </w:rPr>
      </w:pPr>
      <w:r>
        <w:rPr>
          <w:rFonts w:hint="eastAsia" w:cs="仿宋_GB2312"/>
          <w:szCs w:val="32"/>
        </w:rPr>
        <w:t>1.3工具发放</w:t>
      </w:r>
    </w:p>
    <w:p>
      <w:pPr>
        <w:spacing w:line="560" w:lineRule="exact"/>
        <w:ind w:firstLine="420" w:firstLineChars="200"/>
        <w:rPr>
          <w:rFonts w:cs="仿宋_GB2312"/>
          <w:szCs w:val="32"/>
        </w:rPr>
      </w:pPr>
      <w:r>
        <w:rPr>
          <w:rFonts w:hint="eastAsia" w:cs="仿宋_GB2312"/>
          <w:szCs w:val="32"/>
        </w:rPr>
        <w:t>党校内部的卫生工具由党校发放，托管物业公司用的所有保洁物品及更换用品全部由托管物业公司负责。</w:t>
      </w:r>
    </w:p>
    <w:p>
      <w:pPr>
        <w:spacing w:line="560" w:lineRule="exact"/>
        <w:ind w:firstLine="420" w:firstLineChars="200"/>
        <w:rPr>
          <w:rFonts w:cs="仿宋_GB2312"/>
          <w:szCs w:val="32"/>
        </w:rPr>
      </w:pPr>
      <w:r>
        <w:rPr>
          <w:rFonts w:hint="eastAsia" w:cs="仿宋_GB2312"/>
          <w:szCs w:val="32"/>
        </w:rPr>
        <w:t>1.4保洁作业规范书</w:t>
      </w:r>
    </w:p>
    <w:p>
      <w:pPr>
        <w:pStyle w:val="3"/>
        <w:rPr>
          <w:rFonts w:cs="仿宋_GB2312" w:asciiTheme="minorHAnsi" w:hAnsiTheme="minorHAnsi" w:eastAsiaTheme="minorEastAsia"/>
          <w:szCs w:val="32"/>
        </w:rPr>
      </w:pPr>
    </w:p>
    <w:tbl>
      <w:tblPr>
        <w:tblStyle w:val="28"/>
        <w:tblpPr w:leftFromText="180" w:rightFromText="180" w:vertAnchor="text" w:horzAnchor="page" w:tblpX="1695" w:tblpY="63"/>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977"/>
        <w:gridCol w:w="4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480" w:lineRule="exact"/>
              <w:rPr>
                <w:rFonts w:cs="仿宋_GB2312"/>
                <w:szCs w:val="32"/>
              </w:rPr>
            </w:pPr>
            <w:r>
              <w:rPr>
                <w:rFonts w:hint="eastAsia" w:cs="仿宋_GB2312"/>
                <w:szCs w:val="32"/>
              </w:rPr>
              <w:t>项目</w:t>
            </w:r>
          </w:p>
        </w:tc>
        <w:tc>
          <w:tcPr>
            <w:tcW w:w="2977" w:type="dxa"/>
            <w:noWrap/>
            <w:vAlign w:val="center"/>
          </w:tcPr>
          <w:p>
            <w:pPr>
              <w:spacing w:line="480" w:lineRule="exact"/>
              <w:rPr>
                <w:rFonts w:cs="仿宋_GB2312"/>
                <w:szCs w:val="32"/>
              </w:rPr>
            </w:pPr>
            <w:r>
              <w:rPr>
                <w:rFonts w:hint="eastAsia" w:cs="仿宋_GB2312"/>
                <w:szCs w:val="32"/>
              </w:rPr>
              <w:t>要求</w:t>
            </w:r>
          </w:p>
        </w:tc>
        <w:tc>
          <w:tcPr>
            <w:tcW w:w="4586" w:type="dxa"/>
            <w:noWrap/>
            <w:vAlign w:val="center"/>
          </w:tcPr>
          <w:p>
            <w:pPr>
              <w:spacing w:line="480" w:lineRule="exact"/>
              <w:rPr>
                <w:rFonts w:cs="仿宋_GB2312"/>
                <w:szCs w:val="32"/>
              </w:rPr>
            </w:pPr>
            <w:r>
              <w:rPr>
                <w:rFonts w:hint="eastAsia" w:cs="仿宋_GB2312"/>
                <w:szCs w:val="32"/>
              </w:rPr>
              <w:t>作业步骤、方法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9" w:hRule="atLeast"/>
        </w:trPr>
        <w:tc>
          <w:tcPr>
            <w:tcW w:w="959" w:type="dxa"/>
            <w:noWrap/>
            <w:vAlign w:val="center"/>
          </w:tcPr>
          <w:p>
            <w:pPr>
              <w:spacing w:line="480" w:lineRule="exact"/>
              <w:rPr>
                <w:rFonts w:cs="仿宋_GB2312"/>
                <w:szCs w:val="32"/>
              </w:rPr>
            </w:pPr>
            <w:r>
              <w:rPr>
                <w:rFonts w:hint="eastAsia" w:cs="仿宋_GB2312"/>
                <w:szCs w:val="32"/>
              </w:rPr>
              <w:t>室外地面、楼梯的保洁</w:t>
            </w:r>
          </w:p>
        </w:tc>
        <w:tc>
          <w:tcPr>
            <w:tcW w:w="2977" w:type="dxa"/>
            <w:noWrap/>
          </w:tcPr>
          <w:p>
            <w:pPr>
              <w:tabs>
                <w:tab w:val="left" w:pos="750"/>
              </w:tabs>
              <w:spacing w:line="480" w:lineRule="exact"/>
              <w:rPr>
                <w:rFonts w:cs="仿宋_GB2312"/>
                <w:szCs w:val="32"/>
              </w:rPr>
            </w:pPr>
            <w:r>
              <w:rPr>
                <w:rFonts w:hint="eastAsia" w:cs="仿宋_GB2312"/>
                <w:szCs w:val="32"/>
              </w:rPr>
              <w:t>1.地面无杂物、无落叶、无积尘、无积水，无明显污渍。</w:t>
            </w:r>
          </w:p>
          <w:p>
            <w:pPr>
              <w:tabs>
                <w:tab w:val="left" w:pos="750"/>
              </w:tabs>
              <w:spacing w:line="480" w:lineRule="exact"/>
              <w:rPr>
                <w:rFonts w:cs="仿宋_GB2312"/>
                <w:szCs w:val="32"/>
              </w:rPr>
            </w:pPr>
            <w:r>
              <w:rPr>
                <w:rFonts w:hint="eastAsia" w:cs="仿宋_GB2312"/>
                <w:szCs w:val="32"/>
              </w:rPr>
              <w:t>2.明暗沟、污水井内无杂物，无积沙堵塞。</w:t>
            </w:r>
          </w:p>
          <w:p>
            <w:pPr>
              <w:tabs>
                <w:tab w:val="left" w:pos="750"/>
              </w:tabs>
              <w:spacing w:line="480" w:lineRule="exact"/>
              <w:rPr>
                <w:rFonts w:cs="仿宋_GB2312"/>
                <w:szCs w:val="32"/>
              </w:rPr>
            </w:pPr>
            <w:r>
              <w:rPr>
                <w:rFonts w:hint="eastAsia" w:cs="仿宋_GB2312"/>
                <w:szCs w:val="32"/>
              </w:rPr>
              <w:t>3.无卫生死角，乱堆乱放。</w:t>
            </w:r>
          </w:p>
          <w:p>
            <w:pPr>
              <w:tabs>
                <w:tab w:val="left" w:pos="750"/>
              </w:tabs>
              <w:spacing w:line="480" w:lineRule="exact"/>
              <w:rPr>
                <w:rFonts w:cs="仿宋_GB2312"/>
                <w:szCs w:val="32"/>
              </w:rPr>
            </w:pPr>
            <w:r>
              <w:rPr>
                <w:rFonts w:hint="eastAsia" w:cs="仿宋_GB2312"/>
                <w:szCs w:val="32"/>
              </w:rPr>
              <w:t>4.窗户及玻璃立面无积灰、无污染。</w:t>
            </w:r>
          </w:p>
        </w:tc>
        <w:tc>
          <w:tcPr>
            <w:tcW w:w="4586" w:type="dxa"/>
            <w:noWrap/>
          </w:tcPr>
          <w:p>
            <w:pPr>
              <w:tabs>
                <w:tab w:val="left" w:pos="750"/>
              </w:tabs>
              <w:spacing w:line="480" w:lineRule="exact"/>
              <w:rPr>
                <w:rFonts w:cs="仿宋_GB2312"/>
                <w:szCs w:val="32"/>
              </w:rPr>
            </w:pPr>
            <w:r>
              <w:rPr>
                <w:rFonts w:hint="eastAsia" w:cs="仿宋_GB2312"/>
                <w:szCs w:val="32"/>
              </w:rPr>
              <w:t>1.每天将所负责范围内的楼层公用通道、楼梯、地面清扫干净，并将楼层的垃圾收至指定地点，清洗垃圾桶，套上垃圾袋，放回原处。</w:t>
            </w:r>
          </w:p>
          <w:p>
            <w:pPr>
              <w:tabs>
                <w:tab w:val="left" w:pos="750"/>
              </w:tabs>
              <w:spacing w:line="480" w:lineRule="exact"/>
              <w:rPr>
                <w:rFonts w:cs="仿宋_GB2312"/>
                <w:szCs w:val="32"/>
              </w:rPr>
            </w:pPr>
            <w:r>
              <w:rPr>
                <w:rFonts w:hint="eastAsia" w:cs="仿宋_GB2312"/>
                <w:szCs w:val="32"/>
              </w:rPr>
              <w:t>2.每天用清洁水拖干擦净有污迹的楼层地面及垃圾桶存放地面，并分别拖抹和擦抹一次通道和楼梯扶手。</w:t>
            </w:r>
          </w:p>
          <w:p>
            <w:pPr>
              <w:tabs>
                <w:tab w:val="left" w:pos="750"/>
              </w:tabs>
              <w:spacing w:line="480" w:lineRule="exact"/>
              <w:rPr>
                <w:rFonts w:cs="仿宋_GB2312"/>
                <w:szCs w:val="32"/>
              </w:rPr>
            </w:pPr>
            <w:r>
              <w:rPr>
                <w:rFonts w:hint="eastAsia" w:cs="仿宋_GB2312"/>
                <w:szCs w:val="32"/>
              </w:rPr>
              <w:t>3.每星期用毛巾清洁水擦拭两次消防门、门顶、消防栓、公共窗台和玻璃、指示灯、开关盒、电表箱等。</w:t>
            </w:r>
          </w:p>
          <w:p>
            <w:pPr>
              <w:tabs>
                <w:tab w:val="left" w:pos="750"/>
              </w:tabs>
              <w:spacing w:line="480" w:lineRule="exact"/>
              <w:rPr>
                <w:rFonts w:cs="仿宋_GB2312"/>
                <w:szCs w:val="32"/>
              </w:rPr>
            </w:pPr>
            <w:r>
              <w:rPr>
                <w:rFonts w:hint="eastAsia" w:cs="仿宋_GB2312"/>
                <w:szCs w:val="32"/>
              </w:rPr>
              <w:t>4.每半月用清洁毛巾擦拭一次墙壁和所有灯泡、灯具，用扫帚清扫天花板等公共部分。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7" w:hRule="atLeast"/>
        </w:trPr>
        <w:tc>
          <w:tcPr>
            <w:tcW w:w="959" w:type="dxa"/>
            <w:noWrap/>
            <w:vAlign w:val="center"/>
          </w:tcPr>
          <w:p>
            <w:pPr>
              <w:spacing w:line="480" w:lineRule="exact"/>
              <w:rPr>
                <w:rFonts w:cs="仿宋_GB2312"/>
                <w:szCs w:val="32"/>
              </w:rPr>
            </w:pPr>
            <w:r>
              <w:rPr>
                <w:rFonts w:hint="eastAsia" w:cs="仿宋_GB2312"/>
                <w:szCs w:val="32"/>
              </w:rPr>
              <w:t>值班室的保 洁</w:t>
            </w:r>
          </w:p>
        </w:tc>
        <w:tc>
          <w:tcPr>
            <w:tcW w:w="2977" w:type="dxa"/>
            <w:noWrap/>
          </w:tcPr>
          <w:p>
            <w:pPr>
              <w:spacing w:line="480" w:lineRule="exact"/>
              <w:rPr>
                <w:rFonts w:cs="仿宋_GB2312"/>
                <w:szCs w:val="32"/>
              </w:rPr>
            </w:pPr>
            <w:r>
              <w:rPr>
                <w:rFonts w:hint="eastAsia" w:cs="仿宋_GB2312"/>
                <w:szCs w:val="32"/>
              </w:rPr>
              <w:t>1.地面无灰尘、杂物、污染。</w:t>
            </w:r>
          </w:p>
          <w:p>
            <w:pPr>
              <w:spacing w:line="480" w:lineRule="exact"/>
              <w:rPr>
                <w:rFonts w:cs="仿宋_GB2312"/>
                <w:szCs w:val="32"/>
              </w:rPr>
            </w:pPr>
            <w:r>
              <w:rPr>
                <w:rFonts w:hint="eastAsia" w:cs="仿宋_GB2312"/>
                <w:szCs w:val="32"/>
              </w:rPr>
              <w:t>2.家私、设备无灰尘，摆放整齐。</w:t>
            </w:r>
          </w:p>
          <w:p>
            <w:pPr>
              <w:spacing w:line="480" w:lineRule="exact"/>
              <w:rPr>
                <w:rFonts w:cs="仿宋_GB2312"/>
                <w:szCs w:val="32"/>
              </w:rPr>
            </w:pPr>
            <w:r>
              <w:rPr>
                <w:rFonts w:hint="eastAsia" w:cs="仿宋_GB2312"/>
                <w:szCs w:val="32"/>
              </w:rPr>
              <w:t>3.墙面无乱贴、乱挂、乱写划。</w:t>
            </w:r>
          </w:p>
          <w:p>
            <w:pPr>
              <w:spacing w:line="480" w:lineRule="exact"/>
              <w:rPr>
                <w:rFonts w:cs="仿宋_GB2312"/>
                <w:szCs w:val="32"/>
              </w:rPr>
            </w:pPr>
            <w:r>
              <w:rPr>
                <w:rFonts w:hint="eastAsia" w:cs="仿宋_GB2312"/>
                <w:szCs w:val="32"/>
              </w:rPr>
              <w:t>4.衣服、鞋、帽、裤子摆放整齐。</w:t>
            </w:r>
          </w:p>
        </w:tc>
        <w:tc>
          <w:tcPr>
            <w:tcW w:w="4586" w:type="dxa"/>
            <w:noWrap/>
          </w:tcPr>
          <w:p>
            <w:pPr>
              <w:spacing w:line="480" w:lineRule="exact"/>
              <w:rPr>
                <w:rFonts w:cs="仿宋_GB2312"/>
                <w:szCs w:val="32"/>
              </w:rPr>
            </w:pPr>
            <w:r>
              <w:rPr>
                <w:rFonts w:hint="eastAsia" w:cs="仿宋_GB2312"/>
                <w:szCs w:val="32"/>
              </w:rPr>
              <w:t>1.每日两次清扫地面，拖抹干净；</w:t>
            </w:r>
          </w:p>
          <w:p>
            <w:pPr>
              <w:spacing w:line="480" w:lineRule="exact"/>
              <w:rPr>
                <w:rFonts w:cs="仿宋_GB2312"/>
                <w:szCs w:val="32"/>
              </w:rPr>
            </w:pPr>
            <w:r>
              <w:rPr>
                <w:rFonts w:hint="eastAsia" w:cs="仿宋_GB2312"/>
                <w:szCs w:val="32"/>
              </w:rPr>
              <w:t>2.随时清除角落蜘蛛网。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480" w:lineRule="exact"/>
              <w:rPr>
                <w:rFonts w:cs="仿宋_GB2312"/>
                <w:szCs w:val="32"/>
              </w:rPr>
            </w:pPr>
            <w:r>
              <w:rPr>
                <w:rFonts w:hint="eastAsia" w:cs="仿宋_GB2312"/>
                <w:szCs w:val="32"/>
              </w:rPr>
              <w:t>学员房 间</w:t>
            </w:r>
          </w:p>
        </w:tc>
        <w:tc>
          <w:tcPr>
            <w:tcW w:w="2977" w:type="dxa"/>
            <w:noWrap/>
          </w:tcPr>
          <w:p>
            <w:pPr>
              <w:numPr>
                <w:ilvl w:val="0"/>
                <w:numId w:val="15"/>
              </w:numPr>
              <w:spacing w:line="480" w:lineRule="exact"/>
              <w:rPr>
                <w:rFonts w:cs="仿宋_GB2312"/>
                <w:szCs w:val="32"/>
              </w:rPr>
            </w:pPr>
            <w:r>
              <w:rPr>
                <w:rFonts w:hint="eastAsia" w:cs="仿宋_GB2312"/>
                <w:szCs w:val="32"/>
              </w:rPr>
              <w:t>地面无灰尘，窗户和玻璃立面无积灰、无污染。</w:t>
            </w:r>
          </w:p>
          <w:p>
            <w:pPr>
              <w:numPr>
                <w:ilvl w:val="0"/>
                <w:numId w:val="15"/>
              </w:numPr>
              <w:spacing w:line="480" w:lineRule="exact"/>
              <w:rPr>
                <w:rFonts w:cs="仿宋_GB2312"/>
                <w:szCs w:val="32"/>
              </w:rPr>
            </w:pPr>
            <w:r>
              <w:rPr>
                <w:rFonts w:hint="eastAsia" w:cs="仿宋_GB2312"/>
                <w:szCs w:val="32"/>
              </w:rPr>
              <w:t>房间物品摆放整齐。</w:t>
            </w:r>
          </w:p>
        </w:tc>
        <w:tc>
          <w:tcPr>
            <w:tcW w:w="4586" w:type="dxa"/>
            <w:noWrap/>
          </w:tcPr>
          <w:p>
            <w:pPr>
              <w:spacing w:line="480" w:lineRule="exact"/>
              <w:rPr>
                <w:rFonts w:cs="仿宋_GB2312"/>
                <w:szCs w:val="32"/>
              </w:rPr>
            </w:pPr>
            <w:r>
              <w:rPr>
                <w:rFonts w:hint="eastAsia" w:cs="仿宋_GB2312"/>
                <w:szCs w:val="32"/>
              </w:rPr>
              <w:t>按照四星级宾馆要求执行。</w:t>
            </w:r>
          </w:p>
          <w:p>
            <w:pPr>
              <w:spacing w:line="480" w:lineRule="exact"/>
              <w:rPr>
                <w:rFonts w:cs="仿宋_GB2312"/>
                <w:szCs w:val="32"/>
              </w:rPr>
            </w:pPr>
            <w:r>
              <w:rPr>
                <w:rFonts w:hint="eastAsia" w:cs="仿宋_GB2312"/>
                <w:szCs w:val="32"/>
              </w:rPr>
              <w:t xml:space="preserve">                         </w:t>
            </w:r>
          </w:p>
        </w:tc>
      </w:tr>
    </w:tbl>
    <w:p>
      <w:pPr>
        <w:spacing w:line="560" w:lineRule="exact"/>
        <w:ind w:firstLine="420" w:firstLineChars="200"/>
        <w:rPr>
          <w:rFonts w:cs="仿宋_GB2312"/>
          <w:szCs w:val="32"/>
        </w:rPr>
      </w:pPr>
      <w:r>
        <w:rPr>
          <w:rFonts w:hint="eastAsia" w:cs="仿宋_GB2312"/>
          <w:szCs w:val="32"/>
        </w:rPr>
        <w:t xml:space="preserve">注：保洁作业规范书中的保洁时间、次数、区域等，根据党校的具体要求再进行具体化、细化、量化，目标就是不留死角。  </w:t>
      </w:r>
    </w:p>
    <w:p>
      <w:pPr>
        <w:spacing w:line="560" w:lineRule="exact"/>
        <w:ind w:firstLine="420" w:firstLineChars="200"/>
        <w:rPr>
          <w:rFonts w:cs="仿宋_GB2312"/>
          <w:szCs w:val="32"/>
        </w:rPr>
      </w:pPr>
      <w:r>
        <w:rPr>
          <w:rFonts w:hint="eastAsia" w:cs="仿宋_GB2312"/>
          <w:szCs w:val="32"/>
        </w:rPr>
        <w:t>1.5其他服务</w:t>
      </w:r>
    </w:p>
    <w:p>
      <w:pPr>
        <w:spacing w:line="560" w:lineRule="exact"/>
        <w:ind w:firstLine="420" w:firstLineChars="200"/>
        <w:rPr>
          <w:rFonts w:cs="仿宋_GB2312"/>
          <w:szCs w:val="32"/>
        </w:rPr>
      </w:pPr>
      <w:r>
        <w:rPr>
          <w:rFonts w:hint="eastAsia" w:cs="仿宋_GB2312"/>
          <w:szCs w:val="32"/>
        </w:rPr>
        <w:t>会务服务、住宿服务、餐厅服务等。</w:t>
      </w:r>
    </w:p>
    <w:p>
      <w:pPr>
        <w:pStyle w:val="2"/>
        <w:rPr>
          <w:rFonts w:cs="仿宋_GB2312"/>
          <w:b/>
          <w:szCs w:val="32"/>
        </w:rPr>
      </w:pPr>
      <w:r>
        <w:rPr>
          <w:rFonts w:hint="eastAsia" w:cs="仿宋_GB2312"/>
          <w:szCs w:val="32"/>
        </w:rPr>
        <w:t>（</w:t>
      </w:r>
      <w:r>
        <w:rPr>
          <w:rFonts w:hint="eastAsia" w:cs="仿宋_GB2312"/>
          <w:b/>
          <w:szCs w:val="32"/>
        </w:rPr>
        <w:t>三）、校园绿植养护</w:t>
      </w:r>
    </w:p>
    <w:p>
      <w:pPr>
        <w:spacing w:line="560" w:lineRule="exact"/>
        <w:ind w:firstLine="420" w:firstLineChars="200"/>
        <w:rPr>
          <w:rFonts w:hint="eastAsia" w:cs="仿宋_GB2312"/>
          <w:szCs w:val="32"/>
        </w:rPr>
      </w:pPr>
      <w:r>
        <w:rPr>
          <w:rFonts w:hint="eastAsia" w:cs="仿宋_GB2312"/>
          <w:szCs w:val="32"/>
        </w:rPr>
        <w:t>1.绿化内容</w:t>
      </w:r>
    </w:p>
    <w:p>
      <w:pPr>
        <w:spacing w:line="560" w:lineRule="exact"/>
        <w:ind w:firstLine="420" w:firstLineChars="200"/>
        <w:rPr>
          <w:rFonts w:hint="eastAsia" w:cs="仿宋_GB2312"/>
          <w:szCs w:val="32"/>
        </w:rPr>
      </w:pPr>
      <w:r>
        <w:rPr>
          <w:rFonts w:hint="eastAsia" w:cs="仿宋_GB2312"/>
          <w:szCs w:val="32"/>
        </w:rPr>
        <w:t>做好校园内绿植修剪、除草、浇灌等养护和补植工作。</w:t>
      </w:r>
    </w:p>
    <w:p>
      <w:pPr>
        <w:spacing w:line="560" w:lineRule="exact"/>
        <w:ind w:firstLine="420" w:firstLineChars="200"/>
        <w:rPr>
          <w:rFonts w:hint="eastAsia" w:cs="仿宋_GB2312"/>
          <w:szCs w:val="32"/>
        </w:rPr>
      </w:pPr>
      <w:r>
        <w:rPr>
          <w:rFonts w:hint="eastAsia" w:cs="仿宋_GB2312"/>
          <w:szCs w:val="32"/>
        </w:rPr>
        <w:t>2.绿化要求</w:t>
      </w:r>
    </w:p>
    <w:p>
      <w:pPr>
        <w:spacing w:line="560" w:lineRule="exact"/>
        <w:ind w:firstLine="420" w:firstLineChars="200"/>
        <w:rPr>
          <w:rFonts w:hint="eastAsia" w:cs="仿宋_GB2312"/>
          <w:szCs w:val="32"/>
        </w:rPr>
      </w:pPr>
      <w:r>
        <w:rPr>
          <w:rFonts w:hint="eastAsia" w:cs="仿宋_GB2312"/>
          <w:szCs w:val="32"/>
        </w:rPr>
        <w:t>参照市政绿化园林养护标准执行。</w:t>
      </w:r>
    </w:p>
    <w:p>
      <w:pPr>
        <w:ind w:firstLine="631"/>
        <w:rPr>
          <w:rFonts w:cs="仿宋_GB2312"/>
          <w:b/>
          <w:szCs w:val="32"/>
        </w:rPr>
      </w:pPr>
      <w:r>
        <w:rPr>
          <w:rFonts w:hint="eastAsia" w:cs="仿宋_GB2312"/>
          <w:szCs w:val="32"/>
        </w:rPr>
        <w:t>（</w:t>
      </w:r>
      <w:r>
        <w:rPr>
          <w:rFonts w:hint="eastAsia" w:cs="仿宋_GB2312"/>
          <w:b/>
          <w:szCs w:val="32"/>
        </w:rPr>
        <w:t>四）、维修维护要求</w:t>
      </w:r>
    </w:p>
    <w:p>
      <w:pPr>
        <w:pStyle w:val="11"/>
        <w:ind w:firstLine="631"/>
        <w:rPr>
          <w:rFonts w:cs="仿宋_GB2312"/>
          <w:szCs w:val="32"/>
        </w:rPr>
      </w:pPr>
      <w:r>
        <w:rPr>
          <w:rFonts w:hint="eastAsia" w:cs="仿宋_GB2312"/>
          <w:szCs w:val="32"/>
        </w:rPr>
        <w:t>1、做好党校房屋、消防、所有空调、强弱电系统、有线电视、供排水系统、供暖、电梯、安防报警监控系统、电动大门等设施的日常维修、维护和运转。</w:t>
      </w:r>
    </w:p>
    <w:p>
      <w:pPr>
        <w:spacing w:line="560" w:lineRule="exact"/>
        <w:ind w:firstLine="420" w:firstLineChars="200"/>
        <w:rPr>
          <w:rFonts w:cs="仿宋_GB2312"/>
          <w:szCs w:val="32"/>
        </w:rPr>
      </w:pPr>
      <w:r>
        <w:rPr>
          <w:rFonts w:hint="eastAsia" w:cs="仿宋_GB2312"/>
          <w:szCs w:val="32"/>
        </w:rPr>
        <w:t>2、维修配件单件200元以下的由物业公司承担，超过200元以上的由业主负责购买配件，物业公司负责调试、安装、维护。</w:t>
      </w:r>
    </w:p>
    <w:p>
      <w:pPr>
        <w:pStyle w:val="3"/>
        <w:ind w:left="0"/>
        <w:rPr>
          <w:rFonts w:cs="仿宋_GB2312" w:asciiTheme="minorHAnsi" w:hAnsiTheme="minorHAnsi" w:eastAsiaTheme="minorEastAsia"/>
          <w:b/>
          <w:szCs w:val="32"/>
        </w:rPr>
      </w:pPr>
      <w:r>
        <w:rPr>
          <w:rFonts w:hint="eastAsia" w:cs="仿宋_GB2312" w:asciiTheme="minorHAnsi" w:hAnsiTheme="minorHAnsi" w:eastAsiaTheme="minorEastAsia"/>
          <w:b/>
          <w:szCs w:val="32"/>
        </w:rPr>
        <w:t>（五）、关于党校物业奖惩的相关要求</w:t>
      </w:r>
    </w:p>
    <w:p>
      <w:pPr>
        <w:pStyle w:val="2"/>
        <w:spacing w:line="560" w:lineRule="exact"/>
        <w:rPr>
          <w:rFonts w:cs="仿宋_GB2312"/>
          <w:szCs w:val="32"/>
        </w:rPr>
      </w:pPr>
      <w:r>
        <w:rPr>
          <w:rFonts w:hint="eastAsia" w:cs="仿宋_GB2312"/>
          <w:szCs w:val="32"/>
        </w:rPr>
        <w:t>1.履行合同方面</w:t>
      </w:r>
    </w:p>
    <w:p>
      <w:pPr>
        <w:pStyle w:val="2"/>
        <w:spacing w:line="560" w:lineRule="exact"/>
        <w:rPr>
          <w:rFonts w:cs="仿宋_GB2312"/>
          <w:szCs w:val="32"/>
        </w:rPr>
      </w:pPr>
      <w:r>
        <w:rPr>
          <w:rFonts w:hint="eastAsia" w:cs="仿宋_GB2312"/>
          <w:szCs w:val="32"/>
        </w:rPr>
        <w:t>1.1不服从党校监管，阳奉阴违、对抗监管的，终止合同。</w:t>
      </w:r>
    </w:p>
    <w:p>
      <w:pPr>
        <w:pStyle w:val="2"/>
        <w:spacing w:line="560" w:lineRule="exact"/>
        <w:rPr>
          <w:rFonts w:cs="仿宋_GB2312"/>
          <w:szCs w:val="32"/>
        </w:rPr>
      </w:pPr>
      <w:r>
        <w:rPr>
          <w:rFonts w:hint="eastAsia" w:cs="仿宋_GB2312"/>
          <w:szCs w:val="32"/>
        </w:rPr>
        <w:t>1.2出现重大伤害事件或其他严重损害党校声誉的事件（罢工、上访、拖欠员工工资等），终止合同。</w:t>
      </w:r>
    </w:p>
    <w:p>
      <w:pPr>
        <w:pStyle w:val="2"/>
        <w:spacing w:line="560" w:lineRule="exact"/>
        <w:rPr>
          <w:rFonts w:cs="仿宋_GB2312"/>
          <w:szCs w:val="32"/>
        </w:rPr>
      </w:pPr>
      <w:r>
        <w:rPr>
          <w:rFonts w:hint="eastAsia" w:cs="仿宋_GB2312"/>
          <w:szCs w:val="32"/>
        </w:rPr>
        <w:t>1.3达不到以上“治安安全及消防安全、环境保洁”中的任何一项条款要求的，罚款100—500元，情节严重的终止合同。</w:t>
      </w:r>
    </w:p>
    <w:p>
      <w:pPr>
        <w:pStyle w:val="2"/>
        <w:spacing w:line="560" w:lineRule="exact"/>
        <w:rPr>
          <w:rFonts w:cs="仿宋_GB2312"/>
          <w:szCs w:val="32"/>
        </w:rPr>
      </w:pPr>
      <w:r>
        <w:rPr>
          <w:rFonts w:hint="eastAsia" w:cs="仿宋_GB2312"/>
          <w:szCs w:val="32"/>
        </w:rPr>
        <w:t>1.4凡发现一次缺岗者每次罚款50—100元。</w:t>
      </w:r>
    </w:p>
    <w:p>
      <w:pPr>
        <w:pStyle w:val="2"/>
        <w:spacing w:line="560" w:lineRule="exact"/>
        <w:rPr>
          <w:rFonts w:cs="仿宋_GB2312"/>
          <w:szCs w:val="32"/>
        </w:rPr>
      </w:pPr>
      <w:r>
        <w:rPr>
          <w:rFonts w:hint="eastAsia" w:cs="仿宋_GB2312"/>
          <w:szCs w:val="32"/>
        </w:rPr>
        <w:t>1.5对监管人员（如党校领导、各科室主任）移交的问题，未整改或整改不彻底的，发现一个问题，罚款100—200元。</w:t>
      </w:r>
    </w:p>
    <w:p>
      <w:pPr>
        <w:pStyle w:val="2"/>
        <w:spacing w:line="560" w:lineRule="exact"/>
        <w:rPr>
          <w:rFonts w:cs="仿宋_GB2312"/>
          <w:szCs w:val="32"/>
        </w:rPr>
      </w:pPr>
      <w:r>
        <w:rPr>
          <w:rFonts w:hint="eastAsia" w:cs="仿宋_GB2312"/>
          <w:szCs w:val="32"/>
        </w:rPr>
        <w:t>2.安全方面</w:t>
      </w:r>
    </w:p>
    <w:p>
      <w:pPr>
        <w:pStyle w:val="2"/>
        <w:spacing w:line="560" w:lineRule="exact"/>
        <w:rPr>
          <w:rFonts w:cs="仿宋_GB2312"/>
          <w:szCs w:val="32"/>
        </w:rPr>
      </w:pPr>
      <w:r>
        <w:rPr>
          <w:rFonts w:hint="eastAsia" w:cs="仿宋_GB2312"/>
          <w:szCs w:val="32"/>
        </w:rPr>
        <w:t>2.1在管理区域若发生安全事故由物业公司全权负责，党校不承担任何责任，并且党校有权终止合同。</w:t>
      </w:r>
    </w:p>
    <w:p>
      <w:pPr>
        <w:pStyle w:val="2"/>
        <w:spacing w:line="560" w:lineRule="exact"/>
        <w:rPr>
          <w:rFonts w:cs="仿宋_GB2312"/>
          <w:szCs w:val="32"/>
        </w:rPr>
      </w:pPr>
      <w:r>
        <w:rPr>
          <w:rFonts w:hint="eastAsia" w:cs="仿宋_GB2312"/>
          <w:szCs w:val="32"/>
        </w:rPr>
        <w:t>2.2不按党校要求规程操作的，罚款500元。</w:t>
      </w:r>
    </w:p>
    <w:p>
      <w:pPr>
        <w:pStyle w:val="2"/>
        <w:spacing w:line="560" w:lineRule="exact"/>
        <w:rPr>
          <w:rFonts w:cs="仿宋_GB2312"/>
          <w:szCs w:val="32"/>
        </w:rPr>
      </w:pPr>
      <w:r>
        <w:rPr>
          <w:rFonts w:hint="eastAsia" w:cs="仿宋_GB2312"/>
          <w:szCs w:val="32"/>
        </w:rPr>
        <w:t>2.3破坏或偷盗党校或工作人员财物的，视情节罚款500—1000元，情节严重者移交司法机关。</w:t>
      </w:r>
    </w:p>
    <w:p>
      <w:pPr>
        <w:pStyle w:val="2"/>
        <w:spacing w:line="560" w:lineRule="exact"/>
        <w:rPr>
          <w:rFonts w:cs="仿宋_GB2312"/>
          <w:szCs w:val="32"/>
        </w:rPr>
      </w:pPr>
      <w:r>
        <w:rPr>
          <w:rFonts w:hint="eastAsia" w:cs="仿宋_GB2312"/>
          <w:szCs w:val="32"/>
        </w:rPr>
        <w:t>3.其它方面</w:t>
      </w:r>
    </w:p>
    <w:p>
      <w:pPr>
        <w:pStyle w:val="2"/>
        <w:spacing w:line="560" w:lineRule="exact"/>
        <w:rPr>
          <w:rFonts w:cs="仿宋_GB2312"/>
          <w:szCs w:val="32"/>
        </w:rPr>
      </w:pPr>
      <w:r>
        <w:rPr>
          <w:rFonts w:hint="eastAsia" w:cs="仿宋_GB2312"/>
          <w:szCs w:val="32"/>
        </w:rPr>
        <w:t>3.1所有罚款均以现金方式于收到处罚通知书后两日内交付，若不交罚款，党校有权通知托管物业公司立即终止合同。</w:t>
      </w:r>
    </w:p>
    <w:p>
      <w:pPr>
        <w:pStyle w:val="2"/>
        <w:spacing w:line="560" w:lineRule="exact"/>
        <w:rPr>
          <w:rFonts w:cs="仿宋_GB2312"/>
          <w:szCs w:val="32"/>
        </w:rPr>
      </w:pPr>
      <w:r>
        <w:rPr>
          <w:rFonts w:hint="eastAsia" w:cs="仿宋_GB2312"/>
          <w:szCs w:val="32"/>
        </w:rPr>
        <w:t>3.2所有奖罚款由基建科指定人员保管资金和账目，接受监管。</w:t>
      </w:r>
    </w:p>
    <w:p>
      <w:pPr>
        <w:pStyle w:val="2"/>
        <w:spacing w:line="560" w:lineRule="exact"/>
        <w:rPr>
          <w:rFonts w:cs="仿宋_GB2312"/>
          <w:szCs w:val="32"/>
        </w:rPr>
      </w:pPr>
      <w:r>
        <w:rPr>
          <w:rFonts w:hint="eastAsia" w:cs="仿宋_GB2312"/>
          <w:szCs w:val="32"/>
        </w:rPr>
        <w:t>3.3所有罚款要以不同形式用到服务党校和工作人员身上。</w:t>
      </w:r>
    </w:p>
    <w:p>
      <w:pPr>
        <w:pStyle w:val="2"/>
        <w:spacing w:line="560" w:lineRule="exact"/>
        <w:rPr>
          <w:rFonts w:cs="仿宋_GB2312"/>
          <w:szCs w:val="32"/>
        </w:rPr>
      </w:pPr>
      <w:r>
        <w:rPr>
          <w:rFonts w:hint="eastAsia" w:cs="仿宋_GB2312"/>
          <w:szCs w:val="32"/>
        </w:rPr>
        <w:t>3.4以上办法从签定合同之日起施行。</w:t>
      </w:r>
    </w:p>
    <w:p>
      <w:pPr>
        <w:spacing w:line="560" w:lineRule="exact"/>
        <w:ind w:left="1050" w:leftChars="200" w:hanging="630" w:hangingChars="300"/>
        <w:rPr>
          <w:rFonts w:cs="仿宋_GB2312"/>
          <w:szCs w:val="32"/>
        </w:rPr>
      </w:pPr>
      <w:r>
        <w:rPr>
          <w:rFonts w:hint="eastAsia" w:cs="仿宋_GB2312"/>
          <w:szCs w:val="32"/>
        </w:rPr>
        <w:t xml:space="preserve">注： 1、物业管理所需耗材及防疫物资由物业公司承担。    </w:t>
      </w:r>
    </w:p>
    <w:p>
      <w:pPr>
        <w:pStyle w:val="45"/>
        <w:numPr>
          <w:ilvl w:val="0"/>
          <w:numId w:val="7"/>
        </w:numPr>
        <w:spacing w:line="560" w:lineRule="exact"/>
        <w:ind w:firstLineChars="0"/>
        <w:jc w:val="left"/>
        <w:rPr>
          <w:rFonts w:cs="仿宋_GB2312"/>
          <w:szCs w:val="32"/>
        </w:rPr>
      </w:pPr>
      <w:r>
        <w:rPr>
          <w:rFonts w:hint="eastAsia" w:cs="仿宋_GB2312"/>
          <w:szCs w:val="32"/>
        </w:rPr>
        <w:t>禹州市财政投资评审中心评审核定物业人员36人，投标供应商根据实际情况配备。</w:t>
      </w:r>
    </w:p>
    <w:p>
      <w:pPr>
        <w:pStyle w:val="3"/>
        <w:numPr>
          <w:ilvl w:val="0"/>
          <w:numId w:val="16"/>
        </w:numPr>
        <w:tabs>
          <w:tab w:val="left" w:pos="523"/>
        </w:tabs>
        <w:spacing w:line="360" w:lineRule="auto"/>
        <w:rPr>
          <w:rFonts w:cs="仿宋_GB2312"/>
          <w:b/>
          <w:bCs/>
          <w:szCs w:val="32"/>
        </w:rPr>
      </w:pPr>
      <w:r>
        <w:rPr>
          <w:rFonts w:hint="eastAsia" w:cs="仿宋_GB2312"/>
          <w:b/>
          <w:bCs/>
          <w:szCs w:val="32"/>
        </w:rPr>
        <w:t>其他事项</w:t>
      </w:r>
    </w:p>
    <w:p>
      <w:pPr>
        <w:pStyle w:val="45"/>
        <w:numPr>
          <w:ilvl w:val="0"/>
          <w:numId w:val="17"/>
        </w:numPr>
        <w:spacing w:line="360" w:lineRule="auto"/>
        <w:ind w:firstLineChars="0"/>
      </w:pPr>
      <w:r>
        <w:rPr>
          <w:rFonts w:hint="eastAsia"/>
        </w:rPr>
        <w:t>严禁借资质经营，一旦发现，立即终止合同，并按有关规定严肃处理。</w:t>
      </w:r>
    </w:p>
    <w:p>
      <w:pPr>
        <w:pStyle w:val="45"/>
        <w:spacing w:line="360" w:lineRule="auto"/>
        <w:ind w:left="105" w:leftChars="50" w:firstLine="315" w:firstLineChars="150"/>
      </w:pPr>
      <w:r>
        <w:rPr>
          <w:rFonts w:hint="eastAsia"/>
        </w:rPr>
        <w:t>2、.物业管理人员如消防、电梯、水工、高低压电工等专业人员需持证上岗（需提供相关从业资格证书），此项为响应性条款，不响应为无效投标。</w:t>
      </w:r>
    </w:p>
    <w:p>
      <w:pPr>
        <w:pStyle w:val="45"/>
        <w:numPr>
          <w:ilvl w:val="0"/>
          <w:numId w:val="7"/>
        </w:numPr>
        <w:spacing w:line="360" w:lineRule="auto"/>
        <w:ind w:firstLineChars="0"/>
      </w:pPr>
      <w:r>
        <w:rPr>
          <w:rFonts w:hint="eastAsia"/>
        </w:rPr>
        <w:t>物业公司应就此项目后续工作保质保量，如实履约作出承诺，如不承诺，视为不响应招标文件。</w:t>
      </w:r>
    </w:p>
    <w:p>
      <w:pPr>
        <w:pStyle w:val="45"/>
        <w:spacing w:line="360" w:lineRule="auto"/>
        <w:ind w:left="420" w:firstLine="0" w:firstLineChars="0"/>
      </w:pPr>
      <w:r>
        <w:rPr>
          <w:rFonts w:hint="eastAsia"/>
        </w:rPr>
        <w:t>4、物业从业人员年龄原则上女不超过55岁，男不超</w:t>
      </w:r>
      <w:r>
        <w:rPr>
          <w:rFonts w:hint="eastAsia"/>
          <w:lang w:eastAsia="zh-CN"/>
        </w:rPr>
        <w:t>过</w:t>
      </w:r>
      <w:r>
        <w:rPr>
          <w:rFonts w:hint="eastAsia"/>
        </w:rPr>
        <w:t>60岁。身体健康、需提供身体健康体检证明。</w:t>
      </w:r>
    </w:p>
    <w:p>
      <w:pPr>
        <w:pStyle w:val="45"/>
        <w:numPr>
          <w:ilvl w:val="0"/>
          <w:numId w:val="18"/>
        </w:numPr>
        <w:spacing w:line="360" w:lineRule="auto"/>
        <w:ind w:firstLineChars="0"/>
      </w:pPr>
      <w:r>
        <w:rPr>
          <w:rFonts w:hint="eastAsia"/>
        </w:rPr>
        <w:t>所有从业人员需统一着装上岗。</w:t>
      </w:r>
    </w:p>
    <w:p>
      <w:pPr>
        <w:pStyle w:val="45"/>
        <w:spacing w:line="360" w:lineRule="auto"/>
        <w:ind w:left="420" w:firstLine="0" w:firstLineChars="0"/>
      </w:pPr>
      <w:r>
        <w:rPr>
          <w:rFonts w:hint="eastAsia"/>
        </w:rPr>
        <w:t>6、其他未尽事宜，党校拥有解释权。</w:t>
      </w:r>
    </w:p>
    <w:p>
      <w:pPr>
        <w:spacing w:line="360" w:lineRule="auto"/>
        <w:ind w:firstLine="422" w:firstLineChars="200"/>
        <w:contextualSpacing/>
        <w:rPr>
          <w:rFonts w:cs="仿宋" w:asciiTheme="majorEastAsia" w:hAnsiTheme="majorEastAsia" w:eastAsiaTheme="majorEastAsia"/>
          <w:color w:val="000000"/>
          <w:szCs w:val="21"/>
        </w:rPr>
      </w:pPr>
      <w:r>
        <w:rPr>
          <w:rFonts w:hint="eastAsia" w:cs="宋体" w:asciiTheme="majorEastAsia" w:hAnsiTheme="majorEastAsia" w:eastAsiaTheme="majorEastAsia"/>
          <w:b/>
          <w:color w:val="000000"/>
          <w:kern w:val="0"/>
          <w:szCs w:val="21"/>
          <w:lang w:val="zh-CN"/>
        </w:rPr>
        <w:t>三、采购标的执行标准：</w:t>
      </w:r>
      <w:r>
        <w:rPr>
          <w:rFonts w:hint="eastAsia" w:cs="仿宋" w:asciiTheme="majorEastAsia" w:hAnsiTheme="majorEastAsia" w:eastAsiaTheme="majorEastAsia"/>
          <w:color w:val="000000"/>
          <w:szCs w:val="21"/>
        </w:rPr>
        <w:t>执行相关国家标准。</w:t>
      </w:r>
    </w:p>
    <w:p>
      <w:pPr>
        <w:numPr>
          <w:ilvl w:val="0"/>
          <w:numId w:val="19"/>
        </w:numPr>
        <w:spacing w:line="360" w:lineRule="auto"/>
        <w:ind w:left="420" w:left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服务标准、期限、效率等要求：</w:t>
      </w:r>
      <w:r>
        <w:rPr>
          <w:rFonts w:hint="eastAsia" w:cs="仿宋" w:asciiTheme="majorEastAsia" w:hAnsiTheme="majorEastAsia" w:eastAsiaTheme="majorEastAsia"/>
          <w:color w:val="000000"/>
          <w:szCs w:val="21"/>
        </w:rPr>
        <w:t>符合业主需求，服务期限为合同签订后一年</w:t>
      </w:r>
      <w:r>
        <w:rPr>
          <w:rFonts w:hint="eastAsia" w:cs="宋体" w:asciiTheme="minorEastAsia" w:hAnsiTheme="minorEastAsia"/>
          <w:b/>
          <w:color w:val="000000"/>
          <w:kern w:val="0"/>
          <w:szCs w:val="21"/>
          <w:lang w:val="zh-CN"/>
        </w:rPr>
        <w:t>。</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五、采购标的的其他技术、服务等要求：</w:t>
      </w:r>
    </w:p>
    <w:p>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1、投标人应就该项目完整投标（报价含税费等），</w:t>
      </w:r>
      <w:r>
        <w:rPr>
          <w:rFonts w:hint="eastAsia" w:ascii="新宋体" w:hAnsi="新宋体" w:eastAsia="新宋体" w:cs="新宋体"/>
          <w:b/>
          <w:bCs/>
          <w:szCs w:val="21"/>
          <w:lang w:val="zh-CN"/>
        </w:rPr>
        <w:t>否则为无效投标</w:t>
      </w:r>
      <w:r>
        <w:rPr>
          <w:rFonts w:hint="eastAsia" w:ascii="新宋体" w:hAnsi="新宋体" w:eastAsia="新宋体" w:cs="新宋体"/>
          <w:szCs w:val="21"/>
          <w:lang w:val="zh-CN"/>
        </w:rPr>
        <w:t>。</w:t>
      </w:r>
    </w:p>
    <w:p>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2、本招标文件所列需求为最低要求，投标人不得低于此要求，</w:t>
      </w:r>
      <w:r>
        <w:rPr>
          <w:rFonts w:hint="eastAsia" w:ascii="新宋体" w:hAnsi="新宋体" w:eastAsia="新宋体" w:cs="新宋体"/>
          <w:b/>
          <w:bCs/>
          <w:szCs w:val="21"/>
          <w:lang w:val="zh-CN"/>
        </w:rPr>
        <w:t>否则为无效投标</w:t>
      </w:r>
      <w:r>
        <w:rPr>
          <w:rFonts w:hint="eastAsia" w:ascii="新宋体" w:hAnsi="新宋体" w:eastAsia="新宋体" w:cs="新宋体"/>
          <w:szCs w:val="21"/>
          <w:lang w:val="zh-CN"/>
        </w:rPr>
        <w:t>。</w:t>
      </w:r>
    </w:p>
    <w:p>
      <w:pPr>
        <w:topLinePunct/>
        <w:spacing w:line="360" w:lineRule="auto"/>
        <w:ind w:firstLine="420" w:firstLineChars="200"/>
        <w:contextualSpacing/>
        <w:rPr>
          <w:rFonts w:ascii="新宋体" w:hAnsi="新宋体" w:eastAsia="新宋体" w:cs="新宋体"/>
          <w:color w:val="000000"/>
          <w:szCs w:val="21"/>
        </w:rPr>
      </w:pPr>
      <w:r>
        <w:rPr>
          <w:rFonts w:hint="eastAsia"/>
          <w:lang w:val="zh-CN"/>
        </w:rPr>
        <w:t>3、</w:t>
      </w:r>
      <w:r>
        <w:rPr>
          <w:rFonts w:hint="eastAsia" w:ascii="新宋体" w:hAnsi="新宋体" w:eastAsia="新宋体" w:cs="新宋体"/>
          <w:bCs/>
          <w:color w:val="000000" w:themeColor="text1"/>
          <w:szCs w:val="21"/>
          <w:lang w:val="zh-CN"/>
        </w:rPr>
        <w:t>投标文件中须有详细的实施（技术）方案</w:t>
      </w:r>
      <w:r>
        <w:rPr>
          <w:rFonts w:hint="eastAsia" w:ascii="新宋体" w:hAnsi="新宋体" w:eastAsia="新宋体" w:cs="新宋体"/>
          <w:b/>
          <w:bCs/>
          <w:color w:val="000000" w:themeColor="text1"/>
          <w:szCs w:val="21"/>
          <w:lang w:val="zh-CN"/>
        </w:rPr>
        <w:t>，否则为无效投标。</w:t>
      </w:r>
    </w:p>
    <w:p>
      <w:pPr>
        <w:topLinePunct/>
        <w:snapToGrid w:val="0"/>
        <w:spacing w:line="360" w:lineRule="auto"/>
        <w:ind w:firstLine="422" w:firstLineChars="200"/>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六、验收标准：</w:t>
      </w:r>
    </w:p>
    <w:p>
      <w:pPr>
        <w:widowControl/>
        <w:shd w:val="clear" w:color="auto" w:fill="FFFFFF"/>
        <w:spacing w:line="360" w:lineRule="auto"/>
        <w:ind w:firstLine="600"/>
        <w:jc w:val="left"/>
        <w:rPr>
          <w:rFonts w:ascii="新宋体" w:hAnsi="新宋体" w:eastAsia="新宋体" w:cs="新宋体"/>
          <w:kern w:val="0"/>
          <w:szCs w:val="21"/>
        </w:rPr>
      </w:pPr>
      <w:r>
        <w:rPr>
          <w:rFonts w:hint="eastAsia" w:ascii="新宋体" w:hAnsi="新宋体" w:eastAsia="新宋体" w:cs="新宋体"/>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1、按照国家相关标准、行业标准、地方标准或者其他标准、规范验收（与采购标的执行标准一致，选填）；</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2、按照招标文件要求、投标文件响应和承诺验收；</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3、符合招标文件要求和投标文件承诺；</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4、本项目验收如需要第三方验收，中标方将承担所有产生的费用。</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560" w:lineRule="exact"/>
        <w:ind w:firstLine="600"/>
        <w:jc w:val="left"/>
        <w:rPr>
          <w:rFonts w:ascii="新宋体" w:hAnsi="新宋体" w:eastAsia="新宋体" w:cs="新宋体"/>
          <w:szCs w:val="21"/>
        </w:rPr>
      </w:pPr>
      <w:r>
        <w:rPr>
          <w:rFonts w:hint="eastAsia" w:ascii="新宋体" w:hAnsi="新宋体" w:eastAsia="新宋体" w:cs="新宋体"/>
          <w:kern w:val="0"/>
          <w:szCs w:val="21"/>
        </w:rPr>
        <w:t>（一）支付方式：</w:t>
      </w:r>
      <w:r>
        <w:rPr>
          <w:rFonts w:hint="eastAsia" w:ascii="新宋体" w:hAnsi="新宋体" w:eastAsia="新宋体" w:cs="新宋体"/>
          <w:szCs w:val="21"/>
        </w:rPr>
        <w:t>财政支付</w:t>
      </w:r>
    </w:p>
    <w:p>
      <w:pPr>
        <w:widowControl/>
        <w:shd w:val="clear" w:color="auto" w:fill="FFFFFF"/>
        <w:spacing w:line="560" w:lineRule="exact"/>
        <w:ind w:firstLine="600"/>
        <w:jc w:val="left"/>
        <w:rPr>
          <w:rFonts w:ascii="新宋体" w:hAnsi="新宋体" w:eastAsia="新宋体" w:cs="新宋体"/>
          <w:kern w:val="0"/>
          <w:szCs w:val="21"/>
        </w:rPr>
      </w:pPr>
      <w:r>
        <w:rPr>
          <w:rFonts w:hint="eastAsia" w:ascii="新宋体" w:hAnsi="新宋体" w:eastAsia="新宋体" w:cs="新宋体"/>
          <w:kern w:val="0"/>
          <w:szCs w:val="21"/>
        </w:rPr>
        <w:t>（二）支付时间及条件：以财政拨付时间为准（财政拨付给业主时间即为拨付</w:t>
      </w:r>
      <w:r>
        <w:rPr>
          <w:rFonts w:hint="eastAsia" w:ascii="新宋体" w:hAnsi="新宋体" w:eastAsia="新宋体" w:cs="新宋体"/>
          <w:kern w:val="0"/>
          <w:szCs w:val="21"/>
          <w:lang w:eastAsia="zh-CN"/>
        </w:rPr>
        <w:t>物</w:t>
      </w:r>
      <w:r>
        <w:rPr>
          <w:rFonts w:hint="eastAsia" w:ascii="新宋体" w:hAnsi="新宋体" w:eastAsia="新宋体" w:cs="新宋体"/>
          <w:kern w:val="0"/>
          <w:szCs w:val="21"/>
        </w:rPr>
        <w:t>业公司时间）。</w:t>
      </w:r>
    </w:p>
    <w:p>
      <w:pPr>
        <w:widowControl/>
        <w:jc w:val="left"/>
        <w:rPr>
          <w:rFonts w:cs="宋体" w:asciiTheme="majorEastAsia" w:hAnsiTheme="majorEastAsia" w:eastAsiaTheme="majorEastAsia"/>
          <w:b/>
          <w:kern w:val="0"/>
          <w:szCs w:val="21"/>
        </w:rPr>
      </w:pPr>
      <w:r>
        <w:rPr>
          <w:rFonts w:cs="宋体" w:asciiTheme="majorEastAsia" w:hAnsiTheme="majorEastAsia" w:eastAsiaTheme="majorEastAsia"/>
          <w:b/>
          <w:kern w:val="0"/>
          <w:szCs w:val="21"/>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pStyle w:val="2"/>
      </w:pPr>
    </w:p>
    <w:p>
      <w:pPr>
        <w:pStyle w:val="2"/>
        <w:ind w:firstLine="0" w:firstLineChars="0"/>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8"/>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94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943" w:type="dxa"/>
          </w:tcPr>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cs="仿宋" w:asciiTheme="majorEastAsia" w:hAnsiTheme="majorEastAsia" w:eastAsiaTheme="majorEastAsia"/>
                <w:szCs w:val="21"/>
              </w:rPr>
              <w:t>中共禹州市委党校物业服务项目（不见面开标）</w:t>
            </w:r>
          </w:p>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采购编号：YZCG-G2021018</w:t>
            </w:r>
          </w:p>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交付（服务、完工）时间：</w:t>
            </w:r>
            <w:r>
              <w:rPr>
                <w:rFonts w:hint="eastAsia" w:cs="仿宋_GB2312" w:asciiTheme="minorEastAsia" w:hAnsiTheme="minorEastAsia"/>
                <w:color w:val="000000"/>
                <w:szCs w:val="21"/>
                <w:shd w:val="clear" w:color="auto" w:fill="FFFFFF"/>
              </w:rPr>
              <w:t>合同签订后一年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943" w:type="dxa"/>
            <w:vAlign w:val="center"/>
          </w:tcPr>
          <w:p>
            <w:pPr>
              <w:widowControl/>
              <w:shd w:val="clear" w:color="auto" w:fill="FFFFFF"/>
              <w:spacing w:line="440" w:lineRule="exact"/>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采购单位：</w:t>
            </w:r>
            <w:r>
              <w:rPr>
                <w:rFonts w:hint="eastAsia" w:cs="仿宋" w:asciiTheme="majorEastAsia" w:hAnsiTheme="majorEastAsia" w:eastAsiaTheme="majorEastAsia"/>
                <w:szCs w:val="21"/>
              </w:rPr>
              <w:t>中共禹州市委党校</w:t>
            </w:r>
          </w:p>
          <w:p>
            <w:pPr>
              <w:widowControl/>
              <w:shd w:val="clear" w:color="auto" w:fill="FFFFFF"/>
              <w:spacing w:line="440" w:lineRule="exact"/>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地址：</w:t>
            </w:r>
            <w:r>
              <w:rPr>
                <w:rFonts w:hint="eastAsia" w:cs="仿宋" w:asciiTheme="majorEastAsia" w:hAnsiTheme="majorEastAsia" w:eastAsiaTheme="majorEastAsia"/>
                <w:szCs w:val="21"/>
              </w:rPr>
              <w:t>禹州市颍北大道西段</w:t>
            </w:r>
          </w:p>
          <w:p>
            <w:pPr>
              <w:widowControl/>
              <w:shd w:val="clear" w:color="auto" w:fill="FFFFFF"/>
              <w:spacing w:line="440" w:lineRule="exact"/>
              <w:jc w:val="left"/>
              <w:rPr>
                <w:rFonts w:ascii="仿宋" w:hAnsi="仿宋" w:eastAsia="仿宋" w:cs="仿宋"/>
                <w:sz w:val="24"/>
                <w:szCs w:val="24"/>
              </w:rPr>
            </w:pPr>
            <w:r>
              <w:rPr>
                <w:rFonts w:hint="eastAsia" w:cs="仿宋" w:asciiTheme="majorEastAsia" w:hAnsiTheme="majorEastAsia" w:eastAsiaTheme="majorEastAsia"/>
                <w:color w:val="000000"/>
                <w:kern w:val="0"/>
                <w:szCs w:val="21"/>
              </w:rPr>
              <w:t>联系人： 李女士      联系电话：0374-7037679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94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地址：禹州市行政服务中心楼917房间</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联系电话：0374-2077111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94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FF0000"/>
                <w:szCs w:val="21"/>
              </w:rPr>
              <w:t>①2019年度或2020年度经审计的财务报告，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bCs w:val="0"/>
                <w:szCs w:val="21"/>
              </w:rPr>
              <w:t>91.49</w:t>
            </w:r>
            <w:r>
              <w:rPr>
                <w:rFonts w:hint="eastAsia" w:cs="宋体" w:asciiTheme="minorEastAsia" w:hAnsiTheme="minorEastAsia"/>
                <w:b/>
                <w:bCs w:val="0"/>
                <w:szCs w:val="21"/>
                <w:lang w:val="en-US" w:eastAsia="zh-CN"/>
              </w:rPr>
              <w:t xml:space="preserve"> </w:t>
            </w:r>
            <w:r>
              <w:rPr>
                <w:rFonts w:hint="eastAsia" w:cs="宋体" w:asciiTheme="minorEastAsia" w:hAnsiTheme="minorEastAsia"/>
                <w:b/>
                <w:bCs w:val="0"/>
                <w:szCs w:val="21"/>
                <w:lang w:val="zh-CN"/>
              </w:rPr>
              <w:t>万元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94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94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94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2021</w:t>
            </w:r>
            <w:r>
              <w:rPr>
                <w:rFonts w:hint="eastAsia" w:cs="宋体" w:asciiTheme="minorEastAsia" w:hAnsiTheme="minorEastAsia"/>
                <w:bCs/>
                <w:szCs w:val="21"/>
                <w:lang w:val="zh-CN"/>
              </w:rPr>
              <w:t>年 6月30日</w:t>
            </w:r>
            <w:r>
              <w:rPr>
                <w:rFonts w:hint="eastAsia" w:cs="宋体" w:asciiTheme="minorEastAsia" w:hAnsiTheme="minorEastAsia"/>
                <w:bCs/>
                <w:szCs w:val="21"/>
              </w:rPr>
              <w:t>8：30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仿宋_GB2312" w:asciiTheme="minorEastAsia" w:hAnsiTheme="minorEastAsia"/>
                <w:color w:val="FF0000"/>
                <w:szCs w:val="21"/>
              </w:rPr>
              <w:t>（本项目采用远程不见面开标，供应商无须到达现场）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94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94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943" w:type="dxa"/>
            <w:vAlign w:val="center"/>
          </w:tcPr>
          <w:p>
            <w:pPr>
              <w:autoSpaceDE w:val="0"/>
              <w:autoSpaceDN w:val="0"/>
              <w:adjustRightInd w:val="0"/>
              <w:spacing w:line="360" w:lineRule="auto"/>
              <w:rPr>
                <w:rFonts w:cs="宋体" w:asciiTheme="minorEastAsia" w:hAnsiTheme="minorEastAsia"/>
                <w:color w:val="FF0000"/>
                <w:szCs w:val="21"/>
              </w:rPr>
            </w:pPr>
            <w:r>
              <w:rPr>
                <w:rFonts w:ascii="新宋体" w:hAnsi="新宋体" w:eastAsia="新宋体"/>
                <w:b/>
                <w:color w:val="FF0000"/>
                <w:szCs w:val="21"/>
              </w:rPr>
              <w:fldChar w:fldCharType="begin"/>
            </w:r>
            <w:r>
              <w:rPr>
                <w:rFonts w:hint="eastAsia" w:ascii="新宋体" w:hAnsi="新宋体" w:eastAsia="新宋体"/>
                <w:b/>
                <w:color w:val="FF0000"/>
                <w:szCs w:val="21"/>
              </w:rPr>
              <w:instrText xml:space="preserve">eq \o\ac(□,√)</w:instrText>
            </w:r>
            <w:r>
              <w:rPr>
                <w:rFonts w:ascii="新宋体" w:hAnsi="新宋体" w:eastAsia="新宋体"/>
                <w:b/>
                <w:color w:val="FF0000"/>
                <w:szCs w:val="21"/>
              </w:rPr>
              <w:fldChar w:fldCharType="end"/>
            </w:r>
            <w:r>
              <w:rPr>
                <w:rFonts w:hint="eastAsia" w:ascii="新宋体" w:hAnsi="新宋体" w:eastAsia="新宋体"/>
                <w:color w:val="FF0000"/>
                <w:szCs w:val="21"/>
              </w:rPr>
              <w:t>电子投标文件：成功上传至《全国公共资源交易平台（河南省·许昌市）》公共资源交易系统加密电子投标文件1份</w:t>
            </w:r>
            <w:r>
              <w:rPr>
                <w:rFonts w:hint="eastAsia" w:hAnsi="宋体" w:cs="宋体"/>
                <w:color w:val="FF0000"/>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94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94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FF0000"/>
              </w:rPr>
              <w:t>否则不得享受相关中小企业扶持政策。</w:t>
            </w:r>
          </w:p>
          <w:p>
            <w:pPr>
              <w:autoSpaceDE w:val="0"/>
              <w:autoSpaceDN w:val="0"/>
              <w:adjustRightInd w:val="0"/>
              <w:spacing w:line="360" w:lineRule="auto"/>
              <w:contextualSpacing/>
              <w:rPr>
                <w:rFonts w:ascii="ˎ̥" w:hAnsi="ˎ̥"/>
                <w:color w:val="FF0000"/>
              </w:rPr>
            </w:pPr>
            <w:r>
              <w:rPr>
                <w:rFonts w:hint="eastAsia" w:ascii="ˎ̥" w:hAnsi="ˎ̥"/>
                <w:color w:val="FF0000"/>
              </w:rPr>
              <w:t>2、本次</w:t>
            </w:r>
            <w:r>
              <w:rPr>
                <w:color w:val="FF0000"/>
              </w:rPr>
              <w:t>采购标的对应的中小企业划分标准所属行业</w:t>
            </w:r>
            <w:r>
              <w:rPr>
                <w:rFonts w:hint="eastAsia"/>
                <w:color w:val="FF0000"/>
              </w:rPr>
              <w:t>：</w:t>
            </w:r>
          </w:p>
          <w:p>
            <w:pPr>
              <w:autoSpaceDE w:val="0"/>
              <w:autoSpaceDN w:val="0"/>
              <w:adjustRightInd w:val="0"/>
              <w:spacing w:line="360" w:lineRule="auto"/>
              <w:contextualSpacing/>
              <w:rPr>
                <w:rFonts w:ascii="ˎ̥" w:hAnsi="ˎ̥"/>
                <w:color w:val="FF0000"/>
              </w:rPr>
            </w:pPr>
            <w:r>
              <w:rPr>
                <w:rFonts w:hint="eastAsia" w:ascii="ˎ̥" w:hAnsi="ˎ̥"/>
                <w:color w:val="FF0000"/>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FF0000"/>
              </w:rPr>
            </w:pPr>
            <w:r>
              <w:rPr>
                <w:rFonts w:hint="eastAsia" w:ascii="ˎ̥" w:hAnsi="ˎ̥"/>
                <w:color w:val="FF0000"/>
              </w:rPr>
              <w:t>4、</w:t>
            </w:r>
            <w:r>
              <w:rPr>
                <w:rFonts w:ascii="ˎ̥" w:hAnsi="ˎ̥"/>
                <w:color w:val="FF0000"/>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FF0000"/>
              </w:rPr>
            </w:pPr>
            <w:r>
              <w:rPr>
                <w:rFonts w:hint="eastAsia" w:ascii="ˎ̥" w:hAnsi="ˎ̥"/>
                <w:color w:val="FF0000"/>
              </w:rPr>
              <w:t>5、</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FF0000"/>
              </w:rPr>
            </w:pPr>
            <w:r>
              <w:rPr>
                <w:rFonts w:hint="eastAsia" w:ascii="ˎ̥" w:hAnsi="ˎ̥"/>
                <w:color w:val="FF0000"/>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color w:val="FF0000"/>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94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 w:val="13"/>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94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送投标报价及分项报价一览表（包含主要中标标的的名称、规格型号、数量、单价、服务要求等）电子文档，并同时电话告知交易见证</w:t>
            </w:r>
            <w:r>
              <w:rPr>
                <w:rFonts w:hint="eastAsia" w:cs="宋体" w:asciiTheme="minorEastAsia" w:hAnsiTheme="minorEastAsia"/>
                <w:bCs/>
                <w:szCs w:val="21"/>
              </w:rPr>
              <w:t>部</w:t>
            </w:r>
            <w:r>
              <w:rPr>
                <w:rFonts w:hint="eastAsia" w:cs="宋体" w:asciiTheme="minorEastAsia" w:hAnsiTheme="minorEastAsia"/>
                <w:bCs/>
                <w:szCs w:val="21"/>
                <w:lang w:val="zh-CN"/>
              </w:rPr>
              <w:t>。联系电话：0374-</w:t>
            </w:r>
            <w:r>
              <w:rPr>
                <w:rFonts w:hint="eastAsia" w:cs="宋体" w:asciiTheme="minorEastAsia" w:hAnsiTheme="minorEastAsia"/>
                <w:bCs/>
                <w:szCs w:val="21"/>
              </w:rPr>
              <w:t>2077772</w:t>
            </w:r>
            <w:r>
              <w:rPr>
                <w:rFonts w:hint="eastAsia" w:cs="宋体" w:asciiTheme="minorEastAsia" w:hAnsiTheme="minorEastAsia"/>
                <w:bCs/>
                <w:szCs w:val="21"/>
                <w:lang w:val="zh-CN"/>
              </w:rPr>
              <w:t>；邮箱：</w:t>
            </w:r>
            <w:r>
              <w:rPr>
                <w:rFonts w:hint="eastAsia" w:cs="宋体" w:asciiTheme="minorEastAsia" w:hAnsiTheme="minorEastAsia"/>
                <w:color w:val="333333"/>
                <w:szCs w:val="21"/>
              </w:rPr>
              <w:t>YZGGZY2076770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943" w:type="dxa"/>
            <w:vAlign w:val="center"/>
          </w:tcPr>
          <w:p>
            <w:pPr>
              <w:autoSpaceDE w:val="0"/>
              <w:autoSpaceDN w:val="0"/>
              <w:adjustRightInd w:val="0"/>
              <w:spacing w:line="360" w:lineRule="auto"/>
              <w:contextualSpacing/>
              <w:rPr>
                <w:rFonts w:hAnsi="宋体" w:cs="宋体"/>
                <w:color w:val="FF0000"/>
                <w:szCs w:val="21"/>
                <w:lang w:val="zh-CN"/>
              </w:rPr>
            </w:pPr>
            <w:r>
              <w:rPr>
                <w:rFonts w:cs="宋体" w:asciiTheme="minorEastAsia" w:hAnsiTheme="minorEastAsia"/>
                <w:b/>
                <w:color w:val="FF0000"/>
                <w:kern w:val="0"/>
                <w:szCs w:val="21"/>
                <w:lang w:val="zh-CN"/>
              </w:rPr>
              <w:fldChar w:fldCharType="begin"/>
            </w:r>
            <w:r>
              <w:rPr>
                <w:rFonts w:hint="eastAsia" w:cs="宋体" w:asciiTheme="minorEastAsia" w:hAnsiTheme="minorEastAsia"/>
                <w:b/>
                <w:color w:val="FF0000"/>
                <w:kern w:val="0"/>
                <w:szCs w:val="21"/>
                <w:lang w:val="zh-CN"/>
              </w:rPr>
              <w:instrText xml:space="preserve">eq \o\ac(□,</w:instrText>
            </w:r>
            <w:r>
              <w:rPr>
                <w:rFonts w:hint="eastAsia" w:cs="宋体" w:asciiTheme="minorEastAsia" w:hAnsiTheme="minorEastAsia"/>
                <w:b/>
                <w:color w:val="FF0000"/>
                <w:kern w:val="0"/>
                <w:position w:val="2"/>
                <w:szCs w:val="21"/>
                <w:lang w:val="zh-CN"/>
              </w:rPr>
              <w:instrText xml:space="preserve">√</w:instrText>
            </w:r>
            <w:r>
              <w:rPr>
                <w:rFonts w:hint="eastAsia" w:cs="宋体" w:asciiTheme="minorEastAsia" w:hAnsiTheme="minorEastAsia"/>
                <w:b/>
                <w:color w:val="FF0000"/>
                <w:kern w:val="0"/>
                <w:szCs w:val="21"/>
                <w:lang w:val="zh-CN"/>
              </w:rPr>
              <w:instrText xml:space="preserve">)</w:instrText>
            </w:r>
            <w:r>
              <w:rPr>
                <w:rFonts w:cs="宋体" w:asciiTheme="minorEastAsia" w:hAnsiTheme="minorEastAsia"/>
                <w:b/>
                <w:color w:val="FF0000"/>
                <w:kern w:val="0"/>
                <w:szCs w:val="21"/>
                <w:lang w:val="zh-CN"/>
              </w:rPr>
              <w:fldChar w:fldCharType="end"/>
            </w:r>
            <w:r>
              <w:rPr>
                <w:rFonts w:hint="eastAsia" w:cs="宋体" w:asciiTheme="minorEastAsia" w:hAnsiTheme="minorEastAsia"/>
                <w:bCs/>
                <w:color w:val="FF0000"/>
                <w:szCs w:val="21"/>
                <w:lang w:val="zh-CN"/>
              </w:rPr>
              <w:t>是。</w:t>
            </w:r>
            <w:r>
              <w:rPr>
                <w:rFonts w:hint="eastAsia" w:hAnsi="宋体" w:cs="宋体"/>
                <w:color w:val="FF0000"/>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94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hint="eastAsia" w:ascii="ˎ̥" w:hAnsi="ˎ̥"/>
              </w:rPr>
            </w:pPr>
            <w:r>
              <w:rPr>
                <w:rFonts w:hint="eastAsia" w:ascii="ˎ̥" w:hAnsi="ˎ̥"/>
              </w:rPr>
              <w:t>2、项目编号以本项目招标文件项目编号为准。</w:t>
            </w:r>
          </w:p>
          <w:p>
            <w:pPr>
              <w:autoSpaceDE w:val="0"/>
              <w:autoSpaceDN w:val="0"/>
              <w:adjustRightInd w:val="0"/>
              <w:spacing w:line="360" w:lineRule="auto"/>
              <w:contextualSpacing/>
            </w:pPr>
            <w:r>
              <w:rPr>
                <w:rFonts w:hint="eastAsia" w:ascii="ˎ̥" w:hAnsi="ˎ̥"/>
              </w:rPr>
              <w:t>3、投标文件格式先后顺序不作废标项处理。</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5"/>
        <w:autoSpaceDE w:val="0"/>
        <w:autoSpaceDN w:val="0"/>
        <w:spacing w:line="360" w:lineRule="auto"/>
        <w:ind w:left="780"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5"/>
        <w:numPr>
          <w:ilvl w:val="1"/>
          <w:numId w:val="20"/>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autoSpaceDE w:val="0"/>
        <w:autoSpaceDN w:val="0"/>
        <w:spacing w:line="360" w:lineRule="auto"/>
        <w:ind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5"/>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5"/>
        <w:numPr>
          <w:ilvl w:val="0"/>
          <w:numId w:val="2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3"/>
          <w:rFonts w:cs="宋体" w:asciiTheme="minorEastAsia" w:hAnsiTheme="minorEastAsia"/>
          <w:kern w:val="0"/>
          <w:szCs w:val="21"/>
        </w:rPr>
        <w:t>www.chinanpo.gov.cn</w:t>
      </w:r>
      <w:r>
        <w:rPr>
          <w:rStyle w:val="33"/>
          <w:rFonts w:cs="宋体" w:asciiTheme="minorEastAsia" w:hAnsiTheme="minorEastAsia"/>
          <w:kern w:val="0"/>
          <w:szCs w:val="21"/>
        </w:rPr>
        <w:fldChar w:fldCharType="end"/>
      </w:r>
      <w:r>
        <w:rPr>
          <w:rFonts w:hint="eastAsia" w:cs="宋体" w:asciiTheme="minorEastAsia" w:hAnsiTheme="minorEastAsia"/>
          <w:kern w:val="0"/>
          <w:szCs w:val="21"/>
        </w:rPr>
        <w:t>）；</w:t>
      </w:r>
    </w:p>
    <w:p>
      <w:pPr>
        <w:pStyle w:val="45"/>
        <w:numPr>
          <w:ilvl w:val="0"/>
          <w:numId w:val="2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5"/>
        <w:numPr>
          <w:ilvl w:val="0"/>
          <w:numId w:val="2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5"/>
        <w:numPr>
          <w:ilvl w:val="0"/>
          <w:numId w:val="2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5"/>
        <w:numPr>
          <w:ilvl w:val="0"/>
          <w:numId w:val="2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5"/>
        <w:numPr>
          <w:ilvl w:val="1"/>
          <w:numId w:val="20"/>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5"/>
        <w:numPr>
          <w:ilvl w:val="1"/>
          <w:numId w:val="20"/>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20"/>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5"/>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5"/>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5"/>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5"/>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除标书费用外，不收取费用。</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5"/>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5"/>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5"/>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5"/>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5"/>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5"/>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5"/>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5"/>
        <w:numPr>
          <w:ilvl w:val="1"/>
          <w:numId w:val="20"/>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FF0000"/>
          <w:kern w:val="0"/>
          <w:szCs w:val="21"/>
        </w:rPr>
        <w:t>.file</w:t>
      </w:r>
      <w:r>
        <w:rPr>
          <w:rFonts w:hint="eastAsia" w:cs="宋体" w:asciiTheme="minorEastAsia" w:hAnsiTheme="minorEastAsia"/>
          <w:color w:val="FF0000"/>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5"/>
        <w:numPr>
          <w:ilvl w:val="0"/>
          <w:numId w:val="27"/>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5"/>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5"/>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5"/>
        <w:numPr>
          <w:ilvl w:val="1"/>
          <w:numId w:val="20"/>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5"/>
        <w:numPr>
          <w:ilvl w:val="0"/>
          <w:numId w:val="27"/>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投标人必须在“投标邀请”和“投标人须知前附表”中规定的投标截止时间前，将</w:t>
      </w:r>
      <w:r>
        <w:rPr>
          <w:rFonts w:hint="eastAsia" w:cs="仿宋_GB2312" w:asciiTheme="minorEastAsia" w:hAnsiTheme="minorEastAsia"/>
          <w:color w:val="FF0000"/>
          <w:szCs w:val="21"/>
        </w:rPr>
        <w:t>加密电子投标文件</w:t>
      </w:r>
      <w:r>
        <w:rPr>
          <w:rFonts w:hint="eastAsia" w:cs="宋体" w:asciiTheme="minorEastAsia" w:hAnsiTheme="minorEastAsia"/>
          <w:color w:val="FF0000"/>
          <w:szCs w:val="21"/>
        </w:rPr>
        <w:t>（</w:t>
      </w:r>
      <w:r>
        <w:rPr>
          <w:rFonts w:asciiTheme="minorEastAsia" w:hAnsiTheme="minorEastAsia"/>
          <w:color w:val="FF0000"/>
          <w:szCs w:val="21"/>
        </w:rPr>
        <w:t>.file</w:t>
      </w:r>
      <w:r>
        <w:rPr>
          <w:rFonts w:hint="eastAsia" w:cs="宋体" w:asciiTheme="minorEastAsia" w:hAnsiTheme="minorEastAsia"/>
          <w:color w:val="FF0000"/>
          <w:szCs w:val="21"/>
        </w:rPr>
        <w:t>格式）</w:t>
      </w:r>
      <w:r>
        <w:rPr>
          <w:rFonts w:hint="eastAsia" w:cs="仿宋_GB2312" w:asciiTheme="minorEastAsia" w:hAnsiTheme="minorEastAsia"/>
          <w:color w:val="FF0000"/>
          <w:szCs w:val="21"/>
        </w:rPr>
        <w:t>通过《全国公共资源交易平台(河南省</w:t>
      </w:r>
      <w:r>
        <w:rPr>
          <w:rFonts w:hint="eastAsia" w:ascii="MS Mincho" w:hAnsi="MS Mincho" w:eastAsia="MS Mincho" w:cs="MS Mincho"/>
          <w:color w:val="FF0000"/>
          <w:szCs w:val="21"/>
        </w:rPr>
        <w:t>▪</w:t>
      </w:r>
      <w:r>
        <w:rPr>
          <w:rFonts w:hint="eastAsia" w:ascii="宋体" w:hAnsi="宋体" w:cs="宋体"/>
          <w:color w:val="FF0000"/>
          <w:szCs w:val="21"/>
        </w:rPr>
        <w:t>许昌市</w:t>
      </w:r>
      <w:r>
        <w:rPr>
          <w:rFonts w:hint="eastAsia" w:cs="仿宋_GB2312" w:asciiTheme="minorEastAsia" w:hAnsiTheme="minorEastAsia"/>
          <w:color w:val="FF0000"/>
          <w:szCs w:val="21"/>
        </w:rPr>
        <w:t>)》公共资源交易系统成功上传。</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5"/>
        <w:numPr>
          <w:ilvl w:val="0"/>
          <w:numId w:val="28"/>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投标人应当在投标截止时间前完成电子投标文件的提交，可以补充、修改或撤回。投标截止时间前未完成电子投标文件提交的，视为撤回投标文件。</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20"/>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投标人在提交投标文件后，可以撤回其投标，但投标人必须在规定的投标截止时间前以书面形式告知招标人。</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color w:val="FF0000"/>
          <w:kern w:val="0"/>
          <w:szCs w:val="21"/>
        </w:rPr>
      </w:pPr>
      <w:r>
        <w:rPr>
          <w:rFonts w:hint="eastAsia" w:cs="宋体" w:asciiTheme="minorEastAsia" w:hAnsiTheme="minorEastAsia"/>
          <w:b/>
          <w:color w:val="FF0000"/>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5"/>
        <w:numPr>
          <w:ilvl w:val="0"/>
          <w:numId w:val="29"/>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招标人将按招标文件规定的时间和地点组织远程不见面开标。开标由代理机构主持，投标人无须到现场。评标委员会成员不得参加开标活动。</w:t>
      </w:r>
    </w:p>
    <w:p>
      <w:pPr>
        <w:pStyle w:val="45"/>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5"/>
        <w:numPr>
          <w:ilvl w:val="1"/>
          <w:numId w:val="20"/>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FF0000"/>
          <w:szCs w:val="21"/>
        </w:rPr>
        <w:t>投标人选择功能栏“开标记录”按钮可查看</w:t>
      </w:r>
      <w:r>
        <w:rPr>
          <w:rFonts w:hint="eastAsia" w:cs="宋体" w:asciiTheme="minorEastAsia" w:hAnsiTheme="minorEastAsia"/>
          <w:color w:val="FF0000"/>
          <w:kern w:val="0"/>
          <w:szCs w:val="21"/>
        </w:rPr>
        <w:t>投标人名称、投标价格、修改和撤回投标的通知（如有的话）和招标文件规定的需要宣布的其他内容。</w:t>
      </w:r>
    </w:p>
    <w:p>
      <w:pPr>
        <w:pStyle w:val="45"/>
        <w:numPr>
          <w:ilvl w:val="1"/>
          <w:numId w:val="3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45"/>
        <w:numPr>
          <w:ilvl w:val="1"/>
          <w:numId w:val="31"/>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5"/>
        <w:numPr>
          <w:ilvl w:val="1"/>
          <w:numId w:val="32"/>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因投标人原因电子投标文件解密失败的，其投标将被拒绝。</w:t>
      </w:r>
    </w:p>
    <w:p>
      <w:pPr>
        <w:pStyle w:val="45"/>
        <w:numPr>
          <w:ilvl w:val="1"/>
          <w:numId w:val="3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5"/>
        <w:numPr>
          <w:ilvl w:val="1"/>
          <w:numId w:val="33"/>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开标过程由采购代理机构负责记录，</w:t>
      </w:r>
      <w:r>
        <w:rPr>
          <w:rFonts w:hint="eastAsia" w:hAnsi="宋体"/>
          <w:color w:val="FF0000"/>
          <w:szCs w:val="21"/>
        </w:rPr>
        <w:t>《开标记录表》经投标人进行电子签章、</w:t>
      </w:r>
      <w:r>
        <w:rPr>
          <w:rFonts w:hint="eastAsia" w:cs="宋体" w:asciiTheme="minorEastAsia" w:hAnsiTheme="minorEastAsia"/>
          <w:color w:val="FF0000"/>
          <w:kern w:val="0"/>
          <w:szCs w:val="21"/>
        </w:rPr>
        <w:t>由参加开标相关工作人员签字确认后随采购文件一并存档。</w:t>
      </w:r>
      <w:r>
        <w:rPr>
          <w:rFonts w:hint="eastAsia" w:hAnsi="宋体"/>
          <w:color w:val="FF0000"/>
          <w:szCs w:val="21"/>
        </w:rPr>
        <w:t>投标人未电子签章的，视同认可开标结果。</w:t>
      </w:r>
    </w:p>
    <w:p>
      <w:pPr>
        <w:pStyle w:val="45"/>
        <w:numPr>
          <w:ilvl w:val="1"/>
          <w:numId w:val="33"/>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5"/>
        <w:numPr>
          <w:ilvl w:val="1"/>
          <w:numId w:val="33"/>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项目远程不见面开标活动结束时，投标人应在《开标记录表》上进行电子签章。投标人未签章的，视同认可开标结果。</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5"/>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5"/>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5"/>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5"/>
        <w:numPr>
          <w:ilvl w:val="0"/>
          <w:numId w:val="3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5"/>
        <w:numPr>
          <w:ilvl w:val="0"/>
          <w:numId w:val="3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5"/>
        <w:numPr>
          <w:ilvl w:val="0"/>
          <w:numId w:val="3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5"/>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5"/>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5"/>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5"/>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5"/>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5"/>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5"/>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5"/>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5"/>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5"/>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5"/>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5"/>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5"/>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5"/>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5"/>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5"/>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5"/>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5"/>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5"/>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p>
    <w:p>
      <w:pPr>
        <w:pStyle w:val="45"/>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5"/>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45"/>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5"/>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5"/>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5"/>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5"/>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5"/>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5"/>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5"/>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5"/>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5"/>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5"/>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5"/>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5"/>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5"/>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5"/>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5"/>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5"/>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5"/>
        <w:numPr>
          <w:ilvl w:val="0"/>
          <w:numId w:val="57"/>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5"/>
        <w:numPr>
          <w:ilvl w:val="0"/>
          <w:numId w:val="57"/>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5"/>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5"/>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5"/>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5"/>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5"/>
        <w:numPr>
          <w:ilvl w:val="1"/>
          <w:numId w:val="6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5"/>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5"/>
        <w:numPr>
          <w:ilvl w:val="0"/>
          <w:numId w:val="6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5"/>
        <w:numPr>
          <w:ilvl w:val="0"/>
          <w:numId w:val="6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5"/>
        <w:numPr>
          <w:ilvl w:val="0"/>
          <w:numId w:val="6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5"/>
        <w:numPr>
          <w:ilvl w:val="0"/>
          <w:numId w:val="6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5"/>
        <w:numPr>
          <w:ilvl w:val="0"/>
          <w:numId w:val="6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5"/>
        <w:numPr>
          <w:ilvl w:val="0"/>
          <w:numId w:val="6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5"/>
        <w:numPr>
          <w:ilvl w:val="0"/>
          <w:numId w:val="6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5"/>
        <w:numPr>
          <w:ilvl w:val="0"/>
          <w:numId w:val="6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5"/>
        <w:numPr>
          <w:ilvl w:val="0"/>
          <w:numId w:val="6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5"/>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6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5"/>
        <w:numPr>
          <w:ilvl w:val="0"/>
          <w:numId w:val="6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5"/>
        <w:numPr>
          <w:ilvl w:val="0"/>
          <w:numId w:val="6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5"/>
        <w:numPr>
          <w:ilvl w:val="0"/>
          <w:numId w:val="6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5"/>
        <w:numPr>
          <w:ilvl w:val="0"/>
          <w:numId w:val="6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5"/>
        <w:numPr>
          <w:ilvl w:val="0"/>
          <w:numId w:val="6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5"/>
        <w:numPr>
          <w:ilvl w:val="0"/>
          <w:numId w:val="6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5"/>
        <w:numPr>
          <w:ilvl w:val="0"/>
          <w:numId w:val="6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5"/>
        <w:numPr>
          <w:ilvl w:val="0"/>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7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color w:val="FF0000"/>
          <w:kern w:val="0"/>
          <w:szCs w:val="21"/>
        </w:rPr>
        <w:t>对采购文件提出质疑的，</w:t>
      </w:r>
      <w:r>
        <w:rPr>
          <w:rFonts w:cs="宋体" w:asciiTheme="minorEastAsia" w:hAnsiTheme="minorEastAsia"/>
          <w:color w:val="FF0000"/>
          <w:kern w:val="0"/>
          <w:szCs w:val="21"/>
        </w:rPr>
        <w:t>潜在</w:t>
      </w:r>
      <w:r>
        <w:rPr>
          <w:rFonts w:hint="eastAsia" w:cs="宋体" w:asciiTheme="minorEastAsia" w:hAnsiTheme="minorEastAsia"/>
          <w:color w:val="FF0000"/>
          <w:kern w:val="0"/>
          <w:szCs w:val="21"/>
        </w:rPr>
        <w:t>投标人应</w:t>
      </w:r>
      <w:r>
        <w:rPr>
          <w:rFonts w:cs="宋体" w:asciiTheme="minorEastAsia" w:hAnsiTheme="minorEastAsia"/>
          <w:color w:val="FF0000"/>
          <w:kern w:val="0"/>
          <w:szCs w:val="21"/>
        </w:rPr>
        <w:t>已依法获取采购文件</w:t>
      </w:r>
      <w:r>
        <w:rPr>
          <w:rFonts w:hint="eastAsia" w:cs="宋体" w:asciiTheme="minorEastAsia" w:hAnsiTheme="minorEastAsia"/>
          <w:color w:val="FF0000"/>
          <w:kern w:val="0"/>
          <w:szCs w:val="21"/>
        </w:rPr>
        <w:t>，且应当在</w:t>
      </w:r>
      <w:r>
        <w:rPr>
          <w:rFonts w:cs="宋体" w:asciiTheme="minorEastAsia" w:hAnsiTheme="minorEastAsia"/>
          <w:color w:val="FF0000"/>
          <w:kern w:val="0"/>
          <w:szCs w:val="21"/>
        </w:rPr>
        <w:t>获取采购文件或者采购文件公告期限届满之日起7个工作日内</w:t>
      </w:r>
      <w:r>
        <w:rPr>
          <w:rFonts w:hint="eastAsia" w:cs="宋体" w:asciiTheme="minorEastAsia" w:hAnsiTheme="minorEastAsia"/>
          <w:color w:val="FF0000"/>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FF0000"/>
          <w:kern w:val="0"/>
          <w:szCs w:val="21"/>
        </w:rPr>
        <w:t>潜在</w:t>
      </w:r>
      <w:r>
        <w:rPr>
          <w:rFonts w:hint="eastAsia" w:cs="宋体" w:asciiTheme="minorEastAsia" w:hAnsiTheme="minorEastAsia"/>
          <w:color w:val="FF0000"/>
          <w:kern w:val="0"/>
          <w:szCs w:val="21"/>
        </w:rPr>
        <w:t>投标人应及时联系招标公告中集采机构联系人查看。如未提出视为全面接受；</w:t>
      </w:r>
    </w:p>
    <w:p>
      <w:pPr>
        <w:pStyle w:val="45"/>
        <w:numPr>
          <w:ilvl w:val="0"/>
          <w:numId w:val="7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5"/>
        <w:numPr>
          <w:ilvl w:val="0"/>
          <w:numId w:val="7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45"/>
        <w:numPr>
          <w:ilvl w:val="1"/>
          <w:numId w:val="71"/>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45"/>
        <w:numPr>
          <w:ilvl w:val="0"/>
          <w:numId w:val="72"/>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5"/>
        <w:numPr>
          <w:ilvl w:val="0"/>
          <w:numId w:val="72"/>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7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7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ascii="宋体" w:hAnsi="宋体" w:eastAsia="宋体" w:cs="宋体"/>
          <w:color w:val="333333"/>
          <w:sz w:val="24"/>
          <w:szCs w:val="24"/>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pPr>
        <w:pStyle w:val="45"/>
        <w:numPr>
          <w:ilvl w:val="0"/>
          <w:numId w:val="71"/>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 xml:space="preserve"> 政府采购合同融资</w:t>
      </w:r>
    </w:p>
    <w:p>
      <w:pPr>
        <w:pStyle w:val="45"/>
        <w:numPr>
          <w:ilvl w:val="1"/>
          <w:numId w:val="73"/>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41.2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2"/>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color w:val="FF0000"/>
        </w:rPr>
        <w:t>1、本</w:t>
      </w:r>
      <w:r>
        <w:rPr>
          <w:rFonts w:hint="eastAsia" w:cs="仿宋_GB2312" w:asciiTheme="minorEastAsia" w:hAnsiTheme="minor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FF0000"/>
        </w:rPr>
      </w:pPr>
      <w:r>
        <w:rPr>
          <w:rFonts w:hint="eastAsia" w:ascii="ˎ̥" w:hAnsi="ˎ̥"/>
          <w:color w:val="FF0000"/>
        </w:rPr>
        <w:t>2、</w:t>
      </w:r>
      <w:r>
        <w:rPr>
          <w:rFonts w:ascii="ˎ̥" w:hAnsi="ˎ̥"/>
          <w:color w:val="FF0000"/>
        </w:rPr>
        <w:t>在货物采购项目中，供应商提供的货物既有中小企业制造货物，也有大型企业制造货物的，不享受</w:t>
      </w:r>
      <w:r>
        <w:rPr>
          <w:rFonts w:hint="eastAsia" w:cs="仿宋_GB2312" w:asciiTheme="minorEastAsia" w:hAnsiTheme="minorEastAsia"/>
          <w:color w:val="FF0000"/>
          <w:szCs w:val="21"/>
          <w:lang w:val="zh-CN"/>
        </w:rPr>
        <w:t>《政府采购促进中小企业发展管理办法》（财库[2020]46号）</w:t>
      </w:r>
      <w:r>
        <w:rPr>
          <w:rFonts w:ascii="ˎ̥" w:hAnsi="ˎ̥"/>
          <w:color w:val="FF0000"/>
        </w:rPr>
        <w:t>规定的中小企业扶持政策。</w:t>
      </w:r>
    </w:p>
    <w:p>
      <w:pPr>
        <w:spacing w:line="360" w:lineRule="auto"/>
        <w:ind w:firstLine="420" w:firstLineChars="200"/>
        <w:contextualSpacing/>
        <w:rPr>
          <w:rFonts w:ascii="ˎ̥" w:hAnsi="ˎ̥"/>
          <w:color w:val="FF0000"/>
        </w:rPr>
      </w:pPr>
      <w:r>
        <w:rPr>
          <w:rFonts w:hint="eastAsia" w:ascii="ˎ̥" w:hAnsi="ˎ̥"/>
          <w:color w:val="FF0000"/>
        </w:rPr>
        <w:t>3、</w:t>
      </w:r>
      <w:r>
        <w:rPr>
          <w:rFonts w:ascii="ˎ̥" w:hAnsi="ˎ̥"/>
          <w:color w:val="FF0000"/>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FF0000"/>
        </w:rPr>
      </w:pPr>
      <w:r>
        <w:rPr>
          <w:rFonts w:hint="eastAsia" w:ascii="ˎ̥" w:hAnsi="ˎ̥"/>
          <w:color w:val="FF0000"/>
        </w:rPr>
        <w:t>4、</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FF0000"/>
        </w:rPr>
      </w:pPr>
      <w:r>
        <w:rPr>
          <w:rFonts w:hint="eastAsia" w:ascii="ˎ̥" w:hAnsi="ˎ̥"/>
          <w:color w:val="FF0000"/>
        </w:rPr>
        <w:t>5、按照本次采购标的所属行业的划型标准，符合条件的中小企业应按照招标文件格式要求提供《中小企业声明函》，</w:t>
      </w:r>
      <w:r>
        <w:rPr>
          <w:rFonts w:ascii="ˎ̥" w:hAnsi="ˎ̥"/>
          <w:color w:val="FF0000"/>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color w:val="FF0000"/>
                <w:szCs w:val="21"/>
              </w:rPr>
            </w:pPr>
            <w:r>
              <w:rPr>
                <w:rFonts w:hint="eastAsia" w:asciiTheme="minorEastAsia" w:hAnsiTheme="minorEastAsia"/>
                <w:bCs/>
                <w:szCs w:val="21"/>
              </w:rPr>
              <w:t>①</w:t>
            </w:r>
            <w:r>
              <w:rPr>
                <w:rFonts w:hint="eastAsia" w:asciiTheme="minorEastAsia" w:hAnsiTheme="minorEastAsia"/>
                <w:bCs/>
                <w:color w:val="FF0000"/>
                <w:szCs w:val="21"/>
              </w:rPr>
              <w:t>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color w:val="FF0000"/>
                <w:szCs w:val="21"/>
              </w:rPr>
              <w:t>2019年度或2020年度经审计的财务报告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3"/>
                <w:rFonts w:hint="eastAsia" w:asciiTheme="minorEastAsia" w:hAnsiTheme="minorEastAsia"/>
                <w:bCs/>
                <w:szCs w:val="21"/>
              </w:rPr>
              <w:t>www.creditchina.gov.cn</w:t>
            </w:r>
            <w:r>
              <w:rPr>
                <w:rStyle w:val="33"/>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ascii="ˎ̥" w:hAnsi="ˎ̥"/>
          <w:color w:val="FF0000"/>
        </w:rPr>
      </w:pPr>
      <w:r>
        <w:rPr>
          <w:rFonts w:hint="eastAsia" w:cs="仿宋_GB2312" w:asciiTheme="minorEastAsia" w:hAnsiTheme="minorEastAsia" w:eastAsiaTheme="minorEastAsia"/>
          <w:sz w:val="21"/>
          <w:szCs w:val="21"/>
          <w:lang w:val="zh-CN"/>
        </w:rPr>
        <w:t>1）</w:t>
      </w:r>
      <w:r>
        <w:rPr>
          <w:rFonts w:hint="eastAsia" w:ascii="ˎ̥" w:hAnsi="ˎ̥"/>
          <w:color w:val="FF0000"/>
          <w:sz w:val="21"/>
          <w:szCs w:val="21"/>
        </w:rPr>
        <w:t>如果本项目非专门面向中小企业采购，对</w:t>
      </w:r>
      <w:r>
        <w:rPr>
          <w:rFonts w:ascii="ˎ̥" w:hAnsi="ˎ̥"/>
          <w:color w:val="FF0000"/>
          <w:sz w:val="21"/>
          <w:szCs w:val="21"/>
        </w:rPr>
        <w:t>符合</w:t>
      </w:r>
      <w:r>
        <w:rPr>
          <w:rFonts w:hint="eastAsia" w:ascii="ˎ̥" w:hAnsi="ˎ̥"/>
          <w:color w:val="FF0000"/>
          <w:sz w:val="21"/>
          <w:szCs w:val="21"/>
        </w:rPr>
        <w:t>《政府采购促进中小企业发展管理办法》(财库〔2020〕46号</w:t>
      </w:r>
      <w:r>
        <w:rPr>
          <w:rFonts w:ascii="ˎ̥" w:hAnsi="ˎ̥"/>
          <w:color w:val="FF0000"/>
          <w:sz w:val="21"/>
          <w:szCs w:val="21"/>
        </w:rPr>
        <w:t>规定的小微企业报价</w:t>
      </w:r>
      <w:r>
        <w:rPr>
          <w:rFonts w:hint="eastAsia" w:ascii="ˎ̥" w:hAnsi="ˎ̥"/>
          <w:color w:val="FF0000"/>
          <w:sz w:val="21"/>
          <w:szCs w:val="21"/>
        </w:rPr>
        <w:t>给予6%的扣除，用扣除后的价格参与评审。</w:t>
      </w:r>
      <w:r>
        <w:rPr>
          <w:rFonts w:ascii="ˎ̥" w:hAnsi="ˎ̥"/>
          <w:color w:val="FF00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FF0000"/>
          <w:sz w:val="21"/>
          <w:szCs w:val="21"/>
        </w:rPr>
        <w:t>按照本次采购标的所属行业的划型标准，符合条件的中小企业应按照招标文件格式要求提供《中小企业声明函》，</w:t>
      </w:r>
      <w:r>
        <w:rPr>
          <w:rFonts w:ascii="ˎ̥" w:hAnsi="ˎ̥"/>
          <w:color w:val="FF0000"/>
          <w:sz w:val="21"/>
          <w:szCs w:val="21"/>
        </w:rPr>
        <w:t>否则不得享受相关中小企业扶持政策。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FF0000"/>
          <w:szCs w:val="21"/>
          <w:lang w:val="zh-CN"/>
        </w:rPr>
      </w:pPr>
      <w:r>
        <w:rPr>
          <w:rFonts w:hint="eastAsia" w:cs="仿宋_GB2312" w:asciiTheme="minorEastAsia" w:hAnsiTheme="minor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FF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8"/>
        <w:tblW w:w="9443"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6803"/>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84"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分值构成</w:t>
            </w:r>
          </w:p>
          <w:p>
            <w:pPr>
              <w:spacing w:line="560" w:lineRule="exact"/>
              <w:contextualSpacing/>
              <w:rPr>
                <w:rFonts w:cs="仿宋_GB2312"/>
                <w:kern w:val="0"/>
                <w:sz w:val="24"/>
                <w:szCs w:val="24"/>
              </w:rPr>
            </w:pPr>
            <w:r>
              <w:rPr>
                <w:rFonts w:hint="eastAsia" w:cs="仿宋_GB2312"/>
                <w:szCs w:val="21"/>
                <w:lang w:val="zh-CN"/>
              </w:rPr>
              <w:t>(总分100分)</w:t>
            </w:r>
          </w:p>
        </w:tc>
        <w:tc>
          <w:tcPr>
            <w:tcW w:w="775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价格分值：20分</w:t>
            </w:r>
          </w:p>
          <w:p>
            <w:pPr>
              <w:spacing w:line="560" w:lineRule="exact"/>
              <w:contextualSpacing/>
              <w:rPr>
                <w:rFonts w:cs="仿宋_GB2312"/>
                <w:szCs w:val="21"/>
                <w:lang w:val="zh-CN"/>
              </w:rPr>
            </w:pPr>
            <w:r>
              <w:rPr>
                <w:rFonts w:hint="eastAsia" w:cs="仿宋_GB2312"/>
                <w:szCs w:val="21"/>
                <w:lang w:val="zh-CN"/>
              </w:rPr>
              <w:t>商务部分：</w:t>
            </w:r>
            <w:r>
              <w:rPr>
                <w:rFonts w:hint="eastAsia" w:cs="仿宋_GB2312"/>
                <w:szCs w:val="21"/>
              </w:rPr>
              <w:t>40</w:t>
            </w:r>
            <w:r>
              <w:rPr>
                <w:rFonts w:hint="eastAsia" w:cs="仿宋_GB2312"/>
                <w:szCs w:val="21"/>
                <w:lang w:val="zh-CN"/>
              </w:rPr>
              <w:t>分</w:t>
            </w:r>
          </w:p>
          <w:p>
            <w:pPr>
              <w:spacing w:line="560" w:lineRule="exact"/>
              <w:contextualSpacing/>
              <w:rPr>
                <w:rFonts w:cs="仿宋_GB2312"/>
                <w:kern w:val="0"/>
                <w:sz w:val="24"/>
                <w:szCs w:val="24"/>
              </w:rPr>
            </w:pPr>
            <w:r>
              <w:rPr>
                <w:rFonts w:hint="eastAsia" w:cs="仿宋_GB2312"/>
                <w:szCs w:val="21"/>
                <w:lang w:val="zh-CN"/>
              </w:rPr>
              <w:t>技术部分：</w:t>
            </w:r>
            <w:r>
              <w:rPr>
                <w:rFonts w:hint="eastAsia" w:cs="仿宋_GB2312"/>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684"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评分因素</w:t>
            </w:r>
          </w:p>
        </w:tc>
        <w:tc>
          <w:tcPr>
            <w:tcW w:w="6803"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684"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投标报价</w:t>
            </w:r>
          </w:p>
          <w:p>
            <w:pPr>
              <w:spacing w:line="560" w:lineRule="exact"/>
              <w:contextualSpacing/>
              <w:rPr>
                <w:rFonts w:cs="仿宋_GB2312"/>
                <w:szCs w:val="21"/>
                <w:lang w:val="zh-CN"/>
              </w:rPr>
            </w:pPr>
            <w:r>
              <w:rPr>
                <w:rFonts w:hint="eastAsia" w:cs="仿宋_GB2312"/>
                <w:szCs w:val="21"/>
                <w:lang w:val="zh-CN"/>
              </w:rPr>
              <w:t>评分标准</w:t>
            </w:r>
          </w:p>
        </w:tc>
        <w:tc>
          <w:tcPr>
            <w:tcW w:w="6803"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评标基准价：满足招标文件要求的有效投标报价中，最低的投标报价为评标基准价。</w:t>
            </w:r>
          </w:p>
          <w:p>
            <w:pPr>
              <w:spacing w:line="560" w:lineRule="exact"/>
              <w:contextualSpacing/>
              <w:rPr>
                <w:rFonts w:cs="仿宋_GB2312"/>
                <w:szCs w:val="21"/>
                <w:lang w:val="zh-CN"/>
              </w:rPr>
            </w:pPr>
            <w:r>
              <w:rPr>
                <w:rFonts w:hint="eastAsia" w:cs="仿宋_GB2312"/>
                <w:szCs w:val="21"/>
                <w:lang w:val="zh-CN"/>
              </w:rPr>
              <w:t>投标报价得分=（评标基准价/投标报价）×20。</w:t>
            </w:r>
          </w:p>
          <w:p>
            <w:pPr>
              <w:spacing w:line="560" w:lineRule="exact"/>
              <w:contextualSpacing/>
              <w:rPr>
                <w:rFonts w:cs="仿宋_GB2312"/>
                <w:szCs w:val="21"/>
                <w:lang w:val="zh-CN"/>
              </w:rPr>
            </w:pPr>
            <w:r>
              <w:rPr>
                <w:rFonts w:hint="eastAsia" w:cs="仿宋_GB2312"/>
                <w:szCs w:val="21"/>
                <w:lang w:val="zh-CN"/>
              </w:rPr>
              <w:t>计算按四舍五入法则。保留小数点后两位。</w:t>
            </w:r>
          </w:p>
          <w:p>
            <w:pPr>
              <w:spacing w:line="560" w:lineRule="exact"/>
              <w:contextualSpacing/>
              <w:rPr>
                <w:rFonts w:cs="仿宋_GB2312"/>
                <w:szCs w:val="21"/>
                <w:lang w:val="zh-CN"/>
              </w:rPr>
            </w:pPr>
            <w:r>
              <w:rPr>
                <w:rFonts w:hint="eastAsia" w:cs="仿宋_GB2312"/>
                <w:szCs w:val="21"/>
                <w:lang w:val="zh-CN"/>
              </w:rPr>
              <w:t>注：当投标人的报价明显低于常规报价，评标委员会人为该投标人的最低投标报价或者某些小项报价明显不合理或者明显低于其他通过复合性审查投标人的报价，有可能不能诚信履约的，应当要求该投标人在评标现场合理的时间内提供书面说明，必要时提供相关证明材料予以解释说明（包括管理费用、人员成本、税收等所有成本及利润），投标人不能证明其报价合理的，评标委员会将认定该投标人以低于成本价投标，报价严重不平衡、不合理，是恶意不正当竞争行为，其投标将作无效投标处理。</w:t>
            </w:r>
          </w:p>
        </w:tc>
        <w:tc>
          <w:tcPr>
            <w:tcW w:w="956"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rPr>
              <w:t>20</w:t>
            </w:r>
            <w:r>
              <w:rPr>
                <w:rFonts w:hint="eastAsia" w:cs="仿宋_GB2312"/>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2940" w:firstLineChars="1400"/>
              <w:contextualSpacing/>
              <w:rPr>
                <w:rFonts w:cs="仿宋_GB2312"/>
                <w:szCs w:val="21"/>
                <w:lang w:val="zh-CN"/>
              </w:rPr>
            </w:pPr>
            <w:r>
              <w:rPr>
                <w:rFonts w:hint="eastAsia" w:cs="仿宋_GB2312"/>
                <w:szCs w:val="21"/>
                <w:lang w:val="zh-CN"/>
              </w:rPr>
              <w:t>二、商务部分（满分</w:t>
            </w:r>
            <w:r>
              <w:rPr>
                <w:rFonts w:hint="eastAsia" w:cs="仿宋_GB2312"/>
                <w:szCs w:val="21"/>
              </w:rPr>
              <w:t>40</w:t>
            </w:r>
            <w:r>
              <w:rPr>
                <w:rFonts w:hint="eastAsia" w:cs="仿宋_GB2312"/>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84"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评分因素</w:t>
            </w:r>
          </w:p>
        </w:tc>
        <w:tc>
          <w:tcPr>
            <w:tcW w:w="6803"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84"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类似业绩</w:t>
            </w:r>
          </w:p>
        </w:tc>
        <w:tc>
          <w:tcPr>
            <w:tcW w:w="6803" w:type="dxa"/>
            <w:tcBorders>
              <w:top w:val="single" w:color="auto" w:sz="4" w:space="0"/>
              <w:left w:val="nil"/>
              <w:bottom w:val="single" w:color="auto" w:sz="4" w:space="0"/>
              <w:right w:val="single" w:color="auto" w:sz="4" w:space="0"/>
            </w:tcBorders>
            <w:vAlign w:val="center"/>
          </w:tcPr>
          <w:p>
            <w:pPr>
              <w:spacing w:line="560" w:lineRule="exact"/>
              <w:contextualSpacing/>
              <w:rPr>
                <w:rFonts w:hint="eastAsia" w:cs="仿宋_GB2312"/>
                <w:szCs w:val="21"/>
                <w:lang w:val="zh-CN"/>
              </w:rPr>
            </w:pPr>
            <w:r>
              <w:rPr>
                <w:rFonts w:hint="eastAsia" w:cs="仿宋_GB2312"/>
                <w:szCs w:val="21"/>
                <w:lang w:val="zh-CN"/>
              </w:rPr>
              <w:t>201</w:t>
            </w:r>
            <w:r>
              <w:rPr>
                <w:rFonts w:hint="eastAsia" w:cs="仿宋_GB2312"/>
                <w:szCs w:val="21"/>
              </w:rPr>
              <w:t>8</w:t>
            </w:r>
            <w:r>
              <w:rPr>
                <w:rFonts w:hint="eastAsia" w:cs="仿宋_GB2312"/>
                <w:szCs w:val="21"/>
                <w:lang w:val="zh-CN"/>
              </w:rPr>
              <w:t>年1月1日以来（以合同签订日期为准），提供类似项目业绩的，每项得4分，满分28分。</w:t>
            </w:r>
          </w:p>
          <w:p>
            <w:pPr>
              <w:spacing w:line="560" w:lineRule="exact"/>
              <w:contextualSpacing/>
              <w:rPr>
                <w:rFonts w:cs="仿宋_GB2312"/>
                <w:szCs w:val="21"/>
                <w:lang w:val="zh-CN"/>
              </w:rPr>
            </w:pPr>
            <w:r>
              <w:rPr>
                <w:rFonts w:hint="eastAsia" w:cs="仿宋_GB2312"/>
                <w:szCs w:val="21"/>
                <w:lang w:val="zh-CN"/>
              </w:rPr>
              <w:t>以中标通知书或合同书为准，标书中附原件扫描</w:t>
            </w:r>
            <w:r>
              <w:rPr>
                <w:rFonts w:hint="eastAsia" w:cs="仿宋_GB2312"/>
                <w:szCs w:val="21"/>
              </w:rPr>
              <w:t>件或图片</w:t>
            </w:r>
            <w:r>
              <w:rPr>
                <w:rFonts w:hint="eastAsia" w:cs="仿宋_GB2312"/>
                <w:szCs w:val="21"/>
                <w:lang w:val="zh-CN"/>
              </w:rPr>
              <w:t>。</w:t>
            </w:r>
          </w:p>
        </w:tc>
        <w:tc>
          <w:tcPr>
            <w:tcW w:w="956"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rPr>
              <w:t>28</w:t>
            </w:r>
            <w:r>
              <w:rPr>
                <w:rFonts w:hint="eastAsia" w:cs="仿宋_GB2312"/>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84"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综合实力</w:t>
            </w:r>
          </w:p>
        </w:tc>
        <w:tc>
          <w:tcPr>
            <w:tcW w:w="6803" w:type="dxa"/>
            <w:tcBorders>
              <w:top w:val="single" w:color="auto" w:sz="4" w:space="0"/>
              <w:left w:val="nil"/>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1、投标人属于县级及以上物业管理协会理事单位的得4分，提供相关证明原件</w:t>
            </w:r>
            <w:r>
              <w:rPr>
                <w:rFonts w:hint="eastAsia" w:cs="仿宋_GB2312"/>
                <w:szCs w:val="21"/>
              </w:rPr>
              <w:t>扫描件或图片</w:t>
            </w:r>
            <w:r>
              <w:rPr>
                <w:rFonts w:hint="eastAsia" w:cs="仿宋_GB2312"/>
                <w:szCs w:val="21"/>
                <w:lang w:val="zh-CN"/>
              </w:rPr>
              <w:t>（</w:t>
            </w:r>
            <w:r>
              <w:rPr>
                <w:rFonts w:hint="eastAsia" w:cs="仿宋_GB2312"/>
                <w:szCs w:val="21"/>
              </w:rPr>
              <w:t>红头文件</w:t>
            </w:r>
            <w:r>
              <w:rPr>
                <w:rFonts w:hint="eastAsia" w:cs="仿宋_GB2312"/>
                <w:szCs w:val="21"/>
                <w:lang w:val="zh-CN"/>
              </w:rPr>
              <w:t>）。</w:t>
            </w:r>
          </w:p>
          <w:p>
            <w:pPr>
              <w:spacing w:line="560" w:lineRule="exact"/>
              <w:contextualSpacing/>
              <w:rPr>
                <w:rFonts w:cs="仿宋_GB2312"/>
                <w:szCs w:val="21"/>
                <w:lang w:val="zh-CN"/>
              </w:rPr>
            </w:pPr>
            <w:r>
              <w:rPr>
                <w:rFonts w:hint="eastAsia" w:cs="仿宋_GB2312"/>
                <w:szCs w:val="21"/>
                <w:lang w:val="zh-CN"/>
              </w:rPr>
              <w:t>2、201</w:t>
            </w:r>
            <w:r>
              <w:rPr>
                <w:rFonts w:hint="eastAsia" w:cs="仿宋_GB2312"/>
                <w:szCs w:val="21"/>
              </w:rPr>
              <w:t>8</w:t>
            </w:r>
            <w:r>
              <w:rPr>
                <w:rFonts w:hint="eastAsia" w:cs="仿宋_GB2312"/>
                <w:szCs w:val="21"/>
                <w:lang w:val="zh-CN"/>
              </w:rPr>
              <w:t>年1月1日以来服务的物业管理项目荣获县级及以上”示范项目”荣誉称号的得3分，提供相关证明（</w:t>
            </w:r>
            <w:r>
              <w:rPr>
                <w:rFonts w:hint="eastAsia" w:cs="仿宋_GB2312"/>
                <w:szCs w:val="21"/>
              </w:rPr>
              <w:t>红头文件</w:t>
            </w:r>
            <w:r>
              <w:rPr>
                <w:rFonts w:hint="eastAsia" w:cs="仿宋_GB2312"/>
                <w:szCs w:val="21"/>
                <w:lang w:val="zh-CN"/>
              </w:rPr>
              <w:t>），标书附原件</w:t>
            </w:r>
            <w:r>
              <w:rPr>
                <w:rFonts w:hint="eastAsia" w:cs="仿宋_GB2312"/>
                <w:szCs w:val="21"/>
              </w:rPr>
              <w:t>扫描件或图片</w:t>
            </w:r>
            <w:r>
              <w:rPr>
                <w:rFonts w:hint="eastAsia" w:cs="仿宋_GB2312"/>
                <w:szCs w:val="21"/>
                <w:lang w:val="zh-CN"/>
              </w:rPr>
              <w:t>。</w:t>
            </w:r>
          </w:p>
        </w:tc>
        <w:tc>
          <w:tcPr>
            <w:tcW w:w="956"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684"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投标文件</w:t>
            </w:r>
          </w:p>
          <w:p>
            <w:pPr>
              <w:spacing w:line="560" w:lineRule="exact"/>
              <w:contextualSpacing/>
              <w:rPr>
                <w:rFonts w:cs="仿宋_GB2312"/>
                <w:szCs w:val="21"/>
                <w:lang w:val="zh-CN"/>
              </w:rPr>
            </w:pPr>
            <w:r>
              <w:rPr>
                <w:rFonts w:hint="eastAsia" w:cs="仿宋_GB2312"/>
                <w:szCs w:val="21"/>
                <w:lang w:val="zh-CN"/>
              </w:rPr>
              <w:t>编制评价</w:t>
            </w:r>
          </w:p>
        </w:tc>
        <w:tc>
          <w:tcPr>
            <w:tcW w:w="6803"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评标委员会根据投标人编制的电子投标文件内容完整、制作清晰可辨、目录排版合理、索引内容方便等综合进行评价（1-5分）。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44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1562" w:firstLineChars="744"/>
              <w:contextualSpacing/>
              <w:rPr>
                <w:rFonts w:cs="仿宋_GB2312"/>
                <w:szCs w:val="21"/>
                <w:lang w:val="zh-CN"/>
              </w:rPr>
            </w:pPr>
            <w:r>
              <w:rPr>
                <w:rFonts w:hint="eastAsia" w:cs="仿宋_GB2312"/>
                <w:szCs w:val="21"/>
                <w:lang w:val="zh-CN"/>
              </w:rPr>
              <w:t>三、技术部分（满分</w:t>
            </w:r>
            <w:r>
              <w:rPr>
                <w:rFonts w:hint="eastAsia" w:cs="仿宋_GB2312"/>
                <w:szCs w:val="21"/>
              </w:rPr>
              <w:t>40</w:t>
            </w:r>
            <w:r>
              <w:rPr>
                <w:rFonts w:hint="eastAsia" w:cs="仿宋_GB2312"/>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84"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评分因素</w:t>
            </w:r>
          </w:p>
        </w:tc>
        <w:tc>
          <w:tcPr>
            <w:tcW w:w="6803"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150" w:firstLineChars="548"/>
              <w:contextualSpacing/>
              <w:rPr>
                <w:rFonts w:cs="仿宋_GB2312"/>
                <w:szCs w:val="21"/>
                <w:lang w:val="zh-CN"/>
              </w:rPr>
            </w:pPr>
            <w:r>
              <w:rPr>
                <w:rFonts w:hint="eastAsia" w:cs="仿宋_GB2312"/>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684" w:type="dxa"/>
            <w:vMerge w:val="restart"/>
            <w:tcBorders>
              <w:top w:val="single" w:color="auto" w:sz="4" w:space="0"/>
              <w:left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服务方案</w:t>
            </w:r>
          </w:p>
          <w:p>
            <w:pPr>
              <w:spacing w:line="560" w:lineRule="exact"/>
              <w:contextualSpacing/>
              <w:rPr>
                <w:rFonts w:cs="仿宋_GB2312"/>
                <w:szCs w:val="21"/>
                <w:lang w:val="zh-CN"/>
              </w:rPr>
            </w:pPr>
            <w:r>
              <w:rPr>
                <w:rFonts w:hint="eastAsia" w:cs="仿宋_GB2312"/>
                <w:szCs w:val="21"/>
                <w:lang w:val="zh-CN"/>
              </w:rPr>
              <w:t>及措施</w:t>
            </w:r>
          </w:p>
          <w:p>
            <w:pPr>
              <w:spacing w:line="560" w:lineRule="exact"/>
              <w:contextualSpacing/>
              <w:rPr>
                <w:rFonts w:cs="仿宋_GB2312"/>
                <w:szCs w:val="21"/>
                <w:lang w:val="zh-CN"/>
              </w:rPr>
            </w:pPr>
            <w:r>
              <w:rPr>
                <w:rFonts w:hint="eastAsia" w:cs="仿宋_GB2312"/>
                <w:szCs w:val="21"/>
                <w:lang w:val="zh-CN"/>
              </w:rPr>
              <w:t>（</w:t>
            </w:r>
            <w:r>
              <w:rPr>
                <w:rFonts w:hint="eastAsia" w:cs="仿宋_GB2312"/>
                <w:szCs w:val="21"/>
                <w:lang w:val="en-US" w:eastAsia="zh-CN"/>
              </w:rPr>
              <w:t>30</w:t>
            </w:r>
            <w:r>
              <w:rPr>
                <w:rFonts w:hint="eastAsia" w:cs="仿宋_GB2312"/>
                <w:szCs w:val="21"/>
                <w:lang w:val="zh-CN"/>
              </w:rPr>
              <w:t>分）</w:t>
            </w:r>
          </w:p>
        </w:tc>
        <w:tc>
          <w:tcPr>
            <w:tcW w:w="6803" w:type="dxa"/>
            <w:tcBorders>
              <w:top w:val="single" w:color="auto" w:sz="4" w:space="0"/>
              <w:left w:val="nil"/>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1、整体物业管理方案及措施</w:t>
            </w:r>
          </w:p>
          <w:p>
            <w:pPr>
              <w:spacing w:line="560" w:lineRule="exact"/>
              <w:contextualSpacing/>
              <w:rPr>
                <w:rFonts w:cs="仿宋_GB2312"/>
                <w:szCs w:val="21"/>
                <w:lang w:val="zh-CN"/>
              </w:rPr>
            </w:pPr>
            <w:r>
              <w:rPr>
                <w:rFonts w:hint="eastAsia" w:cs="仿宋_GB2312"/>
                <w:szCs w:val="21"/>
                <w:lang w:val="zh-CN"/>
              </w:rPr>
              <w:t xml:space="preserve">整体物业管理方案及措施是否全面、合理、完善： </w:t>
            </w:r>
          </w:p>
          <w:p>
            <w:pPr>
              <w:spacing w:line="560" w:lineRule="exact"/>
              <w:contextualSpacing/>
              <w:rPr>
                <w:rFonts w:cs="仿宋_GB2312"/>
                <w:szCs w:val="21"/>
                <w:lang w:val="zh-CN"/>
              </w:rPr>
            </w:pPr>
            <w:r>
              <w:rPr>
                <w:rFonts w:hint="eastAsia" w:cs="仿宋_GB2312"/>
                <w:szCs w:val="21"/>
                <w:lang w:val="zh-CN"/>
              </w:rPr>
              <w:t>评委根据方案及措施是否全面、合理、完善在1-</w:t>
            </w:r>
            <w:r>
              <w:rPr>
                <w:rFonts w:hint="eastAsia" w:cs="仿宋_GB2312"/>
                <w:szCs w:val="21"/>
                <w:lang w:val="en-US" w:eastAsia="zh-CN"/>
              </w:rPr>
              <w:t>6</w:t>
            </w:r>
            <w:r>
              <w:rPr>
                <w:rFonts w:hint="eastAsia" w:cs="仿宋_GB2312"/>
                <w:szCs w:val="21"/>
                <w:lang w:val="zh-CN"/>
              </w:rPr>
              <w:t>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en-US" w:eastAsia="zh-CN"/>
              </w:rPr>
              <w:t>6</w:t>
            </w:r>
            <w:r>
              <w:rPr>
                <w:rFonts w:hint="eastAsia" w:cs="仿宋_GB2312"/>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684" w:type="dxa"/>
            <w:vMerge w:val="continue"/>
            <w:tcBorders>
              <w:left w:val="single" w:color="auto" w:sz="4" w:space="0"/>
              <w:right w:val="single" w:color="auto" w:sz="4" w:space="0"/>
            </w:tcBorders>
            <w:vAlign w:val="center"/>
          </w:tcPr>
          <w:p>
            <w:pPr>
              <w:spacing w:line="560" w:lineRule="exact"/>
              <w:ind w:firstLine="420" w:firstLineChars="200"/>
              <w:contextualSpacing/>
              <w:rPr>
                <w:rFonts w:cs="仿宋_GB2312"/>
                <w:szCs w:val="21"/>
                <w:lang w:val="zh-CN"/>
              </w:rPr>
            </w:pPr>
          </w:p>
        </w:tc>
        <w:tc>
          <w:tcPr>
            <w:tcW w:w="6803" w:type="dxa"/>
            <w:tcBorders>
              <w:top w:val="single" w:color="auto" w:sz="4" w:space="0"/>
              <w:left w:val="nil"/>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2、员工从业能力培训方案及保持服务人员稳定的措施</w:t>
            </w:r>
          </w:p>
          <w:p>
            <w:pPr>
              <w:spacing w:line="560" w:lineRule="exact"/>
              <w:contextualSpacing/>
              <w:rPr>
                <w:rFonts w:cs="仿宋_GB2312"/>
                <w:szCs w:val="21"/>
                <w:lang w:val="zh-CN"/>
              </w:rPr>
            </w:pPr>
            <w:r>
              <w:rPr>
                <w:rFonts w:hint="eastAsia" w:cs="仿宋_GB2312"/>
                <w:szCs w:val="21"/>
                <w:lang w:val="zh-CN"/>
              </w:rPr>
              <w:t>员工从业能力的培训教育方案以及保持服务人员相对稳定的措施，评委根据方案及措施的完整、合理性在1-</w:t>
            </w:r>
            <w:r>
              <w:rPr>
                <w:rFonts w:hint="eastAsia" w:cs="仿宋_GB2312"/>
                <w:szCs w:val="21"/>
                <w:lang w:val="en-US" w:eastAsia="zh-CN"/>
              </w:rPr>
              <w:t>5</w:t>
            </w:r>
            <w:r>
              <w:rPr>
                <w:rFonts w:hint="eastAsia" w:cs="仿宋_GB2312"/>
                <w:szCs w:val="21"/>
                <w:lang w:val="zh-CN"/>
              </w:rPr>
              <w:t>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en-US" w:eastAsia="zh-CN"/>
              </w:rPr>
              <w:t>5</w:t>
            </w:r>
            <w:r>
              <w:rPr>
                <w:rFonts w:hint="eastAsia" w:cs="仿宋_GB2312"/>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684" w:type="dxa"/>
            <w:vMerge w:val="continue"/>
            <w:tcBorders>
              <w:left w:val="single" w:color="auto" w:sz="4" w:space="0"/>
              <w:right w:val="single" w:color="auto" w:sz="4" w:space="0"/>
            </w:tcBorders>
            <w:vAlign w:val="center"/>
          </w:tcPr>
          <w:p>
            <w:pPr>
              <w:spacing w:line="560" w:lineRule="exact"/>
              <w:ind w:firstLine="420" w:firstLineChars="200"/>
              <w:contextualSpacing/>
              <w:rPr>
                <w:rFonts w:cs="仿宋_GB2312"/>
                <w:szCs w:val="21"/>
                <w:lang w:val="zh-CN"/>
              </w:rPr>
            </w:pPr>
          </w:p>
        </w:tc>
        <w:tc>
          <w:tcPr>
            <w:tcW w:w="6803" w:type="dxa"/>
            <w:tcBorders>
              <w:top w:val="single" w:color="auto" w:sz="4" w:space="0"/>
              <w:left w:val="nil"/>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3、服务质量保证措施</w:t>
            </w:r>
          </w:p>
          <w:p>
            <w:pPr>
              <w:spacing w:line="560" w:lineRule="exact"/>
              <w:contextualSpacing/>
              <w:rPr>
                <w:rFonts w:cs="仿宋_GB2312"/>
                <w:szCs w:val="21"/>
                <w:lang w:val="zh-CN"/>
              </w:rPr>
            </w:pPr>
            <w:r>
              <w:rPr>
                <w:rFonts w:hint="eastAsia" w:cs="仿宋_GB2312"/>
                <w:szCs w:val="21"/>
                <w:lang w:val="zh-CN"/>
              </w:rPr>
              <w:t>服务质量保证措施：评委根据方案及措施的完整、合理性在1-</w:t>
            </w:r>
            <w:r>
              <w:rPr>
                <w:rFonts w:hint="eastAsia" w:cs="仿宋_GB2312"/>
                <w:szCs w:val="21"/>
                <w:lang w:val="en-US" w:eastAsia="zh-CN"/>
              </w:rPr>
              <w:t>6</w:t>
            </w:r>
            <w:r>
              <w:rPr>
                <w:rFonts w:hint="eastAsia" w:cs="仿宋_GB2312"/>
                <w:szCs w:val="21"/>
                <w:lang w:val="zh-CN"/>
              </w:rPr>
              <w:t>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en-US" w:eastAsia="zh-CN"/>
              </w:rPr>
              <w:t>6</w:t>
            </w:r>
            <w:r>
              <w:rPr>
                <w:rFonts w:hint="eastAsia" w:cs="仿宋_GB2312"/>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684" w:type="dxa"/>
            <w:vMerge w:val="continue"/>
            <w:tcBorders>
              <w:left w:val="single" w:color="auto" w:sz="4" w:space="0"/>
              <w:right w:val="single" w:color="auto" w:sz="4" w:space="0"/>
            </w:tcBorders>
            <w:vAlign w:val="center"/>
          </w:tcPr>
          <w:p>
            <w:pPr>
              <w:spacing w:line="560" w:lineRule="exact"/>
              <w:ind w:firstLine="420" w:firstLineChars="200"/>
              <w:contextualSpacing/>
              <w:rPr>
                <w:rFonts w:cs="仿宋_GB2312"/>
                <w:szCs w:val="21"/>
                <w:lang w:val="zh-CN"/>
              </w:rPr>
            </w:pPr>
          </w:p>
        </w:tc>
        <w:tc>
          <w:tcPr>
            <w:tcW w:w="6803" w:type="dxa"/>
            <w:tcBorders>
              <w:top w:val="single" w:color="auto" w:sz="4" w:space="0"/>
              <w:left w:val="nil"/>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4突发事件处置预案</w:t>
            </w:r>
          </w:p>
          <w:p>
            <w:pPr>
              <w:spacing w:line="560" w:lineRule="exact"/>
              <w:contextualSpacing/>
              <w:rPr>
                <w:rFonts w:cs="仿宋_GB2312"/>
                <w:szCs w:val="21"/>
                <w:lang w:val="zh-CN"/>
              </w:rPr>
            </w:pPr>
            <w:r>
              <w:rPr>
                <w:rFonts w:hint="eastAsia" w:cs="仿宋_GB2312"/>
                <w:szCs w:val="21"/>
                <w:lang w:val="zh-CN"/>
              </w:rPr>
              <w:t>突发事件处置预案：评委根据预案的合理、详细、切实可行的在1-</w:t>
            </w:r>
            <w:r>
              <w:rPr>
                <w:rFonts w:hint="eastAsia" w:cs="仿宋_GB2312"/>
                <w:szCs w:val="21"/>
                <w:lang w:val="en-US" w:eastAsia="zh-CN"/>
              </w:rPr>
              <w:t>6</w:t>
            </w:r>
            <w:r>
              <w:rPr>
                <w:rFonts w:hint="eastAsia" w:cs="仿宋_GB2312"/>
                <w:szCs w:val="21"/>
                <w:lang w:val="zh-CN"/>
              </w:rPr>
              <w:t>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en-US" w:eastAsia="zh-CN"/>
              </w:rPr>
              <w:t>6</w:t>
            </w:r>
            <w:r>
              <w:rPr>
                <w:rFonts w:hint="eastAsia" w:cs="仿宋_GB2312"/>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684" w:type="dxa"/>
            <w:vMerge w:val="continue"/>
            <w:tcBorders>
              <w:left w:val="single" w:color="auto" w:sz="4" w:space="0"/>
              <w:right w:val="single" w:color="auto" w:sz="4" w:space="0"/>
            </w:tcBorders>
            <w:vAlign w:val="center"/>
          </w:tcPr>
          <w:p>
            <w:pPr>
              <w:spacing w:line="560" w:lineRule="exact"/>
              <w:ind w:firstLine="420" w:firstLineChars="200"/>
              <w:contextualSpacing/>
              <w:rPr>
                <w:rFonts w:cs="仿宋_GB2312"/>
                <w:szCs w:val="21"/>
                <w:lang w:val="zh-CN"/>
              </w:rPr>
            </w:pPr>
          </w:p>
        </w:tc>
        <w:tc>
          <w:tcPr>
            <w:tcW w:w="6803" w:type="dxa"/>
            <w:tcBorders>
              <w:top w:val="single" w:color="auto" w:sz="4" w:space="0"/>
              <w:left w:val="nil"/>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5、规章制度</w:t>
            </w:r>
          </w:p>
          <w:p>
            <w:pPr>
              <w:spacing w:line="560" w:lineRule="exact"/>
              <w:contextualSpacing/>
              <w:rPr>
                <w:rFonts w:cs="仿宋_GB2312"/>
                <w:szCs w:val="21"/>
                <w:lang w:val="zh-CN"/>
              </w:rPr>
            </w:pPr>
            <w:r>
              <w:rPr>
                <w:rFonts w:hint="eastAsia" w:cs="仿宋_GB2312"/>
                <w:szCs w:val="21"/>
                <w:lang w:val="zh-CN"/>
              </w:rPr>
              <w:t>规章制度是否健全：评委根据规章制度的合理、详细、切实可行的在1-</w:t>
            </w:r>
            <w:r>
              <w:rPr>
                <w:rFonts w:hint="eastAsia" w:cs="仿宋_GB2312"/>
                <w:szCs w:val="21"/>
                <w:lang w:val="en-US" w:eastAsia="zh-CN"/>
              </w:rPr>
              <w:t>4</w:t>
            </w:r>
            <w:r>
              <w:rPr>
                <w:rFonts w:hint="eastAsia" w:cs="仿宋_GB2312"/>
                <w:szCs w:val="21"/>
                <w:lang w:val="zh-CN"/>
              </w:rPr>
              <w:t>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en-US" w:eastAsia="zh-CN"/>
              </w:rPr>
              <w:t>4</w:t>
            </w:r>
            <w:r>
              <w:rPr>
                <w:rFonts w:hint="eastAsia" w:cs="仿宋_GB2312"/>
                <w:szCs w:val="21"/>
                <w:lang w:val="zh-CN"/>
              </w:rPr>
              <w:t>分</w:t>
            </w:r>
            <w:bookmarkStart w:id="12" w:name="_GoBack"/>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684" w:type="dxa"/>
            <w:vMerge w:val="continue"/>
            <w:tcBorders>
              <w:left w:val="single" w:color="auto" w:sz="4" w:space="0"/>
              <w:right w:val="single" w:color="auto" w:sz="4" w:space="0"/>
            </w:tcBorders>
            <w:vAlign w:val="center"/>
          </w:tcPr>
          <w:p>
            <w:pPr>
              <w:spacing w:line="560" w:lineRule="exact"/>
              <w:ind w:firstLine="420" w:firstLineChars="200"/>
              <w:contextualSpacing/>
              <w:rPr>
                <w:rFonts w:cs="仿宋_GB2312"/>
                <w:szCs w:val="21"/>
                <w:lang w:val="zh-CN"/>
              </w:rPr>
            </w:pPr>
          </w:p>
        </w:tc>
        <w:tc>
          <w:tcPr>
            <w:tcW w:w="6803" w:type="dxa"/>
            <w:tcBorders>
              <w:top w:val="single" w:color="auto" w:sz="4" w:space="0"/>
              <w:left w:val="nil"/>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6、档案资</w:t>
            </w:r>
            <w:r>
              <w:rPr>
                <w:rFonts w:hint="eastAsia" w:cs="仿宋_GB2312"/>
                <w:szCs w:val="21"/>
              </w:rPr>
              <w:t>料</w:t>
            </w:r>
            <w:r>
              <w:rPr>
                <w:rFonts w:hint="eastAsia" w:cs="仿宋_GB2312"/>
                <w:szCs w:val="21"/>
                <w:lang w:val="zh-CN"/>
              </w:rPr>
              <w:t>管理</w:t>
            </w:r>
          </w:p>
          <w:p>
            <w:pPr>
              <w:spacing w:line="560" w:lineRule="exact"/>
              <w:contextualSpacing/>
              <w:rPr>
                <w:rFonts w:cs="仿宋_GB2312"/>
                <w:szCs w:val="21"/>
                <w:lang w:val="zh-CN"/>
              </w:rPr>
            </w:pPr>
            <w:r>
              <w:rPr>
                <w:rFonts w:hint="eastAsia" w:cs="仿宋_GB2312"/>
                <w:szCs w:val="21"/>
                <w:lang w:val="zh-CN"/>
              </w:rPr>
              <w:t>档案资料管理(人员、设施、设备管理服务、行政文件资料、信息等档案的建立与管理）：评委根据档案资料管理的合理、科学、切实可行的在1-</w:t>
            </w:r>
            <w:r>
              <w:rPr>
                <w:rFonts w:hint="eastAsia" w:cs="仿宋_GB2312"/>
                <w:szCs w:val="21"/>
              </w:rPr>
              <w:t>3</w:t>
            </w:r>
            <w:r>
              <w:rPr>
                <w:rFonts w:hint="eastAsia" w:cs="仿宋_GB2312"/>
                <w:szCs w:val="21"/>
                <w:lang w:val="zh-CN"/>
              </w:rPr>
              <w:t>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rPr>
              <w:t>3</w:t>
            </w:r>
            <w:r>
              <w:rPr>
                <w:rFonts w:hint="eastAsia" w:cs="仿宋_GB2312"/>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684" w:type="dxa"/>
            <w:vMerge w:val="restart"/>
            <w:tcBorders>
              <w:left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服务</w:t>
            </w:r>
          </w:p>
          <w:p>
            <w:pPr>
              <w:spacing w:line="560" w:lineRule="exact"/>
              <w:contextualSpacing/>
              <w:rPr>
                <w:rFonts w:cs="仿宋_GB2312"/>
                <w:szCs w:val="21"/>
                <w:lang w:val="zh-CN"/>
              </w:rPr>
            </w:pPr>
            <w:r>
              <w:rPr>
                <w:rFonts w:hint="eastAsia" w:cs="仿宋_GB2312"/>
                <w:szCs w:val="21"/>
                <w:lang w:val="zh-CN"/>
              </w:rPr>
              <w:t>承诺</w:t>
            </w:r>
          </w:p>
          <w:p>
            <w:pPr>
              <w:spacing w:line="560" w:lineRule="exact"/>
              <w:contextualSpacing/>
              <w:rPr>
                <w:rFonts w:cs="仿宋_GB2312"/>
                <w:szCs w:val="21"/>
                <w:lang w:val="zh-CN"/>
              </w:rPr>
            </w:pPr>
            <w:r>
              <w:rPr>
                <w:rFonts w:hint="eastAsia" w:cs="仿宋_GB2312"/>
                <w:szCs w:val="21"/>
                <w:lang w:val="zh-CN"/>
              </w:rPr>
              <w:t>（10分）</w:t>
            </w:r>
          </w:p>
        </w:tc>
        <w:tc>
          <w:tcPr>
            <w:tcW w:w="6803" w:type="dxa"/>
            <w:tcBorders>
              <w:top w:val="single" w:color="auto" w:sz="4" w:space="0"/>
              <w:left w:val="nil"/>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1、售后服务</w:t>
            </w:r>
          </w:p>
          <w:p>
            <w:pPr>
              <w:spacing w:line="560" w:lineRule="exact"/>
              <w:contextualSpacing/>
              <w:rPr>
                <w:rFonts w:cs="仿宋_GB2312"/>
                <w:szCs w:val="21"/>
                <w:lang w:val="zh-CN"/>
              </w:rPr>
            </w:pPr>
            <w:r>
              <w:rPr>
                <w:rFonts w:hint="eastAsia" w:cs="仿宋_GB2312"/>
                <w:szCs w:val="21"/>
                <w:lang w:val="zh-CN"/>
              </w:rPr>
              <w:t>根据承诺内容及针对采购人排忧解难情况及其他承诺情况等进行对比在1-</w:t>
            </w:r>
            <w:r>
              <w:rPr>
                <w:rFonts w:hint="eastAsia" w:cs="仿宋_GB2312"/>
                <w:szCs w:val="21"/>
              </w:rPr>
              <w:t>5</w:t>
            </w:r>
            <w:r>
              <w:rPr>
                <w:rFonts w:hint="eastAsia" w:cs="仿宋_GB2312"/>
                <w:szCs w:val="21"/>
                <w:lang w:val="zh-CN"/>
              </w:rPr>
              <w:t>分内打分。</w:t>
            </w:r>
          </w:p>
          <w:p>
            <w:pPr>
              <w:spacing w:line="560" w:lineRule="exact"/>
              <w:contextualSpacing/>
              <w:rPr>
                <w:rFonts w:cs="仿宋_GB2312"/>
                <w:szCs w:val="21"/>
                <w:lang w:val="zh-CN"/>
              </w:rPr>
            </w:pPr>
            <w:r>
              <w:rPr>
                <w:rFonts w:hint="eastAsia" w:cs="仿宋_GB2312"/>
                <w:szCs w:val="21"/>
                <w:lang w:val="zh-CN"/>
              </w:rPr>
              <w:t>注：承诺内容必须具有可行性，一旦承诺必须兑现。</w:t>
            </w:r>
          </w:p>
        </w:tc>
        <w:tc>
          <w:tcPr>
            <w:tcW w:w="956"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rPr>
              <w:t>5</w:t>
            </w:r>
            <w:r>
              <w:rPr>
                <w:rFonts w:hint="eastAsia" w:cs="仿宋_GB2312"/>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684" w:type="dxa"/>
            <w:vMerge w:val="continue"/>
            <w:tcBorders>
              <w:left w:val="single" w:color="auto" w:sz="4" w:space="0"/>
              <w:right w:val="single" w:color="auto" w:sz="4" w:space="0"/>
            </w:tcBorders>
            <w:vAlign w:val="center"/>
          </w:tcPr>
          <w:p>
            <w:pPr>
              <w:spacing w:line="560" w:lineRule="exact"/>
              <w:ind w:firstLine="420" w:firstLineChars="200"/>
              <w:contextualSpacing/>
              <w:rPr>
                <w:rFonts w:cs="仿宋_GB2312"/>
                <w:szCs w:val="21"/>
                <w:lang w:val="zh-CN"/>
              </w:rPr>
            </w:pPr>
          </w:p>
        </w:tc>
        <w:tc>
          <w:tcPr>
            <w:tcW w:w="6803" w:type="dxa"/>
            <w:tcBorders>
              <w:top w:val="single" w:color="auto" w:sz="4" w:space="0"/>
              <w:left w:val="nil"/>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lang w:val="zh-CN"/>
              </w:rPr>
              <w:t>2、管理人员配备情况</w:t>
            </w:r>
          </w:p>
          <w:p>
            <w:pPr>
              <w:spacing w:line="560" w:lineRule="exact"/>
              <w:contextualSpacing/>
              <w:rPr>
                <w:rFonts w:cs="仿宋_GB2312"/>
                <w:szCs w:val="21"/>
                <w:lang w:val="zh-CN"/>
              </w:rPr>
            </w:pPr>
            <w:r>
              <w:rPr>
                <w:rFonts w:hint="eastAsia" w:cs="仿宋_GB2312"/>
                <w:szCs w:val="21"/>
                <w:lang w:val="zh-CN"/>
              </w:rPr>
              <w:t>根据管理班子成员（含项目负责人）组成、职责分工合理性、人员资历和工作经验（提供单位盖章的证明）等的综合评价。评委根据管理人员工作项目经验丰富情况，工作时间长短，安排管理人员多少在1-</w:t>
            </w:r>
            <w:r>
              <w:rPr>
                <w:rFonts w:hint="eastAsia" w:cs="仿宋_GB2312"/>
                <w:szCs w:val="21"/>
              </w:rPr>
              <w:t>5</w:t>
            </w:r>
            <w:r>
              <w:rPr>
                <w:rFonts w:hint="eastAsia" w:cs="仿宋_GB2312"/>
                <w:szCs w:val="21"/>
                <w:lang w:val="zh-CN"/>
              </w:rPr>
              <w:t>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rPr>
                <w:rFonts w:cs="仿宋_GB2312"/>
                <w:szCs w:val="21"/>
                <w:lang w:val="zh-CN"/>
              </w:rPr>
            </w:pPr>
            <w:r>
              <w:rPr>
                <w:rFonts w:hint="eastAsia" w:cs="仿宋_GB2312"/>
                <w:szCs w:val="21"/>
              </w:rPr>
              <w:t>5</w:t>
            </w:r>
            <w:r>
              <w:rPr>
                <w:rFonts w:hint="eastAsia" w:cs="仿宋_GB2312"/>
                <w:szCs w:val="21"/>
                <w:lang w:val="zh-CN"/>
              </w:rPr>
              <w:t>分</w:t>
            </w:r>
          </w:p>
        </w:tc>
      </w:tr>
    </w:tbl>
    <w:p>
      <w:pPr>
        <w:pStyle w:val="15"/>
        <w:spacing w:line="360" w:lineRule="auto"/>
        <w:ind w:firstLine="422" w:firstLineChars="200"/>
        <w:contextualSpacing/>
        <w:rPr>
          <w:rFonts w:cs="仿宋_GB2312" w:asciiTheme="minorEastAsia" w:hAnsiTheme="minorEastAsia" w:eastAsiaTheme="minorEastAsia"/>
          <w:b/>
          <w:sz w:val="21"/>
          <w:szCs w:val="21"/>
          <w:lang w:val="zh-CN"/>
        </w:rPr>
      </w:pPr>
    </w:p>
    <w:p>
      <w:pPr>
        <w:spacing w:line="360" w:lineRule="auto"/>
        <w:rPr>
          <w:rFonts w:cs="新宋体" w:asciiTheme="minorEastAsia" w:hAnsiTheme="minorEastAsia"/>
          <w:b/>
          <w:szCs w:val="21"/>
          <w:lang w:val="zh-CN"/>
        </w:rPr>
      </w:pPr>
      <w:r>
        <w:rPr>
          <w:rFonts w:hint="eastAsia" w:cs="新宋体" w:asciiTheme="minorEastAsia" w:hAnsiTheme="minorEastAsia"/>
          <w:b/>
          <w:szCs w:val="21"/>
          <w:lang w:val="zh-CN"/>
        </w:rPr>
        <w:t>其中：价格分计算（落实政府采购政策价格调整部分）</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Theme="minorEastAsia" w:hAnsiTheme="minorEastAsia"/>
                <w:b/>
                <w:color w:val="000000"/>
                <w:szCs w:val="21"/>
                <w:lang w:val="en-GB"/>
              </w:rPr>
            </w:pPr>
            <w:r>
              <w:rPr>
                <w:rFonts w:hint="eastAsia" w:asciiTheme="minorEastAsia" w:hAnsiTheme="minorEastAsia"/>
                <w:b/>
                <w:color w:val="000000"/>
                <w:szCs w:val="21"/>
                <w:lang w:val="en-GB"/>
              </w:rPr>
              <w:t>序号</w:t>
            </w:r>
          </w:p>
        </w:tc>
        <w:tc>
          <w:tcPr>
            <w:tcW w:w="2823" w:type="dxa"/>
            <w:vAlign w:val="center"/>
          </w:tcPr>
          <w:p>
            <w:pPr>
              <w:jc w:val="center"/>
              <w:rPr>
                <w:rFonts w:asciiTheme="minorEastAsia" w:hAnsiTheme="minorEastAsia"/>
                <w:b/>
                <w:color w:val="000000"/>
                <w:szCs w:val="21"/>
                <w:lang w:val="en-GB"/>
              </w:rPr>
            </w:pPr>
            <w:r>
              <w:rPr>
                <w:rFonts w:hint="eastAsia" w:asciiTheme="minorEastAsia" w:hAnsiTheme="minorEastAsia"/>
                <w:b/>
                <w:color w:val="000000"/>
                <w:szCs w:val="21"/>
                <w:lang w:val="en-GB"/>
              </w:rPr>
              <w:t>情形</w:t>
            </w:r>
          </w:p>
        </w:tc>
        <w:tc>
          <w:tcPr>
            <w:tcW w:w="2552" w:type="dxa"/>
            <w:vAlign w:val="center"/>
          </w:tcPr>
          <w:p>
            <w:pPr>
              <w:jc w:val="center"/>
              <w:rPr>
                <w:rFonts w:asciiTheme="minorEastAsia" w:hAnsiTheme="minorEastAsia"/>
                <w:b/>
                <w:color w:val="000000"/>
                <w:szCs w:val="21"/>
                <w:lang w:val="en-GB"/>
              </w:rPr>
            </w:pPr>
            <w:r>
              <w:rPr>
                <w:rFonts w:hint="eastAsia" w:asciiTheme="minorEastAsia" w:hAnsiTheme="minorEastAsia"/>
                <w:b/>
                <w:color w:val="000000"/>
                <w:szCs w:val="21"/>
              </w:rPr>
              <w:t>价格扣除</w:t>
            </w:r>
            <w:r>
              <w:rPr>
                <w:rFonts w:hint="eastAsia" w:asciiTheme="minorEastAsia" w:hAnsiTheme="minorEastAsia"/>
                <w:b/>
                <w:color w:val="000000"/>
                <w:szCs w:val="21"/>
                <w:lang w:val="en-GB"/>
              </w:rPr>
              <w:t>比例</w:t>
            </w:r>
          </w:p>
        </w:tc>
        <w:tc>
          <w:tcPr>
            <w:tcW w:w="2835" w:type="dxa"/>
            <w:vAlign w:val="center"/>
          </w:tcPr>
          <w:p>
            <w:pPr>
              <w:jc w:val="center"/>
              <w:rPr>
                <w:rFonts w:asciiTheme="minorEastAsia" w:hAnsiTheme="minorEastAsia"/>
                <w:b/>
                <w:color w:val="000000"/>
                <w:szCs w:val="21"/>
                <w:lang w:val="en-GB"/>
              </w:rPr>
            </w:pPr>
            <w:r>
              <w:rPr>
                <w:rFonts w:hint="eastAsia" w:asciiTheme="minorEastAsia" w:hAnsiTheme="minorEastAsia"/>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ˎ̥" w:hAnsi="ˎ̥" w:eastAsia="宋体"/>
                <w:color w:val="FF0000"/>
                <w:szCs w:val="21"/>
              </w:rPr>
            </w:pPr>
            <w:r>
              <w:rPr>
                <w:rFonts w:hint="eastAsia" w:ascii="ˎ̥" w:hAnsi="ˎ̥" w:eastAsia="宋体"/>
                <w:color w:val="FF0000"/>
                <w:szCs w:val="21"/>
              </w:rPr>
              <w:t>对小型和微型企业报价</w:t>
            </w:r>
          </w:p>
          <w:p>
            <w:pPr>
              <w:jc w:val="center"/>
              <w:rPr>
                <w:rFonts w:ascii="宋体" w:hAnsi="宋体"/>
                <w:b/>
                <w:szCs w:val="21"/>
                <w:lang w:val="en-GB"/>
              </w:rPr>
            </w:pPr>
            <w:r>
              <w:rPr>
                <w:rFonts w:hint="eastAsia" w:ascii="ˎ̥" w:hAnsi="ˎ̥" w:eastAsia="宋体"/>
                <w:color w:val="FF0000"/>
                <w:szCs w:val="21"/>
              </w:rPr>
              <w:t>扣除6%</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w:t>
            </w:r>
            <w:r>
              <w:rPr>
                <w:rFonts w:hint="eastAsia" w:ascii="ˎ̥" w:hAnsi="ˎ̥" w:eastAsia="宋体"/>
                <w:color w:val="FF0000"/>
                <w:szCs w:val="21"/>
              </w:rPr>
              <w:t>小型和微型企业报价</w:t>
            </w:r>
            <w:r>
              <w:rPr>
                <w:rFonts w:hint="eastAsia" w:ascii="宋体" w:hAnsi="宋体"/>
                <w:color w:val="000000"/>
                <w:szCs w:val="21"/>
                <w:lang w:val="en-GB"/>
              </w:rPr>
              <w:t>×（1-</w:t>
            </w:r>
            <w:r>
              <w:rPr>
                <w:rFonts w:hint="eastAsia"/>
                <w:color w:val="000000"/>
                <w:szCs w:val="21"/>
                <w:lang w:val="en-GB"/>
              </w:rPr>
              <w:t>6%</w:t>
            </w:r>
            <w:r>
              <w:rPr>
                <w:rFonts w:hint="eastAsia" w:ascii="宋体" w:hAnsi="宋体"/>
                <w:color w:val="000000"/>
                <w:szCs w:val="21"/>
                <w:lang w:val="en-GB"/>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联合体各方均为</w:t>
            </w:r>
          </w:p>
          <w:p>
            <w:pPr>
              <w:jc w:val="center"/>
              <w:rPr>
                <w:rFonts w:ascii="宋体" w:hAnsi="宋体"/>
                <w:b/>
                <w:color w:val="000000"/>
                <w:szCs w:val="21"/>
              </w:rPr>
            </w:pPr>
            <w:r>
              <w:rPr>
                <w:rFonts w:hint="eastAsia" w:ascii="宋体" w:hAnsi="宋体"/>
                <w:color w:val="000000"/>
                <w:szCs w:val="21"/>
                <w:lang w:val="en-GB"/>
              </w:rPr>
              <w:t>小型、微型企业</w:t>
            </w:r>
          </w:p>
        </w:tc>
        <w:tc>
          <w:tcPr>
            <w:tcW w:w="2552" w:type="dxa"/>
            <w:vAlign w:val="center"/>
          </w:tcPr>
          <w:p>
            <w:pPr>
              <w:jc w:val="center"/>
              <w:rPr>
                <w:rFonts w:ascii="宋体" w:hAnsi="宋体"/>
                <w:color w:val="000000"/>
                <w:szCs w:val="21"/>
              </w:rPr>
            </w:pPr>
            <w:r>
              <w:rPr>
                <w:rFonts w:hint="eastAsia" w:ascii="ˎ̥" w:hAnsi="ˎ̥" w:eastAsia="宋体"/>
                <w:color w:val="FF0000"/>
                <w:szCs w:val="21"/>
              </w:rPr>
              <w:t>对小型和微型企业报价</w:t>
            </w:r>
          </w:p>
          <w:p>
            <w:pPr>
              <w:jc w:val="center"/>
              <w:rPr>
                <w:rFonts w:ascii="宋体" w:hAnsi="宋体"/>
                <w:szCs w:val="21"/>
              </w:rPr>
            </w:pPr>
            <w:r>
              <w:rPr>
                <w:rFonts w:hint="eastAsia" w:ascii="宋体" w:hAnsi="宋体"/>
                <w:color w:val="000000"/>
                <w:szCs w:val="21"/>
              </w:rPr>
              <w:t>扣除</w:t>
            </w:r>
            <w:r>
              <w:rPr>
                <w:rFonts w:hint="eastAsia" w:ascii="宋体" w:hAnsi="宋体"/>
                <w:szCs w:val="21"/>
              </w:rPr>
              <w:t>6%</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ascii="ˎ̥" w:hAnsi="ˎ̥" w:eastAsia="宋体"/>
                <w:color w:val="FF0000"/>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lang w:val="en-GB"/>
              </w:rPr>
            </w:pPr>
            <w:r>
              <w:rPr>
                <w:rFonts w:ascii="ˎ̥" w:hAnsi="ˎ̥" w:eastAsia="宋体"/>
                <w:color w:val="FF0000"/>
                <w:szCs w:val="21"/>
              </w:rPr>
              <w:t>对联合体或者大中型企业的报价</w:t>
            </w:r>
            <w:r>
              <w:rPr>
                <w:rFonts w:hint="eastAsia" w:ascii="宋体" w:hAnsi="宋体"/>
                <w:color w:val="000000"/>
                <w:szCs w:val="21"/>
                <w:lang w:val="en-GB"/>
              </w:rPr>
              <w:t>扣除</w:t>
            </w:r>
            <w:r>
              <w:rPr>
                <w:rFonts w:ascii="宋体" w:hAnsi="宋体"/>
                <w:szCs w:val="21"/>
              </w:rPr>
              <w:t>2</w:t>
            </w:r>
            <w:r>
              <w:rPr>
                <w:rFonts w:hint="eastAsia" w:ascii="宋体" w:hAnsi="宋体"/>
                <w:szCs w:val="21"/>
              </w:rPr>
              <w:t>%</w:t>
            </w:r>
          </w:p>
        </w:tc>
        <w:tc>
          <w:tcPr>
            <w:tcW w:w="2835" w:type="dxa"/>
            <w:shd w:val="clear" w:color="auto" w:fill="auto"/>
            <w:vAlign w:val="center"/>
          </w:tcPr>
          <w:p>
            <w:pPr>
              <w:jc w:val="center"/>
              <w:rPr>
                <w:rFonts w:ascii="宋体" w:hAnsi="宋体"/>
                <w:b/>
                <w:color w:val="000000"/>
                <w:szCs w:val="21"/>
                <w:lang w:val="en-GB"/>
              </w:rPr>
            </w:pPr>
            <w:r>
              <w:rPr>
                <w:rFonts w:hint="eastAsia" w:ascii="宋体" w:hAnsi="宋体"/>
                <w:color w:val="000000"/>
                <w:szCs w:val="21"/>
                <w:lang w:val="en-GB"/>
              </w:rPr>
              <w:t>评标价格＝投标报价×</w:t>
            </w:r>
            <w:r>
              <w:rPr>
                <w:rFonts w:hint="eastAsia" w:ascii="宋体" w:hAnsi="宋体"/>
                <w:color w:val="000000" w:themeColor="text1"/>
                <w:szCs w:val="21"/>
              </w:rPr>
              <w:t>(1-</w:t>
            </w:r>
            <w:r>
              <w:rPr>
                <w:color w:val="000000"/>
                <w:szCs w:val="21"/>
                <w:lang w:val="en-GB"/>
              </w:rPr>
              <w:t>2</w:t>
            </w:r>
            <w:r>
              <w:rPr>
                <w:rFonts w:hint="eastAsia"/>
                <w:color w:val="000000"/>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pStyle w:val="2"/>
        <w:rPr>
          <w:lang w:val="zh-CN"/>
        </w:rPr>
      </w:pPr>
    </w:p>
    <w:p>
      <w:pPr>
        <w:pStyle w:val="2"/>
        <w:rPr>
          <w:lang w:val="zh-CN"/>
        </w:rPr>
      </w:pPr>
      <w:r>
        <w:rPr>
          <w:rFonts w:hint="eastAsia"/>
          <w:lang w:val="zh-CN"/>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tabs>
          <w:tab w:val="left" w:pos="1260"/>
        </w:tabs>
        <w:autoSpaceDE w:val="0"/>
        <w:autoSpaceDN w:val="0"/>
        <w:adjustRightInd w:val="0"/>
        <w:spacing w:line="360" w:lineRule="auto"/>
        <w:contextualSpacing/>
        <w:rPr>
          <w:rFonts w:cs="宋体" w:asciiTheme="majorEastAsia" w:hAnsiTheme="majorEastAsia" w:eastAsiaTheme="majorEastAsia"/>
          <w:b/>
          <w:color w:val="FF0000"/>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r>
        <w:rPr>
          <w:rFonts w:hint="eastAsia" w:cs="宋体" w:asciiTheme="majorEastAsia" w:hAnsiTheme="majorEastAsia" w:eastAsiaTheme="majorEastAsia"/>
          <w:b/>
          <w:color w:val="FF0000"/>
          <w:kern w:val="0"/>
          <w:sz w:val="32"/>
          <w:szCs w:val="32"/>
        </w:rPr>
        <w:t>第七章 拟签订的合同文本</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25"/>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5"/>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249" w:firstLineChars="700"/>
        <w:contextualSpacing/>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4023138"/>
      <w:bookmarkStart w:id="5" w:name="_Toc174185203"/>
      <w:bookmarkStart w:id="6" w:name="_Toc186274126"/>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已完全理解并接受招标文件的各项规定和要求及资金支付规定，对招标文件的合理性、合法性不再有异议，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w:t>
      </w:r>
      <w:r>
        <w:rPr>
          <w:rFonts w:asciiTheme="minorEastAsia" w:hAnsiTheme="minorEastAsia"/>
          <w:i/>
          <w:color w:val="000000"/>
          <w:szCs w:val="21"/>
          <w:u w:val="single"/>
        </w:rPr>
        <w:t>项目编号</w:t>
      </w:r>
      <w:r>
        <w:rPr>
          <w:rFonts w:hint="eastAsia" w:asciiTheme="minorEastAsia" w:hAnsiTheme="minorEastAsia"/>
          <w:color w:val="000000"/>
          <w:szCs w:val="21"/>
        </w:rPr>
        <w:t>的</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禹州</w:t>
      </w:r>
      <w:r>
        <w:rPr>
          <w:rFonts w:hint="eastAsia" w:ascii="宋体" w:hAnsi="宋体" w:eastAsia="宋体" w:cs="宋体"/>
          <w:szCs w:val="21"/>
          <w:lang w:val="zh-CN"/>
        </w:rPr>
        <w:t>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年____月日</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服务方案及措施（实施方案）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Cs w:val="21"/>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4.4    </w:t>
      </w:r>
      <w:r>
        <w:rPr>
          <w:rFonts w:ascii="宋体" w:hAnsi="宋体"/>
          <w:b/>
          <w:bCs/>
          <w:color w:val="000000"/>
          <w:sz w:val="24"/>
          <w:szCs w:val="24"/>
        </w:rPr>
        <w:t>中小企业声明函（</w:t>
      </w:r>
      <w:r>
        <w:rPr>
          <w:rFonts w:hint="eastAsia" w:ascii="宋体" w:hAnsi="宋体"/>
          <w:b/>
          <w:bCs/>
          <w:color w:val="000000"/>
          <w:sz w:val="24"/>
          <w:szCs w:val="24"/>
        </w:rPr>
        <w:t>服务</w:t>
      </w:r>
      <w:r>
        <w:rPr>
          <w:rFonts w:ascii="宋体" w:hAnsi="宋体"/>
          <w:b/>
          <w:bCs/>
          <w:color w:val="000000"/>
          <w:sz w:val="24"/>
          <w:szCs w:val="24"/>
        </w:rPr>
        <w:t>）</w:t>
      </w:r>
    </w:p>
    <w:p>
      <w:pPr>
        <w:spacing w:line="360" w:lineRule="auto"/>
        <w:jc w:val="center"/>
        <w:rPr>
          <w:rFonts w:ascii="宋体" w:hAnsi="宋体"/>
          <w:b/>
          <w:bCs/>
          <w:color w:val="000000"/>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w:t>
      </w:r>
      <w:r>
        <w:rPr>
          <w:rFonts w:hint="eastAsia"/>
        </w:rPr>
        <w:t>服</w:t>
      </w:r>
      <w:r>
        <w:t>务全部由符合政策要求的中小企业承接。相关企业（含联合体中的中小企业、签订分包意向协议的中小企业）的具体情况如下：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color w:val="000000"/>
          <w:szCs w:val="21"/>
        </w:rPr>
      </w:pPr>
      <w:r>
        <w:t>日期：</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pPr>
        <w:widowControl/>
        <w:spacing w:before="100" w:beforeAutospacing="1" w:after="100" w:afterAutospacing="1" w:line="360" w:lineRule="auto"/>
        <w:contextualSpacing/>
        <w:jc w:val="left"/>
        <w:rPr>
          <w:rFonts w:ascii="宋体" w:hAnsi="宋体" w:cs="Arial"/>
          <w:color w:val="000000"/>
          <w:kern w:val="0"/>
          <w:szCs w:val="21"/>
        </w:rPr>
      </w:pPr>
    </w:p>
    <w:p>
      <w:pPr>
        <w:spacing w:line="480" w:lineRule="auto"/>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r>
        <w:rPr>
          <w:rFonts w:hint="eastAsia" w:ascii="宋体" w:hAnsi="宋体"/>
          <w:b/>
          <w:bCs/>
          <w:color w:val="000000"/>
          <w:sz w:val="24"/>
          <w:szCs w:val="24"/>
        </w:rPr>
        <w:t>4.5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line="480" w:lineRule="auto"/>
        <w:ind w:left="4358" w:leftChars="2075"/>
        <w:rPr>
          <w:rFonts w:cs="Arial" w:asciiTheme="minorEastAsia" w:hAnsiTheme="minorEastAsia"/>
          <w:color w:val="000000"/>
          <w:szCs w:val="21"/>
        </w:rPr>
      </w:pPr>
    </w:p>
    <w:p/>
    <w:p/>
    <w:p/>
    <w:p/>
    <w:p/>
    <w:p/>
    <w:p/>
    <w:p/>
    <w:p/>
    <w:p/>
    <w:p/>
    <w:p/>
    <w:p/>
    <w:p/>
    <w:p/>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ind w:firstLine="2530" w:firstLineChars="900"/>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5"/>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01BDF"/>
    <w:multiLevelType w:val="singleLevel"/>
    <w:tmpl w:val="92D01BDF"/>
    <w:lvl w:ilvl="0" w:tentative="0">
      <w:start w:val="1"/>
      <w:numFmt w:val="chineseCounting"/>
      <w:suff w:val="space"/>
      <w:lvlText w:val="第%1章"/>
      <w:lvlJc w:val="left"/>
      <w:rPr>
        <w:rFonts w:hint="eastAsia"/>
      </w:rPr>
    </w:lvl>
  </w:abstractNum>
  <w:abstractNum w:abstractNumId="1">
    <w:nsid w:val="9499552F"/>
    <w:multiLevelType w:val="singleLevel"/>
    <w:tmpl w:val="9499552F"/>
    <w:lvl w:ilvl="0" w:tentative="0">
      <w:start w:val="1"/>
      <w:numFmt w:val="decimal"/>
      <w:suff w:val="nothing"/>
      <w:lvlText w:val="%1、"/>
      <w:lvlJc w:val="left"/>
      <w:pPr>
        <w:ind w:left="481" w:firstLine="0"/>
      </w:pPr>
    </w:lvl>
  </w:abstractNum>
  <w:abstractNum w:abstractNumId="2">
    <w:nsid w:val="A0E530A1"/>
    <w:multiLevelType w:val="singleLevel"/>
    <w:tmpl w:val="A0E530A1"/>
    <w:lvl w:ilvl="0" w:tentative="0">
      <w:start w:val="1"/>
      <w:numFmt w:val="decimal"/>
      <w:suff w:val="space"/>
      <w:lvlText w:val="%1."/>
      <w:lvlJc w:val="left"/>
    </w:lvl>
  </w:abstractNum>
  <w:abstractNum w:abstractNumId="3">
    <w:nsid w:val="B336EA58"/>
    <w:multiLevelType w:val="singleLevel"/>
    <w:tmpl w:val="B336EA58"/>
    <w:lvl w:ilvl="0" w:tentative="0">
      <w:start w:val="2"/>
      <w:numFmt w:val="chineseCounting"/>
      <w:suff w:val="nothing"/>
      <w:lvlText w:val="（%1）"/>
      <w:lvlJc w:val="left"/>
      <w:rPr>
        <w:rFonts w:hint="eastAsia"/>
      </w:rPr>
    </w:lvl>
  </w:abstractNum>
  <w:abstractNum w:abstractNumId="4">
    <w:nsid w:val="CDF99859"/>
    <w:multiLevelType w:val="singleLevel"/>
    <w:tmpl w:val="CDF99859"/>
    <w:lvl w:ilvl="0" w:tentative="0">
      <w:start w:val="1"/>
      <w:numFmt w:val="decimal"/>
      <w:suff w:val="space"/>
      <w:lvlText w:val="%1."/>
      <w:lvlJc w:val="left"/>
    </w:lvl>
  </w:abstractNum>
  <w:abstractNum w:abstractNumId="5">
    <w:nsid w:val="EB0A31F9"/>
    <w:multiLevelType w:val="singleLevel"/>
    <w:tmpl w:val="EB0A31F9"/>
    <w:lvl w:ilvl="0" w:tentative="0">
      <w:start w:val="4"/>
      <w:numFmt w:val="chineseCounting"/>
      <w:suff w:val="nothing"/>
      <w:lvlText w:val="%1、"/>
      <w:lvlJc w:val="left"/>
      <w:rPr>
        <w:rFonts w:hint="eastAsia"/>
      </w:rPr>
    </w:lvl>
  </w:abstractNum>
  <w:abstractNum w:abstractNumId="6">
    <w:nsid w:val="FD02D097"/>
    <w:multiLevelType w:val="singleLevel"/>
    <w:tmpl w:val="FD02D097"/>
    <w:lvl w:ilvl="0" w:tentative="0">
      <w:start w:val="1"/>
      <w:numFmt w:val="decimal"/>
      <w:suff w:val="space"/>
      <w:lvlText w:val="%1."/>
      <w:lvlJc w:val="left"/>
    </w:lvl>
  </w:abstractNum>
  <w:abstractNum w:abstractNumId="7">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2">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0FAA3963"/>
    <w:multiLevelType w:val="singleLevel"/>
    <w:tmpl w:val="0FAA3963"/>
    <w:lvl w:ilvl="0" w:tentative="0">
      <w:start w:val="2"/>
      <w:numFmt w:val="decimal"/>
      <w:suff w:val="space"/>
      <w:lvlText w:val="%1."/>
      <w:lvlJc w:val="left"/>
    </w:lvl>
  </w:abstractNum>
  <w:abstractNum w:abstractNumId="1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8397ECC"/>
    <w:multiLevelType w:val="multilevel"/>
    <w:tmpl w:val="18397EC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9">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6">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0913A3C"/>
    <w:multiLevelType w:val="singleLevel"/>
    <w:tmpl w:val="30913A3C"/>
    <w:lvl w:ilvl="0" w:tentative="0">
      <w:start w:val="1"/>
      <w:numFmt w:val="decimal"/>
      <w:suff w:val="space"/>
      <w:lvlText w:val="%1."/>
      <w:lvlJc w:val="left"/>
    </w:lvl>
  </w:abstractNum>
  <w:abstractNum w:abstractNumId="38">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31C48F7"/>
    <w:multiLevelType w:val="multilevel"/>
    <w:tmpl w:val="431C48F7"/>
    <w:lvl w:ilvl="0" w:tentative="0">
      <w:start w:val="5"/>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44361777"/>
    <w:multiLevelType w:val="multilevel"/>
    <w:tmpl w:val="44361777"/>
    <w:lvl w:ilvl="0" w:tentative="0">
      <w:start w:val="6"/>
      <w:numFmt w:val="japaneseCounting"/>
      <w:lvlText w:val="（%1）"/>
      <w:lvlJc w:val="left"/>
      <w:pPr>
        <w:ind w:left="927" w:hanging="720"/>
      </w:pPr>
      <w:rPr>
        <w:rFonts w:hint="default"/>
      </w:rPr>
    </w:lvl>
    <w:lvl w:ilvl="1" w:tentative="0">
      <w:start w:val="1"/>
      <w:numFmt w:val="lowerLetter"/>
      <w:lvlText w:val="%2)"/>
      <w:lvlJc w:val="left"/>
      <w:pPr>
        <w:ind w:left="1047" w:hanging="420"/>
      </w:pPr>
    </w:lvl>
    <w:lvl w:ilvl="2" w:tentative="0">
      <w:start w:val="1"/>
      <w:numFmt w:val="lowerRoman"/>
      <w:lvlText w:val="%3."/>
      <w:lvlJc w:val="right"/>
      <w:pPr>
        <w:ind w:left="1467" w:hanging="420"/>
      </w:pPr>
    </w:lvl>
    <w:lvl w:ilvl="3" w:tentative="0">
      <w:start w:val="1"/>
      <w:numFmt w:val="decimal"/>
      <w:lvlText w:val="%4."/>
      <w:lvlJc w:val="left"/>
      <w:pPr>
        <w:ind w:left="1887" w:hanging="420"/>
      </w:pPr>
    </w:lvl>
    <w:lvl w:ilvl="4" w:tentative="0">
      <w:start w:val="1"/>
      <w:numFmt w:val="lowerLetter"/>
      <w:lvlText w:val="%5)"/>
      <w:lvlJc w:val="left"/>
      <w:pPr>
        <w:ind w:left="2307" w:hanging="420"/>
      </w:pPr>
    </w:lvl>
    <w:lvl w:ilvl="5" w:tentative="0">
      <w:start w:val="1"/>
      <w:numFmt w:val="lowerRoman"/>
      <w:lvlText w:val="%6."/>
      <w:lvlJc w:val="right"/>
      <w:pPr>
        <w:ind w:left="2727" w:hanging="420"/>
      </w:pPr>
    </w:lvl>
    <w:lvl w:ilvl="6" w:tentative="0">
      <w:start w:val="1"/>
      <w:numFmt w:val="decimal"/>
      <w:lvlText w:val="%7."/>
      <w:lvlJc w:val="left"/>
      <w:pPr>
        <w:ind w:left="3147" w:hanging="420"/>
      </w:pPr>
    </w:lvl>
    <w:lvl w:ilvl="7" w:tentative="0">
      <w:start w:val="1"/>
      <w:numFmt w:val="lowerLetter"/>
      <w:lvlText w:val="%8)"/>
      <w:lvlJc w:val="left"/>
      <w:pPr>
        <w:ind w:left="3567" w:hanging="420"/>
      </w:pPr>
    </w:lvl>
    <w:lvl w:ilvl="8" w:tentative="0">
      <w:start w:val="1"/>
      <w:numFmt w:val="lowerRoman"/>
      <w:lvlText w:val="%9."/>
      <w:lvlJc w:val="right"/>
      <w:pPr>
        <w:ind w:left="3987" w:hanging="420"/>
      </w:pPr>
    </w:lvl>
  </w:abstractNum>
  <w:abstractNum w:abstractNumId="44">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9F817C2"/>
    <w:multiLevelType w:val="singleLevel"/>
    <w:tmpl w:val="59F817C2"/>
    <w:lvl w:ilvl="0" w:tentative="0">
      <w:start w:val="2"/>
      <w:numFmt w:val="chineseCounting"/>
      <w:suff w:val="space"/>
      <w:lvlText w:val="第%1章"/>
      <w:lvlJc w:val="left"/>
    </w:lvl>
  </w:abstractNum>
  <w:abstractNum w:abstractNumId="47">
    <w:nsid w:val="59F817E8"/>
    <w:multiLevelType w:val="singleLevel"/>
    <w:tmpl w:val="59F817E8"/>
    <w:lvl w:ilvl="0" w:tentative="0">
      <w:start w:val="1"/>
      <w:numFmt w:val="chineseCounting"/>
      <w:pStyle w:val="56"/>
      <w:suff w:val="nothing"/>
      <w:lvlText w:val="%1、"/>
      <w:lvlJc w:val="left"/>
    </w:lvl>
  </w:abstractNum>
  <w:abstractNum w:abstractNumId="48">
    <w:nsid w:val="5A051E9E"/>
    <w:multiLevelType w:val="singleLevel"/>
    <w:tmpl w:val="5A051E9E"/>
    <w:lvl w:ilvl="0" w:tentative="0">
      <w:start w:val="1"/>
      <w:numFmt w:val="chineseCounting"/>
      <w:suff w:val="nothing"/>
      <w:lvlText w:val="%1、"/>
      <w:lvlJc w:val="left"/>
    </w:lvl>
  </w:abstractNum>
  <w:abstractNum w:abstractNumId="49">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2">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54E26F6"/>
    <w:multiLevelType w:val="singleLevel"/>
    <w:tmpl w:val="654E26F6"/>
    <w:lvl w:ilvl="0" w:tentative="0">
      <w:start w:val="1"/>
      <w:numFmt w:val="decimal"/>
      <w:suff w:val="nothing"/>
      <w:lvlText w:val="%1、"/>
      <w:lvlJc w:val="left"/>
    </w:lvl>
  </w:abstractNum>
  <w:abstractNum w:abstractNumId="58">
    <w:nsid w:val="65BC26F2"/>
    <w:multiLevelType w:val="multilevel"/>
    <w:tmpl w:val="65BC26F2"/>
    <w:lvl w:ilvl="0" w:tentative="0">
      <w:start w:val="1"/>
      <w:numFmt w:val="japaneseCounting"/>
      <w:lvlText w:val="%1、"/>
      <w:lvlJc w:val="left"/>
      <w:pPr>
        <w:ind w:left="992" w:hanging="510"/>
      </w:pPr>
      <w:rPr>
        <w:rFonts w:hint="default"/>
        <w:sz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9">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0">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2">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6">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7">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9">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1">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7"/>
  </w:num>
  <w:num w:numId="2">
    <w:abstractNumId w:val="8"/>
  </w:num>
  <w:num w:numId="3">
    <w:abstractNumId w:val="47"/>
  </w:num>
  <w:num w:numId="4">
    <w:abstractNumId w:val="0"/>
  </w:num>
  <w:num w:numId="5">
    <w:abstractNumId w:val="48"/>
  </w:num>
  <w:num w:numId="6">
    <w:abstractNumId w:val="1"/>
  </w:num>
  <w:num w:numId="7">
    <w:abstractNumId w:val="57"/>
  </w:num>
  <w:num w:numId="8">
    <w:abstractNumId w:val="3"/>
  </w:num>
  <w:num w:numId="9">
    <w:abstractNumId w:val="46"/>
  </w:num>
  <w:num w:numId="10">
    <w:abstractNumId w:val="58"/>
  </w:num>
  <w:num w:numId="11">
    <w:abstractNumId w:val="37"/>
  </w:num>
  <w:num w:numId="12">
    <w:abstractNumId w:val="6"/>
  </w:num>
  <w:num w:numId="13">
    <w:abstractNumId w:val="15"/>
  </w:num>
  <w:num w:numId="14">
    <w:abstractNumId w:val="2"/>
  </w:num>
  <w:num w:numId="15">
    <w:abstractNumId w:val="4"/>
  </w:num>
  <w:num w:numId="16">
    <w:abstractNumId w:val="43"/>
  </w:num>
  <w:num w:numId="17">
    <w:abstractNumId w:val="22"/>
  </w:num>
  <w:num w:numId="18">
    <w:abstractNumId w:val="42"/>
  </w:num>
  <w:num w:numId="19">
    <w:abstractNumId w:val="5"/>
  </w:num>
  <w:num w:numId="20">
    <w:abstractNumId w:val="31"/>
  </w:num>
  <w:num w:numId="21">
    <w:abstractNumId w:val="61"/>
  </w:num>
  <w:num w:numId="22">
    <w:abstractNumId w:val="35"/>
  </w:num>
  <w:num w:numId="23">
    <w:abstractNumId w:val="38"/>
  </w:num>
  <w:num w:numId="24">
    <w:abstractNumId w:val="56"/>
  </w:num>
  <w:num w:numId="25">
    <w:abstractNumId w:val="23"/>
  </w:num>
  <w:num w:numId="26">
    <w:abstractNumId w:val="25"/>
  </w:num>
  <w:num w:numId="27">
    <w:abstractNumId w:val="72"/>
  </w:num>
  <w:num w:numId="28">
    <w:abstractNumId w:val="53"/>
  </w:num>
  <w:num w:numId="29">
    <w:abstractNumId w:val="69"/>
  </w:num>
  <w:num w:numId="30">
    <w:abstractNumId w:val="14"/>
  </w:num>
  <w:num w:numId="31">
    <w:abstractNumId w:val="17"/>
  </w:num>
  <w:num w:numId="32">
    <w:abstractNumId w:val="51"/>
  </w:num>
  <w:num w:numId="33">
    <w:abstractNumId w:val="33"/>
  </w:num>
  <w:num w:numId="34">
    <w:abstractNumId w:val="49"/>
  </w:num>
  <w:num w:numId="35">
    <w:abstractNumId w:val="60"/>
  </w:num>
  <w:num w:numId="36">
    <w:abstractNumId w:val="39"/>
  </w:num>
  <w:num w:numId="37">
    <w:abstractNumId w:val="34"/>
  </w:num>
  <w:num w:numId="38">
    <w:abstractNumId w:val="11"/>
  </w:num>
  <w:num w:numId="39">
    <w:abstractNumId w:val="28"/>
  </w:num>
  <w:num w:numId="40">
    <w:abstractNumId w:val="27"/>
  </w:num>
  <w:num w:numId="41">
    <w:abstractNumId w:val="68"/>
  </w:num>
  <w:num w:numId="42">
    <w:abstractNumId w:val="62"/>
  </w:num>
  <w:num w:numId="43">
    <w:abstractNumId w:val="55"/>
  </w:num>
  <w:num w:numId="44">
    <w:abstractNumId w:val="64"/>
  </w:num>
  <w:num w:numId="45">
    <w:abstractNumId w:val="45"/>
  </w:num>
  <w:num w:numId="46">
    <w:abstractNumId w:val="18"/>
  </w:num>
  <w:num w:numId="47">
    <w:abstractNumId w:val="30"/>
  </w:num>
  <w:num w:numId="48">
    <w:abstractNumId w:val="67"/>
  </w:num>
  <w:num w:numId="49">
    <w:abstractNumId w:val="29"/>
  </w:num>
  <w:num w:numId="50">
    <w:abstractNumId w:val="32"/>
  </w:num>
  <w:num w:numId="51">
    <w:abstractNumId w:val="12"/>
  </w:num>
  <w:num w:numId="52">
    <w:abstractNumId w:val="24"/>
  </w:num>
  <w:num w:numId="53">
    <w:abstractNumId w:val="54"/>
  </w:num>
  <w:num w:numId="54">
    <w:abstractNumId w:val="41"/>
  </w:num>
  <w:num w:numId="55">
    <w:abstractNumId w:val="71"/>
  </w:num>
  <w:num w:numId="56">
    <w:abstractNumId w:val="73"/>
  </w:num>
  <w:num w:numId="57">
    <w:abstractNumId w:val="26"/>
  </w:num>
  <w:num w:numId="58">
    <w:abstractNumId w:val="19"/>
  </w:num>
  <w:num w:numId="59">
    <w:abstractNumId w:val="44"/>
  </w:num>
  <w:num w:numId="60">
    <w:abstractNumId w:val="65"/>
  </w:num>
  <w:num w:numId="61">
    <w:abstractNumId w:val="63"/>
  </w:num>
  <w:num w:numId="62">
    <w:abstractNumId w:val="52"/>
  </w:num>
  <w:num w:numId="63">
    <w:abstractNumId w:val="10"/>
  </w:num>
  <w:num w:numId="64">
    <w:abstractNumId w:val="66"/>
  </w:num>
  <w:num w:numId="65">
    <w:abstractNumId w:val="21"/>
  </w:num>
  <w:num w:numId="66">
    <w:abstractNumId w:val="9"/>
  </w:num>
  <w:num w:numId="67">
    <w:abstractNumId w:val="50"/>
  </w:num>
  <w:num w:numId="68">
    <w:abstractNumId w:val="20"/>
  </w:num>
  <w:num w:numId="69">
    <w:abstractNumId w:val="13"/>
  </w:num>
  <w:num w:numId="70">
    <w:abstractNumId w:val="59"/>
  </w:num>
  <w:num w:numId="71">
    <w:abstractNumId w:val="40"/>
  </w:num>
  <w:num w:numId="72">
    <w:abstractNumId w:val="36"/>
  </w:num>
  <w:num w:numId="73">
    <w:abstractNumId w:val="70"/>
  </w:num>
  <w:num w:numId="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0434B"/>
    <w:rsid w:val="0001093E"/>
    <w:rsid w:val="000117E8"/>
    <w:rsid w:val="0001201D"/>
    <w:rsid w:val="000172EF"/>
    <w:rsid w:val="00026D3A"/>
    <w:rsid w:val="00033285"/>
    <w:rsid w:val="000362D3"/>
    <w:rsid w:val="00036AB0"/>
    <w:rsid w:val="00037395"/>
    <w:rsid w:val="000456D3"/>
    <w:rsid w:val="00052A3A"/>
    <w:rsid w:val="00054148"/>
    <w:rsid w:val="0005511F"/>
    <w:rsid w:val="00057B4C"/>
    <w:rsid w:val="000600E4"/>
    <w:rsid w:val="000617AD"/>
    <w:rsid w:val="00062D93"/>
    <w:rsid w:val="00064683"/>
    <w:rsid w:val="0008047C"/>
    <w:rsid w:val="000813AD"/>
    <w:rsid w:val="00084158"/>
    <w:rsid w:val="0008501E"/>
    <w:rsid w:val="00093699"/>
    <w:rsid w:val="00093B6E"/>
    <w:rsid w:val="000A0ACB"/>
    <w:rsid w:val="000A1C15"/>
    <w:rsid w:val="000A200D"/>
    <w:rsid w:val="000A40AB"/>
    <w:rsid w:val="000A7111"/>
    <w:rsid w:val="000B2E5D"/>
    <w:rsid w:val="000B59E2"/>
    <w:rsid w:val="000B6F94"/>
    <w:rsid w:val="000D0F74"/>
    <w:rsid w:val="000D1301"/>
    <w:rsid w:val="000D347D"/>
    <w:rsid w:val="000D7F32"/>
    <w:rsid w:val="000E3653"/>
    <w:rsid w:val="000E550F"/>
    <w:rsid w:val="000E6758"/>
    <w:rsid w:val="000F33B8"/>
    <w:rsid w:val="000F4624"/>
    <w:rsid w:val="000F6293"/>
    <w:rsid w:val="00101B1E"/>
    <w:rsid w:val="001031CD"/>
    <w:rsid w:val="00106C30"/>
    <w:rsid w:val="00106ED5"/>
    <w:rsid w:val="00112086"/>
    <w:rsid w:val="00113E3C"/>
    <w:rsid w:val="00122589"/>
    <w:rsid w:val="00126E3B"/>
    <w:rsid w:val="0013082A"/>
    <w:rsid w:val="00137597"/>
    <w:rsid w:val="00142D8D"/>
    <w:rsid w:val="001462B5"/>
    <w:rsid w:val="00183C0B"/>
    <w:rsid w:val="001A2287"/>
    <w:rsid w:val="001A3102"/>
    <w:rsid w:val="001A331E"/>
    <w:rsid w:val="001A39CF"/>
    <w:rsid w:val="001B1A20"/>
    <w:rsid w:val="001B7160"/>
    <w:rsid w:val="001C1E79"/>
    <w:rsid w:val="001C201E"/>
    <w:rsid w:val="001D35E1"/>
    <w:rsid w:val="001D566E"/>
    <w:rsid w:val="001D59AE"/>
    <w:rsid w:val="001D5DC1"/>
    <w:rsid w:val="001E1A28"/>
    <w:rsid w:val="002020EC"/>
    <w:rsid w:val="002035C3"/>
    <w:rsid w:val="00206BF6"/>
    <w:rsid w:val="00211D48"/>
    <w:rsid w:val="00217EB9"/>
    <w:rsid w:val="0022386D"/>
    <w:rsid w:val="002302A9"/>
    <w:rsid w:val="002307D2"/>
    <w:rsid w:val="00240975"/>
    <w:rsid w:val="0024156C"/>
    <w:rsid w:val="00241DCF"/>
    <w:rsid w:val="002474B6"/>
    <w:rsid w:val="00251097"/>
    <w:rsid w:val="00260146"/>
    <w:rsid w:val="002646EF"/>
    <w:rsid w:val="002647F5"/>
    <w:rsid w:val="002649BD"/>
    <w:rsid w:val="00270351"/>
    <w:rsid w:val="0027624F"/>
    <w:rsid w:val="00277389"/>
    <w:rsid w:val="00281430"/>
    <w:rsid w:val="00282F58"/>
    <w:rsid w:val="002938A6"/>
    <w:rsid w:val="002947DE"/>
    <w:rsid w:val="002A0AA9"/>
    <w:rsid w:val="002A2196"/>
    <w:rsid w:val="002A2A03"/>
    <w:rsid w:val="002A59DD"/>
    <w:rsid w:val="002A6808"/>
    <w:rsid w:val="002A7854"/>
    <w:rsid w:val="002B5112"/>
    <w:rsid w:val="002B5CC6"/>
    <w:rsid w:val="002B6419"/>
    <w:rsid w:val="002D0ACD"/>
    <w:rsid w:val="002D16C8"/>
    <w:rsid w:val="002E0E5A"/>
    <w:rsid w:val="002E146A"/>
    <w:rsid w:val="002E1953"/>
    <w:rsid w:val="002E19A2"/>
    <w:rsid w:val="002E5834"/>
    <w:rsid w:val="002F0ADE"/>
    <w:rsid w:val="002F2273"/>
    <w:rsid w:val="003007CC"/>
    <w:rsid w:val="003026E2"/>
    <w:rsid w:val="00302E6E"/>
    <w:rsid w:val="00315B95"/>
    <w:rsid w:val="003209FF"/>
    <w:rsid w:val="00322CFC"/>
    <w:rsid w:val="00326E53"/>
    <w:rsid w:val="003271C9"/>
    <w:rsid w:val="00333D5C"/>
    <w:rsid w:val="00340CF2"/>
    <w:rsid w:val="0034249D"/>
    <w:rsid w:val="003439EC"/>
    <w:rsid w:val="00343C83"/>
    <w:rsid w:val="00343DC6"/>
    <w:rsid w:val="00352120"/>
    <w:rsid w:val="003527C2"/>
    <w:rsid w:val="00357B46"/>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2593"/>
    <w:rsid w:val="003C432B"/>
    <w:rsid w:val="003C446C"/>
    <w:rsid w:val="003C62A3"/>
    <w:rsid w:val="003E306C"/>
    <w:rsid w:val="003F632A"/>
    <w:rsid w:val="00401A7B"/>
    <w:rsid w:val="0040687E"/>
    <w:rsid w:val="00420AE3"/>
    <w:rsid w:val="00425C40"/>
    <w:rsid w:val="00427B9A"/>
    <w:rsid w:val="004320F0"/>
    <w:rsid w:val="00432F6C"/>
    <w:rsid w:val="00433675"/>
    <w:rsid w:val="00436F30"/>
    <w:rsid w:val="00443A0C"/>
    <w:rsid w:val="00444950"/>
    <w:rsid w:val="004476DC"/>
    <w:rsid w:val="0046431C"/>
    <w:rsid w:val="00464B8D"/>
    <w:rsid w:val="004670F0"/>
    <w:rsid w:val="00473635"/>
    <w:rsid w:val="00473C0B"/>
    <w:rsid w:val="00480323"/>
    <w:rsid w:val="00481D4E"/>
    <w:rsid w:val="0048402A"/>
    <w:rsid w:val="0049371C"/>
    <w:rsid w:val="004A02A9"/>
    <w:rsid w:val="004A1869"/>
    <w:rsid w:val="004A1A3C"/>
    <w:rsid w:val="004A6C18"/>
    <w:rsid w:val="004B0847"/>
    <w:rsid w:val="004B1E23"/>
    <w:rsid w:val="004B63AC"/>
    <w:rsid w:val="004C4834"/>
    <w:rsid w:val="004C50BA"/>
    <w:rsid w:val="004D086A"/>
    <w:rsid w:val="004D6447"/>
    <w:rsid w:val="004E0C5A"/>
    <w:rsid w:val="004E0CA3"/>
    <w:rsid w:val="004E592E"/>
    <w:rsid w:val="004E70FD"/>
    <w:rsid w:val="004E792C"/>
    <w:rsid w:val="004F24CE"/>
    <w:rsid w:val="004F6C11"/>
    <w:rsid w:val="005018F1"/>
    <w:rsid w:val="00502570"/>
    <w:rsid w:val="00504B08"/>
    <w:rsid w:val="00506E16"/>
    <w:rsid w:val="00507310"/>
    <w:rsid w:val="005132FB"/>
    <w:rsid w:val="005145BA"/>
    <w:rsid w:val="005254B5"/>
    <w:rsid w:val="0053242C"/>
    <w:rsid w:val="005336BC"/>
    <w:rsid w:val="0054080C"/>
    <w:rsid w:val="00541A67"/>
    <w:rsid w:val="00547E10"/>
    <w:rsid w:val="00552323"/>
    <w:rsid w:val="00556964"/>
    <w:rsid w:val="00556BB5"/>
    <w:rsid w:val="005616AE"/>
    <w:rsid w:val="00563C67"/>
    <w:rsid w:val="00581EC2"/>
    <w:rsid w:val="00583E58"/>
    <w:rsid w:val="005900E9"/>
    <w:rsid w:val="005965CF"/>
    <w:rsid w:val="005A142B"/>
    <w:rsid w:val="005B3264"/>
    <w:rsid w:val="005B3C17"/>
    <w:rsid w:val="005B61CB"/>
    <w:rsid w:val="005B63B3"/>
    <w:rsid w:val="005C20FE"/>
    <w:rsid w:val="005C4F0F"/>
    <w:rsid w:val="005C5359"/>
    <w:rsid w:val="005C6472"/>
    <w:rsid w:val="005D0785"/>
    <w:rsid w:val="005D3FE2"/>
    <w:rsid w:val="005E1EEC"/>
    <w:rsid w:val="005E3FAA"/>
    <w:rsid w:val="005E60FE"/>
    <w:rsid w:val="005E781B"/>
    <w:rsid w:val="005F4263"/>
    <w:rsid w:val="005F6BFD"/>
    <w:rsid w:val="0061174C"/>
    <w:rsid w:val="0061264C"/>
    <w:rsid w:val="00620A5F"/>
    <w:rsid w:val="006279FD"/>
    <w:rsid w:val="00627C18"/>
    <w:rsid w:val="0063348F"/>
    <w:rsid w:val="00635345"/>
    <w:rsid w:val="00636AAD"/>
    <w:rsid w:val="00637A40"/>
    <w:rsid w:val="006415E8"/>
    <w:rsid w:val="00641CDD"/>
    <w:rsid w:val="006439CE"/>
    <w:rsid w:val="00645E6B"/>
    <w:rsid w:val="00653850"/>
    <w:rsid w:val="00664179"/>
    <w:rsid w:val="00664BC6"/>
    <w:rsid w:val="006653C8"/>
    <w:rsid w:val="0066558C"/>
    <w:rsid w:val="00670C91"/>
    <w:rsid w:val="00674A35"/>
    <w:rsid w:val="0068256E"/>
    <w:rsid w:val="0068518E"/>
    <w:rsid w:val="00685863"/>
    <w:rsid w:val="00687264"/>
    <w:rsid w:val="00690B8E"/>
    <w:rsid w:val="00691436"/>
    <w:rsid w:val="00693064"/>
    <w:rsid w:val="006A3C57"/>
    <w:rsid w:val="006A5E16"/>
    <w:rsid w:val="006B4FF5"/>
    <w:rsid w:val="006B7B09"/>
    <w:rsid w:val="006E1E91"/>
    <w:rsid w:val="006E67C2"/>
    <w:rsid w:val="00701C4A"/>
    <w:rsid w:val="00702AED"/>
    <w:rsid w:val="00704489"/>
    <w:rsid w:val="00710043"/>
    <w:rsid w:val="00713846"/>
    <w:rsid w:val="00713F05"/>
    <w:rsid w:val="00722B16"/>
    <w:rsid w:val="00726B6F"/>
    <w:rsid w:val="00727E24"/>
    <w:rsid w:val="00730378"/>
    <w:rsid w:val="007328EA"/>
    <w:rsid w:val="007353FD"/>
    <w:rsid w:val="0074134F"/>
    <w:rsid w:val="00743A93"/>
    <w:rsid w:val="00743FD6"/>
    <w:rsid w:val="0074469F"/>
    <w:rsid w:val="007502F1"/>
    <w:rsid w:val="00752E82"/>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367F"/>
    <w:rsid w:val="007B50C9"/>
    <w:rsid w:val="007B6C10"/>
    <w:rsid w:val="007C0A19"/>
    <w:rsid w:val="007C0E40"/>
    <w:rsid w:val="007C0EAB"/>
    <w:rsid w:val="007C1243"/>
    <w:rsid w:val="007C3019"/>
    <w:rsid w:val="007C50FB"/>
    <w:rsid w:val="007C5F39"/>
    <w:rsid w:val="007C6247"/>
    <w:rsid w:val="007C6C16"/>
    <w:rsid w:val="007D330A"/>
    <w:rsid w:val="007D3ED3"/>
    <w:rsid w:val="007E0773"/>
    <w:rsid w:val="007E55EC"/>
    <w:rsid w:val="007E5F3F"/>
    <w:rsid w:val="007E6384"/>
    <w:rsid w:val="00800F49"/>
    <w:rsid w:val="00805439"/>
    <w:rsid w:val="00805FF3"/>
    <w:rsid w:val="008175BA"/>
    <w:rsid w:val="008175D0"/>
    <w:rsid w:val="00821065"/>
    <w:rsid w:val="0083105C"/>
    <w:rsid w:val="00831E22"/>
    <w:rsid w:val="008342D3"/>
    <w:rsid w:val="00843FAE"/>
    <w:rsid w:val="0084465F"/>
    <w:rsid w:val="0084581D"/>
    <w:rsid w:val="00846CF0"/>
    <w:rsid w:val="00846FA4"/>
    <w:rsid w:val="00853677"/>
    <w:rsid w:val="00856AD8"/>
    <w:rsid w:val="00863EEA"/>
    <w:rsid w:val="0087110B"/>
    <w:rsid w:val="00873C7A"/>
    <w:rsid w:val="0087459B"/>
    <w:rsid w:val="00874A1D"/>
    <w:rsid w:val="00875E42"/>
    <w:rsid w:val="00884FDF"/>
    <w:rsid w:val="008925C6"/>
    <w:rsid w:val="00897F2A"/>
    <w:rsid w:val="008A2A01"/>
    <w:rsid w:val="008A39DF"/>
    <w:rsid w:val="008A4B0E"/>
    <w:rsid w:val="008A54AB"/>
    <w:rsid w:val="008B5305"/>
    <w:rsid w:val="008B5BCD"/>
    <w:rsid w:val="008C137D"/>
    <w:rsid w:val="008C16B9"/>
    <w:rsid w:val="008C4DEF"/>
    <w:rsid w:val="008D1DCB"/>
    <w:rsid w:val="008D2731"/>
    <w:rsid w:val="008E0D17"/>
    <w:rsid w:val="008E2018"/>
    <w:rsid w:val="008F3472"/>
    <w:rsid w:val="009019F6"/>
    <w:rsid w:val="00902F27"/>
    <w:rsid w:val="00904A3E"/>
    <w:rsid w:val="00907281"/>
    <w:rsid w:val="00915F4D"/>
    <w:rsid w:val="00931569"/>
    <w:rsid w:val="00932A8B"/>
    <w:rsid w:val="00937421"/>
    <w:rsid w:val="0093794A"/>
    <w:rsid w:val="00942530"/>
    <w:rsid w:val="00947645"/>
    <w:rsid w:val="00951B20"/>
    <w:rsid w:val="00957CFA"/>
    <w:rsid w:val="00957E4A"/>
    <w:rsid w:val="009606B7"/>
    <w:rsid w:val="009617D0"/>
    <w:rsid w:val="00961879"/>
    <w:rsid w:val="009638D6"/>
    <w:rsid w:val="00966249"/>
    <w:rsid w:val="00967604"/>
    <w:rsid w:val="00973103"/>
    <w:rsid w:val="009776F9"/>
    <w:rsid w:val="00977A5F"/>
    <w:rsid w:val="009830EE"/>
    <w:rsid w:val="009963FB"/>
    <w:rsid w:val="009A0236"/>
    <w:rsid w:val="009A4D1F"/>
    <w:rsid w:val="009B0D66"/>
    <w:rsid w:val="009B288B"/>
    <w:rsid w:val="009B41A7"/>
    <w:rsid w:val="009B522B"/>
    <w:rsid w:val="009B544F"/>
    <w:rsid w:val="009C12AB"/>
    <w:rsid w:val="009C5D63"/>
    <w:rsid w:val="009C7691"/>
    <w:rsid w:val="009D15E3"/>
    <w:rsid w:val="009D1AF8"/>
    <w:rsid w:val="009D31DE"/>
    <w:rsid w:val="009D4E1C"/>
    <w:rsid w:val="009D6564"/>
    <w:rsid w:val="009E40F5"/>
    <w:rsid w:val="009E7463"/>
    <w:rsid w:val="009F22F0"/>
    <w:rsid w:val="009F739E"/>
    <w:rsid w:val="00A024FB"/>
    <w:rsid w:val="00A15284"/>
    <w:rsid w:val="00A179C3"/>
    <w:rsid w:val="00A35D25"/>
    <w:rsid w:val="00A43B57"/>
    <w:rsid w:val="00A51EED"/>
    <w:rsid w:val="00A51FB4"/>
    <w:rsid w:val="00A557C2"/>
    <w:rsid w:val="00A55F0F"/>
    <w:rsid w:val="00A60223"/>
    <w:rsid w:val="00A63B7A"/>
    <w:rsid w:val="00A6401D"/>
    <w:rsid w:val="00A74796"/>
    <w:rsid w:val="00A75B4A"/>
    <w:rsid w:val="00A809F7"/>
    <w:rsid w:val="00A81917"/>
    <w:rsid w:val="00A879CD"/>
    <w:rsid w:val="00A87C83"/>
    <w:rsid w:val="00A905E6"/>
    <w:rsid w:val="00AA6ECF"/>
    <w:rsid w:val="00AB34DA"/>
    <w:rsid w:val="00AB370A"/>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449A4"/>
    <w:rsid w:val="00B60B99"/>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C7EA8"/>
    <w:rsid w:val="00BD17F8"/>
    <w:rsid w:val="00BD2B31"/>
    <w:rsid w:val="00BE2E1F"/>
    <w:rsid w:val="00C00010"/>
    <w:rsid w:val="00C01D89"/>
    <w:rsid w:val="00C03601"/>
    <w:rsid w:val="00C134BB"/>
    <w:rsid w:val="00C14F19"/>
    <w:rsid w:val="00C21892"/>
    <w:rsid w:val="00C221F8"/>
    <w:rsid w:val="00C312B8"/>
    <w:rsid w:val="00C405A1"/>
    <w:rsid w:val="00C47E9F"/>
    <w:rsid w:val="00C51B18"/>
    <w:rsid w:val="00C54663"/>
    <w:rsid w:val="00C55715"/>
    <w:rsid w:val="00C71315"/>
    <w:rsid w:val="00C71575"/>
    <w:rsid w:val="00C747C6"/>
    <w:rsid w:val="00C7743B"/>
    <w:rsid w:val="00C77C9B"/>
    <w:rsid w:val="00C82F62"/>
    <w:rsid w:val="00C851B9"/>
    <w:rsid w:val="00C85718"/>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05F14"/>
    <w:rsid w:val="00D1257C"/>
    <w:rsid w:val="00D15F10"/>
    <w:rsid w:val="00D20175"/>
    <w:rsid w:val="00D20270"/>
    <w:rsid w:val="00D21DDE"/>
    <w:rsid w:val="00D23B78"/>
    <w:rsid w:val="00D25686"/>
    <w:rsid w:val="00D31297"/>
    <w:rsid w:val="00D34E5A"/>
    <w:rsid w:val="00D465C8"/>
    <w:rsid w:val="00D51A06"/>
    <w:rsid w:val="00D5536F"/>
    <w:rsid w:val="00D55F50"/>
    <w:rsid w:val="00D62F9D"/>
    <w:rsid w:val="00D653B3"/>
    <w:rsid w:val="00D70436"/>
    <w:rsid w:val="00D74299"/>
    <w:rsid w:val="00D74D67"/>
    <w:rsid w:val="00D81DDE"/>
    <w:rsid w:val="00D90967"/>
    <w:rsid w:val="00D92C15"/>
    <w:rsid w:val="00DA56DB"/>
    <w:rsid w:val="00DA6D80"/>
    <w:rsid w:val="00DA7ACF"/>
    <w:rsid w:val="00DB0ECA"/>
    <w:rsid w:val="00DB1985"/>
    <w:rsid w:val="00DC537D"/>
    <w:rsid w:val="00DC6483"/>
    <w:rsid w:val="00DD0BAE"/>
    <w:rsid w:val="00DD5D5B"/>
    <w:rsid w:val="00DD5D73"/>
    <w:rsid w:val="00DE3623"/>
    <w:rsid w:val="00DE7350"/>
    <w:rsid w:val="00DF1D7C"/>
    <w:rsid w:val="00DF2D93"/>
    <w:rsid w:val="00DF70CB"/>
    <w:rsid w:val="00E05F31"/>
    <w:rsid w:val="00E16B31"/>
    <w:rsid w:val="00E26481"/>
    <w:rsid w:val="00E3128A"/>
    <w:rsid w:val="00E36D68"/>
    <w:rsid w:val="00E4427E"/>
    <w:rsid w:val="00E547EF"/>
    <w:rsid w:val="00E5795D"/>
    <w:rsid w:val="00E6184D"/>
    <w:rsid w:val="00E64FE4"/>
    <w:rsid w:val="00E66A9F"/>
    <w:rsid w:val="00E73667"/>
    <w:rsid w:val="00E73A9B"/>
    <w:rsid w:val="00E75A41"/>
    <w:rsid w:val="00E80F44"/>
    <w:rsid w:val="00E8359E"/>
    <w:rsid w:val="00E90F35"/>
    <w:rsid w:val="00E9412F"/>
    <w:rsid w:val="00E95B27"/>
    <w:rsid w:val="00EA0DBE"/>
    <w:rsid w:val="00EA2054"/>
    <w:rsid w:val="00EA280E"/>
    <w:rsid w:val="00EB636D"/>
    <w:rsid w:val="00EB70B3"/>
    <w:rsid w:val="00EC67B7"/>
    <w:rsid w:val="00EC6BD7"/>
    <w:rsid w:val="00ED0973"/>
    <w:rsid w:val="00EE7096"/>
    <w:rsid w:val="00EF6AB8"/>
    <w:rsid w:val="00EF7B73"/>
    <w:rsid w:val="00F00014"/>
    <w:rsid w:val="00F00A91"/>
    <w:rsid w:val="00F0302A"/>
    <w:rsid w:val="00F15BD5"/>
    <w:rsid w:val="00F1770B"/>
    <w:rsid w:val="00F239FF"/>
    <w:rsid w:val="00F2459F"/>
    <w:rsid w:val="00F255D7"/>
    <w:rsid w:val="00F37BF6"/>
    <w:rsid w:val="00F4043C"/>
    <w:rsid w:val="00F4178A"/>
    <w:rsid w:val="00F470E7"/>
    <w:rsid w:val="00F54EFE"/>
    <w:rsid w:val="00F55D64"/>
    <w:rsid w:val="00F56998"/>
    <w:rsid w:val="00F63E36"/>
    <w:rsid w:val="00F900A6"/>
    <w:rsid w:val="00F92C9D"/>
    <w:rsid w:val="00F934D9"/>
    <w:rsid w:val="00F94FEB"/>
    <w:rsid w:val="00F963A6"/>
    <w:rsid w:val="00FA0A74"/>
    <w:rsid w:val="00FA69C2"/>
    <w:rsid w:val="00FB044C"/>
    <w:rsid w:val="00FB1462"/>
    <w:rsid w:val="00FB1E65"/>
    <w:rsid w:val="00FB45B7"/>
    <w:rsid w:val="00FB4F83"/>
    <w:rsid w:val="00FB5517"/>
    <w:rsid w:val="00FB77B6"/>
    <w:rsid w:val="00FC0D59"/>
    <w:rsid w:val="00FC2484"/>
    <w:rsid w:val="00FC685B"/>
    <w:rsid w:val="00FD2039"/>
    <w:rsid w:val="00FD631A"/>
    <w:rsid w:val="00FE098D"/>
    <w:rsid w:val="00FE0CAB"/>
    <w:rsid w:val="00FE4DDF"/>
    <w:rsid w:val="00FE553E"/>
    <w:rsid w:val="00FF3263"/>
    <w:rsid w:val="00FF407A"/>
    <w:rsid w:val="00FF4117"/>
    <w:rsid w:val="02840747"/>
    <w:rsid w:val="0304214E"/>
    <w:rsid w:val="04B536B0"/>
    <w:rsid w:val="04CC142C"/>
    <w:rsid w:val="05DE2256"/>
    <w:rsid w:val="06036547"/>
    <w:rsid w:val="07C458B8"/>
    <w:rsid w:val="091F5496"/>
    <w:rsid w:val="095630A4"/>
    <w:rsid w:val="096B55F2"/>
    <w:rsid w:val="097059EA"/>
    <w:rsid w:val="0ABA3A82"/>
    <w:rsid w:val="0B3C757E"/>
    <w:rsid w:val="0C0C43B3"/>
    <w:rsid w:val="0C84298E"/>
    <w:rsid w:val="0CA1510D"/>
    <w:rsid w:val="0CB21CF6"/>
    <w:rsid w:val="0CD5291F"/>
    <w:rsid w:val="0D4E7545"/>
    <w:rsid w:val="0DC25C33"/>
    <w:rsid w:val="0EF72E77"/>
    <w:rsid w:val="10EC40A1"/>
    <w:rsid w:val="123C0A7D"/>
    <w:rsid w:val="12B7227D"/>
    <w:rsid w:val="12C932AF"/>
    <w:rsid w:val="13CD6C7C"/>
    <w:rsid w:val="148C3ED8"/>
    <w:rsid w:val="156F0174"/>
    <w:rsid w:val="157A68EA"/>
    <w:rsid w:val="1739342D"/>
    <w:rsid w:val="176361E2"/>
    <w:rsid w:val="180B01A6"/>
    <w:rsid w:val="182008C4"/>
    <w:rsid w:val="19703EDA"/>
    <w:rsid w:val="1B157A43"/>
    <w:rsid w:val="1B704A88"/>
    <w:rsid w:val="1C304AD0"/>
    <w:rsid w:val="1CED7F7A"/>
    <w:rsid w:val="1DE33B77"/>
    <w:rsid w:val="1DFE6FFD"/>
    <w:rsid w:val="1E7772D5"/>
    <w:rsid w:val="1EC9399F"/>
    <w:rsid w:val="1F322588"/>
    <w:rsid w:val="1F54026A"/>
    <w:rsid w:val="2065251F"/>
    <w:rsid w:val="22473341"/>
    <w:rsid w:val="26766A30"/>
    <w:rsid w:val="2BB27A8A"/>
    <w:rsid w:val="2E4E7C80"/>
    <w:rsid w:val="30997EBB"/>
    <w:rsid w:val="322E1D2C"/>
    <w:rsid w:val="332E21C0"/>
    <w:rsid w:val="344F3478"/>
    <w:rsid w:val="349C31E8"/>
    <w:rsid w:val="34A0145B"/>
    <w:rsid w:val="36575D46"/>
    <w:rsid w:val="36951783"/>
    <w:rsid w:val="384D766E"/>
    <w:rsid w:val="388F0711"/>
    <w:rsid w:val="393B0401"/>
    <w:rsid w:val="398415C0"/>
    <w:rsid w:val="39C30229"/>
    <w:rsid w:val="3B964A58"/>
    <w:rsid w:val="3C4B0E70"/>
    <w:rsid w:val="3CC1702F"/>
    <w:rsid w:val="406E78CD"/>
    <w:rsid w:val="412E7F54"/>
    <w:rsid w:val="41FA550B"/>
    <w:rsid w:val="426F2A8E"/>
    <w:rsid w:val="44733299"/>
    <w:rsid w:val="463C6DB3"/>
    <w:rsid w:val="46794F93"/>
    <w:rsid w:val="47724C09"/>
    <w:rsid w:val="477C33A0"/>
    <w:rsid w:val="47D4161F"/>
    <w:rsid w:val="48334784"/>
    <w:rsid w:val="484057AE"/>
    <w:rsid w:val="496D648B"/>
    <w:rsid w:val="4B7E0CA8"/>
    <w:rsid w:val="4B9D3CA0"/>
    <w:rsid w:val="4D5B5A05"/>
    <w:rsid w:val="4E1E42C3"/>
    <w:rsid w:val="4E872575"/>
    <w:rsid w:val="501D7499"/>
    <w:rsid w:val="507A6BB9"/>
    <w:rsid w:val="51807F02"/>
    <w:rsid w:val="526D4588"/>
    <w:rsid w:val="52F548BE"/>
    <w:rsid w:val="54890509"/>
    <w:rsid w:val="55931354"/>
    <w:rsid w:val="56015981"/>
    <w:rsid w:val="57372FF6"/>
    <w:rsid w:val="576B28B1"/>
    <w:rsid w:val="5BBF1F3E"/>
    <w:rsid w:val="5BF61E76"/>
    <w:rsid w:val="5C085522"/>
    <w:rsid w:val="5DA62BBC"/>
    <w:rsid w:val="5F574EA6"/>
    <w:rsid w:val="5FC02439"/>
    <w:rsid w:val="5FEC7A38"/>
    <w:rsid w:val="60045651"/>
    <w:rsid w:val="60C80FE7"/>
    <w:rsid w:val="62E428B7"/>
    <w:rsid w:val="63AF0298"/>
    <w:rsid w:val="63E626F6"/>
    <w:rsid w:val="64074CC5"/>
    <w:rsid w:val="64F62919"/>
    <w:rsid w:val="6542412F"/>
    <w:rsid w:val="65FE437E"/>
    <w:rsid w:val="66C02337"/>
    <w:rsid w:val="67546F17"/>
    <w:rsid w:val="67D444FF"/>
    <w:rsid w:val="68DB481C"/>
    <w:rsid w:val="692E5CD4"/>
    <w:rsid w:val="6ACE1BDF"/>
    <w:rsid w:val="6B0A0BC1"/>
    <w:rsid w:val="6B5F2365"/>
    <w:rsid w:val="6C546CD9"/>
    <w:rsid w:val="6CA7253A"/>
    <w:rsid w:val="6CF2427F"/>
    <w:rsid w:val="6D842A93"/>
    <w:rsid w:val="6D9269EF"/>
    <w:rsid w:val="72D55C8A"/>
    <w:rsid w:val="735206BD"/>
    <w:rsid w:val="748F5344"/>
    <w:rsid w:val="74D8005A"/>
    <w:rsid w:val="753A57F2"/>
    <w:rsid w:val="753B5C22"/>
    <w:rsid w:val="76C06EFB"/>
    <w:rsid w:val="77772537"/>
    <w:rsid w:val="782C63CB"/>
    <w:rsid w:val="7A960213"/>
    <w:rsid w:val="7AAF0AD4"/>
    <w:rsid w:val="7ABB1F4B"/>
    <w:rsid w:val="7B6A298F"/>
    <w:rsid w:val="7C0461C8"/>
    <w:rsid w:val="7D134DB7"/>
    <w:rsid w:val="7D183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3"/>
    <w:qFormat/>
    <w:uiPriority w:val="0"/>
    <w:pPr>
      <w:ind w:firstLine="420" w:firstLineChars="200"/>
    </w:pPr>
  </w:style>
  <w:style w:type="paragraph" w:styleId="3">
    <w:name w:val="index 5"/>
    <w:basedOn w:val="1"/>
    <w:next w:val="1"/>
    <w:qFormat/>
    <w:uiPriority w:val="0"/>
    <w:pPr>
      <w:ind w:left="1680"/>
    </w:pPr>
    <w:rPr>
      <w:rFonts w:ascii="Calibri" w:hAnsi="Calibri" w:eastAsia="宋体" w:cs="Times New Roman"/>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53"/>
    <w:qFormat/>
    <w:uiPriority w:val="0"/>
    <w:rPr>
      <w:rFonts w:ascii="Times New Roman" w:hAnsi="Times New Roman" w:eastAsia="宋体" w:cs="Times New Roman"/>
      <w:color w:val="FF0000"/>
      <w:sz w:val="24"/>
      <w:szCs w:val="24"/>
    </w:rPr>
  </w:style>
  <w:style w:type="paragraph" w:styleId="11">
    <w:name w:val="Body Text"/>
    <w:basedOn w:val="1"/>
    <w:link w:val="57"/>
    <w:unhideWhenUsed/>
    <w:qFormat/>
    <w:uiPriority w:val="99"/>
    <w:pPr>
      <w:spacing w:after="120"/>
    </w:pPr>
  </w:style>
  <w:style w:type="paragraph" w:styleId="12">
    <w:name w:val="Body Text Indent"/>
    <w:basedOn w:val="1"/>
    <w:link w:val="62"/>
    <w:qFormat/>
    <w:uiPriority w:val="0"/>
    <w:pPr>
      <w:adjustRightInd w:val="0"/>
      <w:spacing w:after="120" w:line="360" w:lineRule="atLeast"/>
      <w:ind w:left="420" w:leftChars="200"/>
      <w:jc w:val="left"/>
      <w:textAlignment w:val="baseline"/>
    </w:pPr>
    <w:rPr>
      <w:sz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9"/>
    <w:qFormat/>
    <w:uiPriority w:val="0"/>
    <w:rPr>
      <w:rFonts w:eastAsia="宋体"/>
      <w:sz w:val="24"/>
    </w:rPr>
  </w:style>
  <w:style w:type="paragraph" w:styleId="16">
    <w:name w:val="Date"/>
    <w:basedOn w:val="1"/>
    <w:next w:val="1"/>
    <w:link w:val="40"/>
    <w:unhideWhenUsed/>
    <w:qFormat/>
    <w:uiPriority w:val="99"/>
    <w:pPr>
      <w:ind w:left="100" w:leftChars="2500"/>
    </w:pPr>
  </w:style>
  <w:style w:type="paragraph" w:styleId="17">
    <w:name w:val="Body Text Indent 2"/>
    <w:basedOn w:val="1"/>
    <w:link w:val="68"/>
    <w:semiHidden/>
    <w:unhideWhenUsed/>
    <w:qFormat/>
    <w:uiPriority w:val="99"/>
    <w:pPr>
      <w:spacing w:after="120" w:line="480" w:lineRule="auto"/>
      <w:ind w:left="420" w:leftChars="200"/>
    </w:pPr>
  </w:style>
  <w:style w:type="paragraph" w:styleId="18">
    <w:name w:val="Balloon Text"/>
    <w:basedOn w:val="1"/>
    <w:link w:val="64"/>
    <w:semiHidden/>
    <w:unhideWhenUsed/>
    <w:qFormat/>
    <w:uiPriority w:val="99"/>
    <w:rPr>
      <w:sz w:val="18"/>
      <w:szCs w:val="18"/>
    </w:rPr>
  </w:style>
  <w:style w:type="paragraph" w:styleId="19">
    <w:name w:val="footer"/>
    <w:basedOn w:val="1"/>
    <w:link w:val="41"/>
    <w:unhideWhenUsed/>
    <w:qFormat/>
    <w:uiPriority w:val="99"/>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footnote text"/>
    <w:semiHidden/>
    <w:qFormat/>
    <w:uiPriority w:val="99"/>
    <w:pPr>
      <w:widowControl w:val="0"/>
      <w:snapToGrid w:val="0"/>
    </w:pPr>
    <w:rPr>
      <w:rFonts w:ascii="Book Antiqua" w:hAnsi="Book Antiqua" w:eastAsia="宋体" w:cs="Times New Roman"/>
      <w:kern w:val="2"/>
      <w:sz w:val="18"/>
      <w:szCs w:val="18"/>
      <w:lang w:val="en-US" w:eastAsia="zh-CN" w:bidi="ar-SA"/>
    </w:rPr>
  </w:style>
  <w:style w:type="paragraph" w:styleId="2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4">
    <w:name w:val="HTML Preformatted"/>
    <w:basedOn w:val="1"/>
    <w:link w:val="6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1"/>
    <w:link w:val="58"/>
    <w:qFormat/>
    <w:uiPriority w:val="0"/>
    <w:pPr>
      <w:ind w:firstLine="420" w:firstLineChars="100"/>
    </w:pPr>
    <w:rPr>
      <w:rFonts w:ascii="宋体" w:hAnsi="Times New Roman" w:eastAsia="宋体" w:cs="Times New Roman"/>
      <w:kern w:val="0"/>
      <w:sz w:val="34"/>
      <w:szCs w:val="20"/>
    </w:rPr>
  </w:style>
  <w:style w:type="paragraph" w:styleId="27">
    <w:name w:val="Body Text First Indent 2"/>
    <w:basedOn w:val="12"/>
    <w:link w:val="70"/>
    <w:semiHidden/>
    <w:unhideWhenUsed/>
    <w:qFormat/>
    <w:uiPriority w:val="99"/>
    <w:pPr>
      <w:adjustRightInd/>
      <w:spacing w:line="240" w:lineRule="auto"/>
      <w:ind w:firstLine="420" w:firstLineChars="200"/>
      <w:jc w:val="both"/>
      <w:textAlignment w:val="auto"/>
    </w:pPr>
    <w:rPr>
      <w:sz w:val="21"/>
    </w:rPr>
  </w:style>
  <w:style w:type="table" w:styleId="29">
    <w:name w:val="Table Grid"/>
    <w:basedOn w:val="2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FollowedHyperlink"/>
    <w:basedOn w:val="30"/>
    <w:semiHidden/>
    <w:unhideWhenUsed/>
    <w:qFormat/>
    <w:uiPriority w:val="99"/>
    <w:rPr>
      <w:color w:val="800080" w:themeColor="followedHyperlink"/>
      <w:u w:val="single"/>
    </w:rPr>
  </w:style>
  <w:style w:type="character" w:styleId="33">
    <w:name w:val="Hyperlink"/>
    <w:basedOn w:val="30"/>
    <w:unhideWhenUsed/>
    <w:qFormat/>
    <w:uiPriority w:val="0"/>
    <w:rPr>
      <w:color w:val="0000FF"/>
      <w:u w:val="single"/>
    </w:rPr>
  </w:style>
  <w:style w:type="paragraph" w:customStyle="1" w:styleId="34">
    <w:name w:val="*正文"/>
    <w:basedOn w:val="1"/>
    <w:qFormat/>
    <w:uiPriority w:val="0"/>
    <w:pPr>
      <w:keepNext/>
      <w:keepLines/>
      <w:spacing w:line="360" w:lineRule="auto"/>
      <w:ind w:firstLine="200" w:firstLineChars="200"/>
    </w:pPr>
    <w:rPr>
      <w:rFonts w:ascii="宋体" w:hAnsi="宋体" w:eastAsia="宋体" w:cs="Times New Roman"/>
    </w:rPr>
  </w:style>
  <w:style w:type="character" w:customStyle="1" w:styleId="35">
    <w:name w:val="标题 1 Char"/>
    <w:basedOn w:val="30"/>
    <w:link w:val="4"/>
    <w:qFormat/>
    <w:uiPriority w:val="0"/>
    <w:rPr>
      <w:rFonts w:ascii="Calibri" w:hAnsi="Calibri" w:eastAsia="宋体" w:cs="Times New Roman"/>
      <w:b/>
      <w:bCs/>
      <w:kern w:val="44"/>
      <w:sz w:val="44"/>
      <w:szCs w:val="44"/>
    </w:rPr>
  </w:style>
  <w:style w:type="character" w:customStyle="1" w:styleId="36">
    <w:name w:val="标题 2 Char"/>
    <w:basedOn w:val="30"/>
    <w:link w:val="5"/>
    <w:qFormat/>
    <w:uiPriority w:val="0"/>
    <w:rPr>
      <w:rFonts w:ascii="Arial" w:hAnsi="Arial" w:eastAsia="黑体" w:cs="Times New Roman"/>
      <w:b/>
      <w:bCs/>
      <w:sz w:val="32"/>
      <w:szCs w:val="32"/>
    </w:rPr>
  </w:style>
  <w:style w:type="character" w:customStyle="1" w:styleId="37">
    <w:name w:val="标题 3 Char"/>
    <w:basedOn w:val="30"/>
    <w:link w:val="6"/>
    <w:qFormat/>
    <w:uiPriority w:val="0"/>
    <w:rPr>
      <w:rFonts w:ascii="宋体" w:hAnsi="宋体" w:eastAsia="宋体" w:cs="Times New Roman"/>
      <w:b/>
      <w:color w:val="000000"/>
      <w:kern w:val="0"/>
      <w:sz w:val="24"/>
      <w:szCs w:val="20"/>
      <w:lang w:val="en-GB"/>
    </w:rPr>
  </w:style>
  <w:style w:type="character" w:customStyle="1" w:styleId="38">
    <w:name w:val="标题 4 Char"/>
    <w:basedOn w:val="30"/>
    <w:link w:val="7"/>
    <w:qFormat/>
    <w:uiPriority w:val="0"/>
    <w:rPr>
      <w:rFonts w:ascii="Arial" w:hAnsi="Arial" w:eastAsia="黑体" w:cs="Times New Roman"/>
      <w:b/>
      <w:bCs/>
      <w:sz w:val="28"/>
      <w:szCs w:val="28"/>
    </w:rPr>
  </w:style>
  <w:style w:type="character" w:customStyle="1" w:styleId="39">
    <w:name w:val="纯文本 Char"/>
    <w:basedOn w:val="30"/>
    <w:link w:val="15"/>
    <w:qFormat/>
    <w:uiPriority w:val="0"/>
    <w:rPr>
      <w:rFonts w:eastAsia="宋体"/>
      <w:sz w:val="24"/>
    </w:rPr>
  </w:style>
  <w:style w:type="character" w:customStyle="1" w:styleId="40">
    <w:name w:val="日期 Char"/>
    <w:basedOn w:val="30"/>
    <w:link w:val="16"/>
    <w:qFormat/>
    <w:uiPriority w:val="99"/>
  </w:style>
  <w:style w:type="character" w:customStyle="1" w:styleId="41">
    <w:name w:val="页脚 Char"/>
    <w:basedOn w:val="30"/>
    <w:link w:val="19"/>
    <w:qFormat/>
    <w:uiPriority w:val="99"/>
    <w:rPr>
      <w:sz w:val="18"/>
      <w:szCs w:val="18"/>
    </w:rPr>
  </w:style>
  <w:style w:type="character" w:customStyle="1" w:styleId="42">
    <w:name w:val="页眉 Char"/>
    <w:basedOn w:val="30"/>
    <w:link w:val="20"/>
    <w:qFormat/>
    <w:uiPriority w:val="99"/>
    <w:rPr>
      <w:sz w:val="18"/>
      <w:szCs w:val="18"/>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正文文本 3 Char"/>
    <w:basedOn w:val="30"/>
    <w:link w:val="10"/>
    <w:qFormat/>
    <w:uiPriority w:val="0"/>
    <w:rPr>
      <w:rFonts w:ascii="Times New Roman" w:hAnsi="Times New Roman" w:eastAsia="宋体" w:cs="Times New Roman"/>
      <w:color w:val="FF0000"/>
      <w:sz w:val="24"/>
      <w:szCs w:val="24"/>
    </w:rPr>
  </w:style>
  <w:style w:type="character" w:customStyle="1" w:styleId="54">
    <w:name w:val="edittexttarea"/>
    <w:basedOn w:val="30"/>
    <w:qFormat/>
    <w:uiPriority w:val="0"/>
  </w:style>
  <w:style w:type="paragraph" w:customStyle="1" w:styleId="55">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7">
    <w:name w:val="正文文本 Char"/>
    <w:basedOn w:val="30"/>
    <w:link w:val="11"/>
    <w:qFormat/>
    <w:uiPriority w:val="99"/>
  </w:style>
  <w:style w:type="character" w:customStyle="1" w:styleId="58">
    <w:name w:val="正文首行缩进 Char"/>
    <w:basedOn w:val="57"/>
    <w:link w:val="26"/>
    <w:qFormat/>
    <w:uiPriority w:val="0"/>
    <w:rPr>
      <w:rFonts w:ascii="宋体" w:hAnsi="Times New Roman" w:eastAsia="宋体" w:cs="Times New Roman"/>
      <w:kern w:val="0"/>
      <w:sz w:val="34"/>
      <w:szCs w:val="20"/>
    </w:rPr>
  </w:style>
  <w:style w:type="character" w:customStyle="1" w:styleId="59">
    <w:name w:val="HTML 预设格式 Char"/>
    <w:basedOn w:val="30"/>
    <w:link w:val="24"/>
    <w:semiHidden/>
    <w:qFormat/>
    <w:uiPriority w:val="99"/>
    <w:rPr>
      <w:rFonts w:ascii="宋体" w:hAnsi="宋体" w:eastAsia="宋体" w:cs="宋体"/>
      <w:kern w:val="0"/>
      <w:sz w:val="24"/>
      <w:szCs w:val="24"/>
    </w:rPr>
  </w:style>
  <w:style w:type="character" w:customStyle="1" w:styleId="60">
    <w:name w:val="HTML 预设格式 Char1"/>
    <w:basedOn w:val="30"/>
    <w:link w:val="24"/>
    <w:semiHidden/>
    <w:qFormat/>
    <w:uiPriority w:val="99"/>
    <w:rPr>
      <w:rFonts w:ascii="Courier New" w:hAnsi="Courier New" w:cs="Courier New"/>
      <w:sz w:val="20"/>
      <w:szCs w:val="20"/>
    </w:rPr>
  </w:style>
  <w:style w:type="character" w:customStyle="1" w:styleId="61">
    <w:name w:val="正文文本缩进 Char"/>
    <w:link w:val="12"/>
    <w:qFormat/>
    <w:uiPriority w:val="0"/>
    <w:rPr>
      <w:sz w:val="24"/>
    </w:rPr>
  </w:style>
  <w:style w:type="character" w:customStyle="1" w:styleId="62">
    <w:name w:val="正文文本缩进 Char1"/>
    <w:basedOn w:val="30"/>
    <w:link w:val="12"/>
    <w:semiHidden/>
    <w:qFormat/>
    <w:uiPriority w:val="99"/>
  </w:style>
  <w:style w:type="character" w:customStyle="1" w:styleId="63">
    <w:name w:val="批注框文本 Char"/>
    <w:basedOn w:val="30"/>
    <w:link w:val="18"/>
    <w:semiHidden/>
    <w:qFormat/>
    <w:uiPriority w:val="99"/>
    <w:rPr>
      <w:sz w:val="18"/>
      <w:szCs w:val="18"/>
    </w:rPr>
  </w:style>
  <w:style w:type="character" w:customStyle="1" w:styleId="64">
    <w:name w:val="批注框文本 Char1"/>
    <w:basedOn w:val="30"/>
    <w:link w:val="18"/>
    <w:semiHidden/>
    <w:qFormat/>
    <w:uiPriority w:val="99"/>
    <w:rPr>
      <w:sz w:val="18"/>
      <w:szCs w:val="18"/>
    </w:rPr>
  </w:style>
  <w:style w:type="paragraph" w:customStyle="1" w:styleId="65">
    <w:name w:val="style4"/>
    <w:basedOn w:val="1"/>
    <w:next w:val="66"/>
    <w:qFormat/>
    <w:uiPriority w:val="0"/>
    <w:pPr>
      <w:widowControl/>
      <w:spacing w:before="280" w:after="280"/>
    </w:pPr>
    <w:rPr>
      <w:rFonts w:ascii="宋体" w:hAnsi="Times New Roman" w:eastAsia="宋体" w:cs="Times New Roman"/>
      <w:sz w:val="18"/>
    </w:rPr>
  </w:style>
  <w:style w:type="paragraph" w:customStyle="1" w:styleId="6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7">
    <w:name w:val="无间隔1"/>
    <w:basedOn w:val="1"/>
    <w:qFormat/>
    <w:uiPriority w:val="1"/>
    <w:pPr>
      <w:spacing w:line="400" w:lineRule="exact"/>
    </w:pPr>
    <w:rPr>
      <w:rFonts w:ascii="Times New Roman" w:hAnsi="Times New Roman"/>
      <w:sz w:val="24"/>
      <w:szCs w:val="24"/>
    </w:rPr>
  </w:style>
  <w:style w:type="character" w:customStyle="1" w:styleId="68">
    <w:name w:val="正文文本缩进 2 Char"/>
    <w:basedOn w:val="30"/>
    <w:link w:val="17"/>
    <w:semiHidden/>
    <w:uiPriority w:val="99"/>
    <w:rPr>
      <w:kern w:val="2"/>
      <w:sz w:val="21"/>
      <w:szCs w:val="22"/>
    </w:rPr>
  </w:style>
  <w:style w:type="character" w:customStyle="1" w:styleId="69">
    <w:name w:val="font21"/>
    <w:basedOn w:val="30"/>
    <w:qFormat/>
    <w:uiPriority w:val="0"/>
    <w:rPr>
      <w:rFonts w:hint="eastAsia" w:ascii="宋体" w:hAnsi="宋体" w:eastAsia="宋体" w:cs="宋体"/>
      <w:color w:val="000000"/>
      <w:sz w:val="28"/>
      <w:szCs w:val="28"/>
      <w:u w:val="none"/>
    </w:rPr>
  </w:style>
  <w:style w:type="character" w:customStyle="1" w:styleId="70">
    <w:name w:val="正文首行缩进 2 Char"/>
    <w:basedOn w:val="62"/>
    <w:link w:val="27"/>
    <w:semiHidden/>
    <w:uiPriority w:val="99"/>
    <w:rPr>
      <w:kern w:val="2"/>
      <w:sz w:val="21"/>
      <w:szCs w:val="22"/>
    </w:rPr>
  </w:style>
  <w:style w:type="paragraph" w:customStyle="1" w:styleId="71">
    <w:name w:val="列出段落2"/>
    <w:basedOn w:val="1"/>
    <w:unhideWhenUsed/>
    <w:qFormat/>
    <w:uiPriority w:val="99"/>
    <w:pPr>
      <w:ind w:firstLine="420" w:firstLineChars="200"/>
    </w:pPr>
    <w:rPr>
      <w:rFonts w:ascii="Calibri" w:hAnsi="Calibri" w:eastAsia="宋体" w:cs="Times New Roman"/>
    </w:rPr>
  </w:style>
  <w:style w:type="paragraph" w:customStyle="1" w:styleId="72">
    <w:name w:val="表格文字"/>
    <w:basedOn w:val="1"/>
    <w:next w:val="11"/>
    <w:qFormat/>
    <w:uiPriority w:val="0"/>
    <w:pPr>
      <w:adjustRightInd w:val="0"/>
      <w:spacing w:line="420" w:lineRule="atLeast"/>
      <w:jc w:val="left"/>
      <w:textAlignment w:val="baseline"/>
    </w:pPr>
    <w:rPr>
      <w:rFonts w:ascii="Times New Roman" w:hAnsi="Times New Roman" w:eastAsia="仿宋_GB2312" w:cs="Times New Roman"/>
      <w:kern w:val="0"/>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6254</Words>
  <Characters>35649</Characters>
  <Lines>297</Lines>
  <Paragraphs>83</Paragraphs>
  <TotalTime>26</TotalTime>
  <ScaleCrop>false</ScaleCrop>
  <LinksUpToDate>false</LinksUpToDate>
  <CharactersWithSpaces>41820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2021-03-08T02:13:00Z</dcterms:created>
  <dc:creator>许昌市公共资源交易中心:孟莉</dc:creator>
  <cp:lastModifiedBy>Administrator</cp:lastModifiedBy>
  <cp:lastPrinted>2020-03-05T02:20:00Z</cp:lastPrinted>
  <dcterms:modified xsi:type="dcterms:W3CDTF">2021-06-10T01:12:37Z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188EADD4E23D4800B8F65F1D370E3E73</vt:lpwstr>
  </property>
</Properties>
</file>