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auto"/>
          <w:sz w:val="44"/>
          <w:szCs w:val="44"/>
        </w:rPr>
      </w:pPr>
    </w:p>
    <w:p>
      <w:pPr>
        <w:jc w:val="center"/>
        <w:rPr>
          <w:rFonts w:hint="eastAsia" w:ascii="黑体" w:hAnsi="黑体" w:eastAsia="黑体" w:cs="黑体"/>
          <w:bCs/>
          <w:color w:val="auto"/>
          <w:sz w:val="36"/>
          <w:szCs w:val="36"/>
          <w:lang w:val="en-US" w:eastAsia="zh-CN"/>
        </w:rPr>
      </w:pPr>
      <w:r>
        <w:rPr>
          <w:rFonts w:hint="eastAsia" w:ascii="黑体" w:hAnsi="黑体" w:eastAsia="黑体" w:cs="黑体"/>
          <w:bCs/>
          <w:color w:val="auto"/>
          <w:sz w:val="36"/>
          <w:szCs w:val="36"/>
          <w:lang w:val="en-US" w:eastAsia="zh-CN"/>
        </w:rPr>
        <w:t>禹州市第二人民医院电子支气管镜及麻醉机购置项目</w:t>
      </w:r>
    </w:p>
    <w:p>
      <w:pPr>
        <w:jc w:val="center"/>
        <w:rPr>
          <w:rFonts w:ascii="华文隶书" w:eastAsia="华文隶书"/>
          <w:bCs/>
          <w:color w:val="auto"/>
          <w:w w:val="90"/>
          <w:sz w:val="96"/>
        </w:rPr>
      </w:pPr>
      <w:r>
        <w:rPr>
          <w:rFonts w:hint="eastAsia" w:ascii="黑体" w:hAnsi="黑体" w:eastAsia="黑体" w:cs="黑体"/>
          <w:bCs/>
          <w:color w:val="auto"/>
          <w:sz w:val="36"/>
          <w:szCs w:val="36"/>
        </w:rPr>
        <w:t>（不见面开标）</w:t>
      </w:r>
    </w:p>
    <w:p>
      <w:pPr>
        <w:pStyle w:val="33"/>
        <w:ind w:firstLine="0" w:firstLineChars="0"/>
        <w:rPr>
          <w:rFonts w:ascii="华文隶书" w:eastAsia="华文隶书"/>
          <w:bCs/>
          <w:color w:val="auto"/>
          <w:w w:val="90"/>
          <w:sz w:val="96"/>
        </w:rPr>
      </w:pPr>
    </w:p>
    <w:p>
      <w:pPr>
        <w:pStyle w:val="33"/>
        <w:ind w:firstLine="0" w:firstLineChars="0"/>
        <w:rPr>
          <w:rFonts w:ascii="华文隶书" w:eastAsia="华文隶书"/>
          <w:bCs/>
          <w:color w:val="auto"/>
          <w:w w:val="90"/>
          <w:sz w:val="96"/>
        </w:rPr>
      </w:pPr>
    </w:p>
    <w:p>
      <w:pPr>
        <w:pStyle w:val="34"/>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竞争性谈判文件</w:t>
      </w:r>
    </w:p>
    <w:p>
      <w:pPr>
        <w:rPr>
          <w:rFonts w:ascii="微软简隶书" w:eastAsia="微软简隶书"/>
          <w:color w:val="auto"/>
        </w:rPr>
      </w:pPr>
    </w:p>
    <w:p>
      <w:pPr>
        <w:rPr>
          <w:rFonts w:ascii="微软简隶书" w:eastAsia="微软简隶书"/>
          <w:color w:val="auto"/>
        </w:rPr>
      </w:pPr>
    </w:p>
    <w:p>
      <w:pPr>
        <w:pStyle w:val="10"/>
        <w:rPr>
          <w:color w:val="auto"/>
        </w:rPr>
      </w:pPr>
    </w:p>
    <w:p>
      <w:pPr>
        <w:pStyle w:val="11"/>
        <w:rPr>
          <w:color w:val="auto"/>
        </w:rPr>
      </w:pPr>
    </w:p>
    <w:p>
      <w:pPr>
        <w:pStyle w:val="2"/>
        <w:numPr>
          <w:ilvl w:val="3"/>
          <w:numId w:val="0"/>
        </w:numPr>
        <w:ind w:leftChars="0"/>
        <w:rPr>
          <w:color w:val="auto"/>
        </w:rPr>
      </w:pPr>
    </w:p>
    <w:p>
      <w:pPr>
        <w:rPr>
          <w:rFonts w:ascii="微软简隶书" w:eastAsia="微软简隶书"/>
          <w:color w:val="auto"/>
        </w:rPr>
      </w:pPr>
    </w:p>
    <w:p>
      <w:pPr>
        <w:rPr>
          <w:rFonts w:ascii="微软简隶书" w:eastAsia="微软简隶书"/>
          <w:color w:val="auto"/>
        </w:rPr>
      </w:pPr>
    </w:p>
    <w:p>
      <w:pPr>
        <w:spacing w:line="600" w:lineRule="exact"/>
        <w:ind w:firstLine="1066" w:firstLineChars="295"/>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采购编号：</w:t>
      </w:r>
      <w:r>
        <w:rPr>
          <w:rFonts w:asciiTheme="majorEastAsia" w:hAnsiTheme="majorEastAsia" w:eastAsiaTheme="majorEastAsia" w:cstheme="majorEastAsia"/>
          <w:b/>
          <w:bCs/>
          <w:color w:val="auto"/>
          <w:sz w:val="36"/>
          <w:szCs w:val="36"/>
        </w:rPr>
        <w:t xml:space="preserve"> </w:t>
      </w:r>
      <w:r>
        <w:rPr>
          <w:rFonts w:hint="eastAsia" w:asciiTheme="majorEastAsia" w:hAnsiTheme="majorEastAsia" w:eastAsiaTheme="majorEastAsia" w:cstheme="majorEastAsia"/>
          <w:b/>
          <w:bCs/>
          <w:color w:val="auto"/>
          <w:sz w:val="36"/>
          <w:szCs w:val="36"/>
        </w:rPr>
        <w:t>YZCG-DLT2021</w:t>
      </w:r>
      <w:r>
        <w:rPr>
          <w:rFonts w:hint="eastAsia" w:asciiTheme="majorEastAsia" w:hAnsiTheme="majorEastAsia" w:eastAsiaTheme="majorEastAsia" w:cstheme="majorEastAsia"/>
          <w:b/>
          <w:bCs/>
          <w:color w:val="auto"/>
          <w:sz w:val="36"/>
          <w:szCs w:val="36"/>
          <w:lang w:val="en-US" w:eastAsia="zh-CN"/>
        </w:rPr>
        <w:t xml:space="preserve">032 </w:t>
      </w:r>
    </w:p>
    <w:p>
      <w:pPr>
        <w:ind w:firstLine="1066" w:firstLineChars="295"/>
        <w:rPr>
          <w:rFonts w:eastAsia="黑体" w:asciiTheme="majorEastAsia" w:hAnsi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w:t>
      </w:r>
      <w:r>
        <w:rPr>
          <w:rFonts w:hint="eastAsia" w:ascii="黑体" w:hAnsi="黑体" w:eastAsia="黑体" w:cs="黑体"/>
          <w:bCs/>
          <w:color w:val="auto"/>
          <w:sz w:val="36"/>
          <w:szCs w:val="36"/>
        </w:rPr>
        <w:t>禹州市</w:t>
      </w:r>
      <w:r>
        <w:rPr>
          <w:rFonts w:hint="eastAsia" w:ascii="黑体" w:hAnsi="黑体" w:eastAsia="黑体" w:cs="黑体"/>
          <w:bCs/>
          <w:color w:val="auto"/>
          <w:sz w:val="36"/>
          <w:szCs w:val="36"/>
          <w:lang w:eastAsia="zh-CN"/>
        </w:rPr>
        <w:t>第二人民</w:t>
      </w:r>
      <w:r>
        <w:rPr>
          <w:rFonts w:hint="eastAsia" w:ascii="黑体" w:hAnsi="黑体" w:eastAsia="黑体" w:cs="黑体"/>
          <w:bCs/>
          <w:color w:val="auto"/>
          <w:sz w:val="36"/>
          <w:szCs w:val="36"/>
        </w:rPr>
        <w:t>医院</w:t>
      </w:r>
    </w:p>
    <w:p>
      <w:pPr>
        <w:ind w:firstLine="1066" w:firstLineChars="295"/>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代理机构：许昌丰元咨询管理有限公司</w:t>
      </w:r>
    </w:p>
    <w:p>
      <w:pPr>
        <w:jc w:val="center"/>
        <w:rPr>
          <w:rFonts w:hint="eastAsia" w:cs="黑体" w:asciiTheme="minorEastAsia" w:hAnsiTheme="minorEastAsia"/>
          <w:b/>
          <w:bCs/>
          <w:color w:val="auto"/>
          <w:sz w:val="44"/>
          <w:szCs w:val="44"/>
          <w:lang w:val="zh-CN"/>
        </w:rPr>
        <w:sectPr>
          <w:pgSz w:w="11906" w:h="16838"/>
          <w:pgMar w:top="2098" w:right="1474" w:bottom="1928" w:left="1588" w:header="851" w:footer="992" w:gutter="0"/>
          <w:cols w:space="425" w:num="1"/>
          <w:docGrid w:type="lines" w:linePitch="312" w:charSpace="0"/>
        </w:sectPr>
      </w:pPr>
      <w:r>
        <w:rPr>
          <w:rFonts w:hint="eastAsia" w:asciiTheme="majorEastAsia" w:hAnsiTheme="majorEastAsia" w:eastAsiaTheme="majorEastAsia" w:cstheme="majorEastAsia"/>
          <w:b/>
          <w:bCs/>
          <w:color w:val="auto"/>
          <w:sz w:val="36"/>
          <w:szCs w:val="36"/>
        </w:rPr>
        <w:t>二〇二一年</w:t>
      </w:r>
      <w:r>
        <w:rPr>
          <w:rFonts w:hint="eastAsia" w:asciiTheme="majorEastAsia" w:hAnsiTheme="majorEastAsia" w:eastAsiaTheme="majorEastAsia" w:cstheme="majorEastAsia"/>
          <w:b/>
          <w:bCs/>
          <w:color w:val="auto"/>
          <w:sz w:val="36"/>
          <w:szCs w:val="36"/>
          <w:lang w:eastAsia="zh-CN"/>
        </w:rPr>
        <w:t>五月</w:t>
      </w:r>
    </w:p>
    <w:p>
      <w:pPr>
        <w:widowControl/>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numPr>
          <w:ilvl w:val="0"/>
          <w:numId w:val="0"/>
        </w:numPr>
        <w:jc w:val="center"/>
        <w:rPr>
          <w:color w:val="auto"/>
        </w:rPr>
      </w:pPr>
      <w:r>
        <w:rPr>
          <w:rFonts w:hint="eastAsia" w:cs="宋体" w:asciiTheme="majorEastAsia" w:hAnsiTheme="majorEastAsia" w:eastAsiaTheme="majorEastAsia"/>
          <w:b/>
          <w:color w:val="auto"/>
          <w:kern w:val="0"/>
          <w:sz w:val="32"/>
          <w:szCs w:val="32"/>
          <w:lang w:eastAsia="zh-CN"/>
        </w:rPr>
        <w:t>第一章</w:t>
      </w:r>
      <w:r>
        <w:rPr>
          <w:rFonts w:hint="eastAsia" w:cs="宋体" w:asciiTheme="majorEastAsia" w:hAnsiTheme="majorEastAsia" w:eastAsiaTheme="majorEastAsia"/>
          <w:b/>
          <w:color w:val="auto"/>
          <w:kern w:val="0"/>
          <w:sz w:val="32"/>
          <w:szCs w:val="32"/>
          <w:lang w:val="en-US" w:eastAsia="zh-CN"/>
        </w:rPr>
        <w:t xml:space="preserve">  </w:t>
      </w:r>
      <w:r>
        <w:rPr>
          <w:rFonts w:hint="eastAsia" w:cs="宋体" w:asciiTheme="majorEastAsia" w:hAnsiTheme="majorEastAsia" w:eastAsiaTheme="majorEastAsia"/>
          <w:b/>
          <w:color w:val="auto"/>
          <w:kern w:val="0"/>
          <w:sz w:val="32"/>
          <w:szCs w:val="32"/>
        </w:rPr>
        <w:t>谈判邀请</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许昌丰元咨询管理有限公司受禹州市</w:t>
      </w:r>
      <w:r>
        <w:rPr>
          <w:rFonts w:hint="eastAsia" w:ascii="宋体" w:hAnsi="宋体" w:eastAsia="宋体" w:cs="宋体"/>
          <w:color w:val="auto"/>
          <w:szCs w:val="21"/>
          <w:shd w:val="clear" w:color="auto" w:fill="FFFFFF"/>
          <w:lang w:eastAsia="zh-CN"/>
        </w:rPr>
        <w:t>第二人民</w:t>
      </w:r>
      <w:r>
        <w:rPr>
          <w:rFonts w:hint="eastAsia" w:ascii="宋体" w:hAnsi="宋体" w:eastAsia="宋体" w:cs="宋体"/>
          <w:color w:val="auto"/>
          <w:szCs w:val="21"/>
          <w:shd w:val="clear" w:color="auto" w:fill="FFFFFF"/>
        </w:rPr>
        <w:t>医院的委托，就“</w:t>
      </w:r>
      <w:r>
        <w:rPr>
          <w:rFonts w:hint="eastAsia" w:ascii="宋体" w:hAnsi="宋体" w:eastAsia="宋体" w:cs="宋体"/>
          <w:color w:val="auto"/>
          <w:szCs w:val="21"/>
          <w:shd w:val="clear" w:color="auto" w:fill="FFFFFF"/>
          <w:lang w:val="en-US" w:eastAsia="zh-CN"/>
        </w:rPr>
        <w:t>禹州市第二人民医院电子支气管镜及麻醉机购置项目</w:t>
      </w:r>
      <w:r>
        <w:rPr>
          <w:rFonts w:hint="eastAsia" w:ascii="宋体" w:hAnsi="宋体" w:eastAsia="宋体" w:cs="宋体"/>
          <w:color w:val="auto"/>
          <w:szCs w:val="21"/>
          <w:shd w:val="clear" w:color="auto" w:fill="FFFFFF"/>
        </w:rPr>
        <w:t>”进行竞争性谈判，欢迎合格的投标人前来投标。</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cs="宋体"/>
          <w:b/>
          <w:bCs/>
          <w:color w:val="auto"/>
          <w:szCs w:val="21"/>
          <w:shd w:val="clear" w:color="auto" w:fill="FFFFFF"/>
          <w:lang w:eastAsia="zh-CN"/>
        </w:rPr>
        <w:t>一、</w:t>
      </w:r>
      <w:r>
        <w:rPr>
          <w:rFonts w:hint="eastAsia" w:ascii="宋体" w:hAnsi="宋体" w:eastAsia="宋体" w:cs="宋体"/>
          <w:b/>
          <w:bCs/>
          <w:color w:val="auto"/>
          <w:szCs w:val="21"/>
          <w:shd w:val="clear" w:color="auto" w:fill="FFFFFF"/>
        </w:rPr>
        <w:t>项目基本情况</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1、采购人：禹州市</w:t>
      </w:r>
      <w:r>
        <w:rPr>
          <w:rFonts w:hint="eastAsia" w:ascii="宋体" w:hAnsi="宋体" w:eastAsia="宋体" w:cs="宋体"/>
          <w:color w:val="auto"/>
          <w:szCs w:val="21"/>
          <w:shd w:val="clear" w:color="auto" w:fill="FFFFFF"/>
          <w:lang w:eastAsia="zh-CN"/>
        </w:rPr>
        <w:t>第二人民</w:t>
      </w:r>
      <w:r>
        <w:rPr>
          <w:rFonts w:hint="eastAsia" w:ascii="宋体" w:hAnsi="宋体" w:eastAsia="宋体" w:cs="宋体"/>
          <w:color w:val="auto"/>
          <w:szCs w:val="21"/>
          <w:shd w:val="clear" w:color="auto" w:fill="FFFFFF"/>
        </w:rPr>
        <w:t>医院</w:t>
      </w:r>
    </w:p>
    <w:p>
      <w:pPr>
        <w:spacing w:line="440" w:lineRule="exact"/>
        <w:ind w:firstLine="420" w:firstLineChars="200"/>
        <w:rPr>
          <w:rFonts w:hint="eastAsia" w:ascii="宋体" w:hAnsi="宋体" w:cs="Arial"/>
          <w:color w:val="auto"/>
          <w:kern w:val="0"/>
          <w:sz w:val="21"/>
          <w:szCs w:val="21"/>
          <w:vertAlign w:val="baseline"/>
          <w:lang w:val="en-US" w:eastAsia="zh-CN" w:bidi="ar-SA"/>
        </w:rPr>
      </w:pPr>
      <w:r>
        <w:rPr>
          <w:rFonts w:hint="eastAsia" w:ascii="宋体" w:hAnsi="宋体" w:eastAsia="宋体" w:cs="宋体"/>
          <w:color w:val="auto"/>
          <w:szCs w:val="21"/>
          <w:shd w:val="clear" w:color="auto" w:fill="FFFFFF"/>
        </w:rPr>
        <w:t>2、项目名称：</w:t>
      </w:r>
      <w:r>
        <w:rPr>
          <w:rFonts w:hint="eastAsia" w:ascii="宋体" w:hAnsi="宋体" w:cs="Arial"/>
          <w:color w:val="auto"/>
          <w:kern w:val="0"/>
          <w:sz w:val="21"/>
          <w:szCs w:val="21"/>
          <w:vertAlign w:val="baseline"/>
          <w:lang w:val="en-US" w:eastAsia="zh-CN" w:bidi="ar-SA"/>
        </w:rPr>
        <w:t>禹州市第二人民医院电子支气管镜及麻醉机购置项目</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3、采购编号：YZCG-DLT2021</w:t>
      </w:r>
      <w:r>
        <w:rPr>
          <w:rFonts w:hint="eastAsia" w:ascii="宋体" w:hAnsi="宋体" w:eastAsia="宋体" w:cs="宋体"/>
          <w:color w:val="auto"/>
          <w:szCs w:val="21"/>
          <w:shd w:val="clear" w:color="auto" w:fill="FFFFFF"/>
          <w:lang w:val="en-US" w:eastAsia="zh-CN"/>
        </w:rPr>
        <w:t xml:space="preserve">032 </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4、项目需求：</w:t>
      </w:r>
      <w:r>
        <w:rPr>
          <w:rFonts w:hint="eastAsia" w:ascii="宋体" w:hAnsi="宋体" w:cs="Arial"/>
          <w:color w:val="auto"/>
          <w:kern w:val="0"/>
          <w:sz w:val="21"/>
          <w:szCs w:val="21"/>
          <w:vertAlign w:val="baseline"/>
          <w:lang w:val="en-US" w:eastAsia="zh-CN" w:bidi="ar-SA"/>
        </w:rPr>
        <w:t>禹州市第二人民医院电子支气管镜及麻醉机购置项目</w:t>
      </w:r>
      <w:r>
        <w:rPr>
          <w:rFonts w:hint="eastAsia" w:ascii="宋体" w:hAnsi="宋体" w:eastAsia="宋体" w:cs="宋体"/>
          <w:color w:val="auto"/>
          <w:szCs w:val="21"/>
          <w:shd w:val="clear" w:color="auto" w:fill="FFFFFF"/>
        </w:rPr>
        <w:t>（详见谈判文件）</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5、采购预算：</w:t>
      </w:r>
      <w:r>
        <w:rPr>
          <w:rFonts w:hint="eastAsia" w:ascii="宋体" w:hAnsi="宋体" w:eastAsia="宋体" w:cs="宋体"/>
          <w:color w:val="auto"/>
          <w:szCs w:val="21"/>
          <w:shd w:val="clear" w:color="auto" w:fill="FFFFFF"/>
          <w:lang w:val="en-US" w:eastAsia="zh-CN"/>
        </w:rPr>
        <w:t>800000.00</w:t>
      </w:r>
      <w:r>
        <w:rPr>
          <w:rFonts w:hint="eastAsia" w:ascii="宋体" w:hAnsi="宋体" w:eastAsia="宋体" w:cs="宋体"/>
          <w:color w:val="auto"/>
          <w:szCs w:val="21"/>
          <w:shd w:val="clear" w:color="auto" w:fill="FFFFFF"/>
        </w:rPr>
        <w:t>元</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6、合同履约期限：签订合同后7日内完成采购、安装、调试</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二、需要落实的政府采购政策</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本项目落实节约能源、保护环境、扶持不发达地区和少数民族地区、促进中小企业、监狱企业发展等政府采购政策。</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三、供应商资格要求</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符合《政府采购法》第二十二条之规定；</w:t>
      </w:r>
    </w:p>
    <w:p>
      <w:pPr>
        <w:spacing w:line="440" w:lineRule="exact"/>
        <w:ind w:firstLine="420" w:firstLineChars="200"/>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color w:val="auto"/>
          <w:szCs w:val="21"/>
          <w:shd w:val="clear" w:color="auto" w:fill="FFFFFF"/>
          <w:lang w:val="en-US" w:eastAsia="zh-CN"/>
        </w:rPr>
        <w:t>2、</w:t>
      </w:r>
      <w:r>
        <w:rPr>
          <w:rFonts w:hint="eastAsia" w:ascii="宋体" w:hAnsi="宋体" w:eastAsia="宋体" w:cs="宋体"/>
          <w:b w:val="0"/>
          <w:bCs w:val="0"/>
          <w:color w:val="auto"/>
          <w:kern w:val="2"/>
          <w:sz w:val="21"/>
          <w:szCs w:val="21"/>
          <w:shd w:val="clear" w:color="auto" w:fill="FFFFFF"/>
          <w:lang w:val="en-US" w:eastAsia="zh-CN" w:bidi="ar-SA"/>
        </w:rPr>
        <w:t>供应商须具有相应范围的《医疗器械生产许可证》或《医疗器械经营许可证》；</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3、</w:t>
      </w:r>
      <w:r>
        <w:rPr>
          <w:rFonts w:hint="eastAsia" w:ascii="宋体" w:hAnsi="宋体" w:eastAsia="宋体" w:cs="宋体"/>
          <w:color w:val="auto"/>
          <w:szCs w:val="21"/>
          <w:shd w:val="clear" w:color="auto" w:fill="FFFFFF"/>
        </w:rPr>
        <w:t>本项目不接受联合体投标。</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四、获取谈判文件的方式</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（一）持CA数字认证证书，登录《全国公共资源交易平台（河南省·许昌市）》“系统用户注册”入口</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http://ggzy.xuchang.gov.cn:8088/ggzy/eps/public</w:t>
      </w:r>
    </w:p>
    <w:p>
      <w:pPr>
        <w:spacing w:line="440" w:lineRule="exact"/>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/RegistAllJcxx.html）</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进行免费注册登记（详见“常见问题解答-诚信库网上注册相关资料下载”）；</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（二）在谈判响应截止时间前均可登录《全国公共资源交易平台（河南省·许昌市）》“投标人/供应商登录”入口</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自行免费下载竞争性谈判文件（详见“常见问题解答-交易系统操作手册”）。</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（三）谈判文件每份售价人民币</w:t>
      </w:r>
      <w:r>
        <w:rPr>
          <w:rFonts w:hint="eastAsia" w:ascii="宋体" w:hAnsi="宋体" w:eastAsia="宋体" w:cs="宋体"/>
          <w:color w:val="auto"/>
          <w:szCs w:val="21"/>
          <w:shd w:val="clear" w:color="auto" w:fill="FFFFFF"/>
          <w:lang w:val="en-US" w:eastAsia="zh-CN"/>
        </w:rPr>
        <w:t>0</w:t>
      </w:r>
      <w:r>
        <w:rPr>
          <w:rFonts w:hint="eastAsia" w:ascii="宋体" w:hAnsi="宋体" w:eastAsia="宋体" w:cs="宋体"/>
          <w:color w:val="auto"/>
          <w:szCs w:val="21"/>
          <w:shd w:val="clear" w:color="auto" w:fill="FFFFFF"/>
        </w:rPr>
        <w:t>元。</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五、响应文件提交截止时间及谈判响应截止时间、谈判时间</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1、响应文件提交截止时间及谈判响应截止时间、谈判时间：2021年</w:t>
      </w:r>
      <w:r>
        <w:rPr>
          <w:rFonts w:hint="eastAsia" w:ascii="宋体" w:hAnsi="宋体" w:eastAsia="宋体" w:cs="宋体"/>
          <w:color w:val="auto"/>
          <w:szCs w:val="21"/>
          <w:shd w:val="clear" w:color="auto" w:fill="FFFFFF"/>
          <w:lang w:val="en-US" w:eastAsia="zh-CN"/>
        </w:rPr>
        <w:t>6</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 xml:space="preserve">日 </w:t>
      </w:r>
      <w:r>
        <w:rPr>
          <w:rFonts w:hint="eastAsia" w:ascii="宋体" w:hAnsi="宋体" w:eastAsia="宋体" w:cs="宋体"/>
          <w:color w:val="auto"/>
          <w:szCs w:val="21"/>
          <w:shd w:val="clear" w:color="auto" w:fill="FFFFFF"/>
          <w:lang w:val="en-US" w:eastAsia="zh-CN"/>
        </w:rPr>
        <w:t>8</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shd w:val="clear" w:color="auto" w:fill="FFFFFF"/>
          <w:lang w:val="en-US" w:eastAsia="zh-CN"/>
        </w:rPr>
        <w:t>30</w:t>
      </w:r>
      <w:r>
        <w:rPr>
          <w:rFonts w:hint="eastAsia" w:ascii="宋体" w:hAnsi="宋体" w:eastAsia="宋体" w:cs="宋体"/>
          <w:color w:val="auto"/>
          <w:szCs w:val="21"/>
          <w:shd w:val="clear" w:color="auto" w:fill="FFFFFF"/>
        </w:rPr>
        <w:t>（北京时间），逾期送达或不符合规定的响应文件恕不接受。</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六、谈判响应文件开启</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（一）谈判响应文件开启地点：禹州市公共资源交易中心九楼第</w:t>
      </w: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开标室。（本项目采用远程不见面谈判，供应商无须到达现场）。</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（二） 本项目为全流程电子化交易项目，供应商须提交电子响应文件。</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1、加密电子响应文件（.file格式）须在响应文件提交截止时间（谈判响应截止时间）前通过《全国公共资源交易平台(河南省▪许昌市)》公共资源交易系统成功上传。</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3、不见面开标大厅登录：供应商使用CA数字证书登录全国公共资源交易平台（河南省·许昌市）——进入公共资源交易系统</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——点击“项目信息——项目名称”——在系统操作导航栏点击“开标——不见面开标大厅”。</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七、本次谈判公告同时在《河南省政府采购网》、《许昌市政府采购网》、《全国公共资源交易平台（河南省·许昌市）》发布等。</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八、代理机构及采购单位地址、联系人、联系电话</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采购单位：禹州市</w:t>
      </w:r>
      <w:r>
        <w:rPr>
          <w:rFonts w:hint="eastAsia" w:ascii="宋体" w:hAnsi="宋体" w:eastAsia="宋体" w:cs="宋体"/>
          <w:color w:val="auto"/>
          <w:szCs w:val="21"/>
          <w:shd w:val="clear" w:color="auto" w:fill="FFFFFF"/>
          <w:lang w:eastAsia="zh-CN"/>
        </w:rPr>
        <w:t>第二人民</w:t>
      </w:r>
      <w:r>
        <w:rPr>
          <w:rFonts w:hint="eastAsia" w:ascii="宋体" w:hAnsi="宋体" w:eastAsia="宋体" w:cs="宋体"/>
          <w:color w:val="auto"/>
          <w:szCs w:val="21"/>
          <w:shd w:val="clear" w:color="auto" w:fill="FFFFFF"/>
        </w:rPr>
        <w:t>医院</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地址：禹州市</w:t>
      </w:r>
      <w:r>
        <w:rPr>
          <w:rFonts w:hint="eastAsia" w:ascii="宋体" w:hAnsi="宋体" w:eastAsia="宋体" w:cs="宋体"/>
          <w:color w:val="auto"/>
          <w:szCs w:val="21"/>
          <w:shd w:val="clear" w:color="auto" w:fill="FFFFFF"/>
          <w:lang w:eastAsia="zh-CN"/>
        </w:rPr>
        <w:t>滨河</w:t>
      </w:r>
      <w:r>
        <w:rPr>
          <w:rFonts w:hint="eastAsia" w:ascii="宋体" w:hAnsi="宋体" w:eastAsia="宋体" w:cs="宋体"/>
          <w:color w:val="auto"/>
          <w:szCs w:val="21"/>
          <w:shd w:val="clear" w:color="auto" w:fill="FFFFFF"/>
        </w:rPr>
        <w:t>大道</w:t>
      </w:r>
      <w:r>
        <w:rPr>
          <w:rFonts w:hint="eastAsia" w:ascii="宋体" w:hAnsi="宋体" w:eastAsia="宋体" w:cs="宋体"/>
          <w:color w:val="auto"/>
          <w:szCs w:val="21"/>
          <w:shd w:val="clear" w:color="auto" w:fill="FFFFFF"/>
          <w:lang w:eastAsia="zh-CN"/>
        </w:rPr>
        <w:t>西段</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联系人：</w:t>
      </w:r>
      <w:r>
        <w:rPr>
          <w:rFonts w:hint="eastAsia" w:ascii="宋体" w:hAnsi="宋体" w:eastAsia="宋体" w:cs="宋体"/>
          <w:color w:val="auto"/>
          <w:szCs w:val="21"/>
          <w:shd w:val="clear" w:color="auto" w:fill="FFFFFF"/>
          <w:lang w:eastAsia="zh-CN"/>
        </w:rPr>
        <w:t>朱先生</w:t>
      </w:r>
      <w:r>
        <w:rPr>
          <w:rFonts w:hint="eastAsia" w:ascii="宋体" w:hAnsi="宋体" w:eastAsia="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rPr>
        <w:t xml:space="preserve"> </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联系电话：</w:t>
      </w:r>
      <w:r>
        <w:rPr>
          <w:rFonts w:hint="eastAsia" w:ascii="宋体" w:hAnsi="宋体" w:eastAsia="宋体" w:cs="宋体"/>
          <w:color w:val="auto"/>
          <w:szCs w:val="21"/>
          <w:shd w:val="clear" w:color="auto" w:fill="FFFFFF"/>
          <w:lang w:val="en-US" w:eastAsia="zh-CN"/>
        </w:rPr>
        <w:t>15936327272</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代理机构：许昌丰元咨询管理有限公司</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地址：禹州市颖北大道6号</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联系人： 连女士</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联系电话：</w:t>
      </w:r>
      <w:r>
        <w:rPr>
          <w:rFonts w:hint="eastAsia" w:ascii="宋体" w:hAnsi="宋体" w:eastAsia="宋体" w:cs="宋体"/>
          <w:color w:val="auto"/>
          <w:szCs w:val="21"/>
          <w:shd w:val="clear" w:color="auto" w:fill="FFFFFF"/>
          <w:lang w:val="en-US" w:eastAsia="zh-CN"/>
        </w:rPr>
        <w:t>0374-8281999</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 xml:space="preserve">监督单位：禹州市政府采购监督管理办公室 </w:t>
      </w:r>
    </w:p>
    <w:p>
      <w:pPr>
        <w:pStyle w:val="2"/>
        <w:numPr>
          <w:ilvl w:val="3"/>
          <w:numId w:val="0"/>
        </w:numPr>
        <w:ind w:leftChars="0"/>
        <w:rPr>
          <w:rFonts w:hint="default"/>
          <w:color w:val="auto"/>
          <w:lang w:val="en-US" w:eastAsia="zh-CN"/>
        </w:rPr>
      </w:pPr>
    </w:p>
    <w:p>
      <w:pPr>
        <w:pStyle w:val="33"/>
        <w:ind w:firstLine="0" w:firstLineChars="0"/>
        <w:rPr>
          <w:color w:val="auto"/>
        </w:rPr>
      </w:pPr>
    </w:p>
    <w:p>
      <w:pPr>
        <w:pStyle w:val="33"/>
        <w:ind w:firstLine="0" w:firstLineChars="0"/>
        <w:rPr>
          <w:color w:val="auto"/>
        </w:rPr>
      </w:pPr>
    </w:p>
    <w:p>
      <w:pPr>
        <w:spacing w:line="360" w:lineRule="auto"/>
        <w:rPr>
          <w:rFonts w:hAnsi="宋体"/>
          <w:b/>
          <w:color w:val="auto"/>
          <w:sz w:val="21"/>
          <w:szCs w:val="21"/>
        </w:rPr>
      </w:pPr>
      <w:r>
        <w:rPr>
          <w:rFonts w:hint="eastAsia" w:hAnsi="宋体"/>
          <w:b/>
          <w:color w:val="auto"/>
          <w:sz w:val="21"/>
          <w:szCs w:val="21"/>
        </w:rPr>
        <w:t>温馨提示：</w:t>
      </w:r>
    </w:p>
    <w:p>
      <w:pPr>
        <w:tabs>
          <w:tab w:val="left" w:pos="7095"/>
        </w:tabs>
        <w:spacing w:line="360" w:lineRule="auto"/>
        <w:ind w:firstLine="422" w:firstLineChars="200"/>
        <w:contextualSpacing/>
        <w:rPr>
          <w:rFonts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firstLine="420" w:firstLineChars="200"/>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tabs>
          <w:tab w:val="left" w:pos="7095"/>
        </w:tabs>
        <w:spacing w:line="360" w:lineRule="auto"/>
        <w:ind w:firstLine="420" w:firstLineChars="200"/>
        <w:contextualSpacing/>
        <w:rPr>
          <w:rFonts w:hint="eastAsia" w:asciiTheme="minorEastAsia" w:hAnsiTheme="minorEastAsia"/>
          <w:color w:val="auto"/>
          <w:szCs w:val="21"/>
          <w:lang w:val="zh-CN"/>
        </w:rPr>
      </w:pPr>
      <w:r>
        <w:rPr>
          <w:rFonts w:hint="eastAsia" w:asciiTheme="minorEastAsia" w:hAnsiTheme="minorEastAsia"/>
          <w:color w:val="auto"/>
          <w:szCs w:val="21"/>
          <w:lang w:val="zh-CN"/>
        </w:rPr>
        <w:t>注：</w:t>
      </w:r>
      <w:r>
        <w:rPr>
          <w:rFonts w:hint="eastAsia" w:asciiTheme="minorEastAsia" w:hAnsiTheme="minorEastAsia"/>
          <w:color w:val="auto"/>
          <w:szCs w:val="21"/>
        </w:rPr>
        <w:t>①谈判小组要求供应商提交最后报价时，</w:t>
      </w:r>
      <w:r>
        <w:rPr>
          <w:rFonts w:hint="eastAsia" w:asciiTheme="minorEastAsia" w:hAnsiTheme="minorEastAsia"/>
          <w:color w:val="auto"/>
          <w:szCs w:val="21"/>
          <w:lang w:val="zh-CN"/>
        </w:rPr>
        <w:t>在谈判小组规定时间内，供应商未提交最后报价则以其初次提交响应文件报价为最后报价。</w:t>
      </w:r>
    </w:p>
    <w:p>
      <w:pPr>
        <w:tabs>
          <w:tab w:val="left" w:pos="7095"/>
        </w:tabs>
        <w:spacing w:line="360"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②谈判文件第二章“采购需求”中“采购清单”以工程量清单提供的，供应商应以工程量清单方式提交最后报价。</w:t>
      </w:r>
    </w:p>
    <w:p>
      <w:pPr>
        <w:tabs>
          <w:tab w:val="left" w:pos="7095"/>
        </w:tabs>
        <w:spacing w:line="360"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③请供应商根据项目情况，可提前准备分项报价。</w:t>
      </w:r>
    </w:p>
    <w:p>
      <w:pPr>
        <w:tabs>
          <w:tab w:val="left" w:pos="7095"/>
        </w:tabs>
        <w:spacing w:line="360" w:lineRule="auto"/>
        <w:ind w:firstLine="420" w:firstLineChars="200"/>
        <w:contextualSpacing/>
        <w:rPr>
          <w:rFonts w:cs="宋体" w:asciiTheme="majorEastAsia" w:hAnsiTheme="majorEastAsia" w:eastAsiaTheme="majorEastAsia"/>
          <w:b/>
          <w:color w:val="auto"/>
          <w:kern w:val="0"/>
          <w:sz w:val="32"/>
          <w:szCs w:val="32"/>
        </w:rPr>
      </w:pPr>
      <w:r>
        <w:rPr>
          <w:rFonts w:hint="eastAsia" w:asciiTheme="minorEastAsia" w:hAnsiTheme="minorEastAsia"/>
          <w:color w:val="auto"/>
          <w:szCs w:val="21"/>
        </w:rPr>
        <w:t>（2）谈判小组如要求供应商提供“澄清、说明或者更正”；“按照谈判文件的变动情况和谈判小组的要求重新提交响应文件”；“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wordWrap w:val="0"/>
        <w:spacing w:line="360" w:lineRule="auto"/>
        <w:ind w:firstLine="422" w:firstLineChars="200"/>
        <w:contextualSpacing/>
        <w:rPr>
          <w:rFonts w:hint="eastAsia"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一、麻醉机采购需求及参数：</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1、货物名称：麻醉</w:t>
      </w:r>
      <w:r>
        <w:rPr>
          <w:rFonts w:hint="eastAsia" w:ascii="宋体" w:hAnsi="宋体" w:eastAsia="宋体" w:cs="宋体"/>
          <w:color w:val="auto"/>
          <w:sz w:val="21"/>
          <w:szCs w:val="21"/>
          <w:lang w:val="en-US" w:eastAsia="zh-CN"/>
        </w:rPr>
        <w:t>机</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2、数量 ：</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台   </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3、技术规格：</w:t>
      </w:r>
    </w:p>
    <w:p>
      <w:pPr>
        <w:keepNext w:val="0"/>
        <w:keepLines w:val="0"/>
        <w:pageBreakBefore w:val="0"/>
        <w:widowControl w:val="0"/>
        <w:kinsoku/>
        <w:wordWrap/>
        <w:overflowPunct/>
        <w:topLinePunct w:val="0"/>
        <w:autoSpaceDE/>
        <w:autoSpaceDN/>
        <w:bidi w:val="0"/>
        <w:adjustRightInd w:val="0"/>
        <w:snapToGrid/>
        <w:spacing w:line="360" w:lineRule="auto"/>
        <w:ind w:left="210" w:leftChars="100" w:firstLine="219" w:firstLineChars="104"/>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3.1 工作条件及基本配件</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3.1.1</w:t>
      </w:r>
      <w:r>
        <w:rPr>
          <w:rFonts w:hint="eastAsia" w:ascii="宋体" w:hAnsi="宋体" w:eastAsia="宋体" w:cs="宋体"/>
          <w:color w:val="auto"/>
          <w:sz w:val="21"/>
          <w:szCs w:val="21"/>
        </w:rPr>
        <w:t>后备电池使用时间：90分钟 （可选配240分钟）</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3.1.2</w:t>
      </w:r>
      <w:r>
        <w:rPr>
          <w:rFonts w:hint="eastAsia" w:ascii="宋体" w:hAnsi="宋体" w:eastAsia="宋体" w:cs="宋体"/>
          <w:color w:val="auto"/>
          <w:sz w:val="21"/>
          <w:szCs w:val="21"/>
        </w:rPr>
        <w:t>具有RJ45接口、HL7、以太网连接功能</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3.1.3</w:t>
      </w:r>
      <w:r>
        <w:rPr>
          <w:rFonts w:hint="eastAsia" w:ascii="宋体" w:hAnsi="宋体" w:eastAsia="宋体" w:cs="宋体"/>
          <w:color w:val="auto"/>
          <w:sz w:val="21"/>
          <w:szCs w:val="21"/>
        </w:rPr>
        <w:t>机架：带大工作台侧栏杆推车，三个抽屉</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3.1.4</w:t>
      </w:r>
      <w:r>
        <w:rPr>
          <w:rFonts w:hint="eastAsia" w:ascii="宋体" w:hAnsi="宋体" w:eastAsia="宋体" w:cs="宋体"/>
          <w:color w:val="auto"/>
          <w:sz w:val="21"/>
          <w:szCs w:val="21"/>
        </w:rPr>
        <w:t>适合内窥镜手术模式：具备顶光灯，能够在黑暗环境中提供麻醉机工作台面照明</w:t>
      </w:r>
    </w:p>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3.2 气源</w:t>
      </w:r>
    </w:p>
    <w:p>
      <w:pPr>
        <w:keepNext w:val="0"/>
        <w:keepLines w:val="0"/>
        <w:pageBreakBefore w:val="0"/>
        <w:widowControl w:val="0"/>
        <w:numPr>
          <w:ilvl w:val="0"/>
          <w:numId w:val="0"/>
        </w:numPr>
        <w:tabs>
          <w:tab w:val="left" w:pos="1694"/>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3.2.1</w:t>
      </w:r>
      <w:r>
        <w:rPr>
          <w:rFonts w:hint="eastAsia" w:ascii="宋体" w:hAnsi="宋体" w:eastAsia="宋体" w:cs="宋体"/>
          <w:color w:val="auto"/>
          <w:sz w:val="21"/>
          <w:szCs w:val="21"/>
        </w:rPr>
        <w:t>标配氧气、空气双气源，可选笑气气源</w:t>
      </w:r>
    </w:p>
    <w:p>
      <w:pPr>
        <w:keepNext w:val="0"/>
        <w:keepLines w:val="0"/>
        <w:pageBreakBefore w:val="0"/>
        <w:widowControl w:val="0"/>
        <w:numPr>
          <w:ilvl w:val="0"/>
          <w:numId w:val="0"/>
        </w:numPr>
        <w:tabs>
          <w:tab w:val="left" w:pos="1694"/>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3.2.2</w:t>
      </w:r>
      <w:r>
        <w:rPr>
          <w:rFonts w:hint="eastAsia" w:ascii="宋体" w:hAnsi="宋体" w:eastAsia="宋体" w:cs="宋体"/>
          <w:color w:val="auto"/>
          <w:sz w:val="21"/>
          <w:szCs w:val="21"/>
        </w:rPr>
        <w:t>氧气：具备安全保护装置，在供氧压低于200Kpa时报警</w:t>
      </w:r>
    </w:p>
    <w:p>
      <w:pPr>
        <w:keepNext w:val="0"/>
        <w:keepLines w:val="0"/>
        <w:pageBreakBefore w:val="0"/>
        <w:widowControl w:val="0"/>
        <w:numPr>
          <w:ilvl w:val="0"/>
          <w:numId w:val="0"/>
        </w:numPr>
        <w:tabs>
          <w:tab w:val="left" w:pos="1694"/>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3.2.3</w:t>
      </w:r>
      <w:r>
        <w:rPr>
          <w:rFonts w:hint="eastAsia" w:ascii="宋体" w:hAnsi="宋体" w:eastAsia="宋体" w:cs="宋体"/>
          <w:color w:val="auto"/>
          <w:sz w:val="21"/>
          <w:szCs w:val="21"/>
        </w:rPr>
        <w:t>具备机械的笑、氧保护装置，不受停电影响，保证任何流量下氧浓度不低于21%</w:t>
      </w:r>
    </w:p>
    <w:p>
      <w:pPr>
        <w:keepNext w:val="0"/>
        <w:keepLines w:val="0"/>
        <w:pageBreakBefore w:val="0"/>
        <w:widowControl w:val="0"/>
        <w:numPr>
          <w:ilvl w:val="0"/>
          <w:numId w:val="0"/>
        </w:numPr>
        <w:tabs>
          <w:tab w:val="left" w:pos="1694"/>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3.2.4</w:t>
      </w:r>
      <w:r>
        <w:rPr>
          <w:rFonts w:hint="eastAsia" w:ascii="宋体" w:hAnsi="宋体" w:eastAsia="宋体" w:cs="宋体"/>
          <w:color w:val="auto"/>
          <w:sz w:val="21"/>
          <w:szCs w:val="21"/>
        </w:rPr>
        <w:t>快速充氧范围25 - 75 l/min</w:t>
      </w:r>
    </w:p>
    <w:p>
      <w:pPr>
        <w:keepNext w:val="0"/>
        <w:keepLines w:val="0"/>
        <w:pageBreakBefore w:val="0"/>
        <w:widowControl w:val="0"/>
        <w:kinsoku/>
        <w:wordWrap/>
        <w:overflowPunct/>
        <w:topLinePunct w:val="0"/>
        <w:autoSpaceDE/>
        <w:autoSpaceDN/>
        <w:bidi w:val="0"/>
        <w:adjustRightInd w:val="0"/>
        <w:snapToGrid/>
        <w:spacing w:line="360" w:lineRule="auto"/>
        <w:ind w:left="210" w:leftChars="100" w:firstLine="219" w:firstLineChars="104"/>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3.3 流量计</w:t>
      </w:r>
    </w:p>
    <w:p>
      <w:pPr>
        <w:keepNext w:val="0"/>
        <w:keepLines w:val="0"/>
        <w:pageBreakBefore w:val="0"/>
        <w:widowControl w:val="0"/>
        <w:numPr>
          <w:ilvl w:val="0"/>
          <w:numId w:val="0"/>
        </w:numPr>
        <w:tabs>
          <w:tab w:val="left" w:pos="689"/>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3.3.1</w:t>
      </w:r>
      <w:r>
        <w:rPr>
          <w:rFonts w:hint="eastAsia" w:ascii="宋体" w:hAnsi="宋体" w:eastAsia="宋体" w:cs="宋体"/>
          <w:color w:val="auto"/>
          <w:sz w:val="21"/>
          <w:szCs w:val="21"/>
        </w:rPr>
        <w:t>电子显示流量计</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3.3.2</w:t>
      </w:r>
      <w:r>
        <w:rPr>
          <w:rFonts w:hint="eastAsia" w:ascii="宋体" w:hAnsi="宋体" w:eastAsia="宋体" w:cs="宋体"/>
          <w:color w:val="auto"/>
          <w:sz w:val="21"/>
          <w:szCs w:val="21"/>
        </w:rPr>
        <w:t>具备机械总流量计</w:t>
      </w:r>
    </w:p>
    <w:p>
      <w:pPr>
        <w:keepNext w:val="0"/>
        <w:keepLines w:val="0"/>
        <w:pageBreakBefore w:val="0"/>
        <w:widowControl w:val="0"/>
        <w:kinsoku/>
        <w:wordWrap/>
        <w:overflowPunct/>
        <w:topLinePunct w:val="0"/>
        <w:autoSpaceDE/>
        <w:autoSpaceDN/>
        <w:bidi w:val="0"/>
        <w:adjustRightInd w:val="0"/>
        <w:snapToGrid/>
        <w:spacing w:line="360" w:lineRule="auto"/>
        <w:ind w:left="210" w:leftChars="100" w:firstLine="219" w:firstLineChars="104"/>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3.4挥发罐</w:t>
      </w:r>
    </w:p>
    <w:p>
      <w:pPr>
        <w:keepNext w:val="0"/>
        <w:keepLines w:val="0"/>
        <w:pageBreakBefore w:val="0"/>
        <w:widowControl w:val="0"/>
        <w:numPr>
          <w:ilvl w:val="0"/>
          <w:numId w:val="0"/>
        </w:numPr>
        <w:tabs>
          <w:tab w:val="left" w:pos="1694"/>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3.4.1</w:t>
      </w:r>
      <w:r>
        <w:rPr>
          <w:rFonts w:hint="eastAsia" w:ascii="宋体" w:hAnsi="宋体" w:eastAsia="宋体" w:cs="宋体"/>
          <w:color w:val="auto"/>
          <w:sz w:val="21"/>
          <w:szCs w:val="21"/>
        </w:rPr>
        <w:t>标配双麻醉罐位</w:t>
      </w:r>
    </w:p>
    <w:p>
      <w:pPr>
        <w:keepNext w:val="0"/>
        <w:keepLines w:val="0"/>
        <w:pageBreakBefore w:val="0"/>
        <w:widowControl w:val="0"/>
        <w:numPr>
          <w:ilvl w:val="0"/>
          <w:numId w:val="0"/>
        </w:numPr>
        <w:tabs>
          <w:tab w:val="left" w:pos="1694"/>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3.4.2</w:t>
      </w:r>
      <w:r>
        <w:rPr>
          <w:rFonts w:hint="eastAsia" w:ascii="宋体" w:hAnsi="宋体" w:eastAsia="宋体" w:cs="宋体"/>
          <w:color w:val="auto"/>
          <w:sz w:val="21"/>
          <w:szCs w:val="21"/>
        </w:rPr>
        <w:t>标配一个高</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rPr>
        <w:t>挥发罐，通过CE和FDA认证，具备压力、流速和温度补偿</w:t>
      </w:r>
    </w:p>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3.5 呼吸回路</w:t>
      </w:r>
    </w:p>
    <w:p>
      <w:pPr>
        <w:pStyle w:val="18"/>
        <w:keepNext w:val="0"/>
        <w:keepLines w:val="0"/>
        <w:pageBreakBefore w:val="0"/>
        <w:widowControl w:val="0"/>
        <w:numPr>
          <w:ilvl w:val="0"/>
          <w:numId w:val="0"/>
        </w:numPr>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3.5.1</w:t>
      </w:r>
      <w:r>
        <w:rPr>
          <w:rFonts w:hint="eastAsia" w:ascii="宋体" w:hAnsi="宋体" w:eastAsia="宋体" w:cs="宋体"/>
          <w:color w:val="auto"/>
          <w:sz w:val="21"/>
          <w:szCs w:val="21"/>
        </w:rPr>
        <w:t>回路整体可徒手拆卸，一体化回路，回路整体可旋转</w:t>
      </w:r>
    </w:p>
    <w:p>
      <w:pPr>
        <w:pStyle w:val="18"/>
        <w:keepNext w:val="0"/>
        <w:keepLines w:val="0"/>
        <w:pageBreakBefore w:val="0"/>
        <w:widowControl w:val="0"/>
        <w:numPr>
          <w:ilvl w:val="0"/>
          <w:numId w:val="0"/>
        </w:numPr>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3.5.2</w:t>
      </w:r>
      <w:r>
        <w:rPr>
          <w:rFonts w:hint="eastAsia" w:ascii="宋体" w:hAnsi="宋体" w:eastAsia="宋体" w:cs="宋体"/>
          <w:color w:val="auto"/>
          <w:sz w:val="21"/>
          <w:szCs w:val="21"/>
        </w:rPr>
        <w:t>回路部件可以耐受134℃高温高压消毒以避免院内交叉感染</w:t>
      </w:r>
    </w:p>
    <w:p>
      <w:pPr>
        <w:keepNext w:val="0"/>
        <w:keepLines w:val="0"/>
        <w:pageBreakBefore w:val="0"/>
        <w:widowControl w:val="0"/>
        <w:numPr>
          <w:ilvl w:val="0"/>
          <w:numId w:val="0"/>
        </w:numPr>
        <w:kinsoku/>
        <w:wordWrap/>
        <w:overflowPunct/>
        <w:topLinePunct w:val="0"/>
        <w:autoSpaceDE/>
        <w:autoSpaceDN/>
        <w:bidi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3.5.3</w:t>
      </w:r>
      <w:r>
        <w:rPr>
          <w:rFonts w:hint="eastAsia" w:ascii="宋体" w:hAnsi="宋体" w:eastAsia="宋体" w:cs="宋体"/>
          <w:color w:val="auto"/>
          <w:sz w:val="21"/>
          <w:szCs w:val="21"/>
        </w:rPr>
        <w:t>二氧化碳吸收罐，容积1500ml</w:t>
      </w:r>
    </w:p>
    <w:p>
      <w:pPr>
        <w:keepNext w:val="0"/>
        <w:keepLines w:val="0"/>
        <w:pageBreakBefore w:val="0"/>
        <w:widowControl w:val="0"/>
        <w:numPr>
          <w:ilvl w:val="0"/>
          <w:numId w:val="0"/>
        </w:numPr>
        <w:kinsoku/>
        <w:wordWrap/>
        <w:overflowPunct/>
        <w:topLinePunct w:val="0"/>
        <w:autoSpaceDE/>
        <w:autoSpaceDN/>
        <w:bidi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3.5.4</w:t>
      </w:r>
      <w:r>
        <w:rPr>
          <w:rFonts w:hint="eastAsia" w:ascii="宋体" w:hAnsi="宋体" w:eastAsia="宋体" w:cs="宋体"/>
          <w:color w:val="auto"/>
          <w:sz w:val="21"/>
          <w:szCs w:val="21"/>
        </w:rPr>
        <w:t>内置双流量传感器，分别在吸入端，呼出端</w:t>
      </w:r>
    </w:p>
    <w:p>
      <w:pPr>
        <w:keepNext w:val="0"/>
        <w:keepLines w:val="0"/>
        <w:pageBreakBefore w:val="0"/>
        <w:widowControl w:val="0"/>
        <w:numPr>
          <w:ilvl w:val="0"/>
          <w:numId w:val="0"/>
        </w:numPr>
        <w:kinsoku/>
        <w:wordWrap/>
        <w:overflowPunct/>
        <w:topLinePunct w:val="0"/>
        <w:autoSpaceDE/>
        <w:autoSpaceDN/>
        <w:bidi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3.5.5</w:t>
      </w:r>
      <w:r>
        <w:rPr>
          <w:rFonts w:hint="eastAsia" w:ascii="宋体" w:hAnsi="宋体" w:eastAsia="宋体" w:cs="宋体"/>
          <w:color w:val="auto"/>
          <w:sz w:val="21"/>
          <w:szCs w:val="21"/>
        </w:rPr>
        <w:t>低回路系统容积，为快速调节新鲜气体流量以及输出麻药浓度提供了保障</w:t>
      </w:r>
    </w:p>
    <w:p>
      <w:pPr>
        <w:keepNext w:val="0"/>
        <w:keepLines w:val="0"/>
        <w:pageBreakBefore w:val="0"/>
        <w:widowControl w:val="0"/>
        <w:numPr>
          <w:ilvl w:val="0"/>
          <w:numId w:val="0"/>
        </w:numPr>
        <w:kinsoku/>
        <w:wordWrap/>
        <w:overflowPunct/>
        <w:topLinePunct w:val="0"/>
        <w:autoSpaceDE/>
        <w:autoSpaceDN/>
        <w:bidi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3.5.6</w:t>
      </w:r>
      <w:r>
        <w:rPr>
          <w:rFonts w:hint="eastAsia" w:ascii="宋体" w:hAnsi="宋体" w:eastAsia="宋体" w:cs="宋体"/>
          <w:color w:val="auto"/>
          <w:sz w:val="21"/>
          <w:szCs w:val="21"/>
        </w:rPr>
        <w:t>可选配共同新鲜气体输出口，输出口无需改装可直接连接特殊的开放式回路，如Bain回路、T管等</w:t>
      </w:r>
    </w:p>
    <w:p>
      <w:pPr>
        <w:keepNext w:val="0"/>
        <w:keepLines w:val="0"/>
        <w:pageBreakBefore w:val="0"/>
        <w:widowControl w:val="0"/>
        <w:numPr>
          <w:ilvl w:val="0"/>
          <w:numId w:val="0"/>
        </w:numPr>
        <w:kinsoku/>
        <w:wordWrap/>
        <w:overflowPunct/>
        <w:topLinePunct w:val="0"/>
        <w:autoSpaceDE/>
        <w:autoSpaceDN/>
        <w:bidi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3.5.7</w:t>
      </w:r>
      <w:r>
        <w:rPr>
          <w:rFonts w:hint="eastAsia" w:ascii="宋体" w:hAnsi="宋体" w:eastAsia="宋体" w:cs="宋体"/>
          <w:color w:val="auto"/>
          <w:sz w:val="21"/>
          <w:szCs w:val="21"/>
        </w:rPr>
        <w:t>具有回路加温功能，保证回路不受积水影响，保证流量传感器精准及向病人提供温暖气体，避免对呼吸道的刺激</w:t>
      </w:r>
    </w:p>
    <w:p>
      <w:pPr>
        <w:keepNext w:val="0"/>
        <w:keepLines w:val="0"/>
        <w:pageBreakBefore w:val="0"/>
        <w:widowControl w:val="0"/>
        <w:numPr>
          <w:ilvl w:val="0"/>
          <w:numId w:val="0"/>
        </w:numPr>
        <w:kinsoku/>
        <w:wordWrap/>
        <w:overflowPunct/>
        <w:topLinePunct w:val="0"/>
        <w:autoSpaceDE/>
        <w:autoSpaceDN/>
        <w:bidi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3.5.8</w:t>
      </w:r>
      <w:r>
        <w:rPr>
          <w:rFonts w:hint="eastAsia" w:ascii="宋体" w:hAnsi="宋体" w:eastAsia="宋体" w:cs="宋体"/>
          <w:color w:val="auto"/>
          <w:sz w:val="21"/>
          <w:szCs w:val="21"/>
        </w:rPr>
        <w:t>可选配自动CO2旁路功能，在机械通气过程中，更换钠石灰罐无需选择确认，无需关停机械通气，可方便直接更换。</w:t>
      </w:r>
    </w:p>
    <w:p>
      <w:pPr>
        <w:keepNext w:val="0"/>
        <w:keepLines w:val="0"/>
        <w:pageBreakBefore w:val="0"/>
        <w:widowControl w:val="0"/>
        <w:numPr>
          <w:ilvl w:val="0"/>
          <w:numId w:val="0"/>
        </w:numPr>
        <w:kinsoku/>
        <w:wordWrap/>
        <w:overflowPunct/>
        <w:topLinePunct w:val="0"/>
        <w:autoSpaceDE/>
        <w:autoSpaceDN/>
        <w:bidi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3.5.9</w:t>
      </w:r>
      <w:r>
        <w:rPr>
          <w:rFonts w:hint="eastAsia" w:ascii="宋体" w:hAnsi="宋体" w:eastAsia="宋体" w:cs="宋体"/>
          <w:color w:val="auto"/>
          <w:sz w:val="21"/>
          <w:szCs w:val="21"/>
        </w:rPr>
        <w:t>具备智能回路识别报警系统，当钠石灰罐未安装到位时，机器能智能识别，并报警提示。</w:t>
      </w:r>
    </w:p>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3.6 呼吸机 </w:t>
      </w:r>
    </w:p>
    <w:p>
      <w:pPr>
        <w:pStyle w:val="18"/>
        <w:keepNext w:val="0"/>
        <w:keepLines w:val="0"/>
        <w:pageBreakBefore w:val="0"/>
        <w:widowControl w:val="0"/>
        <w:numPr>
          <w:ilvl w:val="0"/>
          <w:numId w:val="0"/>
        </w:numPr>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3.6.1</w:t>
      </w:r>
      <w:r>
        <w:rPr>
          <w:rFonts w:hint="eastAsia" w:ascii="宋体" w:hAnsi="宋体" w:eastAsia="宋体" w:cs="宋体"/>
          <w:color w:val="auto"/>
          <w:sz w:val="21"/>
          <w:szCs w:val="21"/>
        </w:rPr>
        <w:t>气动电控呼吸机，全中文操作和显示</w:t>
      </w:r>
    </w:p>
    <w:p>
      <w:pPr>
        <w:keepNext w:val="0"/>
        <w:keepLines w:val="0"/>
        <w:pageBreakBefore w:val="0"/>
        <w:widowControl w:val="0"/>
        <w:numPr>
          <w:ilvl w:val="0"/>
          <w:numId w:val="0"/>
        </w:numPr>
        <w:kinsoku/>
        <w:wordWrap/>
        <w:overflowPunct/>
        <w:topLinePunct w:val="0"/>
        <w:autoSpaceDE/>
        <w:autoSpaceDN/>
        <w:bidi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3.6.2</w:t>
      </w:r>
      <w:r>
        <w:rPr>
          <w:rFonts w:hint="eastAsia" w:ascii="宋体" w:hAnsi="宋体" w:eastAsia="宋体" w:cs="宋体"/>
          <w:color w:val="auto"/>
          <w:sz w:val="21"/>
          <w:szCs w:val="21"/>
        </w:rPr>
        <w:t>提供辅助/控制通气，标配通气模式：容量控制压力限制模式、手动通气、电子PEEP。可选配SIMV-VC、SIMV-PC、带窒息后备保护通气的PSV</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3.6.3</w:t>
      </w:r>
      <w:r>
        <w:rPr>
          <w:rFonts w:hint="eastAsia" w:ascii="宋体" w:hAnsi="宋体" w:eastAsia="宋体" w:cs="宋体"/>
          <w:color w:val="auto"/>
          <w:sz w:val="21"/>
          <w:szCs w:val="21"/>
        </w:rPr>
        <w:t>潮气量设置范围：20ml-1500ml</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3.6.4</w:t>
      </w:r>
      <w:r>
        <w:rPr>
          <w:rFonts w:hint="eastAsia" w:ascii="宋体" w:hAnsi="宋体" w:eastAsia="宋体" w:cs="宋体"/>
          <w:color w:val="auto"/>
          <w:sz w:val="21"/>
          <w:szCs w:val="21"/>
        </w:rPr>
        <w:t>吸气压力设置范围：PEEP+5～70 cmH2O</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3.6.5</w:t>
      </w:r>
      <w:r>
        <w:rPr>
          <w:rFonts w:hint="eastAsia" w:ascii="宋体" w:hAnsi="宋体" w:eastAsia="宋体" w:cs="宋体"/>
          <w:color w:val="auto"/>
          <w:sz w:val="21"/>
          <w:szCs w:val="21"/>
        </w:rPr>
        <w:t>呼吸频率：4-100 次/分钟</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3.6.6</w:t>
      </w:r>
      <w:r>
        <w:rPr>
          <w:rFonts w:hint="eastAsia" w:ascii="宋体" w:hAnsi="宋体" w:eastAsia="宋体" w:cs="宋体"/>
          <w:color w:val="auto"/>
          <w:sz w:val="21"/>
          <w:szCs w:val="21"/>
        </w:rPr>
        <w:t>吸呼比：4:1到1:8</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3.6.7</w:t>
      </w:r>
      <w:r>
        <w:rPr>
          <w:rFonts w:hint="eastAsia" w:ascii="宋体" w:hAnsi="宋体" w:eastAsia="宋体" w:cs="宋体"/>
          <w:color w:val="auto"/>
          <w:sz w:val="21"/>
          <w:szCs w:val="21"/>
        </w:rPr>
        <w:t>压力限制范围：10到 100 cmH2O</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3.6.8</w:t>
      </w:r>
      <w:r>
        <w:rPr>
          <w:rFonts w:hint="eastAsia" w:ascii="宋体" w:hAnsi="宋体" w:eastAsia="宋体" w:cs="宋体"/>
          <w:color w:val="auto"/>
          <w:sz w:val="21"/>
          <w:szCs w:val="21"/>
        </w:rPr>
        <w:t>电子PEEP，显示屏设置，范围：OFF，3 到 30 cmH2O</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3.6.9</w:t>
      </w:r>
      <w:r>
        <w:rPr>
          <w:rFonts w:hint="eastAsia" w:ascii="宋体" w:hAnsi="宋体" w:eastAsia="宋体" w:cs="宋体"/>
          <w:color w:val="auto"/>
          <w:sz w:val="21"/>
          <w:szCs w:val="21"/>
        </w:rPr>
        <w:t>吸气暂停：OFF，5%-60%吸气时间</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3.6.10</w:t>
      </w:r>
      <w:r>
        <w:rPr>
          <w:rFonts w:hint="eastAsia" w:ascii="宋体" w:hAnsi="宋体" w:eastAsia="宋体" w:cs="宋体"/>
          <w:color w:val="auto"/>
          <w:sz w:val="21"/>
          <w:szCs w:val="21"/>
        </w:rPr>
        <w:t>上升式风箱，可以直接观察病人实际呼吸状态，保证安全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3.6.11</w:t>
      </w:r>
      <w:r>
        <w:rPr>
          <w:rFonts w:hint="eastAsia" w:ascii="宋体" w:hAnsi="宋体" w:eastAsia="宋体" w:cs="宋体"/>
          <w:color w:val="auto"/>
          <w:sz w:val="21"/>
          <w:szCs w:val="21"/>
        </w:rPr>
        <w:t>具备吸入端，呼出端双流量传感器，实现动态潮气量实时自动补偿功能，补偿新鲜气体变化、气体压缩、回路顺应性变化以及小的回路泄漏造成的吸入潮气量和设置潮气量的误差</w:t>
      </w:r>
    </w:p>
    <w:p>
      <w:pPr>
        <w:keepNext w:val="0"/>
        <w:keepLines w:val="0"/>
        <w:pageBreakBefore w:val="0"/>
        <w:widowControl w:val="0"/>
        <w:kinsoku/>
        <w:wordWrap/>
        <w:overflowPunct/>
        <w:topLinePunct w:val="0"/>
        <w:autoSpaceDE/>
        <w:autoSpaceDN/>
        <w:bidi w:val="0"/>
        <w:adjustRightInd w:val="0"/>
        <w:snapToGrid/>
        <w:spacing w:line="360" w:lineRule="auto"/>
        <w:ind w:left="210" w:leftChars="100" w:firstLine="219" w:firstLineChars="104"/>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3.7 数字和波形监测</w:t>
      </w:r>
    </w:p>
    <w:p>
      <w:pPr>
        <w:keepNext w:val="0"/>
        <w:keepLines w:val="0"/>
        <w:pageBreakBefore w:val="0"/>
        <w:widowControl w:val="0"/>
        <w:numPr>
          <w:ilvl w:val="0"/>
          <w:numId w:val="0"/>
        </w:numPr>
        <w:kinsoku/>
        <w:wordWrap/>
        <w:overflowPunct/>
        <w:topLinePunct w:val="0"/>
        <w:autoSpaceDE/>
        <w:autoSpaceDN/>
        <w:bidi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3.7.1</w:t>
      </w:r>
      <w:r>
        <w:rPr>
          <w:rFonts w:hint="eastAsia" w:ascii="宋体" w:hAnsi="宋体" w:eastAsia="宋体" w:cs="宋体"/>
          <w:color w:val="auto"/>
          <w:sz w:val="21"/>
          <w:szCs w:val="21"/>
        </w:rPr>
        <w:t>具备三级声光报警功能，有独立红黄报警灯显示</w:t>
      </w:r>
    </w:p>
    <w:p>
      <w:pPr>
        <w:keepNext w:val="0"/>
        <w:keepLines w:val="0"/>
        <w:pageBreakBefore w:val="0"/>
        <w:widowControl w:val="0"/>
        <w:numPr>
          <w:ilvl w:val="0"/>
          <w:numId w:val="0"/>
        </w:numPr>
        <w:kinsoku/>
        <w:wordWrap/>
        <w:overflowPunct/>
        <w:topLinePunct w:val="0"/>
        <w:autoSpaceDE/>
        <w:autoSpaceDN/>
        <w:bidi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3.7.2大于</w:t>
      </w:r>
      <w:r>
        <w:rPr>
          <w:rFonts w:hint="eastAsia" w:ascii="宋体" w:hAnsi="宋体" w:eastAsia="宋体" w:cs="宋体"/>
          <w:color w:val="auto"/>
          <w:sz w:val="21"/>
          <w:szCs w:val="21"/>
        </w:rPr>
        <w:t>12寸彩色触摸屏，可同屏显示3通道波形</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3.7.3</w:t>
      </w:r>
      <w:r>
        <w:rPr>
          <w:rFonts w:hint="eastAsia" w:ascii="宋体" w:hAnsi="宋体" w:eastAsia="宋体" w:cs="宋体"/>
          <w:color w:val="auto"/>
          <w:sz w:val="21"/>
          <w:szCs w:val="21"/>
        </w:rPr>
        <w:t>内置插件槽，可直接热插拔插件</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3.7.4</w:t>
      </w:r>
      <w:r>
        <w:rPr>
          <w:rFonts w:hint="eastAsia" w:ascii="宋体" w:hAnsi="宋体" w:eastAsia="宋体" w:cs="宋体"/>
          <w:color w:val="auto"/>
          <w:sz w:val="21"/>
          <w:szCs w:val="21"/>
        </w:rPr>
        <w:t>插件可在监护仪和麻醉机之间通用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节约成本。</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3.7.5</w:t>
      </w:r>
      <w:r>
        <w:rPr>
          <w:rFonts w:hint="eastAsia" w:ascii="宋体" w:hAnsi="宋体" w:eastAsia="宋体" w:cs="宋体"/>
          <w:color w:val="auto"/>
          <w:sz w:val="21"/>
          <w:szCs w:val="21"/>
        </w:rPr>
        <w:t>监测参数：呼吸频率、潮气量、分钟通气量、吸呼比、气道压（峰压、平台压、平均压、PEEP）、气道阻力、顺应性；可选配氧电池吸入氧浓度监测，呼末CO2监测、麻醉气体浓度（顺磁氧浓度，N2O，ETCO2,五种麻醉气体）、呼吸环（P-V,P-F）监测</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3.7.6</w:t>
      </w:r>
      <w:r>
        <w:rPr>
          <w:rFonts w:hint="eastAsia" w:ascii="宋体" w:hAnsi="宋体" w:eastAsia="宋体" w:cs="宋体"/>
          <w:color w:val="auto"/>
          <w:sz w:val="21"/>
          <w:szCs w:val="21"/>
        </w:rPr>
        <w:t>同屏幕3通道任意波形显示（压力时间波形，流速时间波形，容量时间波形，可选呼末CO2波形）</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3.7.7</w:t>
      </w:r>
      <w:r>
        <w:rPr>
          <w:rFonts w:hint="eastAsia" w:ascii="宋体" w:hAnsi="宋体" w:eastAsia="宋体" w:cs="宋体"/>
          <w:color w:val="auto"/>
          <w:sz w:val="21"/>
          <w:szCs w:val="21"/>
        </w:rPr>
        <w:t>潮气量监测范围：0 到2500ml</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3.7.8</w:t>
      </w:r>
      <w:r>
        <w:rPr>
          <w:rFonts w:hint="eastAsia" w:ascii="宋体" w:hAnsi="宋体" w:eastAsia="宋体" w:cs="宋体"/>
          <w:color w:val="auto"/>
          <w:sz w:val="21"/>
          <w:szCs w:val="21"/>
        </w:rPr>
        <w:t>分钟通气量监测范围：0L/min 到100L/min</w:t>
      </w:r>
    </w:p>
    <w:p>
      <w:pPr>
        <w:wordWrap w:val="0"/>
        <w:spacing w:line="360" w:lineRule="auto"/>
        <w:ind w:firstLine="422" w:firstLineChars="200"/>
        <w:contextualSpacing/>
        <w:rPr>
          <w:rFonts w:hint="eastAsia"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二、电子支气管镜系统采购需求及参数（</w:t>
      </w:r>
      <w:r>
        <w:rPr>
          <w:rFonts w:hint="eastAsia" w:cs="仿宋_GB2312" w:asciiTheme="minorEastAsia" w:hAnsiTheme="minorEastAsia"/>
          <w:b/>
          <w:bCs/>
          <w:color w:val="auto"/>
          <w:szCs w:val="21"/>
          <w:lang w:val="en-US" w:eastAsia="zh-CN"/>
        </w:rPr>
        <w:t>1套）</w:t>
      </w:r>
      <w:r>
        <w:rPr>
          <w:rFonts w:hint="eastAsia" w:cs="仿宋_GB2312" w:asciiTheme="minorEastAsia" w:hAnsiTheme="minorEastAsia"/>
          <w:b/>
          <w:bCs/>
          <w:color w:val="auto"/>
          <w:szCs w:val="21"/>
          <w:lang w:val="zh-CN"/>
        </w:rPr>
        <w:t>：</w:t>
      </w:r>
    </w:p>
    <w:tbl>
      <w:tblPr>
        <w:tblStyle w:val="27"/>
        <w:tblpPr w:leftFromText="180" w:rightFromText="180" w:vertAnchor="text" w:horzAnchor="margin" w:tblpY="11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7"/>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35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货物名称</w:t>
            </w: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357" w:type="dxa"/>
            <w:vMerge w:val="restart"/>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电子支气管内窥镜</w:t>
            </w:r>
          </w:p>
        </w:tc>
        <w:tc>
          <w:tcPr>
            <w:tcW w:w="5973" w:type="dxa"/>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采用图像传感器成像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视场角：≥120°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头端部外径：≥4.9mm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主软管外径：≥4.9mm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景深：3-100mm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弯角：上≥160°、下≥130°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钳道孔径：≥2.0mm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工作长度：≥600mm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全长：≥870mm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357" w:type="dxa"/>
            <w:vMerge w:val="restart"/>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医用内窥镜图像处理器</w:t>
            </w: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染色功能：具有分光染色，可用于呼吸道早癌检查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血红蛋白增强：HbE血红素增强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测光模式：≥两种测光模式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构造强调有1,2,3,4四档可调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可实时冻结并回放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色彩强调：“R”≥±10、“B”≥±10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具有自动白平衡调节装置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具有自动调光功能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电子放大：2倍放大(1.2、1.5、2倍)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USB接口，可存储视频和图片；增加摄像和拍照功能，一键录入，方便快捷；可接脚踏开关控制拍照功能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可兼容胃、肠镜、支气管镜、鼻咽喉镜共享系统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357" w:type="dxa"/>
            <w:vMerge w:val="restart"/>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内窥镜冷光源</w:t>
            </w: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灯泡：LED灯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电压：220V    频率：50Hz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灯泡平均寿命：连续使用≥10000小时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色温：3000K~7000K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输入总光通量：300 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气泵：≥三档可调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p>
        </w:tc>
        <w:tc>
          <w:tcPr>
            <w:tcW w:w="5973" w:type="dxa"/>
            <w:noWrap w:val="0"/>
            <w:vAlign w:val="top"/>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亮度调节：光路光圈，电子曝光时间双重控制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5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液晶彩色监视器</w:t>
            </w:r>
          </w:p>
        </w:tc>
        <w:tc>
          <w:tcPr>
            <w:tcW w:w="5973" w:type="dxa"/>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≥19寸医用级高辨率液晶监视器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5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专用仪器台车</w:t>
            </w:r>
          </w:p>
        </w:tc>
        <w:tc>
          <w:tcPr>
            <w:tcW w:w="5973" w:type="dxa"/>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金属仪器车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57" w:type="dxa"/>
            <w:vMerge w:val="restart"/>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图文采集软件</w:t>
            </w:r>
          </w:p>
        </w:tc>
        <w:tc>
          <w:tcPr>
            <w:tcW w:w="5973" w:type="dxa"/>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操作界面：</w:t>
            </w:r>
            <w:r>
              <w:rPr>
                <w:rFonts w:hint="eastAsia" w:ascii="宋体" w:hAnsi="宋体" w:eastAsia="宋体" w:cs="宋体"/>
                <w:color w:val="auto"/>
                <w:sz w:val="21"/>
                <w:szCs w:val="21"/>
              </w:rPr>
              <w:t>（1）系统基于WINDOWS平台，全中文操作；</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（2）全图标化操作界面，易学易用；</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（3）病人信息、病人列表、书写报告、动态图像、采集图像，五项功能模块在同一操作界面，无需切换，医生可以边写报告边看图像；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tc>
        <w:tc>
          <w:tcPr>
            <w:tcW w:w="5973" w:type="dxa"/>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权限管理：</w:t>
            </w:r>
            <w:r>
              <w:rPr>
                <w:rFonts w:hint="eastAsia" w:ascii="宋体" w:hAnsi="宋体" w:eastAsia="宋体" w:cs="宋体"/>
                <w:color w:val="auto"/>
                <w:sz w:val="21"/>
                <w:szCs w:val="21"/>
              </w:rPr>
              <w:t>（1）规范的用户权限管理，方便自如的角色切换；</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分为管理者和普通用户，管理员用户可以对所有病人资料进行系统管理，普通用户仅可以对自身建立的病人资料进行编辑管理，不能修改、删除其他用户建立的病人信息资料。而病例资料的浏览功能不受角色限制；此功能让用户尽享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tc>
        <w:tc>
          <w:tcPr>
            <w:tcW w:w="5973" w:type="dxa"/>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后台处理：</w:t>
            </w:r>
            <w:r>
              <w:rPr>
                <w:rFonts w:hint="eastAsia" w:ascii="宋体" w:hAnsi="宋体" w:eastAsia="宋体" w:cs="宋体"/>
                <w:color w:val="auto"/>
                <w:sz w:val="21"/>
                <w:szCs w:val="21"/>
              </w:rPr>
              <w:t>（1）全新的分组式后台采集功能模式，支持先采集，后登记，采集的图像可以指定给任何病人；</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（2）后台批量打印功能，一次性集中打印当天检查或医生特定需要的某一批次所有报告；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tc>
        <w:tc>
          <w:tcPr>
            <w:tcW w:w="5973" w:type="dxa"/>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报告设计：</w:t>
            </w:r>
            <w:r>
              <w:rPr>
                <w:rFonts w:hint="eastAsia" w:ascii="宋体" w:hAnsi="宋体" w:eastAsia="宋体" w:cs="宋体"/>
                <w:color w:val="auto"/>
                <w:sz w:val="21"/>
                <w:szCs w:val="21"/>
              </w:rPr>
              <w:t>（1）全模式任意报告样式的报告编辑器，输出病人报告单的格式医生可根据临床习惯直接进行个性化设计，包括线、字段、图片、位置、大小、颜色任意设计；</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（2）自动生成彩色图文一体化的诊断报告单；</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（3）可以自定义默认打印报表类型或自由选择打印报表类型</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（4）可选择WORD报告模式，编辑更方便、简单。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tc>
        <w:tc>
          <w:tcPr>
            <w:tcW w:w="5973" w:type="dxa"/>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模板病例：</w:t>
            </w:r>
            <w:r>
              <w:rPr>
                <w:rFonts w:hint="eastAsia" w:ascii="宋体" w:hAnsi="宋体" w:eastAsia="宋体" w:cs="宋体"/>
                <w:color w:val="auto"/>
                <w:sz w:val="21"/>
                <w:szCs w:val="21"/>
              </w:rPr>
              <w:t>（1）具备规范的开放性专家系统词库和报告模板，模板囊括了常用检查病例，并有下拉词条选择功能，使医生几乎无需使用汉字输入方法，即可在系统词库和模板的帮助下，迅速完成诊断报告。专家词库和模板可根据临床习惯随时进行修改和补充；</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（2）模板和词库结构均采用流行的树形目录方式，使医生选择报告模板更加快捷方便；</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（3）支持典型病例建立功能；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tc>
        <w:tc>
          <w:tcPr>
            <w:tcW w:w="5973" w:type="dxa"/>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图像采集：</w:t>
            </w:r>
            <w:r>
              <w:rPr>
                <w:rFonts w:hint="eastAsia" w:ascii="宋体" w:hAnsi="宋体" w:eastAsia="宋体" w:cs="宋体"/>
                <w:color w:val="auto"/>
                <w:sz w:val="21"/>
                <w:szCs w:val="21"/>
              </w:rPr>
              <w:t>（1）实时跟踪内窥镜设备的图像，模糊触发式采集方式，医生可以通过鼠标点击实时图像的任意区域进行单张图像的采集，无需瞄准采集按钮，方便医生操作；</w:t>
            </w:r>
          </w:p>
          <w:p>
            <w:pPr>
              <w:keepNext w:val="0"/>
              <w:keepLines w:val="0"/>
              <w:pageBreakBefore w:val="0"/>
              <w:kinsoku/>
              <w:wordWrap/>
              <w:overflowPunct/>
              <w:topLinePunct w:val="0"/>
              <w:autoSpaceDE/>
              <w:autoSpaceDN/>
              <w:bidi w:val="0"/>
              <w:adjustRightInd/>
              <w:spacing w:line="360" w:lineRule="auto"/>
              <w:ind w:right="-317" w:rightChars="-151"/>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（2）支持通过手动或脚踏采集开关进行遥控采集；</w:t>
            </w:r>
          </w:p>
          <w:p>
            <w:pPr>
              <w:keepNext w:val="0"/>
              <w:keepLines w:val="0"/>
              <w:pageBreakBefore w:val="0"/>
              <w:kinsoku/>
              <w:wordWrap/>
              <w:overflowPunct/>
              <w:topLinePunct w:val="0"/>
              <w:autoSpaceDE/>
              <w:autoSpaceDN/>
              <w:bidi w:val="0"/>
              <w:adjustRightInd/>
              <w:spacing w:line="360" w:lineRule="auto"/>
              <w:ind w:right="-317" w:rightChars="-151"/>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（3）独特自动发声确认采图成功，而无需外接音箱设备；</w:t>
            </w:r>
          </w:p>
          <w:p>
            <w:pPr>
              <w:keepNext w:val="0"/>
              <w:keepLines w:val="0"/>
              <w:pageBreakBefore w:val="0"/>
              <w:kinsoku/>
              <w:wordWrap/>
              <w:overflowPunct/>
              <w:topLinePunct w:val="0"/>
              <w:autoSpaceDE/>
              <w:autoSpaceDN/>
              <w:bidi w:val="0"/>
              <w:adjustRightInd/>
              <w:spacing w:line="360" w:lineRule="auto"/>
              <w:ind w:right="-317" w:rightChars="-151"/>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（4）图像采集幅数不受限制；</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（5）支持DVI、HDMI、HD-SDI等多种高清信号格式；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tc>
        <w:tc>
          <w:tcPr>
            <w:tcW w:w="5973" w:type="dxa"/>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图像显示：</w:t>
            </w:r>
            <w:r>
              <w:rPr>
                <w:rFonts w:hint="eastAsia" w:ascii="宋体" w:hAnsi="宋体" w:eastAsia="宋体" w:cs="宋体"/>
                <w:color w:val="auto"/>
                <w:sz w:val="21"/>
                <w:szCs w:val="21"/>
              </w:rPr>
              <w:t>（1）动态调节图像亮度、对比度、色度、饱和度和锐度，支持动态影像的全屏显示功能，让医生观看图像更加方便，全屏显示亦可采集图像。</w:t>
            </w:r>
          </w:p>
          <w:p>
            <w:pPr>
              <w:keepNext w:val="0"/>
              <w:keepLines w:val="0"/>
              <w:pageBreakBefore w:val="0"/>
              <w:kinsoku/>
              <w:wordWrap/>
              <w:overflowPunct/>
              <w:topLinePunct w:val="0"/>
              <w:autoSpaceDE/>
              <w:autoSpaceDN/>
              <w:bidi w:val="0"/>
              <w:adjustRightInd/>
              <w:spacing w:line="360" w:lineRule="auto"/>
              <w:ind w:right="-317" w:rightChars="-151"/>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（2）医生可以根据需要调节动态影像的输出显示大小，最高可达1920*1200；</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（3）系统可以对已经采集的图像进行同屏显示，并且医生可根据需要对图像先后位置自由调换。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tc>
        <w:tc>
          <w:tcPr>
            <w:tcW w:w="5973" w:type="dxa"/>
            <w:noWrap w:val="0"/>
            <w:vAlign w:val="center"/>
          </w:tcPr>
          <w:p>
            <w:pPr>
              <w:keepNext w:val="0"/>
              <w:keepLines w:val="0"/>
              <w:pageBreakBefore w:val="0"/>
              <w:kinsoku/>
              <w:wordWrap/>
              <w:overflowPunct/>
              <w:topLinePunct w:val="0"/>
              <w:autoSpaceDE/>
              <w:autoSpaceDN/>
              <w:bidi w:val="0"/>
              <w:adjustRightInd/>
              <w:spacing w:line="360" w:lineRule="auto"/>
              <w:ind w:right="-317" w:rightChars="-151"/>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图像质量：</w:t>
            </w:r>
            <w:r>
              <w:rPr>
                <w:rFonts w:hint="eastAsia" w:ascii="宋体" w:hAnsi="宋体" w:eastAsia="宋体" w:cs="宋体"/>
                <w:color w:val="auto"/>
                <w:sz w:val="21"/>
                <w:szCs w:val="21"/>
              </w:rPr>
              <w:t>（1）采用高清专用的图像采集卡，集成高性能图形处理芯片；</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（2）采用DirectX 先进处理技术，确保采集到的图像高清晰、逼真，真正做到动态图像无划痕；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tc>
        <w:tc>
          <w:tcPr>
            <w:tcW w:w="5973" w:type="dxa"/>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图像处理：</w:t>
            </w:r>
            <w:r>
              <w:rPr>
                <w:rFonts w:hint="eastAsia" w:ascii="宋体" w:hAnsi="宋体" w:eastAsia="宋体" w:cs="宋体"/>
                <w:color w:val="auto"/>
                <w:sz w:val="21"/>
                <w:szCs w:val="21"/>
              </w:rPr>
              <w:t>提供图像长度、角度、面积的测量，图像亮度、对比度、饱和度、文字标注、放大、剪裁、镜像、旋转、浮雕、雾化、伪彩、黑白显示、负向等丰富的图像后处理功能；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tc>
        <w:tc>
          <w:tcPr>
            <w:tcW w:w="5973" w:type="dxa"/>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图像裁剪：</w:t>
            </w:r>
            <w:r>
              <w:rPr>
                <w:rFonts w:hint="eastAsia" w:ascii="宋体" w:hAnsi="宋体" w:eastAsia="宋体" w:cs="宋体"/>
                <w:color w:val="auto"/>
                <w:sz w:val="21"/>
                <w:szCs w:val="21"/>
              </w:rPr>
              <w:t>医生可以根据需要对图像区域无效图像信息进行裁剪，使报告图像更美观的同时，更能节省打印的成本；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tc>
        <w:tc>
          <w:tcPr>
            <w:tcW w:w="5973" w:type="dxa"/>
            <w:noWrap w:val="0"/>
            <w:vAlign w:val="center"/>
          </w:tcPr>
          <w:p>
            <w:pPr>
              <w:keepNext w:val="0"/>
              <w:keepLines w:val="0"/>
              <w:pageBreakBefore w:val="0"/>
              <w:kinsoku/>
              <w:wordWrap/>
              <w:overflowPunct/>
              <w:topLinePunct w:val="0"/>
              <w:autoSpaceDE/>
              <w:autoSpaceDN/>
              <w:bidi w:val="0"/>
              <w:adjustRightInd/>
              <w:snapToGrid w:val="0"/>
              <w:spacing w:line="360" w:lineRule="auto"/>
              <w:ind w:right="76" w:rightChars="36"/>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录像管理：</w:t>
            </w:r>
            <w:r>
              <w:rPr>
                <w:rFonts w:hint="eastAsia" w:ascii="宋体" w:hAnsi="宋体" w:eastAsia="宋体" w:cs="宋体"/>
                <w:color w:val="auto"/>
                <w:sz w:val="21"/>
                <w:szCs w:val="21"/>
              </w:rPr>
              <w:t>（1）系统录像可以支持多种压缩格式，医生可以根据需要选择录像的输出大小，压缩的质量；</w:t>
            </w:r>
          </w:p>
          <w:p>
            <w:pPr>
              <w:keepNext w:val="0"/>
              <w:keepLines w:val="0"/>
              <w:pageBreakBefore w:val="0"/>
              <w:kinsoku/>
              <w:wordWrap/>
              <w:overflowPunct/>
              <w:topLinePunct w:val="0"/>
              <w:autoSpaceDE/>
              <w:autoSpaceDN/>
              <w:bidi w:val="0"/>
              <w:adjustRightInd/>
              <w:snapToGrid w:val="0"/>
              <w:spacing w:line="360" w:lineRule="auto"/>
              <w:ind w:right="76" w:rightChars="36"/>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（2）同一个病人可以分段、多段录取动态影像，每一段录像的时间没有限制（根据计算机的存储空间而定），并可对播放录像进行二次回采。</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（3）录像管理中，可以播放、删除录像，并设置了录像的存储路径，医生可以直接找到录像的源文件，方便拷贝。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tc>
        <w:tc>
          <w:tcPr>
            <w:tcW w:w="5973" w:type="dxa"/>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检索功能：</w:t>
            </w:r>
            <w:r>
              <w:rPr>
                <w:rFonts w:hint="eastAsia" w:ascii="宋体" w:hAnsi="宋体" w:eastAsia="宋体" w:cs="宋体"/>
                <w:color w:val="auto"/>
                <w:sz w:val="21"/>
                <w:szCs w:val="21"/>
              </w:rPr>
              <w:t>20多种项目组合查询，可多条件的进行数据过滤，方便医生精确锁定查询结果，诊断内容和结论的模糊查询，便于医生对资料的归纳和总结；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tc>
        <w:tc>
          <w:tcPr>
            <w:tcW w:w="5973" w:type="dxa"/>
            <w:noWrap w:val="0"/>
            <w:vAlign w:val="center"/>
          </w:tcPr>
          <w:p>
            <w:pPr>
              <w:keepNext w:val="0"/>
              <w:keepLines w:val="0"/>
              <w:pageBreakBefore w:val="0"/>
              <w:kinsoku/>
              <w:wordWrap/>
              <w:overflowPunct/>
              <w:topLinePunct w:val="0"/>
              <w:autoSpaceDE/>
              <w:autoSpaceDN/>
              <w:bidi w:val="0"/>
              <w:adjustRightInd/>
              <w:spacing w:line="360" w:lineRule="auto"/>
              <w:ind w:right="-317" w:rightChars="-151"/>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备份功能：</w:t>
            </w:r>
            <w:r>
              <w:rPr>
                <w:rFonts w:hint="eastAsia" w:ascii="宋体" w:hAnsi="宋体" w:eastAsia="宋体" w:cs="宋体"/>
                <w:color w:val="auto"/>
                <w:sz w:val="21"/>
                <w:szCs w:val="21"/>
              </w:rPr>
              <w:t>（1）数据库的人工智能备份：采用ＩＥ浏览格式，无须依赖软件环境，可在任意电脑上同时显示图像信息和病人资料，可以制作成幻灯片，进行医学讲座和交流；</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（2）支持WORD备份图文报告；</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（3）支持图片报告备份功能，方便医生保存图文一体化报告；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tc>
        <w:tc>
          <w:tcPr>
            <w:tcW w:w="5973" w:type="dxa"/>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统计功能：</w:t>
            </w:r>
            <w:r>
              <w:rPr>
                <w:rFonts w:hint="eastAsia" w:ascii="宋体" w:hAnsi="宋体" w:eastAsia="宋体" w:cs="宋体"/>
                <w:color w:val="auto"/>
                <w:sz w:val="21"/>
                <w:szCs w:val="21"/>
              </w:rPr>
              <w:t>提供日常统计模块，对选择相应时间段内的医生工作量统计，送检医生工作量统计，诊断医生检查项目分类统计，病人性别统计，病人年龄统计，病区工作量统计，设备工作量统计，科室工作量统计等，方便科室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57" w:type="dxa"/>
            <w:vMerge w:val="continue"/>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tc>
        <w:tc>
          <w:tcPr>
            <w:tcW w:w="5973" w:type="dxa"/>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DICOM可选项：</w:t>
            </w:r>
            <w:r>
              <w:rPr>
                <w:rFonts w:hint="eastAsia" w:ascii="宋体" w:hAnsi="宋体" w:eastAsia="宋体" w:cs="宋体"/>
                <w:color w:val="auto"/>
                <w:sz w:val="21"/>
                <w:szCs w:val="21"/>
              </w:rPr>
              <w:t>1）支持worklist功能；</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2）支持DICOM 发送功能；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5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电脑</w:t>
            </w:r>
          </w:p>
        </w:tc>
        <w:tc>
          <w:tcPr>
            <w:tcW w:w="5973" w:type="dxa"/>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国际知名品牌，显示器：≥21.5，硬盘：≥1Tb，内存：≥4G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57"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打印机</w:t>
            </w:r>
          </w:p>
        </w:tc>
        <w:tc>
          <w:tcPr>
            <w:tcW w:w="5973" w:type="dxa"/>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≥四色彩色喷墨打印机</w:t>
            </w:r>
          </w:p>
        </w:tc>
      </w:tr>
    </w:tbl>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1"/>
          <w:szCs w:val="21"/>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1"/>
          <w:szCs w:val="21"/>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1"/>
          <w:szCs w:val="21"/>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1"/>
          <w:szCs w:val="21"/>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1"/>
          <w:szCs w:val="21"/>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1"/>
          <w:szCs w:val="21"/>
        </w:rPr>
      </w:pPr>
    </w:p>
    <w:p>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color w:val="auto"/>
          <w:sz w:val="21"/>
          <w:szCs w:val="21"/>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电子支气管镜系统配置清单</w:t>
      </w:r>
    </w:p>
    <w:tbl>
      <w:tblPr>
        <w:tblStyle w:val="27"/>
        <w:tblW w:w="8179" w:type="dxa"/>
        <w:tblInd w:w="94" w:type="dxa"/>
        <w:tblLayout w:type="autofit"/>
        <w:tblCellMar>
          <w:top w:w="0" w:type="dxa"/>
          <w:left w:w="108" w:type="dxa"/>
          <w:bottom w:w="0" w:type="dxa"/>
          <w:right w:w="108" w:type="dxa"/>
        </w:tblCellMar>
      </w:tblPr>
      <w:tblGrid>
        <w:gridCol w:w="1777"/>
        <w:gridCol w:w="6402"/>
      </w:tblGrid>
      <w:tr>
        <w:tblPrEx>
          <w:tblCellMar>
            <w:top w:w="0" w:type="dxa"/>
            <w:left w:w="108" w:type="dxa"/>
            <w:bottom w:w="0" w:type="dxa"/>
            <w:right w:w="108" w:type="dxa"/>
          </w:tblCellMar>
        </w:tblPrEx>
        <w:trPr>
          <w:trHeight w:val="446" w:hRule="atLeast"/>
        </w:trPr>
        <w:tc>
          <w:tcPr>
            <w:tcW w:w="17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640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货物名称</w:t>
            </w:r>
          </w:p>
        </w:tc>
      </w:tr>
      <w:tr>
        <w:tblPrEx>
          <w:tblCellMar>
            <w:top w:w="0" w:type="dxa"/>
            <w:left w:w="108" w:type="dxa"/>
            <w:bottom w:w="0" w:type="dxa"/>
            <w:right w:w="108" w:type="dxa"/>
          </w:tblCellMar>
        </w:tblPrEx>
        <w:trPr>
          <w:trHeight w:val="446" w:hRule="atLeast"/>
        </w:trPr>
        <w:tc>
          <w:tcPr>
            <w:tcW w:w="177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640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图像处理器</w:t>
            </w:r>
          </w:p>
        </w:tc>
      </w:tr>
      <w:tr>
        <w:tblPrEx>
          <w:tblCellMar>
            <w:top w:w="0" w:type="dxa"/>
            <w:left w:w="108" w:type="dxa"/>
            <w:bottom w:w="0" w:type="dxa"/>
            <w:right w:w="108" w:type="dxa"/>
          </w:tblCellMar>
        </w:tblPrEx>
        <w:trPr>
          <w:trHeight w:val="446" w:hRule="atLeast"/>
        </w:trPr>
        <w:tc>
          <w:tcPr>
            <w:tcW w:w="177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640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内窥镜冷光源</w:t>
            </w:r>
          </w:p>
        </w:tc>
      </w:tr>
      <w:tr>
        <w:tblPrEx>
          <w:tblCellMar>
            <w:top w:w="0" w:type="dxa"/>
            <w:left w:w="108" w:type="dxa"/>
            <w:bottom w:w="0" w:type="dxa"/>
            <w:right w:w="108" w:type="dxa"/>
          </w:tblCellMar>
        </w:tblPrEx>
        <w:trPr>
          <w:trHeight w:val="446" w:hRule="atLeast"/>
        </w:trPr>
        <w:tc>
          <w:tcPr>
            <w:tcW w:w="177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640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电子支气管镜</w:t>
            </w:r>
          </w:p>
        </w:tc>
      </w:tr>
      <w:tr>
        <w:tblPrEx>
          <w:tblCellMar>
            <w:top w:w="0" w:type="dxa"/>
            <w:left w:w="108" w:type="dxa"/>
            <w:bottom w:w="0" w:type="dxa"/>
            <w:right w:w="108" w:type="dxa"/>
          </w:tblCellMar>
        </w:tblPrEx>
        <w:trPr>
          <w:trHeight w:val="446" w:hRule="atLeast"/>
        </w:trPr>
        <w:tc>
          <w:tcPr>
            <w:tcW w:w="177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640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19英寸液晶显示器</w:t>
            </w:r>
          </w:p>
        </w:tc>
      </w:tr>
      <w:tr>
        <w:tblPrEx>
          <w:tblCellMar>
            <w:top w:w="0" w:type="dxa"/>
            <w:left w:w="108" w:type="dxa"/>
            <w:bottom w:w="0" w:type="dxa"/>
            <w:right w:w="108" w:type="dxa"/>
          </w:tblCellMar>
        </w:tblPrEx>
        <w:trPr>
          <w:trHeight w:val="446" w:hRule="atLeast"/>
        </w:trPr>
        <w:tc>
          <w:tcPr>
            <w:tcW w:w="177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640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内窥镜专用台车</w:t>
            </w:r>
          </w:p>
        </w:tc>
      </w:tr>
      <w:tr>
        <w:tblPrEx>
          <w:tblCellMar>
            <w:top w:w="0" w:type="dxa"/>
            <w:left w:w="108" w:type="dxa"/>
            <w:bottom w:w="0" w:type="dxa"/>
            <w:right w:w="108" w:type="dxa"/>
          </w:tblCellMar>
        </w:tblPrEx>
        <w:trPr>
          <w:trHeight w:val="446" w:hRule="atLeast"/>
        </w:trPr>
        <w:tc>
          <w:tcPr>
            <w:tcW w:w="177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640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图文采集工作站</w:t>
            </w:r>
          </w:p>
        </w:tc>
      </w:tr>
      <w:tr>
        <w:tblPrEx>
          <w:tblCellMar>
            <w:top w:w="0" w:type="dxa"/>
            <w:left w:w="108" w:type="dxa"/>
            <w:bottom w:w="0" w:type="dxa"/>
            <w:right w:w="108" w:type="dxa"/>
          </w:tblCellMar>
        </w:tblPrEx>
        <w:trPr>
          <w:trHeight w:val="446" w:hRule="atLeast"/>
        </w:trPr>
        <w:tc>
          <w:tcPr>
            <w:tcW w:w="177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640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电脑</w:t>
            </w:r>
          </w:p>
        </w:tc>
      </w:tr>
      <w:tr>
        <w:tblPrEx>
          <w:tblCellMar>
            <w:top w:w="0" w:type="dxa"/>
            <w:left w:w="108" w:type="dxa"/>
            <w:bottom w:w="0" w:type="dxa"/>
            <w:right w:w="108" w:type="dxa"/>
          </w:tblCellMar>
        </w:tblPrEx>
        <w:trPr>
          <w:trHeight w:val="456" w:hRule="atLeast"/>
        </w:trPr>
        <w:tc>
          <w:tcPr>
            <w:tcW w:w="177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640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彩色打印机</w:t>
            </w:r>
          </w:p>
        </w:tc>
      </w:tr>
    </w:tbl>
    <w:p>
      <w:pPr>
        <w:pStyle w:val="75"/>
        <w:ind w:left="0" w:leftChars="0" w:firstLine="502" w:firstLineChars="200"/>
        <w:jc w:val="left"/>
        <w:rPr>
          <w:color w:val="auto"/>
          <w:sz w:val="21"/>
          <w:szCs w:val="21"/>
        </w:rPr>
      </w:pPr>
      <w:r>
        <w:rPr>
          <w:rFonts w:hint="eastAsia" w:cs="微软雅黑" w:asciiTheme="minorEastAsia" w:hAnsiTheme="minorEastAsia"/>
          <w:b/>
          <w:color w:val="auto"/>
          <w:sz w:val="21"/>
          <w:szCs w:val="21"/>
        </w:rPr>
        <w:t>注：</w:t>
      </w:r>
      <w:r>
        <w:rPr>
          <w:rFonts w:hint="eastAsia" w:cs="微软雅黑" w:asciiTheme="minorEastAsia" w:hAnsiTheme="minorEastAsia"/>
          <w:b/>
          <w:color w:val="auto"/>
          <w:sz w:val="21"/>
          <w:szCs w:val="21"/>
          <w:lang w:eastAsia="zh-CN"/>
        </w:rPr>
        <w:t>文件</w:t>
      </w:r>
      <w:r>
        <w:rPr>
          <w:rFonts w:hint="eastAsia" w:cs="微软雅黑" w:asciiTheme="minorEastAsia" w:hAnsiTheme="minorEastAsia"/>
          <w:b/>
          <w:color w:val="auto"/>
          <w:sz w:val="21"/>
          <w:szCs w:val="21"/>
        </w:rPr>
        <w:t>所列技术规格或主要参数为最低要求，不允许负偏离，否则为无效响应。</w:t>
      </w:r>
    </w:p>
    <w:p>
      <w:pPr>
        <w:spacing w:line="360" w:lineRule="auto"/>
        <w:ind w:firstLine="422" w:firstLineChars="200"/>
        <w:contextualSpacing/>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三、采购标的执行标准</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执行国家相关标准。</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1、强制性产品认证</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2、信息安全产品强制性认证</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如投标人所投产品被列入《信息安全产品强制性认证目录》，投标人不能提供出此目录范畴外的替代品并须在投标文件中提供：</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（1）中国信息安全认证中心官网(http://www.isccc.gov.cn/index.shtml)产品查询结果截图并加盖投标人公章；</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（2）中国信息安全认证中心颁发的《中国国家信息安全产品认证证书》的原件扫描件(或图片)并加盖投标人公章。</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注:仅需提供序号（1）~（2）其中之一即可。</w:t>
      </w:r>
    </w:p>
    <w:p>
      <w:pPr>
        <w:wordWrap w:val="0"/>
        <w:spacing w:line="360" w:lineRule="auto"/>
        <w:ind w:firstLine="422" w:firstLineChars="200"/>
        <w:contextualSpacing/>
        <w:rPr>
          <w:rFonts w:hint="eastAsia"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四、采购标的的其他技术、服务等要求</w:t>
      </w:r>
    </w:p>
    <w:p>
      <w:pPr>
        <w:wordWrap w:val="0"/>
        <w:spacing w:line="360" w:lineRule="auto"/>
        <w:ind w:firstLine="420" w:firstLineChars="200"/>
        <w:contextualSpacing/>
        <w:rPr>
          <w:rFonts w:cs="仿宋_GB2312" w:asciiTheme="minorEastAsia" w:hAnsiTheme="minorEastAsia"/>
          <w:b/>
          <w:bCs/>
          <w:color w:val="auto"/>
          <w:szCs w:val="21"/>
          <w:lang w:val="zh-CN"/>
        </w:rPr>
      </w:pPr>
      <w:r>
        <w:rPr>
          <w:rFonts w:hint="eastAsia" w:cs="仿宋_GB2312" w:asciiTheme="minorEastAsia" w:hAnsiTheme="minorEastAsia"/>
          <w:color w:val="auto"/>
          <w:szCs w:val="21"/>
          <w:lang w:val="zh-CN"/>
        </w:rPr>
        <w:t>1、投标人须明确投标产品的厂家、产地、品牌、型号、等参数，</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b/>
          <w:bCs/>
          <w:color w:val="auto"/>
          <w:szCs w:val="21"/>
          <w:lang w:val="zh-CN"/>
        </w:rPr>
      </w:pPr>
      <w:r>
        <w:rPr>
          <w:rFonts w:hint="eastAsia" w:cs="仿宋_GB2312" w:asciiTheme="minorEastAsia" w:hAnsiTheme="minorEastAsia"/>
          <w:color w:val="auto"/>
          <w:szCs w:val="21"/>
          <w:lang w:val="zh-CN"/>
        </w:rPr>
        <w:t>2、投标人应就本项目完整投标，报价含税费等综合费用，</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3、所投产品必须符合招标文件规定标准的全新正品现货，</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4</w:t>
      </w:r>
      <w:r>
        <w:rPr>
          <w:rFonts w:hint="eastAsia" w:cs="仿宋_GB2312" w:asciiTheme="minorEastAsia" w:hAnsiTheme="minorEastAsia"/>
          <w:color w:val="auto"/>
          <w:szCs w:val="21"/>
          <w:lang w:val="zh-CN"/>
        </w:rPr>
        <w:t>、投标文件中须有详细的实施（技术）方案，</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、质保期三年，质保期内免费维修，质保期内发生故障或质量问题，卖方在接到通知后30分钟内进行响应，1小时到达，6小时内处理问题，否则需提供备用机直至原设备修好为止。</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6</w:t>
      </w:r>
      <w:r>
        <w:rPr>
          <w:rFonts w:hint="eastAsia" w:cs="仿宋_GB2312" w:asciiTheme="minorEastAsia" w:hAnsiTheme="minorEastAsia"/>
          <w:color w:val="auto"/>
          <w:szCs w:val="21"/>
          <w:lang w:val="zh-CN"/>
        </w:rPr>
        <w:t>、中标人需按谈判文件约定时间供货，工期：签订合同后7日内完成采购、安装、调试全部采购内容（现场宣讲除外），逾期1天扣除合同额的5%，中标人须现场提供技术指导，直至配合完成整个项目的竣工验收等工作。</w:t>
      </w:r>
    </w:p>
    <w:p>
      <w:pPr>
        <w:wordWrap w:val="0"/>
        <w:spacing w:line="360" w:lineRule="auto"/>
        <w:ind w:firstLine="422" w:firstLineChars="200"/>
        <w:contextualSpacing/>
        <w:rPr>
          <w:rFonts w:hint="eastAsia"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五、验收标准</w:t>
      </w:r>
    </w:p>
    <w:p>
      <w:pPr>
        <w:wordWrap w:val="0"/>
        <w:spacing w:line="360" w:lineRule="auto"/>
        <w:ind w:firstLine="420" w:firstLineChars="200"/>
        <w:contextualSpacing/>
        <w:rPr>
          <w:rFonts w:hint="eastAsia" w:cs="仿宋_GB2312" w:asciiTheme="minorEastAsia" w:hAnsiTheme="minorEastAsia"/>
          <w:color w:val="auto"/>
          <w:szCs w:val="21"/>
          <w:lang w:val="zh-CN" w:eastAsia="zh-CN"/>
        </w:rPr>
      </w:pPr>
      <w:r>
        <w:rPr>
          <w:rFonts w:hint="eastAsia" w:cs="仿宋_GB2312" w:asciiTheme="minorEastAsia" w:hAnsiTheme="minorEastAsia"/>
          <w:color w:val="auto"/>
          <w:szCs w:val="21"/>
          <w:lang w:val="zh-CN" w:eastAsia="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ordWrap w:val="0"/>
        <w:spacing w:line="360" w:lineRule="auto"/>
        <w:ind w:firstLine="420" w:firstLineChars="200"/>
        <w:contextualSpacing/>
        <w:rPr>
          <w:rFonts w:hint="eastAsia" w:cs="仿宋_GB2312" w:asciiTheme="minorEastAsia" w:hAnsiTheme="minorEastAsia"/>
          <w:color w:val="auto"/>
          <w:szCs w:val="21"/>
          <w:lang w:val="zh-CN" w:eastAsia="zh-CN"/>
        </w:rPr>
      </w:pPr>
      <w:r>
        <w:rPr>
          <w:rFonts w:hint="eastAsia" w:cs="仿宋_GB2312" w:asciiTheme="minorEastAsia" w:hAnsiTheme="minorEastAsia"/>
          <w:color w:val="auto"/>
          <w:szCs w:val="21"/>
          <w:lang w:val="zh-CN" w:eastAsia="zh-CN"/>
        </w:rPr>
        <w:t>1、按照国家相关标准、行业标准、地方标准或其他标准、规范验收。</w:t>
      </w:r>
    </w:p>
    <w:p>
      <w:pPr>
        <w:wordWrap w:val="0"/>
        <w:spacing w:line="360" w:lineRule="auto"/>
        <w:ind w:firstLine="420" w:firstLineChars="200"/>
        <w:contextualSpacing/>
        <w:rPr>
          <w:rFonts w:hint="eastAsia" w:cs="仿宋_GB2312" w:asciiTheme="minorEastAsia" w:hAnsiTheme="minorEastAsia"/>
          <w:color w:val="auto"/>
          <w:szCs w:val="21"/>
          <w:lang w:val="zh-CN" w:eastAsia="zh-CN"/>
        </w:rPr>
      </w:pPr>
      <w:r>
        <w:rPr>
          <w:rFonts w:hint="eastAsia" w:cs="仿宋_GB2312" w:asciiTheme="minorEastAsia" w:hAnsiTheme="minorEastAsia"/>
          <w:color w:val="auto"/>
          <w:szCs w:val="21"/>
          <w:lang w:val="zh-CN" w:eastAsia="zh-CN"/>
        </w:rPr>
        <w:t>2、按照招标文件要求、投标文件响应和承诺验收。</w:t>
      </w:r>
    </w:p>
    <w:p>
      <w:pPr>
        <w:wordWrap w:val="0"/>
        <w:spacing w:line="360" w:lineRule="auto"/>
        <w:ind w:firstLine="420" w:firstLineChars="200"/>
        <w:contextualSpacing/>
        <w:rPr>
          <w:rFonts w:hint="eastAsia" w:cs="仿宋_GB2312" w:asciiTheme="minorEastAsia" w:hAnsiTheme="minorEastAsia"/>
          <w:color w:val="auto"/>
          <w:szCs w:val="21"/>
          <w:lang w:val="zh-CN" w:eastAsia="zh-CN"/>
        </w:rPr>
      </w:pPr>
      <w:r>
        <w:rPr>
          <w:rFonts w:hint="eastAsia" w:cs="仿宋_GB2312" w:asciiTheme="minorEastAsia" w:hAnsiTheme="minorEastAsia"/>
          <w:color w:val="auto"/>
          <w:szCs w:val="21"/>
          <w:lang w:val="zh-CN" w:eastAsia="zh-CN"/>
        </w:rPr>
        <w:t>六、资金支付</w:t>
      </w:r>
    </w:p>
    <w:p>
      <w:pPr>
        <w:wordWrap w:val="0"/>
        <w:spacing w:line="360" w:lineRule="auto"/>
        <w:ind w:firstLine="420" w:firstLineChars="200"/>
        <w:contextualSpacing/>
        <w:rPr>
          <w:rFonts w:hint="eastAsia" w:cs="仿宋_GB2312" w:asciiTheme="minorEastAsia" w:hAnsiTheme="minorEastAsia"/>
          <w:color w:val="auto"/>
          <w:szCs w:val="21"/>
          <w:lang w:val="zh-CN" w:eastAsia="zh-CN"/>
        </w:rPr>
      </w:pPr>
      <w:r>
        <w:rPr>
          <w:rFonts w:hint="eastAsia" w:cs="仿宋_GB2312" w:asciiTheme="minorEastAsia" w:hAnsiTheme="minorEastAsia"/>
          <w:color w:val="auto"/>
          <w:szCs w:val="21"/>
          <w:lang w:val="zh-CN" w:eastAsia="zh-CN"/>
        </w:rPr>
        <w:t>1、支付方式：按照合同约定，经验收合格后申请支付。</w:t>
      </w:r>
    </w:p>
    <w:p>
      <w:pPr>
        <w:wordWrap w:val="0"/>
        <w:spacing w:line="360" w:lineRule="auto"/>
        <w:ind w:firstLine="420" w:firstLineChars="200"/>
        <w:contextualSpacing/>
        <w:rPr>
          <w:rFonts w:cs="宋体" w:asciiTheme="majorEastAsia" w:hAnsiTheme="majorEastAsia" w:eastAsiaTheme="majorEastAsia"/>
          <w:b/>
          <w:color w:val="auto"/>
          <w:kern w:val="0"/>
          <w:sz w:val="32"/>
          <w:szCs w:val="32"/>
        </w:rPr>
      </w:pPr>
      <w:r>
        <w:rPr>
          <w:rFonts w:hint="eastAsia" w:cs="仿宋_GB2312" w:asciiTheme="minorEastAsia" w:hAnsiTheme="minorEastAsia"/>
          <w:color w:val="auto"/>
          <w:szCs w:val="21"/>
          <w:lang w:val="zh-CN" w:eastAsia="zh-CN"/>
        </w:rPr>
        <w:t>2、支付时间及条件：使用合格后，一个月付全款的60%，剩余40%满一年付清。</w:t>
      </w:r>
    </w:p>
    <w:p>
      <w:pPr>
        <w:autoSpaceDE w:val="0"/>
        <w:autoSpaceDN w:val="0"/>
        <w:adjustRightInd w:val="0"/>
        <w:ind w:firstLine="2891" w:firstLineChars="9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widowControl/>
              <w:spacing w:line="360" w:lineRule="auto"/>
              <w:jc w:val="left"/>
              <w:rPr>
                <w:rFonts w:cs="仿宋_GB2312" w:asciiTheme="minorEastAsia" w:hAnsiTheme="minorEastAsia"/>
                <w:color w:val="auto"/>
                <w:szCs w:val="21"/>
                <w:shd w:val="clear" w:color="auto" w:fill="FFFFFF"/>
              </w:rPr>
            </w:pPr>
            <w:r>
              <w:rPr>
                <w:rFonts w:hint="eastAsia" w:cs="仿宋_GB2312" w:asciiTheme="minorEastAsia" w:hAnsiTheme="minorEastAsia"/>
                <w:color w:val="auto"/>
                <w:szCs w:val="21"/>
              </w:rPr>
              <w:t>项目名称：</w:t>
            </w:r>
            <w:r>
              <w:rPr>
                <w:rFonts w:hint="eastAsia" w:ascii="宋体" w:hAnsi="宋体" w:cs="Arial"/>
                <w:color w:val="auto"/>
                <w:kern w:val="0"/>
                <w:sz w:val="21"/>
                <w:szCs w:val="21"/>
                <w:vertAlign w:val="baseline"/>
                <w:lang w:val="en-US" w:eastAsia="zh-CN" w:bidi="ar-SA"/>
              </w:rPr>
              <w:t>禹州市第二人民医院电子支气管镜及麻醉机购置项目</w:t>
            </w:r>
          </w:p>
          <w:p>
            <w:pPr>
              <w:autoSpaceDE w:val="0"/>
              <w:autoSpaceDN w:val="0"/>
              <w:adjustRightInd w:val="0"/>
              <w:spacing w:line="360" w:lineRule="auto"/>
              <w:jc w:val="left"/>
              <w:rPr>
                <w:rFonts w:hint="eastAsia" w:cs="仿宋_GB2312" w:asciiTheme="minorEastAsia" w:hAnsiTheme="minorEastAsia" w:eastAsiaTheme="minorEastAsia"/>
                <w:color w:val="auto"/>
                <w:szCs w:val="21"/>
                <w:shd w:val="clear" w:color="auto" w:fill="FFFFFF"/>
                <w:lang w:eastAsia="zh-CN"/>
              </w:rPr>
            </w:pPr>
            <w:r>
              <w:rPr>
                <w:rFonts w:hint="eastAsia" w:cs="仿宋_GB2312" w:asciiTheme="minorEastAsia" w:hAnsiTheme="minorEastAsia"/>
                <w:color w:val="auto"/>
                <w:szCs w:val="21"/>
              </w:rPr>
              <w:t>采购编号：YZCG-DLT2021</w:t>
            </w:r>
            <w:r>
              <w:rPr>
                <w:rFonts w:hint="eastAsia" w:cs="仿宋_GB2312" w:asciiTheme="minorEastAsia" w:hAnsiTheme="minorEastAsia"/>
                <w:color w:val="auto"/>
                <w:szCs w:val="21"/>
                <w:lang w:val="en-US" w:eastAsia="zh-CN"/>
              </w:rPr>
              <w:t xml:space="preserve">032 </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交付（服务、完工）时间：签订合同后7日内完成采购、安装、调试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widowControl/>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采购单位：禹州市</w:t>
            </w:r>
            <w:r>
              <w:rPr>
                <w:rFonts w:hint="eastAsia" w:cs="仿宋_GB2312" w:asciiTheme="minorEastAsia" w:hAnsiTheme="minorEastAsia"/>
                <w:color w:val="auto"/>
                <w:szCs w:val="21"/>
                <w:lang w:eastAsia="zh-CN"/>
              </w:rPr>
              <w:t>第二</w:t>
            </w:r>
            <w:r>
              <w:rPr>
                <w:rFonts w:hint="eastAsia" w:cs="仿宋_GB2312" w:asciiTheme="minorEastAsia" w:hAnsiTheme="minorEastAsia"/>
                <w:color w:val="auto"/>
                <w:szCs w:val="21"/>
              </w:rPr>
              <w:t>医院</w:t>
            </w:r>
          </w:p>
          <w:p>
            <w:pPr>
              <w:widowControl/>
              <w:spacing w:line="360" w:lineRule="auto"/>
              <w:jc w:val="left"/>
              <w:rPr>
                <w:rFonts w:hint="eastAsia" w:cs="仿宋_GB2312" w:asciiTheme="minorEastAsia" w:hAnsiTheme="minorEastAsia"/>
                <w:color w:val="auto"/>
                <w:szCs w:val="21"/>
                <w:lang w:eastAsia="zh-CN"/>
              </w:rPr>
            </w:pPr>
            <w:r>
              <w:rPr>
                <w:rFonts w:hint="eastAsia" w:cs="仿宋_GB2312" w:asciiTheme="minorEastAsia" w:hAnsiTheme="minorEastAsia"/>
                <w:color w:val="auto"/>
                <w:szCs w:val="21"/>
              </w:rPr>
              <w:t>地址：禹州市</w:t>
            </w:r>
            <w:r>
              <w:rPr>
                <w:rFonts w:hint="eastAsia" w:cs="仿宋_GB2312" w:asciiTheme="minorEastAsia" w:hAnsiTheme="minorEastAsia"/>
                <w:color w:val="auto"/>
                <w:szCs w:val="21"/>
                <w:lang w:eastAsia="zh-CN"/>
              </w:rPr>
              <w:t>滨河</w:t>
            </w:r>
            <w:r>
              <w:rPr>
                <w:rFonts w:hint="eastAsia" w:cs="仿宋_GB2312" w:asciiTheme="minorEastAsia" w:hAnsiTheme="minorEastAsia"/>
                <w:color w:val="auto"/>
                <w:szCs w:val="21"/>
              </w:rPr>
              <w:t>大道</w:t>
            </w:r>
            <w:r>
              <w:rPr>
                <w:rFonts w:hint="eastAsia" w:cs="仿宋_GB2312" w:asciiTheme="minorEastAsia" w:hAnsiTheme="minorEastAsia"/>
                <w:color w:val="auto"/>
                <w:szCs w:val="21"/>
                <w:lang w:eastAsia="zh-CN"/>
              </w:rPr>
              <w:t>西段</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eastAsiaTheme="minorEastAsia"/>
                <w:color w:val="auto"/>
                <w:szCs w:val="21"/>
                <w:lang w:eastAsia="zh-CN"/>
              </w:rPr>
              <w:t>联系人：</w:t>
            </w:r>
            <w:r>
              <w:rPr>
                <w:rFonts w:hint="eastAsia" w:cs="仿宋_GB2312" w:asciiTheme="minorEastAsia" w:hAnsiTheme="minorEastAsia"/>
                <w:color w:val="auto"/>
                <w:szCs w:val="21"/>
                <w:lang w:eastAsia="zh-CN"/>
              </w:rPr>
              <w:t>朱</w:t>
            </w:r>
            <w:r>
              <w:rPr>
                <w:rFonts w:hint="eastAsia" w:cs="仿宋_GB2312" w:asciiTheme="minorEastAsia" w:hAnsiTheme="minorEastAsia" w:eastAsiaTheme="minorEastAsia"/>
                <w:color w:val="auto"/>
                <w:szCs w:val="21"/>
                <w:lang w:eastAsia="zh-CN"/>
              </w:rPr>
              <w:t>先生</w:t>
            </w:r>
            <w:r>
              <w:rPr>
                <w:rFonts w:hint="eastAsia" w:cs="仿宋_GB2312" w:asciiTheme="minorEastAsia" w:hAnsiTheme="minorEastAsia" w:eastAsiaTheme="minorEastAsia"/>
                <w:color w:val="auto"/>
                <w:szCs w:val="21"/>
                <w:lang w:val="en-US" w:eastAsia="zh-CN"/>
              </w:rPr>
              <w:t xml:space="preserve"> </w:t>
            </w:r>
            <w:r>
              <w:rPr>
                <w:rFonts w:hint="eastAsia" w:cs="仿宋_GB2312" w:asciiTheme="minorEastAsia" w:hAnsiTheme="minorEastAsia" w:eastAsiaTheme="minorEastAsia"/>
                <w:color w:val="auto"/>
                <w:szCs w:val="21"/>
                <w:lang w:eastAsia="zh-CN"/>
              </w:rPr>
              <w:t xml:space="preserve"> </w:t>
            </w:r>
          </w:p>
          <w:p>
            <w:pPr>
              <w:autoSpaceDE w:val="0"/>
              <w:autoSpaceDN w:val="0"/>
              <w:adjustRightInd w:val="0"/>
              <w:spacing w:line="360" w:lineRule="auto"/>
              <w:jc w:val="left"/>
              <w:rPr>
                <w:rFonts w:hint="default" w:cs="仿宋_GB2312" w:asciiTheme="minorEastAsia" w:hAnsiTheme="minorEastAsia" w:eastAsiaTheme="minorEastAsia"/>
                <w:color w:val="auto"/>
                <w:szCs w:val="21"/>
                <w:lang w:val="en-US" w:eastAsia="zh-CN"/>
              </w:rPr>
            </w:pPr>
            <w:r>
              <w:rPr>
                <w:rFonts w:hint="eastAsia" w:cs="仿宋_GB2312" w:asciiTheme="minorEastAsia" w:hAnsiTheme="minorEastAsia" w:eastAsiaTheme="minorEastAsia"/>
                <w:color w:val="auto"/>
                <w:szCs w:val="21"/>
                <w:lang w:eastAsia="zh-CN"/>
              </w:rPr>
              <w:t>联系电话：</w:t>
            </w:r>
            <w:r>
              <w:rPr>
                <w:rFonts w:hint="eastAsia" w:ascii="宋体" w:hAnsi="宋体" w:eastAsia="宋体" w:cs="宋体"/>
                <w:color w:val="auto"/>
                <w:szCs w:val="21"/>
                <w:shd w:val="clear" w:color="auto" w:fill="FFFFFF"/>
                <w:lang w:val="en-US" w:eastAsia="zh-CN"/>
              </w:rPr>
              <w:t>15936327272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代理机构：许昌丰元咨询管理有限公司</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地址：禹州市颖北大道6号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 连女士</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联系电话：</w:t>
            </w:r>
            <w:r>
              <w:rPr>
                <w:rFonts w:hint="eastAsia" w:ascii="宋体" w:hAnsi="宋体" w:eastAsia="宋体" w:cs="宋体"/>
                <w:color w:val="auto"/>
                <w:szCs w:val="21"/>
                <w:shd w:val="clear" w:color="auto" w:fill="FFFFFF"/>
                <w:lang w:val="en-US" w:eastAsia="zh-CN"/>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①2019年度或者2020年度经审计的财务报告，包括资产负债表、利润表、现金流量表、所有者权益变动表及其附注；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①2019年度或者2020年度经审计的财务报告，包括资产负债表、利润表、现金流量表、所有者权益变动表及其附注；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未被列入“信用中国”网站(www.creditchina.gov.cn)失信被执行人、重大税收违法案件当事人名单的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color w:val="auto"/>
              </w:rPr>
              <w:t xml:space="preserve"> “中国社会组织公共服务平台”网站（</w:t>
            </w:r>
            <w:r>
              <w:rPr>
                <w:color w:val="auto"/>
              </w:rPr>
              <w:t>www.chinanpo.gov.cn</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③“中国社会组织公共服务平台”网站（</w:t>
            </w:r>
            <w:r>
              <w:rPr>
                <w:color w:val="auto"/>
              </w:rPr>
              <w:t>www.chinanpo.gov.cn</w:t>
            </w:r>
            <w:r>
              <w:rPr>
                <w:rFonts w:hint="eastAsia"/>
                <w:color w:val="auto"/>
              </w:rPr>
              <w:t>）（仅查询社会组织）；</w:t>
            </w:r>
          </w:p>
          <w:p>
            <w:pPr>
              <w:autoSpaceDE w:val="0"/>
              <w:autoSpaceDN w:val="0"/>
              <w:spacing w:line="360" w:lineRule="auto"/>
              <w:contextualSpacing/>
              <w:rPr>
                <w:color w:val="auto"/>
              </w:rPr>
            </w:pPr>
            <w:r>
              <w:rPr>
                <w:rFonts w:hint="eastAsia"/>
                <w:color w:val="auto"/>
              </w:rPr>
              <w:t>2、截止时间：同投标截止时间；</w:t>
            </w:r>
          </w:p>
          <w:p>
            <w:pPr>
              <w:autoSpaceDE w:val="0"/>
              <w:autoSpaceDN w:val="0"/>
              <w:spacing w:line="360" w:lineRule="auto"/>
              <w:contextualSpacing/>
              <w:rPr>
                <w:color w:val="auto"/>
              </w:rPr>
            </w:pPr>
            <w:r>
              <w:rPr>
                <w:rFonts w:hint="eastAsia"/>
                <w:color w:val="auto"/>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color w:val="auto"/>
              </w:rPr>
            </w:pPr>
            <w:r>
              <w:rPr>
                <w:rFonts w:hint="eastAsia"/>
                <w:color w:val="auto"/>
              </w:rPr>
              <w:t>4、信用信息的使用原则：经谈判小组认定的被列入失信被执行人、重大税收违法案件当事人名单、</w:t>
            </w:r>
            <w:r>
              <w:rPr>
                <w:color w:val="auto"/>
              </w:rPr>
              <w:t>政府采购严重违法失信行为记录名单</w:t>
            </w:r>
            <w:r>
              <w:rPr>
                <w:rFonts w:hint="eastAsia"/>
                <w:color w:val="auto"/>
              </w:rPr>
              <w:t>、严重违法失信社会组织名单的供应商，将拒绝其参与本次政府采购活动。</w:t>
            </w:r>
          </w:p>
          <w:p>
            <w:pPr>
              <w:autoSpaceDE w:val="0"/>
              <w:autoSpaceDN w:val="0"/>
              <w:spacing w:line="360" w:lineRule="auto"/>
              <w:contextualSpacing/>
              <w:rPr>
                <w:color w:val="auto"/>
              </w:rPr>
            </w:pPr>
            <w:r>
              <w:rPr>
                <w:rFonts w:hint="eastAsia"/>
                <w:color w:val="auto"/>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color w:val="auto"/>
                <w:szCs w:val="21"/>
              </w:rPr>
            </w:pPr>
            <w:r>
              <w:rPr>
                <w:rFonts w:hint="eastAsia" w:cs="宋体" w:asciiTheme="minorEastAsia" w:hAnsiTheme="minorEastAsia"/>
                <w:b/>
                <w:bCs/>
                <w:color w:val="auto"/>
                <w:szCs w:val="21"/>
                <w:lang w:val="en-US" w:eastAsia="zh-CN"/>
              </w:rPr>
              <w:t>8</w:t>
            </w:r>
            <w:r>
              <w:rPr>
                <w:rFonts w:hint="eastAsia" w:cs="宋体" w:asciiTheme="minorEastAsia" w:hAnsiTheme="minorEastAsia"/>
                <w:b/>
                <w:bCs/>
                <w:color w:val="auto"/>
                <w:szCs w:val="21"/>
              </w:rPr>
              <w:t>00000.00</w:t>
            </w:r>
            <w:r>
              <w:rPr>
                <w:rFonts w:hint="eastAsia" w:cs="宋体" w:asciiTheme="minorEastAsia" w:hAnsiTheme="minorEastAsia"/>
                <w:b/>
                <w:bCs/>
                <w:color w:val="auto"/>
                <w:szCs w:val="21"/>
                <w:lang w:val="zh-CN"/>
              </w:rPr>
              <w:t>元</w:t>
            </w:r>
            <w:r>
              <w:rPr>
                <w:rFonts w:hint="eastAsia" w:cs="宋体" w:asciiTheme="minorEastAsia" w:hAnsiTheme="minorEastAsia"/>
                <w:bCs/>
                <w:color w:val="auto"/>
                <w:szCs w:val="21"/>
                <w:lang w:val="zh-CN"/>
              </w:rPr>
              <w:t>，超出预算金额的响应无效</w:t>
            </w:r>
            <w:r>
              <w:rPr>
                <w:rFonts w:hint="eastAsia" w:cs="宋体" w:asciiTheme="minorEastAsia" w:hAnsi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rPr>
              <w:t>2021</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6</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2</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 xml:space="preserve"> 8 </w:t>
            </w:r>
            <w:r>
              <w:rPr>
                <w:rFonts w:hint="eastAsia" w:cs="宋体" w:asciiTheme="minorEastAsia" w:hAnsiTheme="minorEastAsia"/>
                <w:bCs/>
                <w:color w:val="auto"/>
                <w:szCs w:val="21"/>
                <w:lang w:val="zh-CN"/>
              </w:rPr>
              <w:t>：</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w:t>
            </w:r>
            <w:r>
              <w:rPr>
                <w:rFonts w:hint="eastAsia" w:cs="仿宋_GB2312" w:asciiTheme="minorEastAsia" w:hAnsiTheme="minorEastAsia"/>
                <w:color w:val="auto"/>
                <w:szCs w:val="21"/>
                <w:lang w:val="en-US" w:eastAsia="zh-CN"/>
              </w:rPr>
              <w:t xml:space="preserve">1 </w:t>
            </w:r>
            <w:r>
              <w:rPr>
                <w:rFonts w:hint="eastAsia" w:cs="仿宋_GB2312" w:asciiTheme="minorEastAsia" w:hAnsiTheme="minorEastAsia"/>
                <w:color w:val="auto"/>
                <w:szCs w:val="21"/>
              </w:rPr>
              <w:t>室（地址：禹州市行政服务中心楼九楼）（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tc>
        <w:tc>
          <w:tcPr>
            <w:tcW w:w="6813" w:type="dxa"/>
            <w:tcBorders>
              <w:top w:val="single" w:color="auto" w:sz="4" w:space="0"/>
            </w:tcBorders>
            <w:vAlign w:val="center"/>
          </w:tcPr>
          <w:p>
            <w:pPr>
              <w:pStyle w:val="10"/>
              <w:rPr>
                <w:color w:val="auto"/>
                <w:sz w:val="22"/>
              </w:rPr>
            </w:pPr>
            <w:r>
              <w:rPr>
                <w:rFonts w:hint="eastAsia"/>
                <w:color w:val="auto"/>
                <w:sz w:val="22"/>
              </w:rPr>
              <w:t>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谈判公告期满之日起二个工作日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p>
          <w:p>
            <w:pPr>
              <w:autoSpaceDE w:val="0"/>
              <w:autoSpaceDN w:val="0"/>
              <w:adjustRightInd w:val="0"/>
              <w:spacing w:line="360" w:lineRule="auto"/>
              <w:contextualSpacing/>
              <w:rPr>
                <w:rFonts w:ascii="ˎ̥" w:hAnsi="ˎ̥"/>
                <w:color w:val="auto"/>
              </w:rPr>
            </w:pPr>
            <w:r>
              <w:rPr>
                <w:rFonts w:hint="eastAsia" w:ascii="ˎ̥" w:hAnsi="ˎ̥"/>
                <w:color w:val="auto"/>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   %</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w:t>
            </w:r>
            <w:r>
              <w:rPr>
                <w:rFonts w:hint="eastAsia" w:ascii="宋体" w:hAnsi="宋体" w:cs="宋体"/>
                <w:color w:val="auto"/>
                <w:szCs w:val="21"/>
              </w:rPr>
              <w:t>招标代理服务费由中标人支付，招标代理服务费</w:t>
            </w:r>
            <w:r>
              <w:rPr>
                <w:rFonts w:hint="eastAsia" w:ascii="宋体" w:hAnsi="宋体" w:cs="宋体"/>
                <w:color w:val="auto"/>
                <w:szCs w:val="21"/>
                <w:lang w:eastAsia="zh-CN"/>
              </w:rPr>
              <w:t>参考</w:t>
            </w:r>
            <w:r>
              <w:rPr>
                <w:rFonts w:hint="eastAsia" w:ascii="宋体" w:hAnsi="宋体" w:cs="宋体"/>
                <w:color w:val="auto"/>
                <w:szCs w:val="21"/>
              </w:rPr>
              <w:t>《国家计委〈计价格〔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pStyle w:val="7"/>
              <w:spacing w:line="348" w:lineRule="auto"/>
              <w:rPr>
                <w:rFonts w:cs="宋体" w:asciiTheme="minorEastAsia" w:hAnsiTheme="minorEastAsia"/>
                <w:bCs/>
                <w:color w:val="auto"/>
                <w:szCs w:val="21"/>
              </w:rPr>
            </w:pPr>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中标人在接到中标通知时，须向代理机构发送投标报价及分项报价一览表（包含主要中标标的的名称、规格型号、数量、单价、服务要求等）电子文档，联系电话：</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cxfyzxgl@126.com</w:t>
            </w:r>
            <w:r>
              <w:rPr>
                <w:rFonts w:hint="eastAsia" w:ascii="宋体" w:hAns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w:t>
            </w:r>
          </w:p>
          <w:p>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olor w:val="auto"/>
                <w:sz w:val="24"/>
                <w:szCs w:val="24"/>
              </w:rPr>
              <w:t>①谈判小组要求供应商提交最后报价时，</w:t>
            </w:r>
            <w:r>
              <w:rPr>
                <w:rFonts w:hint="eastAsia" w:ascii="楷体" w:hAnsi="楷体" w:eastAsia="楷体" w:cs="仿宋_GB2312"/>
                <w:color w:val="auto"/>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auto"/>
                <w:sz w:val="24"/>
                <w:szCs w:val="24"/>
              </w:rPr>
            </w:pPr>
            <w:r>
              <w:rPr>
                <w:rFonts w:hint="eastAsia" w:ascii="楷体" w:hAnsi="楷体" w:eastAsia="楷体"/>
                <w:color w:val="auto"/>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color w:val="auto"/>
              </w:rPr>
            </w:pPr>
            <w:r>
              <w:rPr>
                <w:rFonts w:hint="eastAsia" w:ascii="楷体" w:hAnsi="楷体" w:eastAsia="楷体"/>
                <w:color w:val="auto"/>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auto"/>
              </w:rPr>
            </w:pPr>
            <w:r>
              <w:rPr>
                <w:rFonts w:hint="eastAsia" w:ascii="ˎ̥" w:hAnsi="ˎ̥"/>
                <w:color w:val="auto"/>
              </w:rPr>
              <w:t>不同供应商电子投标文件制作硬件特征码（网卡MAC地址、CPU序号、硬盘序列号）均一致时，视为‘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autoSpaceDE w:val="0"/>
              <w:autoSpaceDN w:val="0"/>
              <w:adjustRightInd w:val="0"/>
              <w:spacing w:line="360" w:lineRule="auto"/>
              <w:contextualSpacing/>
              <w:rPr>
                <w:rFonts w:ascii="ˎ̥" w:hAnsi="ˎ̥"/>
                <w:color w:val="auto"/>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color w:val="auto"/>
              </w:rPr>
            </w:pPr>
            <w:r>
              <w:rPr>
                <w:rFonts w:hint="eastAsia" w:ascii="ˎ̥" w:hAnsi="ˎ̥"/>
                <w:color w:val="auto"/>
              </w:rPr>
              <w:t>2、项目编号以本谈判文件中的采购编号为准。</w:t>
            </w:r>
          </w:p>
          <w:p>
            <w:pPr>
              <w:autoSpaceDE w:val="0"/>
              <w:autoSpaceDN w:val="0"/>
              <w:adjustRightInd w:val="0"/>
              <w:spacing w:line="360" w:lineRule="auto"/>
              <w:contextualSpacing/>
              <w:rPr>
                <w:color w:val="auto"/>
              </w:rPr>
            </w:pPr>
            <w:r>
              <w:rPr>
                <w:rFonts w:hint="eastAsia" w:ascii="ˎ̥" w:hAnsi="ˎ̥"/>
                <w:color w:val="auto"/>
              </w:rPr>
              <w:t>3、谈判文件第八章  响应文件有关格式的先后顺序不做无效响应。</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left="0" w:leftChars="0" w:firstLine="0" w:firstLineChars="0"/>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ind w:firstLine="2570" w:firstLineChars="800"/>
        <w:contextualSpacing/>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4"/>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3.1</w:t>
      </w:r>
      <w:r>
        <w:rPr>
          <w:rFonts w:hint="eastAsia" w:cs="宋体" w:asciiTheme="minorEastAsia" w:hAnsiTheme="minorEastAsia"/>
          <w:color w:val="auto"/>
          <w:kern w:val="0"/>
          <w:szCs w:val="21"/>
        </w:rPr>
        <w:t>在中华人民共和国境内注册，具有本项目生产、制造、供应或实施能力，符合、承认并承诺履行本谈判文件各项规定的法人、其他组织或者自然人。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）、“中国社会组织公共服务平台”网站（</w:t>
      </w:r>
      <w:r>
        <w:rPr>
          <w:color w:val="auto"/>
        </w:rPr>
        <w:fldChar w:fldCharType="begin"/>
      </w:r>
      <w:r>
        <w:rPr>
          <w:color w:val="auto"/>
        </w:rPr>
        <w:instrText xml:space="preserve"> HYPERLINK "http://www.chinanpo.gov.cn" </w:instrText>
      </w:r>
      <w:r>
        <w:rPr>
          <w:color w:val="auto"/>
        </w:rPr>
        <w:fldChar w:fldCharType="separate"/>
      </w:r>
      <w:r>
        <w:rPr>
          <w:rStyle w:val="32"/>
          <w:rFonts w:cs="宋体" w:asciiTheme="minorEastAsia" w:hAnsiTheme="minorEastAsia"/>
          <w:color w:val="auto"/>
          <w:kern w:val="0"/>
          <w:szCs w:val="21"/>
        </w:rPr>
        <w:t>www.chinanpo.gov.cn</w:t>
      </w:r>
      <w:r>
        <w:rPr>
          <w:rStyle w:val="32"/>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3.3.2截止时间：同谈判响应截止时间；</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3.3.3信用信息查询记录和证据留存具体方式：经谈判小组确认的查询结果网页截图作为查询记录和证据，与其他采购文件一并保存；</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3.3.4信用信息的使用原则：经谈判小组认定的被列入失信被执行人、重大税收违法案件当事人名单、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严重违法失信社会组织名单的供应商，将拒绝其参与本次政府采购活动。</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3.3.5供应商无须提供</w:t>
      </w:r>
      <w:r>
        <w:rPr>
          <w:rFonts w:hint="eastAsia" w:ascii="宋体" w:hAnsi="宋体" w:cs="微软雅黑"/>
          <w:bCs/>
          <w:color w:val="auto"/>
          <w:szCs w:val="21"/>
        </w:rPr>
        <w:t>信用记录查询结果网页截屏。</w:t>
      </w:r>
      <w:r>
        <w:rPr>
          <w:rFonts w:hint="eastAsia" w:cs="宋体" w:asciiTheme="minorEastAsia" w:hAnsiTheme="minorEastAsia"/>
          <w:color w:val="auto"/>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3.6成交单位对项目实施过程中的一切安全问题负责，对此作出承诺，</w:t>
      </w:r>
      <w:r>
        <w:rPr>
          <w:rFonts w:hint="eastAsia" w:ascii="宋体" w:hAnsi="宋体" w:cs="宋体"/>
          <w:color w:val="auto"/>
          <w:kern w:val="0"/>
          <w:szCs w:val="21"/>
        </w:rPr>
        <w:t>否则按未实质性响</w:t>
      </w:r>
      <w:r>
        <w:rPr>
          <w:rFonts w:hint="eastAsia" w:ascii="宋体" w:hAnsi="宋体" w:cs="宋体"/>
          <w:color w:val="auto"/>
          <w:kern w:val="0"/>
          <w:szCs w:val="21"/>
          <w:lang w:eastAsia="zh-CN"/>
        </w:rPr>
        <w:t>应谈判</w:t>
      </w:r>
      <w:r>
        <w:rPr>
          <w:rFonts w:hint="eastAsia" w:ascii="宋体" w:hAnsi="宋体" w:cs="宋体"/>
          <w:color w:val="auto"/>
          <w:kern w:val="0"/>
          <w:szCs w:val="21"/>
        </w:rPr>
        <w:t>文件，无效标处理。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7.1</w:t>
      </w:r>
      <w:r>
        <w:rPr>
          <w:rFonts w:hint="eastAsia" w:cs="宋体" w:asciiTheme="minorEastAsia" w:hAnsiTheme="minorEastAsia"/>
          <w:color w:val="auto"/>
          <w:kern w:val="0"/>
          <w:szCs w:val="21"/>
        </w:rPr>
        <w:t>在响应文件中向采购人提交联合体协议书，明确联合体各方承担的工作和义务；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.3采购人根据采购项目的特殊要求规定供应商特定条件的，联合体各方中至少应当有一方符合采购规定的特定条件；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8</w:t>
      </w:r>
      <w:r>
        <w:rPr>
          <w:rFonts w:hint="eastAsia" w:cs="宋体" w:asciiTheme="minorEastAsia" w:hAnsiTheme="minorEastAsia"/>
          <w:color w:val="auto"/>
          <w:kern w:val="0"/>
          <w:szCs w:val="21"/>
        </w:rPr>
        <w:t>法律、行政法规规定的其他条件。</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olor w:val="auto"/>
          <w:szCs w:val="21"/>
          <w:shd w:val="clear" w:color="auto" w:fill="FFFFFF"/>
        </w:rPr>
        <w:t>4.4根据《强制性产品认证管理规定》（质检总局第117号令）要求，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4"/>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4.6成交单位由于自身原因造成项目延期交付使用，造成采购人损失由成交单位承担，对此作出承诺，</w:t>
      </w:r>
      <w:r>
        <w:rPr>
          <w:rFonts w:hint="eastAsia" w:ascii="宋体" w:hAnsi="宋体" w:cs="宋体"/>
          <w:color w:val="auto"/>
          <w:kern w:val="0"/>
          <w:szCs w:val="21"/>
        </w:rPr>
        <w:t>否则按未实质性响</w:t>
      </w:r>
      <w:r>
        <w:rPr>
          <w:rFonts w:hint="eastAsia" w:ascii="宋体" w:hAnsi="宋体" w:cs="宋体"/>
          <w:color w:val="auto"/>
          <w:kern w:val="0"/>
          <w:szCs w:val="21"/>
          <w:lang w:eastAsia="zh-CN"/>
        </w:rPr>
        <w:t>应谈判</w:t>
      </w:r>
      <w:r>
        <w:rPr>
          <w:rFonts w:hint="eastAsia" w:ascii="宋体" w:hAnsi="宋体" w:cs="宋体"/>
          <w:color w:val="auto"/>
          <w:kern w:val="0"/>
          <w:szCs w:val="21"/>
        </w:rPr>
        <w:t>文件，无效标处理。</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pStyle w:val="54"/>
        <w:autoSpaceDE w:val="0"/>
        <w:autoSpaceDN w:val="0"/>
        <w:spacing w:line="360" w:lineRule="auto"/>
        <w:ind w:firstLine="420" w:firstLineChars="200"/>
        <w:contextualSpacing/>
        <w:rPr>
          <w:rFonts w:hint="eastAsia" w:cs="宋体" w:asciiTheme="minorEastAsia" w:hAnsiTheme="minorEastAsia"/>
          <w:b w:val="0"/>
          <w:bCs/>
          <w:color w:val="auto"/>
          <w:kern w:val="0"/>
          <w:szCs w:val="21"/>
        </w:rPr>
      </w:pPr>
      <w:r>
        <w:rPr>
          <w:rFonts w:hint="eastAsia" w:cs="宋体" w:asciiTheme="minorEastAsia" w:hAnsiTheme="minorEastAsia"/>
          <w:b w:val="0"/>
          <w:bCs/>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s="宋体"/>
          <w:color w:val="auto"/>
          <w:szCs w:val="21"/>
        </w:rPr>
        <w:t>招标代理服务费由中标人支付，招标代理服务费</w:t>
      </w:r>
      <w:r>
        <w:rPr>
          <w:rFonts w:hint="eastAsia" w:ascii="宋体" w:hAnsi="宋体" w:cs="宋体"/>
          <w:color w:val="auto"/>
          <w:szCs w:val="21"/>
          <w:lang w:eastAsia="zh-CN"/>
        </w:rPr>
        <w:t>参考</w:t>
      </w:r>
      <w:r>
        <w:rPr>
          <w:rFonts w:hint="eastAsia" w:ascii="宋体" w:hAnsi="宋体" w:cs="宋体"/>
          <w:color w:val="auto"/>
          <w:szCs w:val="21"/>
        </w:rPr>
        <w:t>《国家计委〈计价格〔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9.</w:t>
      </w:r>
      <w:r>
        <w:rPr>
          <w:rFonts w:hint="eastAsia" w:cs="宋体" w:asciiTheme="minorEastAsia" w:hAnsiTheme="minorEastAsia"/>
          <w:b/>
          <w:color w:val="auto"/>
          <w:kern w:val="0"/>
          <w:szCs w:val="21"/>
        </w:rPr>
        <w:t>谈判文件构成</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（1）采购邀请（竞争性谈判公告）</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10.1</w:t>
      </w:r>
      <w:r>
        <w:rPr>
          <w:rFonts w:hint="eastAsia" w:cs="宋体" w:asciiTheme="minorEastAsia" w:hAnsiTheme="minorEastAsia"/>
          <w:color w:val="auto"/>
          <w:kern w:val="0"/>
          <w:szCs w:val="21"/>
        </w:rPr>
        <w:t>在谈判响应截止期前，无论出于何种原因，采购人可主动地或在解答供应商提出的澄清问题时对谈判文件进行修改。</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10.2</w:t>
      </w:r>
      <w:r>
        <w:rPr>
          <w:rFonts w:hint="eastAsia" w:cs="宋体" w:asciiTheme="minorEastAsia" w:hAnsiTheme="minorEastAsia"/>
          <w:color w:val="auto"/>
          <w:kern w:val="0"/>
          <w:szCs w:val="21"/>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10.3</w:t>
      </w:r>
      <w:r>
        <w:rPr>
          <w:rFonts w:hint="eastAsia" w:cs="宋体" w:asciiTheme="minorEastAsia" w:hAnsiTheme="minorEastAsia"/>
          <w:color w:val="auto"/>
          <w:kern w:val="0"/>
          <w:szCs w:val="21"/>
        </w:rPr>
        <w:t>澄清或修改公告的内容为谈判文件的组成部分，并对供应商具有约束力。当谈判文件与澄清或修改公告就同一内容的表述不一致时，以最后发出的文件内容为准。</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10.4</w:t>
      </w:r>
      <w:r>
        <w:rPr>
          <w:rFonts w:hint="eastAsia" w:cs="宋体" w:asciiTheme="minorEastAsia" w:hAnsiTheme="minorEastAsia"/>
          <w:color w:val="auto"/>
          <w:kern w:val="0"/>
          <w:szCs w:val="21"/>
        </w:rPr>
        <w:t>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12.7最低报价不能做为成交的保证。</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14.</w:t>
      </w:r>
      <w:r>
        <w:rPr>
          <w:rFonts w:hint="eastAsia" w:cs="宋体" w:asciiTheme="minorEastAsia" w:hAnsiTheme="minorEastAsia"/>
          <w:b/>
          <w:color w:val="auto"/>
          <w:kern w:val="0"/>
          <w:szCs w:val="21"/>
        </w:rPr>
        <w:t>响应文件构成</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14.1</w:t>
      </w:r>
      <w:r>
        <w:rPr>
          <w:rFonts w:hint="eastAsia" w:cs="宋体" w:asciiTheme="minorEastAsia" w:hAnsiTheme="minorEastAsia"/>
          <w:color w:val="auto"/>
          <w:kern w:val="0"/>
          <w:szCs w:val="21"/>
        </w:rPr>
        <w:t>响应文件的构成应符合法律法规及谈判文件的要求。</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14.2</w:t>
      </w:r>
      <w:r>
        <w:rPr>
          <w:rFonts w:hint="eastAsia" w:cs="宋体" w:asciiTheme="minorEastAsia" w:hAnsiTheme="minorEastAsia"/>
          <w:color w:val="auto"/>
          <w:kern w:val="0"/>
          <w:szCs w:val="21"/>
        </w:rPr>
        <w:t>供应商应当按照谈判文件的要求编制响应文件。响应文件应当对谈判文件提出的要求和条件作出明确响应。</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14.3</w:t>
      </w:r>
      <w:r>
        <w:rPr>
          <w:rFonts w:hint="eastAsia" w:cs="宋体" w:asciiTheme="minorEastAsia" w:hAnsiTheme="minorEastAsia"/>
          <w:color w:val="auto"/>
          <w:kern w:val="0"/>
          <w:szCs w:val="21"/>
        </w:rPr>
        <w:t>响应文件由资格证明材料、符合性证明材料、其它材料等组成。</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14.4</w:t>
      </w:r>
      <w:r>
        <w:rPr>
          <w:rFonts w:hint="eastAsia" w:cs="宋体" w:asciiTheme="minorEastAsia" w:hAnsiTheme="minorEastAsia"/>
          <w:color w:val="auto"/>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14.5</w:t>
      </w:r>
      <w:r>
        <w:rPr>
          <w:rFonts w:hint="eastAsia" w:cs="宋体" w:asciiTheme="minorEastAsia" w:hAnsiTheme="minorEastAsia"/>
          <w:color w:val="auto"/>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”的文件用于电子响应使用。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15.</w:t>
      </w:r>
      <w:r>
        <w:rPr>
          <w:rFonts w:hint="eastAsia" w:cs="宋体" w:asciiTheme="minorEastAsia" w:hAnsiTheme="minorEastAsia"/>
          <w:b/>
          <w:color w:val="auto"/>
          <w:kern w:val="0"/>
          <w:szCs w:val="21"/>
        </w:rPr>
        <w:t>响应文件格式</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15.1</w:t>
      </w:r>
      <w:r>
        <w:rPr>
          <w:rFonts w:hint="eastAsia" w:cs="宋体" w:asciiTheme="minorEastAsia" w:hAnsiTheme="minorEastAsia"/>
          <w:color w:val="auto"/>
          <w:kern w:val="0"/>
          <w:szCs w:val="21"/>
        </w:rPr>
        <w:t>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15.2</w:t>
      </w:r>
      <w:r>
        <w:rPr>
          <w:rFonts w:hint="eastAsia" w:cs="宋体" w:asciiTheme="minorEastAsia" w:hAnsiTheme="minorEastAsia"/>
          <w:color w:val="auto"/>
          <w:kern w:val="0"/>
          <w:szCs w:val="21"/>
        </w:rPr>
        <w:t>供应商应按谈判文件提供的格式编写响应文件。谈判文件未提供标准格式的供应商可自行拟定。</w:t>
      </w:r>
    </w:p>
    <w:p>
      <w:pPr>
        <w:pStyle w:val="54"/>
        <w:numPr>
          <w:ilvl w:val="0"/>
          <w:numId w:val="0"/>
        </w:num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16.</w:t>
      </w:r>
      <w:r>
        <w:rPr>
          <w:rFonts w:hint="eastAsia" w:cs="宋体" w:asciiTheme="minorEastAsia" w:hAnsiTheme="minorEastAsia"/>
          <w:b/>
          <w:color w:val="auto"/>
          <w:kern w:val="0"/>
          <w:szCs w:val="21"/>
        </w:rPr>
        <w:t>谈判保证金</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16.1</w:t>
      </w:r>
      <w:r>
        <w:rPr>
          <w:rFonts w:hint="eastAsia" w:cs="宋体" w:asciiTheme="minorEastAsia" w:hAnsiTheme="minorEastAsia"/>
          <w:color w:val="auto"/>
          <w:kern w:val="0"/>
          <w:szCs w:val="21"/>
        </w:rPr>
        <w:t>本项目不收取谈判保证金。</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16.2</w:t>
      </w:r>
      <w:r>
        <w:rPr>
          <w:rFonts w:hint="eastAsia" w:cs="宋体" w:asciiTheme="minorEastAsia" w:hAnsiTheme="minorEastAsia"/>
          <w:color w:val="auto"/>
          <w:kern w:val="0"/>
          <w:szCs w:val="21"/>
        </w:rPr>
        <w:t>供应商应提供谈判承诺函。</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17.</w:t>
      </w:r>
      <w:r>
        <w:rPr>
          <w:rFonts w:hint="eastAsia" w:cs="宋体" w:asciiTheme="minorEastAsia" w:hAnsiTheme="minorEastAsia"/>
          <w:b/>
          <w:color w:val="auto"/>
          <w:kern w:val="0"/>
          <w:szCs w:val="21"/>
        </w:rPr>
        <w:t>谈判文件的数量和签署盖章</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17.1</w:t>
      </w:r>
      <w:r>
        <w:rPr>
          <w:rFonts w:hint="eastAsia" w:cs="宋体" w:asciiTheme="minorEastAsia" w:hAnsiTheme="minorEastAsia"/>
          <w:color w:val="auto"/>
          <w:kern w:val="0"/>
          <w:szCs w:val="21"/>
        </w:rPr>
        <w:t>供应商应提交响应文件份数见“供应商须知前附表”。</w:t>
      </w:r>
    </w:p>
    <w:p>
      <w:pPr>
        <w:pStyle w:val="54"/>
        <w:numPr>
          <w:ilvl w:val="0"/>
          <w:numId w:val="0"/>
        </w:numPr>
        <w:autoSpaceDE w:val="0"/>
        <w:autoSpaceDN w:val="0"/>
        <w:spacing w:line="360" w:lineRule="auto"/>
        <w:ind w:leftChars="0"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lang w:val="en-US" w:eastAsia="zh-CN"/>
        </w:rPr>
        <w:t>17.2</w:t>
      </w:r>
      <w:r>
        <w:rPr>
          <w:rFonts w:hint="eastAsia" w:cs="宋体" w:asciiTheme="minorEastAsia" w:hAnsiTheme="minorEastAsia"/>
          <w:color w:val="auto"/>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18.</w:t>
      </w:r>
      <w:r>
        <w:rPr>
          <w:rFonts w:hint="eastAsia" w:cs="宋体" w:asciiTheme="minorEastAsia" w:hAnsiTheme="minorEastAsia"/>
          <w:b/>
          <w:color w:val="auto"/>
          <w:kern w:val="0"/>
          <w:szCs w:val="21"/>
        </w:rPr>
        <w:t>谈判响应截止时间</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18.1</w:t>
      </w:r>
      <w:r>
        <w:rPr>
          <w:rFonts w:hint="eastAsia" w:cs="宋体" w:asciiTheme="minorEastAsia" w:hAnsiTheme="minorEastAsia"/>
          <w:color w:val="auto"/>
          <w:kern w:val="0"/>
          <w:szCs w:val="21"/>
        </w:rPr>
        <w:t>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18.2</w:t>
      </w:r>
      <w:r>
        <w:rPr>
          <w:rFonts w:hint="eastAsia" w:cs="宋体" w:asciiTheme="minorEastAsia" w:hAnsiTheme="minorEastAsia"/>
          <w:color w:val="auto"/>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19.</w:t>
      </w:r>
      <w:r>
        <w:rPr>
          <w:rFonts w:hint="eastAsia" w:cs="宋体" w:asciiTheme="minorEastAsia" w:hAnsiTheme="minorEastAsia"/>
          <w:b/>
          <w:color w:val="auto"/>
          <w:kern w:val="0"/>
          <w:szCs w:val="21"/>
        </w:rPr>
        <w:t>迟交的响应文件</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谈判响应文件截止时间之后上传的响应文件，采购人、采购代理机构将将拒绝接收。</w:t>
      </w:r>
    </w:p>
    <w:p>
      <w:pPr>
        <w:pStyle w:val="54"/>
        <w:numPr>
          <w:ilvl w:val="0"/>
          <w:numId w:val="0"/>
        </w:num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20.</w:t>
      </w:r>
      <w:r>
        <w:rPr>
          <w:rFonts w:hint="eastAsia" w:cs="宋体" w:asciiTheme="minorEastAsia" w:hAnsiTheme="minorEastAsia"/>
          <w:b/>
          <w:color w:val="auto"/>
          <w:kern w:val="0"/>
          <w:szCs w:val="21"/>
        </w:rPr>
        <w:t>响应文件的修改和撤回</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20.1</w:t>
      </w:r>
      <w:r>
        <w:rPr>
          <w:rFonts w:hint="eastAsia" w:cs="宋体" w:asciiTheme="minorEastAsia" w:hAnsiTheme="minorEastAsia"/>
          <w:color w:val="auto"/>
          <w:kern w:val="0"/>
          <w:szCs w:val="21"/>
        </w:rPr>
        <w:t>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20.2</w:t>
      </w:r>
      <w:r>
        <w:rPr>
          <w:rFonts w:hint="eastAsia" w:cs="宋体" w:asciiTheme="minorEastAsia" w:hAnsiTheme="minorEastAsia"/>
          <w:color w:val="auto"/>
          <w:kern w:val="0"/>
          <w:szCs w:val="21"/>
        </w:rPr>
        <w:t>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20.3</w:t>
      </w:r>
      <w:r>
        <w:rPr>
          <w:rFonts w:hint="eastAsia" w:cs="宋体" w:asciiTheme="minorEastAsia" w:hAnsiTheme="minorEastAsia"/>
          <w:color w:val="auto"/>
          <w:kern w:val="0"/>
          <w:szCs w:val="21"/>
        </w:rPr>
        <w:t>供应商不得在响应有效期内撤销响应文件，否则供应商将承担违背响应承诺函的责任追究。</w:t>
      </w:r>
    </w:p>
    <w:p>
      <w:pPr>
        <w:pStyle w:val="54"/>
        <w:numPr>
          <w:ilvl w:val="0"/>
          <w:numId w:val="0"/>
        </w:numPr>
        <w:autoSpaceDE w:val="0"/>
        <w:autoSpaceDN w:val="0"/>
        <w:spacing w:line="360" w:lineRule="auto"/>
        <w:ind w:left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lang w:val="en-US" w:eastAsia="zh-CN"/>
        </w:rPr>
        <w:t>21.</w:t>
      </w:r>
      <w:r>
        <w:rPr>
          <w:rFonts w:hint="eastAsia" w:cs="宋体" w:asciiTheme="minorEastAsia" w:hAnsiTheme="minorEastAsia"/>
          <w:b/>
          <w:color w:val="auto"/>
          <w:kern w:val="0"/>
          <w:szCs w:val="21"/>
        </w:rPr>
        <w:t>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22.</w:t>
      </w:r>
      <w:r>
        <w:rPr>
          <w:rFonts w:hint="eastAsia" w:cs="宋体" w:asciiTheme="minorEastAsia" w:hAnsiTheme="minorEastAsia"/>
          <w:b/>
          <w:color w:val="auto"/>
          <w:kern w:val="0"/>
          <w:szCs w:val="21"/>
        </w:rPr>
        <w:t>响应文件解密</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22.1</w:t>
      </w:r>
      <w:r>
        <w:rPr>
          <w:rFonts w:hint="eastAsia" w:cs="宋体" w:asciiTheme="minorEastAsia" w:hAnsiTheme="minorEastAsia"/>
          <w:color w:val="auto"/>
          <w:kern w:val="0"/>
          <w:szCs w:val="21"/>
        </w:rPr>
        <w:t>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en-US" w:eastAsia="zh-CN"/>
        </w:rPr>
        <w:t>22.2</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22.2.1</w:t>
      </w:r>
      <w:r>
        <w:rPr>
          <w:rFonts w:hint="eastAsia" w:cs="宋体" w:asciiTheme="minorEastAsia" w:hAnsiTheme="minorEastAsia"/>
          <w:color w:val="auto"/>
          <w:kern w:val="0"/>
          <w:szCs w:val="21"/>
        </w:rPr>
        <w:t>电子响应文件的解密：全流程电子化交易项目电子响应文件采用双重加密。解密需分标段进行两次解密。</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22.2.2</w:t>
      </w:r>
      <w:r>
        <w:rPr>
          <w:rFonts w:hint="eastAsia" w:cs="宋体" w:asciiTheme="minorEastAsia" w:hAnsiTheme="minorEastAsia"/>
          <w:color w:val="auto"/>
          <w:kern w:val="0"/>
          <w:szCs w:val="21"/>
        </w:rPr>
        <w:t>供应商解密：供应商使用本单位CA数字证书进行远程解密。</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22.2.3</w:t>
      </w:r>
      <w:r>
        <w:rPr>
          <w:rFonts w:hint="eastAsia" w:cs="宋体" w:asciiTheme="minorEastAsia" w:hAnsiTheme="minorEastAsia"/>
          <w:color w:val="auto"/>
          <w:kern w:val="0"/>
          <w:szCs w:val="21"/>
        </w:rPr>
        <w:t>采购代理机构解密：</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asciiTheme="minorEastAsia" w:hAnsiTheme="minorEastAsia"/>
          <w:color w:val="auto"/>
          <w:szCs w:val="21"/>
          <w:lang w:val="en-US" w:eastAsia="zh-CN"/>
        </w:rPr>
        <w:t>22.2.4</w:t>
      </w:r>
      <w:r>
        <w:rPr>
          <w:rFonts w:hint="eastAsia" w:asciiTheme="minorEastAsia" w:hAnsiTheme="minorEastAsia"/>
          <w:color w:val="auto"/>
          <w:szCs w:val="21"/>
        </w:rPr>
        <w:t>供应商未在规定时间内解密或</w:t>
      </w:r>
      <w:r>
        <w:rPr>
          <w:rFonts w:hint="eastAsia" w:cs="宋体" w:asciiTheme="minorEastAsia" w:hAnsiTheme="minorEastAsia"/>
          <w:color w:val="auto"/>
          <w:kern w:val="0"/>
          <w:szCs w:val="21"/>
        </w:rPr>
        <w:t>因供应商原因解密失败的，其响应文件将被拒绝。</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22.3</w:t>
      </w:r>
      <w:r>
        <w:rPr>
          <w:rFonts w:hint="eastAsia" w:cs="宋体" w:asciiTheme="minorEastAsia" w:hAnsiTheme="minorEastAsia"/>
          <w:color w:val="auto"/>
          <w:kern w:val="0"/>
          <w:szCs w:val="21"/>
        </w:rPr>
        <w:t>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22.4</w:t>
      </w:r>
      <w:r>
        <w:rPr>
          <w:rFonts w:hint="eastAsia" w:cs="宋体" w:asciiTheme="minorEastAsia" w:hAnsiTheme="minorEastAsia"/>
          <w:color w:val="auto"/>
          <w:kern w:val="0"/>
          <w:szCs w:val="21"/>
        </w:rPr>
        <w:t>响应文件解密过程由采购代理机构负责记录。</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22.5</w:t>
      </w:r>
      <w:r>
        <w:rPr>
          <w:rFonts w:hint="eastAsia" w:cs="宋体" w:asciiTheme="minorEastAsia" w:hAnsiTheme="minorEastAsia"/>
          <w:color w:val="auto"/>
          <w:kern w:val="0"/>
          <w:szCs w:val="21"/>
        </w:rPr>
        <w:t>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asciiTheme="minorEastAsia" w:hAnsiTheme="minorEastAsia"/>
          <w:color w:val="auto"/>
          <w:szCs w:val="21"/>
          <w:lang w:val="en-US" w:eastAsia="zh-CN"/>
        </w:rPr>
        <w:t>22.6</w:t>
      </w:r>
      <w:r>
        <w:rPr>
          <w:rFonts w:hint="eastAsia" w:asciiTheme="minorEastAsia" w:hAnsiTheme="minorEastAsia"/>
          <w:color w:val="auto"/>
          <w:szCs w:val="21"/>
        </w:rPr>
        <w:t>响应文件</w:t>
      </w:r>
      <w:r>
        <w:rPr>
          <w:rFonts w:hint="eastAsia" w:hAnsi="宋体"/>
          <w:color w:val="auto"/>
          <w:szCs w:val="21"/>
        </w:rPr>
        <w:t>解密活动结束时，供应商应在《开标记录表》上进行电子签章。供应商未签章的，视同认可解密结果。</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23.</w:t>
      </w:r>
      <w:r>
        <w:rPr>
          <w:rFonts w:hint="eastAsia" w:cs="宋体" w:asciiTheme="minorEastAsia" w:hAnsiTheme="minorEastAsia"/>
          <w:b/>
          <w:color w:val="auto"/>
          <w:kern w:val="0"/>
          <w:szCs w:val="21"/>
        </w:rPr>
        <w:t>谈判小组组成</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23.1</w:t>
      </w:r>
      <w:r>
        <w:rPr>
          <w:rFonts w:hint="eastAsia" w:cs="宋体" w:asciiTheme="minorEastAsia" w:hAnsiTheme="minorEastAsia"/>
          <w:color w:val="auto"/>
          <w:kern w:val="0"/>
          <w:szCs w:val="21"/>
        </w:rPr>
        <w:t>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23.1.1</w:t>
      </w:r>
      <w:r>
        <w:rPr>
          <w:rFonts w:hint="eastAsia" w:cs="宋体" w:asciiTheme="minorEastAsia" w:hAnsiTheme="minorEastAsia"/>
          <w:color w:val="auto"/>
          <w:kern w:val="0"/>
          <w:szCs w:val="21"/>
        </w:rPr>
        <w:t>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23.1.2达到公开</w:t>
      </w:r>
      <w:r>
        <w:rPr>
          <w:rFonts w:ascii="ˎ̥" w:hAnsi="ˎ̥"/>
          <w:color w:val="auto"/>
        </w:rPr>
        <w:t>招标数额标准的货物或者服务采购项目，或者达到招标规模标准的政府采购工程，竞争性谈判小组应当由5人以上单数组成</w:t>
      </w:r>
      <w:r>
        <w:rPr>
          <w:rFonts w:hint="eastAsia" w:ascii="ˎ̥" w:hAnsi="ˎ̥"/>
          <w:color w:val="auto"/>
        </w:rPr>
        <w:t>。</w:t>
      </w:r>
    </w:p>
    <w:p>
      <w:pPr>
        <w:pStyle w:val="54"/>
        <w:numPr>
          <w:ilvl w:val="1"/>
          <w:numId w:val="4"/>
        </w:numPr>
        <w:autoSpaceDE w:val="0"/>
        <w:autoSpaceDN w:val="0"/>
        <w:spacing w:line="360" w:lineRule="auto"/>
        <w:ind w:firstLineChars="0"/>
        <w:contextualSpacing/>
        <w:rPr>
          <w:rFonts w:ascii="ˎ̥" w:hAnsi="ˎ̥"/>
          <w:vanish/>
          <w:color w:val="auto"/>
        </w:rPr>
      </w:pP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23.2采购人</w:t>
      </w:r>
      <w:r>
        <w:rPr>
          <w:rFonts w:ascii="ˎ̥" w:hAnsi="ˎ̥"/>
          <w:color w:val="auto"/>
        </w:rPr>
        <w:t>不得以评审专家身份参加本部门或本单位采购项目的评审</w:t>
      </w:r>
      <w:r>
        <w:rPr>
          <w:rFonts w:hint="eastAsia" w:cs="宋体" w:asciiTheme="minorEastAsia" w:hAnsiTheme="minorEastAsia"/>
          <w:color w:val="auto"/>
          <w:kern w:val="0"/>
          <w:szCs w:val="21"/>
        </w:rPr>
        <w:t>。</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23.3</w:t>
      </w:r>
      <w:r>
        <w:rPr>
          <w:rFonts w:hint="eastAsia" w:cs="宋体" w:asciiTheme="minorEastAsia" w:hAnsiTheme="minorEastAsia"/>
          <w:color w:val="auto"/>
          <w:kern w:val="0"/>
          <w:szCs w:val="21"/>
        </w:rPr>
        <w:t>谈判小组成员与供应商存在下列利害关系之一的,应当回避：</w:t>
      </w:r>
    </w:p>
    <w:p>
      <w:pPr>
        <w:pStyle w:val="54"/>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23.3.1参加采购活动前三年内,与供应商存在劳动关系,或者担任过供应商的董事、监事,或者是供应商的控股股东或实际控制人；</w:t>
      </w:r>
    </w:p>
    <w:p>
      <w:pPr>
        <w:pStyle w:val="54"/>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23.3.2与供应商的法定代表人或者负责人有夫妻、直系血亲、三代以内旁系血亲或者近姻亲关系；</w:t>
      </w:r>
    </w:p>
    <w:p>
      <w:pPr>
        <w:pStyle w:val="54"/>
        <w:numPr>
          <w:ilvl w:val="0"/>
          <w:numId w:val="0"/>
        </w:numPr>
        <w:autoSpaceDE w:val="0"/>
        <w:autoSpaceDN w:val="0"/>
        <w:spacing w:line="360" w:lineRule="auto"/>
        <w:ind w:leftChars="0" w:firstLine="420" w:firstLineChars="200"/>
        <w:contextualSpacing/>
        <w:rPr>
          <w:rFonts w:ascii="ˎ̥" w:hAnsi="ˎ̥"/>
          <w:color w:val="auto"/>
        </w:rPr>
      </w:pPr>
      <w:r>
        <w:rPr>
          <w:rFonts w:hint="eastAsia" w:cs="宋体" w:asciiTheme="minorEastAsia" w:hAnsiTheme="minorEastAsia"/>
          <w:color w:val="auto"/>
          <w:kern w:val="0"/>
          <w:szCs w:val="21"/>
          <w:lang w:val="en-US" w:eastAsia="zh-CN"/>
        </w:rPr>
        <w:t>23.3.3与供应</w:t>
      </w:r>
      <w:r>
        <w:rPr>
          <w:rFonts w:hint="eastAsia" w:ascii="ˎ̥" w:hAnsi="ˎ̥"/>
          <w:color w:val="auto"/>
        </w:rPr>
        <w:t>商有其他可能影响政府采购活动公平、公正进行的关系。</w:t>
      </w:r>
    </w:p>
    <w:p>
      <w:pPr>
        <w:pStyle w:val="54"/>
        <w:numPr>
          <w:ilvl w:val="0"/>
          <w:numId w:val="5"/>
        </w:numPr>
        <w:autoSpaceDE w:val="0"/>
        <w:autoSpaceDN w:val="0"/>
        <w:spacing w:line="360" w:lineRule="auto"/>
        <w:ind w:firstLineChars="0"/>
        <w:contextualSpacing/>
        <w:rPr>
          <w:rFonts w:cs="宋体" w:asciiTheme="minorEastAsia" w:hAnsiTheme="minorEastAsia"/>
          <w:vanish/>
          <w:color w:val="auto"/>
          <w:kern w:val="0"/>
          <w:szCs w:val="21"/>
        </w:rPr>
      </w:pP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23.4</w:t>
      </w:r>
      <w:r>
        <w:rPr>
          <w:rFonts w:hint="eastAsia" w:cs="宋体" w:asciiTheme="minorEastAsia" w:hAnsiTheme="minorEastAsia"/>
          <w:color w:val="auto"/>
          <w:kern w:val="0"/>
          <w:szCs w:val="21"/>
        </w:rPr>
        <w:t>评审专家发现本人与参加采购活动的供应商有利害关系的,应当主动提出回避。采购人或者采购代理机构发现评审专家与参加采购活动的供应商有利害关系的,应当要求其回避。</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23.5</w:t>
      </w:r>
      <w:r>
        <w:rPr>
          <w:rFonts w:hint="eastAsia" w:cs="宋体" w:asciiTheme="minorEastAsia" w:hAnsiTheme="minorEastAsia"/>
          <w:color w:val="auto"/>
          <w:kern w:val="0"/>
          <w:szCs w:val="21"/>
        </w:rPr>
        <w:t>采购人不得担任谈判小组组长。</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23.6</w:t>
      </w:r>
      <w:r>
        <w:rPr>
          <w:rFonts w:hint="eastAsia" w:cs="宋体" w:asciiTheme="minorEastAsia" w:hAnsiTheme="minorEastAsia"/>
          <w:color w:val="auto"/>
          <w:kern w:val="0"/>
          <w:szCs w:val="21"/>
        </w:rPr>
        <w:t>谈判小组成员名单在成交结果公告前应当保密。</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24.</w:t>
      </w:r>
      <w:r>
        <w:rPr>
          <w:rFonts w:hint="eastAsia" w:cs="宋体" w:asciiTheme="minorEastAsia" w:hAnsiTheme="minorEastAsia"/>
          <w:b/>
          <w:color w:val="auto"/>
          <w:kern w:val="0"/>
          <w:szCs w:val="21"/>
        </w:rPr>
        <w:t>资格审查和符合性审查</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24.1</w:t>
      </w:r>
      <w:r>
        <w:rPr>
          <w:rFonts w:hint="eastAsia" w:cs="宋体" w:asciiTheme="minorEastAsia" w:hAnsiTheme="minorEastAsia"/>
          <w:color w:val="auto"/>
          <w:kern w:val="0"/>
          <w:szCs w:val="21"/>
        </w:rPr>
        <w:t>资格审查：谈判小组依据有关法律法规和谈判文件的规定对供应商的资格进行审查。</w:t>
      </w:r>
    </w:p>
    <w:p>
      <w:pPr>
        <w:pStyle w:val="54"/>
        <w:autoSpaceDE w:val="0"/>
        <w:autoSpaceDN w:val="0"/>
        <w:spacing w:line="360" w:lineRule="auto"/>
        <w:ind w:left="964"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4"/>
        <w:numPr>
          <w:ilvl w:val="0"/>
          <w:numId w:val="6"/>
        </w:numPr>
        <w:autoSpaceDE w:val="0"/>
        <w:autoSpaceDN w:val="0"/>
        <w:spacing w:line="360" w:lineRule="auto"/>
        <w:ind w:firstLineChars="0"/>
        <w:contextualSpacing/>
        <w:rPr>
          <w:rFonts w:cs="宋体" w:asciiTheme="minorEastAsia" w:hAnsiTheme="minorEastAsia"/>
          <w:vanish/>
          <w:color w:val="auto"/>
          <w:kern w:val="0"/>
          <w:szCs w:val="21"/>
        </w:rPr>
      </w:pPr>
    </w:p>
    <w:p>
      <w:pPr>
        <w:pStyle w:val="54"/>
        <w:numPr>
          <w:ilvl w:val="0"/>
          <w:numId w:val="6"/>
        </w:numPr>
        <w:autoSpaceDE w:val="0"/>
        <w:autoSpaceDN w:val="0"/>
        <w:spacing w:line="360" w:lineRule="auto"/>
        <w:ind w:firstLineChars="0"/>
        <w:contextualSpacing/>
        <w:rPr>
          <w:rFonts w:cs="宋体" w:asciiTheme="minorEastAsia" w:hAnsiTheme="minorEastAsia"/>
          <w:vanish/>
          <w:color w:val="auto"/>
          <w:kern w:val="0"/>
          <w:szCs w:val="21"/>
        </w:rPr>
      </w:pPr>
    </w:p>
    <w:p>
      <w:pPr>
        <w:pStyle w:val="54"/>
        <w:numPr>
          <w:ilvl w:val="1"/>
          <w:numId w:val="6"/>
        </w:numPr>
        <w:autoSpaceDE w:val="0"/>
        <w:autoSpaceDN w:val="0"/>
        <w:spacing w:line="360" w:lineRule="auto"/>
        <w:ind w:firstLineChars="0"/>
        <w:contextualSpacing/>
        <w:rPr>
          <w:rFonts w:cs="宋体" w:asciiTheme="minorEastAsia" w:hAnsiTheme="minorEastAsia"/>
          <w:vanish/>
          <w:color w:val="auto"/>
          <w:kern w:val="0"/>
          <w:szCs w:val="21"/>
        </w:rPr>
      </w:pP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24.2</w:t>
      </w:r>
      <w:r>
        <w:rPr>
          <w:rFonts w:hint="eastAsia" w:cs="宋体" w:asciiTheme="minorEastAsia" w:hAnsiTheme="minorEastAsia"/>
          <w:color w:val="auto"/>
          <w:kern w:val="0"/>
          <w:szCs w:val="21"/>
        </w:rPr>
        <w:t>符合性审查：依据谈判文件的规定，从响应文件的有效性、完整性和对谈判文件的响应程度进行审查，以确定是否对谈判文件的全部实质性要求作出响应。</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25.</w:t>
      </w:r>
      <w:r>
        <w:rPr>
          <w:rFonts w:hint="eastAsia" w:cs="宋体" w:asciiTheme="minorEastAsia" w:hAnsiTheme="minorEastAsia"/>
          <w:b/>
          <w:color w:val="auto"/>
          <w:kern w:val="0"/>
          <w:szCs w:val="21"/>
        </w:rPr>
        <w:t>响应文件的澄清</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25.1谈判小</w:t>
      </w:r>
      <w:r>
        <w:rPr>
          <w:rFonts w:ascii="ˎ̥" w:hAnsi="ˎ̥"/>
          <w:color w:val="auto"/>
        </w:rPr>
        <w:t>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25.2</w:t>
      </w:r>
      <w:r>
        <w:rPr>
          <w:rFonts w:hint="eastAsia" w:cs="宋体" w:asciiTheme="minorEastAsia" w:hAnsiTheme="minorEastAsia"/>
          <w:color w:val="auto"/>
          <w:kern w:val="0"/>
          <w:szCs w:val="21"/>
        </w:rPr>
        <w:t>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25.3</w:t>
      </w:r>
      <w:r>
        <w:rPr>
          <w:rFonts w:hint="eastAsia" w:cs="宋体" w:asciiTheme="minorEastAsia" w:hAnsiTheme="minorEastAsia"/>
          <w:color w:val="auto"/>
          <w:kern w:val="0"/>
          <w:szCs w:val="21"/>
        </w:rPr>
        <w:t>供应商的澄清文件是其响应文件的组成部分。</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26.</w:t>
      </w:r>
      <w:r>
        <w:rPr>
          <w:rFonts w:hint="eastAsia" w:cs="宋体" w:asciiTheme="minorEastAsia" w:hAnsiTheme="minorEastAsia"/>
          <w:b/>
          <w:color w:val="auto"/>
          <w:kern w:val="0"/>
          <w:szCs w:val="21"/>
        </w:rPr>
        <w:t>响应文件报价出现前后不一致的修正</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26.1</w:t>
      </w:r>
      <w:r>
        <w:rPr>
          <w:rFonts w:hint="eastAsia" w:cs="宋体" w:asciiTheme="minorEastAsia" w:hAnsiTheme="minorEastAsia"/>
          <w:color w:val="auto"/>
          <w:kern w:val="0"/>
          <w:szCs w:val="21"/>
        </w:rPr>
        <w:t>大写金额和小写金额不一致的，以大写金额为准；</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26.2</w:t>
      </w:r>
      <w:r>
        <w:rPr>
          <w:rFonts w:hint="eastAsia" w:cs="宋体" w:asciiTheme="minorEastAsia" w:hAnsiTheme="minorEastAsia"/>
          <w:color w:val="auto"/>
          <w:kern w:val="0"/>
          <w:szCs w:val="21"/>
        </w:rPr>
        <w:t>单价金额小数点或者百分比有明显错位的，以开标一览表的总价为准，并修改单价；</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26.3</w:t>
      </w:r>
      <w:r>
        <w:rPr>
          <w:rFonts w:hint="eastAsia" w:cs="宋体" w:asciiTheme="minorEastAsia" w:hAnsiTheme="minorEastAsia"/>
          <w:color w:val="auto"/>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27.</w:t>
      </w:r>
      <w:r>
        <w:rPr>
          <w:rFonts w:hint="eastAsia" w:cs="宋体" w:asciiTheme="minorEastAsia" w:hAnsiTheme="minorEastAsia"/>
          <w:b/>
          <w:color w:val="auto"/>
          <w:kern w:val="0"/>
          <w:szCs w:val="21"/>
        </w:rPr>
        <w:t>响应无效情形</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w:t>
      </w:r>
      <w:r>
        <w:rPr>
          <w:rFonts w:hint="eastAsia" w:cs="宋体" w:asciiTheme="minorEastAsia" w:hAnsiTheme="minorEastAsia"/>
          <w:color w:val="auto"/>
          <w:kern w:val="0"/>
          <w:szCs w:val="21"/>
        </w:rPr>
        <w:t>响应文件属下列情况之一的，按照无效响应处理：</w:t>
      </w: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0"/>
        </w:numPr>
        <w:autoSpaceDE w:val="0"/>
        <w:autoSpaceDN w:val="0"/>
        <w:spacing w:line="360" w:lineRule="auto"/>
        <w:ind w:left="3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27.1.1</w:t>
      </w:r>
      <w:r>
        <w:rPr>
          <w:rFonts w:hint="eastAsia" w:cs="宋体" w:asciiTheme="minorEastAsia" w:hAnsiTheme="minorEastAsia"/>
          <w:color w:val="auto"/>
          <w:kern w:val="0"/>
          <w:szCs w:val="21"/>
        </w:rPr>
        <w:t>未按照谈判文件的规定提交谈判承诺函的；</w:t>
      </w:r>
    </w:p>
    <w:p>
      <w:pPr>
        <w:pStyle w:val="54"/>
        <w:numPr>
          <w:ilvl w:val="0"/>
          <w:numId w:val="0"/>
        </w:numPr>
        <w:autoSpaceDE w:val="0"/>
        <w:autoSpaceDN w:val="0"/>
        <w:spacing w:line="360" w:lineRule="auto"/>
        <w:ind w:left="3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27.1.2</w:t>
      </w:r>
      <w:r>
        <w:rPr>
          <w:rFonts w:hint="eastAsia" w:cs="宋体" w:asciiTheme="minorEastAsia" w:hAnsiTheme="minorEastAsia"/>
          <w:color w:val="auto"/>
          <w:kern w:val="0"/>
          <w:szCs w:val="21"/>
        </w:rPr>
        <w:t>响应文件未按谈判文件要求签署、盖章的；</w:t>
      </w:r>
    </w:p>
    <w:p>
      <w:pPr>
        <w:pStyle w:val="54"/>
        <w:numPr>
          <w:ilvl w:val="0"/>
          <w:numId w:val="0"/>
        </w:numPr>
        <w:autoSpaceDE w:val="0"/>
        <w:autoSpaceDN w:val="0"/>
        <w:spacing w:line="360" w:lineRule="auto"/>
        <w:ind w:left="3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27.1.3</w:t>
      </w:r>
      <w:r>
        <w:rPr>
          <w:rFonts w:hint="eastAsia" w:cs="宋体" w:asciiTheme="minorEastAsia" w:hAnsiTheme="minorEastAsia"/>
          <w:color w:val="auto"/>
          <w:kern w:val="0"/>
          <w:szCs w:val="21"/>
        </w:rPr>
        <w:t>不具备谈判文件中规定的资格要求的；</w:t>
      </w:r>
    </w:p>
    <w:p>
      <w:pPr>
        <w:pStyle w:val="54"/>
        <w:numPr>
          <w:ilvl w:val="0"/>
          <w:numId w:val="0"/>
        </w:numPr>
        <w:autoSpaceDE w:val="0"/>
        <w:autoSpaceDN w:val="0"/>
        <w:spacing w:line="360" w:lineRule="auto"/>
        <w:ind w:left="3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27.1.4</w:t>
      </w:r>
      <w:r>
        <w:rPr>
          <w:rFonts w:hint="eastAsia" w:cs="宋体" w:asciiTheme="minorEastAsia" w:hAnsiTheme="minorEastAsia"/>
          <w:color w:val="auto"/>
          <w:kern w:val="0"/>
          <w:szCs w:val="21"/>
        </w:rPr>
        <w:t>报价超过谈判文件中规定的预算金额的；</w:t>
      </w:r>
    </w:p>
    <w:p>
      <w:pPr>
        <w:pStyle w:val="54"/>
        <w:numPr>
          <w:ilvl w:val="0"/>
          <w:numId w:val="0"/>
        </w:numPr>
        <w:autoSpaceDE w:val="0"/>
        <w:autoSpaceDN w:val="0"/>
        <w:spacing w:line="360" w:lineRule="auto"/>
        <w:ind w:left="3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27.1.5</w:t>
      </w:r>
      <w:r>
        <w:rPr>
          <w:rFonts w:hint="eastAsia" w:cs="宋体" w:asciiTheme="minorEastAsia" w:hAnsiTheme="minorEastAsia"/>
          <w:color w:val="auto"/>
          <w:kern w:val="0"/>
          <w:szCs w:val="21"/>
        </w:rPr>
        <w:t>投标文件内容模糊清，无法辨认的；</w:t>
      </w:r>
    </w:p>
    <w:p>
      <w:pPr>
        <w:pStyle w:val="54"/>
        <w:numPr>
          <w:ilvl w:val="0"/>
          <w:numId w:val="0"/>
        </w:numPr>
        <w:autoSpaceDE w:val="0"/>
        <w:autoSpaceDN w:val="0"/>
        <w:spacing w:line="360" w:lineRule="auto"/>
        <w:ind w:left="3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27.1.6</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27.2</w:t>
      </w:r>
      <w:r>
        <w:rPr>
          <w:rFonts w:hint="eastAsia" w:cs="宋体" w:asciiTheme="minorEastAsia" w:hAnsiTheme="minorEastAsia"/>
          <w:color w:val="auto"/>
          <w:kern w:val="0"/>
          <w:szCs w:val="21"/>
        </w:rPr>
        <w:t>有下列情形之一的，视为供应商串通谈判，其响应无效：</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27.2.1</w:t>
      </w:r>
      <w:r>
        <w:rPr>
          <w:rFonts w:hint="eastAsia" w:cs="宋体" w:asciiTheme="minorEastAsia" w:hAnsiTheme="minorEastAsia"/>
          <w:color w:val="auto"/>
          <w:kern w:val="0"/>
          <w:szCs w:val="21"/>
        </w:rPr>
        <w:t>不同供应商的响应文件由同一单位或者个人编制；</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27.2.2</w:t>
      </w:r>
      <w:r>
        <w:rPr>
          <w:rFonts w:hint="eastAsia" w:cs="宋体" w:asciiTheme="minorEastAsia" w:hAnsiTheme="minorEastAsia"/>
          <w:color w:val="auto"/>
          <w:kern w:val="0"/>
          <w:szCs w:val="21"/>
        </w:rPr>
        <w:t>不同供应商委托同一单位或者个人办理响应事宜；</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27.2.3</w:t>
      </w:r>
      <w:r>
        <w:rPr>
          <w:rFonts w:hint="eastAsia" w:cs="宋体" w:asciiTheme="minorEastAsia" w:hAnsiTheme="minorEastAsia"/>
          <w:color w:val="auto"/>
          <w:kern w:val="0"/>
          <w:szCs w:val="21"/>
        </w:rPr>
        <w:t>不同供应商的响应文件载明的项目管理成员或者联系人员为同一人；</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27.2.4</w:t>
      </w:r>
      <w:r>
        <w:rPr>
          <w:rFonts w:hint="eastAsia" w:cs="宋体" w:asciiTheme="minorEastAsia" w:hAnsiTheme="minorEastAsia"/>
          <w:color w:val="auto"/>
          <w:kern w:val="0"/>
          <w:szCs w:val="21"/>
        </w:rPr>
        <w:t>不同供应商的响应文件异常一致或者投标报价呈规律性差异；</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27.2.5</w:t>
      </w:r>
      <w:r>
        <w:rPr>
          <w:rFonts w:hint="eastAsia" w:cs="宋体" w:asciiTheme="minorEastAsia" w:hAnsiTheme="minorEastAsia"/>
          <w:color w:val="auto"/>
          <w:kern w:val="0"/>
          <w:szCs w:val="21"/>
        </w:rPr>
        <w:t>不同供应商的响应文件相互混装。</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27.3</w:t>
      </w:r>
      <w:r>
        <w:rPr>
          <w:rFonts w:hint="eastAsia" w:cs="宋体" w:asciiTheme="minorEastAsia" w:hAnsiTheme="minorEastAsia"/>
          <w:color w:val="auto"/>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28.</w:t>
      </w:r>
      <w:r>
        <w:rPr>
          <w:rFonts w:hint="eastAsia" w:cs="宋体" w:asciiTheme="minorEastAsia" w:hAnsiTheme="minorEastAsia"/>
          <w:b/>
          <w:color w:val="auto"/>
          <w:kern w:val="0"/>
          <w:szCs w:val="21"/>
        </w:rPr>
        <w:t>响应文件评审与谈判</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4"/>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28.2谈判小组所有成员应当集中与单一供应商分别进行谈判，并给予所有参加谈判的供应商平等的谈判机会。</w:t>
      </w:r>
    </w:p>
    <w:p>
      <w:pPr>
        <w:pStyle w:val="54"/>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28.3在谈判中，谈判的任何一方不得透露与谈判有关的其他供应商的技术资料、价格和其他信息。</w:t>
      </w:r>
    </w:p>
    <w:p>
      <w:pPr>
        <w:pStyle w:val="54"/>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4"/>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4"/>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w:t>
      </w:r>
    </w:p>
    <w:p>
      <w:pPr>
        <w:pStyle w:val="54"/>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4"/>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28.7最后报价是供应商响应文件的有效组成部分。</w:t>
      </w:r>
    </w:p>
    <w:p>
      <w:pPr>
        <w:pStyle w:val="54"/>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28.8已提交响应文件的供应商，在提交最后报价之前，可以根据谈判情况退出谈判。</w:t>
      </w:r>
    </w:p>
    <w:p>
      <w:pPr>
        <w:pStyle w:val="54"/>
        <w:numPr>
          <w:ilvl w:val="0"/>
          <w:numId w:val="0"/>
        </w:numPr>
        <w:autoSpaceDE w:val="0"/>
        <w:autoSpaceDN w:val="0"/>
        <w:spacing w:line="360" w:lineRule="auto"/>
        <w:ind w:leftChars="0" w:firstLine="420" w:firstLineChars="200"/>
        <w:contextualSpacing/>
        <w:rPr>
          <w:rFonts w:ascii="ˎ̥" w:hAnsi="ˎ̥"/>
          <w:color w:val="auto"/>
        </w:rPr>
      </w:pPr>
      <w:r>
        <w:rPr>
          <w:rFonts w:hint="eastAsia" w:cs="宋体" w:asciiTheme="minorEastAsia" w:hAnsiTheme="minorEastAsia"/>
          <w:color w:val="auto"/>
          <w:kern w:val="0"/>
          <w:szCs w:val="21"/>
          <w:lang w:val="en-US" w:eastAsia="zh-CN"/>
        </w:rPr>
        <w:t>28.9按照《</w:t>
      </w:r>
      <w:r>
        <w:rPr>
          <w:rFonts w:hint="eastAsia" w:ascii="ˎ̥" w:hAnsi="ˎ̥"/>
          <w:color w:val="auto"/>
        </w:rPr>
        <w:t>关于推进全流程电子化交易和在线监管工作有关问题的通知》（许公管办[2019]3号）规定，评审专家应严格按照要求查看“硬件特征码相” 关信息并进行评审。</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29.</w:t>
      </w:r>
      <w:r>
        <w:rPr>
          <w:rFonts w:hint="eastAsia" w:cs="宋体" w:asciiTheme="minorEastAsia" w:hAnsiTheme="minorEastAsia"/>
          <w:b/>
          <w:color w:val="auto"/>
          <w:kern w:val="0"/>
          <w:szCs w:val="21"/>
        </w:rPr>
        <w:t>评审方法与提出成交候选人</w:t>
      </w:r>
    </w:p>
    <w:p>
      <w:pPr>
        <w:pStyle w:val="54"/>
        <w:autoSpaceDE w:val="0"/>
        <w:autoSpaceDN w:val="0"/>
        <w:spacing w:line="360" w:lineRule="auto"/>
        <w:contextualSpacing/>
        <w:rPr>
          <w:rFonts w:cs="宋体" w:asciiTheme="minorEastAsia" w:hAnsiTheme="minorEastAsia"/>
          <w:b/>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30.</w:t>
      </w:r>
      <w:r>
        <w:rPr>
          <w:rFonts w:hint="eastAsia" w:cs="宋体" w:asciiTheme="minorEastAsia" w:hAnsiTheme="minorEastAsia"/>
          <w:b/>
          <w:color w:val="auto"/>
          <w:kern w:val="0"/>
          <w:szCs w:val="21"/>
        </w:rPr>
        <w:t>确定成交供应商</w:t>
      </w:r>
    </w:p>
    <w:p>
      <w:pPr>
        <w:pStyle w:val="54"/>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30.1采购人应当在收到评审报告后5个工作日内，从评审报告提出的成交候选人中，根据质量和服务均能满足采购文件实质性响应要求且最后报价最低的原则确定成交供应商。</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30.2采购人</w:t>
      </w:r>
      <w:r>
        <w:rPr>
          <w:rFonts w:ascii="ˎ̥" w:hAnsi="ˎ̥"/>
          <w:color w:val="auto"/>
        </w:rPr>
        <w:t>逾期未确定成交供应商且不提出异议的，视为确定评审报告提出的最后报价最低的供应商为成交供应商</w:t>
      </w:r>
      <w:r>
        <w:rPr>
          <w:rFonts w:hint="eastAsia" w:ascii="ˎ̥" w:hAnsi="ˎ̥"/>
          <w:color w:val="auto"/>
        </w:rPr>
        <w:t>。</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31.</w:t>
      </w:r>
      <w:r>
        <w:rPr>
          <w:rFonts w:hint="eastAsia" w:cs="宋体" w:asciiTheme="minorEastAsia" w:hAnsiTheme="minorEastAsia"/>
          <w:b/>
          <w:color w:val="auto"/>
          <w:kern w:val="0"/>
          <w:szCs w:val="21"/>
        </w:rPr>
        <w:t>终止采购活动的情形</w:t>
      </w:r>
    </w:p>
    <w:p>
      <w:pPr>
        <w:pStyle w:val="54"/>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4"/>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4"/>
        <w:numPr>
          <w:ilvl w:val="0"/>
          <w:numId w:val="0"/>
        </w:numPr>
        <w:autoSpaceDE w:val="0"/>
        <w:autoSpaceDN w:val="0"/>
        <w:spacing w:line="360" w:lineRule="auto"/>
        <w:ind w:leftChars="0" w:firstLine="420" w:firstLineChars="200"/>
        <w:contextualSpacing/>
        <w:rPr>
          <w:rFonts w:asciiTheme="minorEastAsia" w:hAnsiTheme="minorEastAsia"/>
          <w:color w:val="auto"/>
        </w:rPr>
      </w:pPr>
      <w:r>
        <w:rPr>
          <w:rFonts w:hint="eastAsia" w:asciiTheme="minorEastAsia" w:hAnsiTheme="minorEastAsia"/>
          <w:color w:val="auto"/>
          <w:lang w:val="en-US" w:eastAsia="zh-CN"/>
        </w:rPr>
        <w:t>31.1</w:t>
      </w:r>
      <w:r>
        <w:rPr>
          <w:rFonts w:asciiTheme="minorEastAsia" w:hAnsiTheme="minorEastAsia"/>
          <w:color w:val="auto"/>
        </w:rPr>
        <w:t>因情况变化，不再符合规定的竞争性谈判采购方式适用情形的；</w:t>
      </w:r>
    </w:p>
    <w:p>
      <w:pPr>
        <w:pStyle w:val="54"/>
        <w:numPr>
          <w:ilvl w:val="0"/>
          <w:numId w:val="0"/>
        </w:numPr>
        <w:autoSpaceDE w:val="0"/>
        <w:autoSpaceDN w:val="0"/>
        <w:spacing w:line="360" w:lineRule="auto"/>
        <w:ind w:leftChars="0" w:firstLine="420" w:firstLineChars="200"/>
        <w:contextualSpacing/>
        <w:rPr>
          <w:rFonts w:asciiTheme="minorEastAsia" w:hAnsiTheme="minorEastAsia"/>
          <w:color w:val="auto"/>
        </w:rPr>
      </w:pPr>
      <w:r>
        <w:rPr>
          <w:rFonts w:hint="eastAsia" w:asciiTheme="minorEastAsia" w:hAnsiTheme="minorEastAsia"/>
          <w:color w:val="auto"/>
          <w:lang w:val="en-US" w:eastAsia="zh-CN"/>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4"/>
        <w:numPr>
          <w:ilvl w:val="0"/>
          <w:numId w:val="0"/>
        </w:numPr>
        <w:autoSpaceDE w:val="0"/>
        <w:autoSpaceDN w:val="0"/>
        <w:spacing w:line="360" w:lineRule="auto"/>
        <w:ind w:firstLine="420" w:firstLineChars="200"/>
        <w:contextualSpacing/>
        <w:rPr>
          <w:rFonts w:ascii="ˎ̥" w:hAnsi="ˎ̥"/>
          <w:color w:val="auto"/>
        </w:rPr>
      </w:pPr>
      <w:r>
        <w:rPr>
          <w:rFonts w:hint="eastAsia" w:asciiTheme="minorEastAsia" w:hAnsiTheme="minorEastAsia"/>
          <w:color w:val="auto"/>
          <w:lang w:val="en-US" w:eastAsia="zh-CN"/>
        </w:rPr>
        <w:t>31.3</w:t>
      </w:r>
      <w:r>
        <w:rPr>
          <w:rFonts w:hint="eastAsia" w:asciiTheme="minorEastAsia" w:hAnsiTheme="minorEastAsia"/>
          <w:color w:val="auto"/>
        </w:rPr>
        <w:t>在采购过程中符合竞争要求的供应商或者报价未超过采购预算的供应商不足3家的，但《政府采购非招标采购方式管理办法》第二十七条第二款规定的情形除外。</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32.</w:t>
      </w:r>
      <w:r>
        <w:rPr>
          <w:rFonts w:hint="eastAsia" w:cs="宋体" w:asciiTheme="minorEastAsia" w:hAnsiTheme="minorEastAsia"/>
          <w:b/>
          <w:color w:val="auto"/>
          <w:kern w:val="0"/>
          <w:szCs w:val="21"/>
        </w:rPr>
        <w:t>成交公告、发出成交通知书</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32.1</w:t>
      </w:r>
      <w:r>
        <w:rPr>
          <w:rFonts w:hint="eastAsia" w:cs="宋体" w:asciiTheme="minorEastAsia" w:hAnsiTheme="minorEastAsia"/>
          <w:color w:val="auto"/>
          <w:kern w:val="0"/>
          <w:szCs w:val="21"/>
        </w:rPr>
        <w:t>采购人确认成交供应商后，采购人在公告成交结果的同时，向成交供应商发出成交通知书。</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32.2</w:t>
      </w:r>
      <w:r>
        <w:rPr>
          <w:rFonts w:hint="eastAsia" w:cs="宋体" w:asciiTheme="minorEastAsia" w:hAnsiTheme="minorEastAsia"/>
          <w:color w:val="auto"/>
          <w:kern w:val="0"/>
          <w:szCs w:val="21"/>
        </w:rPr>
        <w:t>成交通知书发出后，采购人不得违法改变成交结果，成交供应商无正当理由不得放弃成交。</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32.3</w:t>
      </w:r>
      <w:r>
        <w:rPr>
          <w:rFonts w:hint="eastAsia" w:cs="宋体" w:asciiTheme="minorEastAsia" w:hAnsiTheme="minorEastAsia"/>
          <w:color w:val="auto"/>
          <w:kern w:val="0"/>
          <w:szCs w:val="21"/>
        </w:rPr>
        <w:t>成交供应商在接到成交通知时，须向采购代理机构发送谈判报价及分项报价一览表（包含主要成交标的的名称、规格型号、数量、单价、服务要求等）电子文档，并同时电话告知采购代理机构联系人。</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33.</w:t>
      </w:r>
      <w:r>
        <w:rPr>
          <w:rFonts w:hint="eastAsia" w:cs="宋体" w:asciiTheme="minorEastAsia" w:hAnsiTheme="minorEastAsia"/>
          <w:b/>
          <w:color w:val="auto"/>
          <w:kern w:val="0"/>
          <w:szCs w:val="21"/>
        </w:rPr>
        <w:t>质疑提出与答复</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33.1</w:t>
      </w:r>
      <w:r>
        <w:rPr>
          <w:rFonts w:hint="eastAsia" w:cs="宋体" w:asciiTheme="minorEastAsia" w:hAnsiTheme="minorEastAsia"/>
          <w:color w:val="auto"/>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33.1.1</w:t>
      </w:r>
      <w:r>
        <w:rPr>
          <w:rFonts w:hint="eastAsia" w:cs="宋体" w:asciiTheme="minorEastAsia" w:hAnsiTheme="minorEastAsia"/>
          <w:color w:val="auto"/>
          <w:kern w:val="0"/>
          <w:szCs w:val="21"/>
        </w:rPr>
        <w:t>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33.1.2</w:t>
      </w:r>
      <w:r>
        <w:rPr>
          <w:rFonts w:hint="eastAsia" w:cs="宋体" w:asciiTheme="minorEastAsia" w:hAnsiTheme="minorEastAsia"/>
          <w:color w:val="auto"/>
          <w:kern w:val="0"/>
          <w:szCs w:val="21"/>
        </w:rPr>
        <w:t>对采购过程提出质疑的，为各采购程序环节结束之日起七个工作日内，以书面形式向采购人和采购代理机构一次性提出；</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33.1.3</w:t>
      </w:r>
      <w:r>
        <w:rPr>
          <w:rFonts w:hint="eastAsia" w:cs="宋体" w:asciiTheme="minorEastAsia" w:hAnsiTheme="minorEastAsia"/>
          <w:color w:val="auto"/>
          <w:kern w:val="0"/>
          <w:szCs w:val="21"/>
        </w:rPr>
        <w:t>对成交结果提出质疑的，为成交结果公告期限届满之日起七个工作日内，以书面形式向采购人和采购代理机构一次性提出。</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34.</w:t>
      </w:r>
      <w:r>
        <w:rPr>
          <w:rFonts w:hint="eastAsia" w:cs="宋体" w:asciiTheme="minorEastAsia" w:hAnsiTheme="minorEastAsia"/>
          <w:b/>
          <w:color w:val="auto"/>
          <w:kern w:val="0"/>
          <w:szCs w:val="21"/>
        </w:rPr>
        <w:t>签订合同</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4"/>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4"/>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35.</w:t>
      </w:r>
      <w:r>
        <w:rPr>
          <w:rFonts w:hint="eastAsia" w:cs="宋体" w:asciiTheme="minorEastAsia" w:hAnsiTheme="minorEastAsia"/>
          <w:b/>
          <w:color w:val="auto"/>
          <w:kern w:val="0"/>
          <w:szCs w:val="21"/>
        </w:rPr>
        <w:t>履约保证金</w:t>
      </w:r>
    </w:p>
    <w:p>
      <w:pPr>
        <w:autoSpaceDE w:val="0"/>
        <w:autoSpaceDN w:val="0"/>
        <w:spacing w:line="360" w:lineRule="auto"/>
        <w:ind w:firstLine="420" w:firstLineChars="200"/>
        <w:contextualSpacing/>
        <w:rPr>
          <w:color w:val="auto"/>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4"/>
        <w:numPr>
          <w:ilvl w:val="0"/>
          <w:numId w:val="0"/>
        </w:numPr>
        <w:autoSpaceDE w:val="0"/>
        <w:autoSpaceDN w:val="0"/>
        <w:spacing w:line="360" w:lineRule="auto"/>
        <w:ind w:left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lang w:val="en-US" w:eastAsia="zh-CN"/>
        </w:rPr>
        <w:t>36.</w:t>
      </w:r>
      <w:r>
        <w:rPr>
          <w:rFonts w:hint="eastAsia" w:cs="宋体" w:asciiTheme="minorEastAsia" w:hAnsiTheme="minorEastAsia"/>
          <w:b/>
          <w:color w:val="auto"/>
          <w:kern w:val="0"/>
          <w:szCs w:val="21"/>
        </w:rPr>
        <w:t>政府采购合同融资</w:t>
      </w:r>
    </w:p>
    <w:p>
      <w:pPr>
        <w:pStyle w:val="54"/>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w:t>
      </w:r>
      <w:r>
        <w:rPr>
          <w:rFonts w:hint="eastAsia" w:cs="宋体" w:asciiTheme="minorEastAsia" w:hAnsiTheme="minorEastAsia"/>
          <w:color w:val="auto"/>
          <w:kern w:val="0"/>
          <w:szCs w:val="21"/>
          <w:lang w:val="en-US" w:eastAsia="zh-CN"/>
        </w:rPr>
        <w:t xml:space="preserve">  36.1</w:t>
      </w: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36.2</w:t>
      </w:r>
      <w:r>
        <w:rPr>
          <w:rFonts w:hint="eastAsia" w:cs="宋体" w:asciiTheme="minorEastAsia" w:hAnsiTheme="minorEastAsia"/>
          <w:color w:val="auto"/>
          <w:kern w:val="0"/>
          <w:szCs w:val="21"/>
        </w:rPr>
        <w:t>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0374-7313551  18937425515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地址：禹州市禹王大道与府东路交叉口</w:t>
      </w:r>
    </w:p>
    <w:p>
      <w:pPr>
        <w:autoSpaceDE w:val="0"/>
        <w:autoSpaceDN w:val="0"/>
        <w:spacing w:line="360" w:lineRule="auto"/>
        <w:ind w:left="964"/>
        <w:contextualSpacing/>
        <w:rPr>
          <w:color w:val="auto"/>
        </w:rPr>
      </w:pPr>
    </w:p>
    <w:p>
      <w:pPr>
        <w:rPr>
          <w:color w:val="auto"/>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pStyle w:val="33"/>
        <w:rPr>
          <w:color w:val="auto"/>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对响应文件审查与评审</w:t>
      </w:r>
    </w:p>
    <w:p>
      <w:pPr>
        <w:pStyle w:val="17"/>
        <w:spacing w:line="360" w:lineRule="auto"/>
        <w:contextualSpacing/>
        <w:rPr>
          <w:rFonts w:cs="仿宋_GB2312" w:asciiTheme="minorEastAsia" w:hAnsiTheme="minorEastAsia"/>
          <w:color w:val="auto"/>
          <w:lang w:val="zh-CN"/>
        </w:rPr>
      </w:pPr>
    </w:p>
    <w:p>
      <w:pPr>
        <w:pStyle w:val="17"/>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80" w:firstLineChars="200"/>
        <w:contextualSpacing/>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（2）资格审查中所涉及到的证书及材料，均须在电子投标文件中提供原件扫描件（或图片）。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3</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①2019年度或2020年度经审计的财务报告，包括资产负债表、利润表、现金流量表、所有者权益变动表及其附注；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①2019年度或2020年度经审计的财务报告，包括资产负债表、利润表、现金流量表、所有者权益变动表及其附注；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依法缴纳税收相关材料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供应商提供参加本次政府采购项目</w:t>
            </w:r>
            <w:r>
              <w:rPr>
                <w:rFonts w:hint="eastAsia" w:asciiTheme="minorEastAsia" w:hAnsiTheme="minorEastAsia"/>
                <w:bCs/>
                <w:color w:val="auto"/>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依法缴纳社会保障资金的证明材料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供应商提供参加本次政府采购项目</w:t>
            </w:r>
            <w:r>
              <w:rPr>
                <w:rFonts w:hint="eastAsia" w:asciiTheme="minorEastAsia" w:hAnsiTheme="minorEastAsia"/>
                <w:bCs/>
                <w:color w:val="auto"/>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6</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履行合同所必须的设备和专业技术能力的证明材料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①与本项目响应相关设备的购置发票、专业技术人员职称证书、用工合同等；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7</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color w:val="auto"/>
                <w:szCs w:val="21"/>
              </w:rPr>
            </w:pPr>
            <w:r>
              <w:rPr>
                <w:rFonts w:hint="eastAsia" w:ascii="宋体" w:hAnsi="宋体" w:cs="微软雅黑"/>
                <w:bCs/>
                <w:color w:val="auto"/>
                <w:szCs w:val="21"/>
              </w:rPr>
              <w:t>如无重大违法记录请按照谈判文件提供格式填写。</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8</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信用记录查询及使用</w:t>
            </w:r>
          </w:p>
        </w:tc>
        <w:tc>
          <w:tcPr>
            <w:tcW w:w="5954" w:type="dxa"/>
          </w:tcPr>
          <w:p>
            <w:pPr>
              <w:wordWrap w:val="0"/>
              <w:spacing w:line="360" w:lineRule="auto"/>
              <w:rPr>
                <w:rFonts w:asciiTheme="minorEastAsia" w:hAnsiTheme="minorEastAsia"/>
                <w:bCs/>
                <w:color w:val="auto"/>
                <w:szCs w:val="21"/>
              </w:rPr>
            </w:pPr>
            <w:r>
              <w:rPr>
                <w:rFonts w:hint="eastAsia" w:asciiTheme="minorEastAsia" w:hAnsiTheme="minorEastAsia"/>
                <w:bCs/>
                <w:color w:val="auto"/>
                <w:szCs w:val="21"/>
              </w:rPr>
              <w:t>政府采购活动中查询及使用供应商信用记录的具体要求为：供应商未被列入</w:t>
            </w:r>
            <w:r>
              <w:rPr>
                <w:rFonts w:asciiTheme="minorEastAsia" w:hAnsiTheme="minorEastAsia"/>
                <w:bCs/>
                <w:color w:val="auto"/>
                <w:szCs w:val="21"/>
              </w:rPr>
              <w:t>“信用中国”网站</w:t>
            </w:r>
            <w:r>
              <w:rPr>
                <w:rFonts w:hint="eastAsia" w:asciiTheme="minorEastAsia" w:hAnsiTheme="minorEastAsia"/>
                <w:bCs/>
                <w:color w:val="auto"/>
                <w:szCs w:val="21"/>
              </w:rPr>
              <w:t>失信被执行人、重大税收违法案件当事人名单、 “</w:t>
            </w:r>
            <w:r>
              <w:rPr>
                <w:rFonts w:asciiTheme="minorEastAsia" w:hAnsiTheme="minorEastAsia"/>
                <w:bCs/>
                <w:color w:val="auto"/>
                <w:szCs w:val="21"/>
              </w:rPr>
              <w:t>中国政府采购网</w:t>
            </w:r>
            <w:r>
              <w:rPr>
                <w:rFonts w:hint="eastAsia" w:asciiTheme="minorEastAsia" w:hAnsiTheme="minorEastAsia"/>
                <w:bCs/>
                <w:color w:val="auto"/>
                <w:szCs w:val="21"/>
              </w:rPr>
              <w:t>”政府采购严重违法失信行为记录名单、</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）严重违法失信社会组织名单的供应商</w:t>
            </w:r>
            <w:r>
              <w:rPr>
                <w:rFonts w:hint="eastAsia" w:cs="仿宋_GB2312" w:asciiTheme="minorEastAsia" w:hAnsiTheme="minorEastAsia"/>
                <w:b/>
                <w:color w:val="auto"/>
                <w:szCs w:val="21"/>
              </w:rPr>
              <w:t>；</w:t>
            </w:r>
            <w:r>
              <w:rPr>
                <w:rFonts w:hint="eastAsia" w:asciiTheme="minorEastAsia" w:hAnsiTheme="minorEastAsia"/>
                <w:bCs/>
                <w:color w:val="auto"/>
                <w:szCs w:val="21"/>
              </w:rPr>
              <w:t>（联合体形式投标的，联合体成员存在不良信用记录，视同联合体存在不良信用记录）。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32"/>
                <w:rFonts w:hint="eastAsia" w:asciiTheme="minorEastAsia" w:hAnsiTheme="minorEastAsia"/>
                <w:color w:val="auto"/>
                <w:szCs w:val="21"/>
              </w:rPr>
              <w:t>www.creditchina.gov.cn</w:t>
            </w:r>
            <w:r>
              <w:rPr>
                <w:rStyle w:val="32"/>
                <w:rFonts w:hint="eastAsia" w:asciiTheme="minorEastAsia" w:hAnsiTheme="minorEastAsia"/>
                <w:color w:val="auto"/>
                <w:szCs w:val="21"/>
              </w:rPr>
              <w:fldChar w:fldCharType="end"/>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）（仅查询社会组织）</w:t>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w:t>
            </w:r>
            <w:r>
              <w:rPr>
                <w:rFonts w:hint="eastAsia" w:cs="宋体" w:asciiTheme="minorEastAsia" w:hAnsiTheme="minorEastAsia"/>
                <w:color w:val="auto"/>
                <w:kern w:val="0"/>
                <w:szCs w:val="21"/>
              </w:rPr>
              <w:t>谈判小组</w:t>
            </w:r>
            <w:r>
              <w:rPr>
                <w:rFonts w:hint="eastAsia" w:asciiTheme="minorEastAsia" w:hAnsiTheme="minorEastAsia"/>
                <w:bCs/>
                <w:color w:val="auto"/>
                <w:szCs w:val="21"/>
              </w:rPr>
              <w:t>确认的查询结果网页截图作为查询记录和证据，与其他采购文件一并保存；</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（4）信用信息的使用原则：经</w:t>
            </w:r>
            <w:r>
              <w:rPr>
                <w:rFonts w:hint="eastAsia" w:cs="宋体" w:asciiTheme="minorEastAsia" w:hAnsiTheme="minorEastAsia"/>
                <w:color w:val="auto"/>
                <w:kern w:val="0"/>
                <w:szCs w:val="21"/>
              </w:rPr>
              <w:t>谈判小组</w:t>
            </w:r>
            <w:r>
              <w:rPr>
                <w:rFonts w:hint="eastAsia" w:asciiTheme="minorEastAsia" w:hAnsiTheme="minorEastAsia"/>
                <w:bCs/>
                <w:color w:val="auto"/>
                <w:szCs w:val="21"/>
              </w:rPr>
              <w:t>确认认定的被列入失信被执行人、重大税收违法案件当事人名单、政府采购严重违法失信行为记录名单的供应商，</w:t>
            </w:r>
            <w:r>
              <w:rPr>
                <w:rFonts w:hint="eastAsia" w:cs="仿宋_GB2312" w:asciiTheme="minorEastAsia" w:hAnsiTheme="minorEastAsia"/>
                <w:color w:val="auto"/>
                <w:szCs w:val="21"/>
              </w:rPr>
              <w:t>严重违法失信社会组织</w:t>
            </w:r>
            <w:r>
              <w:rPr>
                <w:rFonts w:hint="eastAsia" w:asciiTheme="minorEastAsia" w:hAnsiTheme="minorEastAsia"/>
                <w:bCs/>
                <w:color w:val="auto"/>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9</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供应商须具备的特殊</w:t>
            </w:r>
          </w:p>
          <w:p>
            <w:pPr>
              <w:spacing w:line="360" w:lineRule="auto"/>
              <w:rPr>
                <w:rFonts w:asciiTheme="minorEastAsia" w:hAnsiTheme="minorEastAsia"/>
                <w:b/>
                <w:bCs/>
                <w:color w:val="auto"/>
                <w:szCs w:val="21"/>
              </w:rPr>
            </w:pPr>
            <w:r>
              <w:rPr>
                <w:rFonts w:hint="eastAsia" w:asciiTheme="minorEastAsia" w:hAnsiTheme="minorEastAsia"/>
                <w:b/>
                <w:color w:val="auto"/>
                <w:szCs w:val="21"/>
              </w:rPr>
              <w:t>资质证书</w:t>
            </w:r>
          </w:p>
        </w:tc>
        <w:tc>
          <w:tcPr>
            <w:tcW w:w="5954" w:type="dxa"/>
            <w:vAlign w:val="center"/>
          </w:tcPr>
          <w:p>
            <w:pPr>
              <w:spacing w:line="360" w:lineRule="auto"/>
              <w:rPr>
                <w:rFonts w:hint="eastAsia" w:asciiTheme="minorEastAsia" w:hAnsiTheme="minorEastAsia" w:eastAsiaTheme="minorEastAsia"/>
                <w:b/>
                <w:bCs/>
                <w:color w:val="auto"/>
                <w:szCs w:val="21"/>
                <w:lang w:eastAsia="zh-CN"/>
              </w:rPr>
            </w:pPr>
            <w:r>
              <w:rPr>
                <w:rFonts w:hint="eastAsia" w:asciiTheme="minorEastAsia" w:hAnsiTheme="minorEastAsia"/>
                <w:b w:val="0"/>
                <w:bCs w:val="0"/>
                <w:color w:val="auto"/>
                <w:szCs w:val="21"/>
                <w:lang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11</w:t>
            </w:r>
          </w:p>
        </w:tc>
        <w:tc>
          <w:tcPr>
            <w:tcW w:w="2410" w:type="dxa"/>
            <w:vAlign w:val="center"/>
          </w:tcPr>
          <w:p>
            <w:pPr>
              <w:spacing w:line="360" w:lineRule="auto"/>
              <w:rPr>
                <w:rFonts w:asciiTheme="minorEastAsia" w:hAnsiTheme="minorEastAsia"/>
                <w:color w:val="auto"/>
                <w:szCs w:val="21"/>
              </w:rPr>
            </w:pPr>
            <w:r>
              <w:rPr>
                <w:rFonts w:hint="eastAsia" w:asciiTheme="minorEastAsia" w:hAnsiTheme="minorEastAsia"/>
                <w:b/>
                <w:color w:val="auto"/>
                <w:szCs w:val="21"/>
              </w:rPr>
              <w:t>响应承诺函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12</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13</w:t>
            </w:r>
          </w:p>
        </w:tc>
        <w:tc>
          <w:tcPr>
            <w:tcW w:w="2410"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asciiTheme="minorEastAsia" w:hAnsiTheme="minorEastAsia"/>
                <w:b/>
                <w:color w:val="auto"/>
                <w:sz w:val="24"/>
                <w:szCs w:val="24"/>
              </w:rPr>
            </w:pPr>
            <w:r>
              <w:rPr>
                <w:rFonts w:hint="eastAsia" w:ascii="楷体" w:hAnsi="楷体" w:eastAsia="楷体"/>
                <w:color w:val="auto"/>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auto"/>
                <w:sz w:val="24"/>
                <w:szCs w:val="24"/>
              </w:rPr>
            </w:pPr>
            <w:r>
              <w:rPr>
                <w:rFonts w:hint="eastAsia" w:ascii="楷体" w:hAnsi="楷体" w:eastAsia="楷体"/>
                <w:color w:val="auto"/>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color w:val="auto"/>
                <w:szCs w:val="21"/>
              </w:rPr>
            </w:pPr>
            <w:r>
              <w:rPr>
                <w:rFonts w:hint="eastAsia" w:ascii="楷体" w:hAnsi="楷体" w:eastAsia="楷体"/>
                <w:color w:val="auto"/>
                <w:sz w:val="24"/>
                <w:szCs w:val="24"/>
              </w:rPr>
              <w:t>③</w:t>
            </w:r>
            <w:r>
              <w:rPr>
                <w:rFonts w:hint="eastAsia" w:ascii="楷体" w:hAnsi="楷体" w:eastAsia="楷体"/>
                <w:color w:val="auto"/>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14</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15</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7"/>
        <w:spacing w:line="360" w:lineRule="auto"/>
        <w:ind w:firstLine="482" w:firstLineChars="200"/>
        <w:contextualSpacing/>
        <w:rPr>
          <w:rFonts w:cs="仿宋_GB2312" w:asciiTheme="minorEastAsia" w:hAnsiTheme="minorEastAsia" w:eastAsiaTheme="minorEastAsia"/>
          <w:b/>
          <w:color w:val="auto"/>
          <w:szCs w:val="24"/>
          <w:lang w:val="zh-CN"/>
        </w:rPr>
      </w:pP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7"/>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7"/>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pPr>
        <w:pStyle w:val="17"/>
        <w:spacing w:line="360" w:lineRule="auto"/>
        <w:ind w:firstLine="480" w:firstLineChars="200"/>
        <w:contextualSpacing/>
        <w:jc w:val="left"/>
        <w:rPr>
          <w:rFonts w:cs="仿宋_GB2312" w:asciiTheme="minorEastAsia" w:hAnsiTheme="minorEastAsia"/>
          <w:color w:val="auto"/>
          <w:sz w:val="21"/>
          <w:szCs w:val="21"/>
          <w:lang w:val="zh-CN"/>
        </w:rPr>
      </w:pPr>
      <w:r>
        <w:rPr>
          <w:rFonts w:hint="eastAsia" w:ascii="楷体" w:hAnsi="楷体" w:eastAsia="楷体" w:cs="仿宋_GB2312"/>
          <w:color w:val="auto"/>
          <w:szCs w:val="24"/>
          <w:lang w:val="zh-CN"/>
        </w:rPr>
        <w:t>注：审查中所涉及到的证书及材料，均应在电子响应文件中提供原件扫描件（或图片）。</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pPr>
        <w:pStyle w:val="17"/>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（二）落实政府采购政策及强制性认证</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hint="eastAsia" w:cs="仿宋_GB2312" w:asciiTheme="minorEastAsia" w:hAnsiTheme="minorEastAsia" w:eastAsiaTheme="minorEastAsia"/>
          <w:b/>
          <w:color w:val="auto"/>
          <w:sz w:val="21"/>
          <w:szCs w:val="21"/>
          <w:lang w:val="zh-CN"/>
        </w:rPr>
        <w:t>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（1）如供应商所响应产品属于“中国强制性产品认证”（3C认证）范围内,则必须承诺采用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（2）供应商所响应产品如被列入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则响应文件中应根据本项目谈判文件“第二章 采购需求”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color w:val="auto"/>
          <w:kern w:val="0"/>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pStyle w:val="17"/>
        <w:spacing w:line="360" w:lineRule="auto"/>
        <w:ind w:firstLine="422"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eastAsiaTheme="minorEastAsia"/>
          <w:b/>
          <w:color w:val="auto"/>
          <w:sz w:val="21"/>
          <w:szCs w:val="21"/>
          <w:lang w:val="zh-CN"/>
        </w:rPr>
        <w:t>（三）</w:t>
      </w:r>
      <w:r>
        <w:rPr>
          <w:rFonts w:cs="仿宋_GB2312" w:asciiTheme="minorEastAsia" w:hAnsiTheme="minorEastAsia" w:eastAsiaTheme="minorEastAsia"/>
          <w:b/>
          <w:color w:val="auto"/>
          <w:sz w:val="21"/>
          <w:szCs w:val="21"/>
          <w:lang w:val="zh-CN"/>
        </w:rPr>
        <w:t>因落实政府采购政策进行价格调整的，以调整后的价格计算报价。</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540"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693"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977"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540"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693" w:type="dxa"/>
            <w:vAlign w:val="center"/>
          </w:tcPr>
          <w:p>
            <w:pPr>
              <w:jc w:val="center"/>
              <w:rPr>
                <w:rFonts w:ascii="ˎ̥" w:hAnsi="ˎ̥" w:eastAsia="宋体"/>
                <w:color w:val="auto"/>
                <w:szCs w:val="21"/>
              </w:rPr>
            </w:pPr>
            <w:r>
              <w:rPr>
                <w:rFonts w:hint="eastAsia" w:ascii="ˎ̥" w:hAnsi="ˎ̥" w:eastAsia="宋体"/>
                <w:color w:val="auto"/>
                <w:szCs w:val="21"/>
              </w:rPr>
              <w:t>对小型和微型企业报价</w:t>
            </w:r>
          </w:p>
          <w:p>
            <w:pPr>
              <w:jc w:val="center"/>
              <w:rPr>
                <w:rFonts w:ascii="宋体" w:hAnsi="宋体"/>
                <w:b/>
                <w:color w:val="auto"/>
                <w:szCs w:val="21"/>
                <w:lang w:val="en-GB"/>
              </w:rPr>
            </w:pPr>
            <w:r>
              <w:rPr>
                <w:rFonts w:hint="eastAsia" w:ascii="ˎ̥" w:hAnsi="ˎ̥" w:eastAsia="宋体"/>
                <w:color w:val="auto"/>
                <w:szCs w:val="21"/>
              </w:rPr>
              <w:t>扣除6%</w:t>
            </w:r>
          </w:p>
        </w:tc>
        <w:tc>
          <w:tcPr>
            <w:tcW w:w="2977" w:type="dxa"/>
            <w:vMerge w:val="restart"/>
            <w:shd w:val="clear" w:color="auto" w:fill="auto"/>
            <w:vAlign w:val="center"/>
          </w:tcPr>
          <w:p>
            <w:pPr>
              <w:jc w:val="center"/>
              <w:rPr>
                <w:color w:val="auto"/>
                <w:szCs w:val="21"/>
                <w:lang w:val="en-GB"/>
              </w:rPr>
            </w:pPr>
            <w:r>
              <w:rPr>
                <w:rFonts w:hint="eastAsia"/>
                <w:color w:val="auto"/>
                <w:szCs w:val="21"/>
                <w:lang w:val="en-GB"/>
              </w:rPr>
              <w:t>评标价格＝</w:t>
            </w:r>
            <w:r>
              <w:rPr>
                <w:rFonts w:hint="eastAsia" w:ascii="ˎ̥" w:hAnsi="ˎ̥" w:eastAsia="宋体"/>
                <w:color w:val="auto"/>
                <w:szCs w:val="21"/>
              </w:rPr>
              <w:t>小型和微型企业报价</w:t>
            </w:r>
            <w:r>
              <w:rPr>
                <w:rFonts w:hint="eastAsia" w:ascii="宋体" w:hAnsi="宋体"/>
                <w:color w:val="auto"/>
                <w:szCs w:val="21"/>
                <w:lang w:val="en-GB"/>
              </w:rPr>
              <w:t>×（1-</w:t>
            </w:r>
            <w:r>
              <w:rPr>
                <w:rFonts w:hint="eastAsia"/>
                <w:color w:val="auto"/>
                <w:szCs w:val="21"/>
                <w:lang w:val="en-GB"/>
              </w:rPr>
              <w:t>6%</w:t>
            </w:r>
            <w:r>
              <w:rPr>
                <w:rFonts w:hint="eastAsia" w:ascii="宋体" w:hAnsi="宋体"/>
                <w:color w:val="auto"/>
                <w:szCs w:val="21"/>
                <w:lang w:val="en-GB"/>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联合体各方均为</w:t>
            </w:r>
          </w:p>
          <w:p>
            <w:pPr>
              <w:jc w:val="center"/>
              <w:rPr>
                <w:rFonts w:ascii="宋体" w:hAnsi="宋体"/>
                <w:b/>
                <w:color w:val="auto"/>
                <w:szCs w:val="21"/>
              </w:rPr>
            </w:pPr>
            <w:r>
              <w:rPr>
                <w:rFonts w:hint="eastAsia" w:ascii="宋体" w:hAnsi="宋体"/>
                <w:color w:val="auto"/>
                <w:szCs w:val="21"/>
                <w:lang w:val="en-GB"/>
              </w:rPr>
              <w:t>小型、微型企业</w:t>
            </w:r>
          </w:p>
        </w:tc>
        <w:tc>
          <w:tcPr>
            <w:tcW w:w="2693" w:type="dxa"/>
            <w:vAlign w:val="center"/>
          </w:tcPr>
          <w:p>
            <w:pPr>
              <w:jc w:val="center"/>
              <w:rPr>
                <w:rFonts w:ascii="宋体" w:hAnsi="宋体"/>
                <w:color w:val="auto"/>
                <w:szCs w:val="21"/>
              </w:rPr>
            </w:pPr>
            <w:r>
              <w:rPr>
                <w:rFonts w:hint="eastAsia" w:ascii="ˎ̥" w:hAnsi="ˎ̥" w:eastAsia="宋体"/>
                <w:color w:val="auto"/>
                <w:szCs w:val="21"/>
              </w:rPr>
              <w:t>对小型和微型企业报价</w:t>
            </w:r>
          </w:p>
          <w:p>
            <w:pPr>
              <w:jc w:val="center"/>
              <w:rPr>
                <w:rFonts w:ascii="宋体" w:hAnsi="宋体"/>
                <w:color w:val="auto"/>
                <w:szCs w:val="21"/>
              </w:rPr>
            </w:pPr>
            <w:r>
              <w:rPr>
                <w:rFonts w:hint="eastAsia" w:ascii="宋体" w:hAnsi="宋体"/>
                <w:color w:val="auto"/>
                <w:szCs w:val="21"/>
              </w:rPr>
              <w:t>扣除6%</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977"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540" w:type="dxa"/>
            <w:vAlign w:val="center"/>
          </w:tcPr>
          <w:p>
            <w:pPr>
              <w:jc w:val="center"/>
              <w:rPr>
                <w:rFonts w:ascii="宋体" w:hAnsi="宋体"/>
                <w:b/>
                <w:color w:val="auto"/>
                <w:szCs w:val="21"/>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color w:val="auto"/>
                <w:szCs w:val="21"/>
                <w:lang w:val="en-GB"/>
              </w:rPr>
            </w:pPr>
            <w:r>
              <w:rPr>
                <w:rFonts w:ascii="ˎ̥" w:hAnsi="ˎ̥" w:eastAsia="宋体"/>
                <w:color w:val="auto"/>
                <w:szCs w:val="21"/>
              </w:rPr>
              <w:t>对联合体或者大中型企业的报价</w:t>
            </w:r>
            <w:r>
              <w:rPr>
                <w:rFonts w:hint="eastAsia" w:ascii="宋体" w:hAnsi="宋体"/>
                <w:color w:val="auto"/>
                <w:szCs w:val="21"/>
                <w:lang w:val="en-GB"/>
              </w:rPr>
              <w:t>扣除</w:t>
            </w:r>
            <w:r>
              <w:rPr>
                <w:rFonts w:ascii="宋体" w:hAnsi="宋体"/>
                <w:color w:val="auto"/>
                <w:szCs w:val="21"/>
              </w:rPr>
              <w:t>2</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评审价格＝响应报价×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lang w:val="en-GB"/>
              </w:rPr>
            </w:pPr>
            <w:r>
              <w:rPr>
                <w:rFonts w:hint="eastAsia"/>
                <w:color w:val="auto"/>
                <w:szCs w:val="21"/>
                <w:lang w:val="en-GB"/>
              </w:rPr>
              <w:t>评审价格＝响应报价—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977" w:type="dxa"/>
            <w:shd w:val="clear" w:color="auto" w:fill="auto"/>
            <w:vAlign w:val="center"/>
          </w:tcPr>
          <w:p>
            <w:pPr>
              <w:jc w:val="center"/>
              <w:rPr>
                <w:color w:val="auto"/>
                <w:szCs w:val="21"/>
                <w:lang w:val="en-GB"/>
              </w:rPr>
            </w:pPr>
            <w:r>
              <w:rPr>
                <w:rFonts w:hint="eastAsia"/>
                <w:color w:val="auto"/>
                <w:szCs w:val="21"/>
                <w:lang w:val="en-GB"/>
              </w:rPr>
              <w:t>评审价格＝响应报价—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w:t>
            </w:r>
            <w:r>
              <w:rPr>
                <w:rFonts w:hint="eastAsia" w:cs="仿宋_GB2312" w:asciiTheme="minorEastAsia" w:hAnsiTheme="minorEastAsia"/>
                <w:color w:val="auto"/>
                <w:szCs w:val="21"/>
                <w:lang w:val="zh-CN"/>
              </w:rPr>
              <w:t>谈判小组审查、评价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响应文件符合谈判文件实质性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评审价格由低到高的顺序提出</w:t>
            </w:r>
            <w:r>
              <w:rPr>
                <w:rFonts w:cs="仿宋_GB2312" w:asciiTheme="minorEastAsia" w:hAnsiTheme="minorEastAsia"/>
                <w:color w:val="auto"/>
                <w:szCs w:val="21"/>
                <w:lang w:val="zh-CN"/>
              </w:rPr>
              <w:t>3</w:t>
            </w:r>
            <w:r>
              <w:rPr>
                <w:rFonts w:hint="eastAsia" w:cs="仿宋_GB2312" w:asciiTheme="minorEastAsia" w:hAnsiTheme="minorEastAsia"/>
                <w:color w:val="auto"/>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auto"/>
          <w:szCs w:val="21"/>
          <w:lang w:val="en-GB"/>
        </w:rPr>
      </w:pPr>
      <w:r>
        <w:rPr>
          <w:rFonts w:hint="eastAsia" w:cs="仿宋_GB2312" w:asciiTheme="minorEastAsia" w:hAnsiTheme="minorEastAsia"/>
          <w:color w:val="auto"/>
          <w:szCs w:val="21"/>
          <w:lang w:val="zh-CN"/>
        </w:rPr>
        <w:t>d、残疾人福利性单位属于小型、微型企业的，不重复享受政策。</w:t>
      </w:r>
    </w:p>
    <w:p>
      <w:pPr>
        <w:spacing w:line="360" w:lineRule="auto"/>
        <w:ind w:firstLine="420" w:firstLineChars="200"/>
        <w:rPr>
          <w:rFonts w:cs="仿宋_GB2312" w:asciiTheme="minorEastAsia" w:hAnsiTheme="minorEastAsia"/>
          <w:color w:val="auto"/>
          <w:szCs w:val="21"/>
          <w:lang w:val="zh-CN"/>
        </w:rPr>
      </w:pPr>
      <w:r>
        <w:rPr>
          <w:rFonts w:cs="仿宋_GB2312" w:asciiTheme="minorEastAsia" w:hAnsiTheme="minorEastAsia"/>
          <w:color w:val="auto"/>
          <w:szCs w:val="21"/>
          <w:lang w:val="zh-CN"/>
        </w:rPr>
        <w:t>E</w:t>
      </w:r>
      <w:r>
        <w:rPr>
          <w:rFonts w:hint="eastAsia" w:cs="仿宋_GB2312" w:asciiTheme="minorEastAsia" w:hAnsiTheme="minorEastAsia"/>
          <w:color w:val="auto"/>
          <w:szCs w:val="21"/>
          <w:lang w:val="zh-CN"/>
        </w:rPr>
        <w:t>、小型和微型企业不包括民办非企业单位。</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四、评审方法</w:t>
      </w:r>
    </w:p>
    <w:p>
      <w:pPr>
        <w:pStyle w:val="17"/>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lang w:val="zh-CN"/>
        </w:rPr>
        <w:t>3</w:t>
      </w:r>
      <w:r>
        <w:rPr>
          <w:rFonts w:hint="eastAsia" w:cs="仿宋_GB2312" w:asciiTheme="minorEastAsia" w:hAnsiTheme="minorEastAsia" w:eastAsiaTheme="minorEastAsia"/>
          <w:color w:val="auto"/>
          <w:sz w:val="21"/>
          <w:szCs w:val="21"/>
          <w:lang w:val="zh-CN"/>
        </w:rPr>
        <w:t>名成交候选人。根据规定</w:t>
      </w:r>
      <w:r>
        <w:rPr>
          <w:rFonts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lang w:val="zh-CN"/>
        </w:rPr>
        <w:t>采购人按照成交候选人排名顺序确定成交供应商。</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五、谈判小组编写评审报告。</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7"/>
        <w:spacing w:line="360" w:lineRule="auto"/>
        <w:contextualSpacing/>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拟签订的合同文本</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微软雅黑" w:hAnsi="微软雅黑" w:eastAsia="微软雅黑"/>
          <w:color w:val="auto"/>
          <w:sz w:val="27"/>
          <w:szCs w:val="27"/>
        </w:rPr>
      </w:pPr>
      <w:r>
        <w:rPr>
          <w:rFonts w:hint="eastAsia" w:ascii="宋体" w:hAnsi="宋体" w:cs="微软雅黑"/>
          <w:b/>
          <w:bCs/>
          <w:color w:val="auto"/>
          <w:szCs w:val="21"/>
        </w:rPr>
        <w:t>最终签定合同的主要条款不能与招标文件有冲突）</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1.2招标文件、乙方的投标文件；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5、合同标的应符合招标文件、乙方投标文件的规定或约定，具体如下：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6.1验收应按照招标文件、乙方投标文件的规定或约定进行，具体如下：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6.2本项目是否邀请其他投标人参与验收：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7、合同款项的支付应按照招标文件的规定进行，具体如下：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5"/>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 xml:space="preserve">     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ind w:firstLine="723"/>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color w:val="auto"/>
          <w:sz w:val="44"/>
          <w:szCs w:val="44"/>
          <w:lang w:val="zh-CN"/>
        </w:rPr>
      </w:pPr>
      <w:r>
        <w:rPr>
          <w:rFonts w:hint="eastAsia" w:cs="宋体" w:asciiTheme="majorEastAsia" w:hAnsiTheme="majorEastAsia" w:eastAsiaTheme="majorEastAsia"/>
          <w:b/>
          <w:color w:val="auto"/>
          <w:kern w:val="0"/>
          <w:sz w:val="32"/>
          <w:szCs w:val="32"/>
        </w:rPr>
        <w:t>第八章 响应文件有关格式</w:t>
      </w:r>
    </w:p>
    <w:p>
      <w:pPr>
        <w:pStyle w:val="6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依法纳税凭据复印件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供应商相关承诺函或声明</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15</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16</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tcBorders>
              <w:top w:val="doub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1058" w:type="dxa"/>
            <w:gridSpan w:val="2"/>
            <w:tcBorders>
              <w:righ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29</w:t>
            </w:r>
          </w:p>
        </w:tc>
        <w:tc>
          <w:tcPr>
            <w:tcW w:w="1058" w:type="dxa"/>
            <w:gridSpan w:val="2"/>
            <w:vMerge w:val="restart"/>
            <w:tcBorders>
              <w:right w:val="single" w:color="auto" w:sz="4" w:space="0"/>
            </w:tcBorders>
            <w:vAlign w:val="center"/>
          </w:tcPr>
          <w:p>
            <w:pPr>
              <w:pStyle w:val="17"/>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30</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国家级贫困县域注册地证明材料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扶贫部门出具的聘用建档立卡贫困人员身份证明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32</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建档立卡贫困人员社保材料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auto"/>
          <w:sz w:val="24"/>
          <w:szCs w:val="24"/>
        </w:rPr>
      </w:pPr>
      <w:r>
        <w:rPr>
          <w:rFonts w:hint="eastAsia" w:ascii="楷体" w:hAnsi="楷体" w:eastAsia="楷体"/>
          <w:color w:val="auto"/>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ascii="楷体" w:hAnsi="楷体" w:eastAsia="楷体"/>
          <w:color w:val="auto"/>
          <w:sz w:val="24"/>
          <w:szCs w:val="24"/>
        </w:rPr>
        <w:fldChar w:fldCharType="begin"/>
      </w:r>
      <w:r>
        <w:rPr>
          <w:rFonts w:hint="eastAsia" w:ascii="楷体" w:hAnsi="楷体" w:eastAsia="楷体"/>
          <w:color w:val="auto"/>
          <w:sz w:val="24"/>
          <w:szCs w:val="24"/>
        </w:rPr>
        <w:instrText xml:space="preserve">= 4 \* GB3</w:instrText>
      </w:r>
      <w:r>
        <w:rPr>
          <w:rFonts w:ascii="楷体" w:hAnsi="楷体" w:eastAsia="楷体"/>
          <w:color w:val="auto"/>
          <w:sz w:val="24"/>
          <w:szCs w:val="24"/>
        </w:rPr>
        <w:fldChar w:fldCharType="separate"/>
      </w:r>
      <w:r>
        <w:rPr>
          <w:rFonts w:hint="eastAsia" w:ascii="楷体" w:hAnsi="楷体" w:eastAsia="楷体"/>
          <w:color w:val="auto"/>
          <w:sz w:val="24"/>
          <w:szCs w:val="24"/>
        </w:rPr>
        <w:t>④</w:t>
      </w:r>
      <w:r>
        <w:rPr>
          <w:rFonts w:ascii="楷体" w:hAnsi="楷体" w:eastAsia="楷体"/>
          <w:color w:val="auto"/>
          <w:sz w:val="24"/>
          <w:szCs w:val="24"/>
        </w:rPr>
        <w:fldChar w:fldCharType="end"/>
      </w:r>
      <w:r>
        <w:rPr>
          <w:rFonts w:hint="eastAsia" w:ascii="楷体" w:hAnsi="楷体" w:eastAsia="楷体"/>
          <w:color w:val="auto"/>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二、报价一览表</w:t>
      </w:r>
    </w:p>
    <w:p>
      <w:pPr>
        <w:spacing w:before="50" w:afterLines="50" w:line="360" w:lineRule="auto"/>
        <w:contextualSpacing/>
        <w:jc w:val="left"/>
        <w:rPr>
          <w:rFonts w:hint="eastAsia" w:asciiTheme="minorEastAsia" w:hAnsiTheme="minorEastAsia" w:eastAsiaTheme="minorEastAsia"/>
          <w:color w:val="auto"/>
          <w:szCs w:val="21"/>
          <w:lang w:val="en-US"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7"/>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hint="default" w:asciiTheme="minorEastAsia" w:hAnsiTheme="minorEastAsia" w:eastAsiaTheme="minorEastAsia"/>
          <w:b/>
          <w:snapToGrid w:val="0"/>
          <w:color w:val="auto"/>
          <w:kern w:val="0"/>
          <w:szCs w:val="21"/>
          <w:u w:val="single"/>
          <w:lang w:val="en-US" w:eastAsia="zh-CN"/>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lang w:val="en-US" w:eastAsia="zh-CN"/>
        </w:rPr>
        <w:t xml:space="preserve">              （采购人名称）</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根据贵方_</w:t>
      </w:r>
      <w:r>
        <w:rPr>
          <w:rFonts w:hint="eastAsia" w:asciiTheme="minorEastAsia" w:hAnsiTheme="minorEastAsia"/>
          <w:snapToGrid w:val="0"/>
          <w:color w:val="auto"/>
          <w:kern w:val="0"/>
          <w:szCs w:val="21"/>
          <w:u w:val="single"/>
        </w:rPr>
        <w:t xml:space="preserve">_    </w:t>
      </w:r>
      <w:r>
        <w:rPr>
          <w:rFonts w:hint="eastAsia" w:asciiTheme="minorEastAsia" w:hAnsiTheme="minorEastAsia"/>
          <w:snapToGrid w:val="0"/>
          <w:color w:val="auto"/>
          <w:kern w:val="0"/>
          <w:szCs w:val="21"/>
          <w:u w:val="single"/>
          <w:lang w:val="en-US" w:eastAsia="zh-CN"/>
        </w:rPr>
        <w:t xml:space="preserve">  </w:t>
      </w:r>
      <w:r>
        <w:rPr>
          <w:rFonts w:hint="eastAsia" w:cs="仿宋_GB2312" w:asciiTheme="minorEastAsia" w:hAnsiTheme="minorEastAsia"/>
          <w:color w:val="auto"/>
          <w:szCs w:val="21"/>
          <w:u w:val="single"/>
          <w:lang w:val="en-US" w:eastAsia="zh-CN"/>
        </w:rPr>
        <w:t xml:space="preserve">   </w:t>
      </w:r>
      <w:r>
        <w:rPr>
          <w:rFonts w:hint="eastAsia" w:asciiTheme="minorEastAsia" w:hAnsiTheme="minorEastAsia"/>
          <w:snapToGrid w:val="0"/>
          <w:color w:val="auto"/>
          <w:kern w:val="0"/>
          <w:szCs w:val="21"/>
          <w:u w:val="single"/>
        </w:rPr>
        <w:t>_</w:t>
      </w:r>
      <w:r>
        <w:rPr>
          <w:rFonts w:hint="eastAsia" w:asciiTheme="minorEastAsia" w:hAnsiTheme="minorEastAsia"/>
          <w:snapToGrid w:val="0"/>
          <w:color w:val="auto"/>
          <w:kern w:val="0"/>
          <w:szCs w:val="21"/>
        </w:rPr>
        <w:t>（项目名称、项目编号）采购的竞争性谈判公告及谈判邀请，_______（姓名和职务）被正式授权并代表供应商（供应商名称、地址）提交。</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w:t>
      </w:r>
      <w:r>
        <w:rPr>
          <w:rFonts w:hint="eastAsia" w:asciiTheme="minorEastAsia" w:hAnsiTheme="minorEastAsia" w:eastAsiaTheme="minorEastAsia"/>
          <w:snapToGrid w:val="0"/>
          <w:color w:val="auto"/>
          <w:kern w:val="0"/>
          <w:sz w:val="21"/>
          <w:szCs w:val="21"/>
          <w:lang w:eastAsia="zh-CN"/>
        </w:rPr>
        <w:t>项目</w:t>
      </w:r>
      <w:r>
        <w:rPr>
          <w:rFonts w:hint="eastAsia" w:asciiTheme="minorEastAsia" w:hAnsiTheme="minorEastAsia" w:eastAsiaTheme="minorEastAsia"/>
          <w:snapToGrid w:val="0"/>
          <w:color w:val="auto"/>
          <w:kern w:val="0"/>
          <w:sz w:val="21"/>
          <w:szCs w:val="21"/>
        </w:rPr>
        <w:t>编号）谈判文件的全部内容。</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pStyle w:val="2"/>
        <w:numPr>
          <w:ilvl w:val="3"/>
          <w:numId w:val="0"/>
        </w:numPr>
        <w:ind w:leftChars="0"/>
        <w:rPr>
          <w:color w:val="auto"/>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6"/>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lang w:val="en-US" w:eastAsia="zh-CN"/>
        </w:rPr>
        <w:t xml:space="preserve"> </w:t>
      </w:r>
      <w:r>
        <w:rPr>
          <w:rFonts w:hint="eastAsia" w:asciiTheme="minorEastAsia" w:hAnsiTheme="minorEastAsia"/>
          <w:color w:val="auto"/>
          <w:sz w:val="21"/>
          <w:szCs w:val="21"/>
          <w:u w:val="single"/>
          <w:lang w:val="en-US" w:eastAsia="zh-CN"/>
        </w:rPr>
        <w:t xml:space="preserve">       </w:t>
      </w:r>
      <w:r>
        <w:rPr>
          <w:rFonts w:hint="eastAsia" w:asciiTheme="minorEastAsia" w:hAnsiTheme="minorEastAsia"/>
          <w:color w:val="auto"/>
          <w:sz w:val="21"/>
          <w:szCs w:val="21"/>
          <w:lang w:val="en-US" w:eastAsia="zh-CN"/>
        </w:rPr>
        <w:t xml:space="preserve"> </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pPr>
        <w:pStyle w:val="56"/>
        <w:spacing w:line="480" w:lineRule="auto"/>
        <w:ind w:firstLine="472" w:firstLineChars="225"/>
        <w:jc w:val="left"/>
        <w:rPr>
          <w:rFonts w:asciiTheme="minorEastAsia" w:hAnsiTheme="minorEastAsia"/>
          <w:color w:val="auto"/>
          <w:sz w:val="21"/>
          <w:szCs w:val="21"/>
        </w:rPr>
      </w:pPr>
    </w:p>
    <w:p>
      <w:pPr>
        <w:pStyle w:val="56"/>
        <w:spacing w:line="480" w:lineRule="auto"/>
        <w:ind w:firstLine="472" w:firstLineChars="225"/>
        <w:jc w:val="left"/>
        <w:rPr>
          <w:rFonts w:asciiTheme="minorEastAsia" w:hAnsiTheme="minorEastAsia"/>
          <w:color w:val="auto"/>
          <w:sz w:val="21"/>
          <w:szCs w:val="21"/>
        </w:rPr>
      </w:pPr>
    </w:p>
    <w:p>
      <w:pPr>
        <w:pStyle w:val="56"/>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6"/>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59"/>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8"/>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7"/>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2"/>
        <w:gridCol w:w="7"/>
        <w:gridCol w:w="448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98" w:hRule="atLeast"/>
        </w:trPr>
        <w:tc>
          <w:tcPr>
            <w:tcW w:w="449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w:t>
            </w:r>
            <w:r>
              <w:rPr>
                <w:rFonts w:hint="eastAsia" w:asciiTheme="minorEastAsia" w:hAnsiTheme="minorEastAsia"/>
                <w:color w:val="auto"/>
                <w:szCs w:val="21"/>
                <w:lang w:eastAsia="zh-CN"/>
              </w:rPr>
              <w:t>反</w:t>
            </w:r>
            <w:r>
              <w:rPr>
                <w:rFonts w:hint="eastAsia" w:asciiTheme="minorEastAsia" w:hAnsiTheme="minorEastAsia"/>
                <w:color w:val="auto"/>
                <w:szCs w:val="21"/>
              </w:rPr>
              <w:t>面）</w:t>
            </w:r>
          </w:p>
        </w:tc>
        <w:tc>
          <w:tcPr>
            <w:tcW w:w="449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w:t>
            </w:r>
            <w:r>
              <w:rPr>
                <w:rFonts w:hint="eastAsia" w:asciiTheme="minorEastAsia" w:hAnsiTheme="minorEastAsia"/>
                <w:color w:val="auto"/>
                <w:szCs w:val="21"/>
                <w:lang w:eastAsia="zh-CN"/>
              </w:rPr>
              <w:t>正</w:t>
            </w:r>
            <w:r>
              <w:rPr>
                <w:rFonts w:hint="eastAsia" w:asciiTheme="minorEastAsia" w:hAnsiTheme="minorEastAsia"/>
                <w:color w:val="auto"/>
                <w:szCs w:val="21"/>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449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w:t>
            </w:r>
            <w:r>
              <w:rPr>
                <w:rFonts w:hint="eastAsia" w:asciiTheme="minorEastAsia" w:hAnsiTheme="minorEastAsia"/>
                <w:color w:val="auto"/>
                <w:szCs w:val="21"/>
                <w:lang w:eastAsia="zh-CN"/>
              </w:rPr>
              <w:t>反</w:t>
            </w:r>
            <w:r>
              <w:rPr>
                <w:rFonts w:hint="eastAsia" w:asciiTheme="minorEastAsia" w:hAnsiTheme="minorEastAsia"/>
                <w:color w:val="auto"/>
                <w:szCs w:val="21"/>
              </w:rPr>
              <w:t>面）</w:t>
            </w:r>
          </w:p>
        </w:tc>
        <w:tc>
          <w:tcPr>
            <w:tcW w:w="450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w:t>
            </w:r>
            <w:r>
              <w:rPr>
                <w:rFonts w:hint="eastAsia" w:asciiTheme="minorEastAsia" w:hAnsiTheme="minorEastAsia"/>
                <w:color w:val="auto"/>
                <w:szCs w:val="21"/>
                <w:lang w:eastAsia="zh-CN"/>
              </w:rPr>
              <w:t>正</w:t>
            </w:r>
            <w:r>
              <w:rPr>
                <w:rFonts w:hint="eastAsia" w:asciiTheme="minorEastAsia" w:hAnsiTheme="minorEastAsia"/>
                <w:color w:val="auto"/>
                <w:szCs w:val="21"/>
              </w:rPr>
              <w:t>面）</w:t>
            </w:r>
          </w:p>
        </w:tc>
      </w:tr>
    </w:tbl>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u w:val="single"/>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Lines="50" w:afterLines="50" w:line="360" w:lineRule="auto"/>
        <w:ind w:right="420"/>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pStyle w:val="2"/>
        <w:numPr>
          <w:ilvl w:val="3"/>
          <w:numId w:val="0"/>
        </w:numPr>
        <w:ind w:leftChars="0"/>
        <w:rPr>
          <w:color w:val="auto"/>
          <w:lang w:val="zh-CN"/>
        </w:rPr>
      </w:pPr>
    </w:p>
    <w:p>
      <w:pPr>
        <w:rPr>
          <w:color w:val="auto"/>
          <w:lang w:val="zh-CN"/>
        </w:rPr>
      </w:pPr>
    </w:p>
    <w:p>
      <w:pPr>
        <w:pStyle w:val="2"/>
        <w:numPr>
          <w:ilvl w:val="3"/>
          <w:numId w:val="0"/>
        </w:numPr>
        <w:ind w:leftChars="0"/>
        <w:rPr>
          <w:color w:val="auto"/>
          <w:lang w:val="zh-CN"/>
        </w:rPr>
      </w:pPr>
    </w:p>
    <w:p>
      <w:pPr>
        <w:rPr>
          <w:color w:val="auto"/>
          <w:lang w:val="zh-CN"/>
        </w:rPr>
      </w:pPr>
    </w:p>
    <w:p>
      <w:pPr>
        <w:pStyle w:val="2"/>
        <w:numPr>
          <w:ilvl w:val="3"/>
          <w:numId w:val="0"/>
        </w:numPr>
        <w:ind w:leftChars="0"/>
        <w:rPr>
          <w:color w:val="auto"/>
          <w:lang w:val="zh-CN"/>
        </w:rPr>
      </w:pPr>
    </w:p>
    <w:p>
      <w:pPr>
        <w:rPr>
          <w:color w:val="auto"/>
          <w:lang w:val="zh-CN"/>
        </w:rPr>
      </w:pPr>
    </w:p>
    <w:p>
      <w:pPr>
        <w:pStyle w:val="2"/>
        <w:numPr>
          <w:ilvl w:val="3"/>
          <w:numId w:val="0"/>
        </w:numPr>
        <w:ind w:leftChars="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Theme="minorEastAsia" w:hAnsiTheme="minorEastAsia"/>
          <w:snapToGrid w:val="0"/>
          <w:color w:val="auto"/>
          <w:kern w:val="0"/>
          <w:szCs w:val="21"/>
          <w:u w:val="single"/>
          <w:lang w:val="en-US" w:eastAsia="zh-CN"/>
        </w:rPr>
        <w:t>（采购人名称）</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____年____月____日</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lang w:val="zh-CN" w:eastAsia="zh-CN"/>
        </w:rPr>
        <w:t xml:space="preserve"> </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pStyle w:val="10"/>
        <w:rPr>
          <w:color w:val="auto"/>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ind w:firstLine="2891" w:firstLineChars="1200"/>
        <w:rPr>
          <w:rFonts w:ascii="宋体" w:hAnsi="宋体"/>
          <w:b/>
          <w:bCs/>
          <w:color w:val="auto"/>
          <w:sz w:val="24"/>
          <w:szCs w:val="24"/>
        </w:rPr>
      </w:pPr>
    </w:p>
    <w:p>
      <w:pPr>
        <w:autoSpaceDE w:val="0"/>
        <w:autoSpaceDN w:val="0"/>
        <w:adjustRightInd w:val="0"/>
        <w:spacing w:line="360" w:lineRule="auto"/>
        <w:ind w:firstLine="2891" w:firstLineChars="1200"/>
        <w:rPr>
          <w:rFonts w:ascii="宋体" w:hAnsi="宋体"/>
          <w:b/>
          <w:bCs/>
          <w:color w:val="auto"/>
          <w:sz w:val="24"/>
          <w:szCs w:val="24"/>
        </w:rPr>
      </w:pPr>
    </w:p>
    <w:p>
      <w:pPr>
        <w:autoSpaceDE w:val="0"/>
        <w:autoSpaceDN w:val="0"/>
        <w:adjustRightInd w:val="0"/>
        <w:spacing w:line="360" w:lineRule="auto"/>
        <w:ind w:firstLine="2891" w:firstLineChars="1200"/>
        <w:rPr>
          <w:rFonts w:ascii="宋体" w:hAnsi="宋体"/>
          <w:b/>
          <w:bCs/>
          <w:color w:val="auto"/>
          <w:sz w:val="24"/>
          <w:szCs w:val="24"/>
        </w:rPr>
      </w:pPr>
    </w:p>
    <w:p>
      <w:pPr>
        <w:autoSpaceDE w:val="0"/>
        <w:autoSpaceDN w:val="0"/>
        <w:adjustRightInd w:val="0"/>
        <w:spacing w:line="360" w:lineRule="auto"/>
        <w:ind w:firstLine="2891" w:firstLineChars="1200"/>
        <w:rPr>
          <w:rFonts w:ascii="宋体" w:hAnsi="宋体"/>
          <w:b/>
          <w:bCs/>
          <w:color w:val="auto"/>
          <w:sz w:val="24"/>
          <w:szCs w:val="24"/>
        </w:rPr>
      </w:pPr>
    </w:p>
    <w:p>
      <w:pPr>
        <w:pStyle w:val="10"/>
        <w:rPr>
          <w:rFonts w:ascii="宋体" w:cs="宋体"/>
          <w:color w:val="auto"/>
          <w:sz w:val="24"/>
          <w:lang w:val="zh-CN"/>
        </w:rPr>
      </w:pPr>
    </w:p>
    <w:p>
      <w:pPr>
        <w:pStyle w:val="10"/>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pStyle w:val="2"/>
        <w:numPr>
          <w:ilvl w:val="3"/>
          <w:numId w:val="0"/>
        </w:numPr>
        <w:ind w:leftChars="0"/>
        <w:rPr>
          <w:color w:val="auto"/>
          <w:lang w:val="zh-CN"/>
        </w:rPr>
      </w:pPr>
    </w:p>
    <w:p>
      <w:pPr>
        <w:rPr>
          <w:color w:val="auto"/>
          <w:lang w:val="zh-CN"/>
        </w:rPr>
      </w:pPr>
    </w:p>
    <w:p>
      <w:pPr>
        <w:pStyle w:val="2"/>
        <w:numPr>
          <w:ilvl w:val="3"/>
          <w:numId w:val="0"/>
        </w:numPr>
        <w:ind w:leftChars="0"/>
        <w:rPr>
          <w:color w:val="auto"/>
          <w:lang w:val="zh-CN"/>
        </w:rPr>
      </w:pPr>
    </w:p>
    <w:p>
      <w:pPr>
        <w:rPr>
          <w:color w:val="auto"/>
          <w:lang w:val="zh-CN"/>
        </w:rPr>
      </w:pPr>
    </w:p>
    <w:p>
      <w:pPr>
        <w:pStyle w:val="2"/>
        <w:numPr>
          <w:ilvl w:val="3"/>
          <w:numId w:val="0"/>
        </w:numPr>
        <w:ind w:leftChars="0"/>
        <w:rPr>
          <w:color w:val="auto"/>
          <w:lang w:val="zh-CN"/>
        </w:rPr>
      </w:pPr>
    </w:p>
    <w:p>
      <w:pPr>
        <w:pStyle w:val="2"/>
        <w:numPr>
          <w:ilvl w:val="3"/>
          <w:numId w:val="0"/>
        </w:numPr>
        <w:ind w:leftChars="0"/>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4.1分项报价表</w:t>
      </w:r>
    </w:p>
    <w:p>
      <w:pPr>
        <w:spacing w:before="50" w:afterLines="50" w:line="360" w:lineRule="auto"/>
        <w:contextualSpacing/>
        <w:jc w:val="left"/>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auto"/>
                <w:szCs w:val="21"/>
                <w:lang w:val="zh-CN"/>
              </w:rPr>
            </w:pPr>
            <w:r>
              <w:rPr>
                <w:rFonts w:hint="eastAsia" w:cs="宋体" w:asciiTheme="minorEastAsia" w:hAnsiTheme="minorEastAsia"/>
                <w:b/>
                <w:color w:val="auto"/>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pStyle w:val="33"/>
        <w:ind w:firstLine="480"/>
        <w:rPr>
          <w:rFonts w:cs="宋体" w:asciiTheme="minorEastAsia" w:hAnsiTheme="minorEastAsia"/>
          <w:color w:val="auto"/>
          <w:sz w:val="24"/>
          <w:szCs w:val="24"/>
          <w:lang w:val="zh-CN"/>
        </w:rPr>
      </w:pPr>
    </w:p>
    <w:p>
      <w:pPr>
        <w:pStyle w:val="33"/>
        <w:ind w:firstLine="480"/>
        <w:rPr>
          <w:rFonts w:cs="宋体" w:asciiTheme="minorEastAsia" w:hAnsiTheme="minorEastAsia"/>
          <w:color w:val="auto"/>
          <w:sz w:val="24"/>
          <w:szCs w:val="24"/>
          <w:lang w:val="zh-CN"/>
        </w:rPr>
      </w:pPr>
    </w:p>
    <w:p>
      <w:pPr>
        <w:pStyle w:val="33"/>
        <w:ind w:firstLine="480"/>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谈判文件</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响应文件</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hint="eastAsia" w:asciiTheme="minorEastAsia" w:hAnsiTheme="minorEastAsia" w:eastAsiaTheme="minorEastAsia"/>
          <w:color w:val="auto"/>
          <w:szCs w:val="21"/>
          <w:lang w:val="en-US"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w:t>
      </w:r>
      <w:r>
        <w:rPr>
          <w:rFonts w:ascii="宋体" w:hAnsi="宋体"/>
          <w:b/>
          <w:bCs/>
          <w:color w:val="auto"/>
          <w:sz w:val="24"/>
          <w:szCs w:val="24"/>
        </w:rPr>
        <w:t>中小企业声明函（货物）</w:t>
      </w:r>
    </w:p>
    <w:p>
      <w:pPr>
        <w:spacing w:line="360" w:lineRule="auto"/>
        <w:jc w:val="center"/>
        <w:rPr>
          <w:rFonts w:ascii="宋体" w:hAnsi="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w:t>
      </w:r>
      <w:r>
        <w:rPr>
          <w:rFonts w:hint="eastAsia"/>
          <w:color w:val="auto"/>
          <w:u w:val="single"/>
          <w:lang w:val="en-US" w:eastAsia="zh-CN"/>
        </w:rPr>
        <w:t xml:space="preserve">   </w:t>
      </w:r>
      <w:r>
        <w:rPr>
          <w:color w:val="auto"/>
        </w:rPr>
        <w:t>人，营业收入为</w:t>
      </w:r>
      <w:r>
        <w:rPr>
          <w:rFonts w:hint="eastAsia"/>
          <w:color w:val="auto"/>
          <w:u w:val="single"/>
          <w:lang w:val="en-US" w:eastAsia="zh-CN"/>
        </w:rPr>
        <w:t xml:space="preserve">    </w:t>
      </w:r>
      <w:r>
        <w:rPr>
          <w:color w:val="auto"/>
        </w:rPr>
        <w:t>万元，资产总额为</w:t>
      </w:r>
      <w:r>
        <w:rPr>
          <w:rFonts w:hint="eastAsia"/>
          <w:color w:val="auto"/>
          <w:u w:val="single"/>
          <w:lang w:val="en-US" w:eastAsia="zh-CN"/>
        </w:rPr>
        <w:t xml:space="preserve">   </w:t>
      </w:r>
      <w:r>
        <w:rPr>
          <w:color w:val="auto"/>
        </w:rPr>
        <w:t>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480" w:lineRule="auto"/>
        <w:jc w:val="left"/>
        <w:rPr>
          <w:color w:val="auto"/>
        </w:rPr>
      </w:pPr>
      <w:r>
        <w:rPr>
          <w:color w:val="auto"/>
        </w:rPr>
        <w:t>企业名称（盖章）：</w:t>
      </w:r>
    </w:p>
    <w:p>
      <w:pPr>
        <w:spacing w:line="480" w:lineRule="auto"/>
        <w:jc w:val="left"/>
        <w:rPr>
          <w:rFonts w:cs="Arial" w:asciiTheme="minorEastAsia" w:hAnsiTheme="minorEastAsia"/>
          <w:color w:val="auto"/>
          <w:szCs w:val="21"/>
        </w:rPr>
      </w:pPr>
      <w:r>
        <w:rPr>
          <w:color w:val="auto"/>
        </w:rPr>
        <w:t>日期：</w:t>
      </w:r>
    </w:p>
    <w:p>
      <w:pPr>
        <w:spacing w:line="480" w:lineRule="auto"/>
        <w:ind w:left="4358" w:leftChars="2075"/>
        <w:rPr>
          <w:rFonts w:cs="Arial" w:asciiTheme="minorEastAsia" w:hAnsiTheme="minorEastAsia"/>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33"/>
        <w:rPr>
          <w:color w:val="auto"/>
        </w:rPr>
      </w:pPr>
    </w:p>
    <w:p>
      <w:pPr>
        <w:pStyle w:val="33"/>
        <w:rPr>
          <w:color w:val="auto"/>
        </w:rPr>
      </w:pPr>
    </w:p>
    <w:p>
      <w:pPr>
        <w:pStyle w:val="33"/>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4.10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ind w:firstLine="4410" w:firstLineChars="2100"/>
        <w:contextualSpacing/>
        <w:rPr>
          <w:rFonts w:ascii="宋体" w:hAnsi="宋体"/>
          <w:color w:val="auto"/>
          <w:szCs w:val="21"/>
        </w:rPr>
      </w:pPr>
      <w:r>
        <w:rPr>
          <w:rFonts w:hint="eastAsia" w:cs="宋体" w:asciiTheme="minorEastAsia" w:hAnsiTheme="minorEastAsia"/>
          <w:color w:val="auto"/>
          <w:szCs w:val="21"/>
          <w:lang w:val="zh-CN"/>
        </w:rPr>
        <w:t>单位名称（盖章）：</w:t>
      </w:r>
    </w:p>
    <w:p>
      <w:pPr>
        <w:spacing w:line="360" w:lineRule="auto"/>
        <w:contextualSpacing/>
        <w:rPr>
          <w:rFonts w:ascii="宋体" w:hAnsi="宋体"/>
          <w:color w:val="auto"/>
          <w:szCs w:val="21"/>
        </w:rPr>
      </w:pPr>
      <w:r>
        <w:rPr>
          <w:rFonts w:hint="eastAsia" w:ascii="宋体" w:hAnsi="宋体"/>
          <w:color w:val="auto"/>
          <w:szCs w:val="21"/>
        </w:rPr>
        <w:t xml:space="preserve">                                    </w:t>
      </w:r>
      <w:bookmarkStart w:id="2" w:name="_GoBack"/>
      <w:bookmarkEnd w:id="2"/>
      <w:r>
        <w:rPr>
          <w:rFonts w:hint="eastAsia" w:ascii="宋体" w:hAnsi="宋体"/>
          <w:color w:val="auto"/>
          <w:szCs w:val="21"/>
        </w:rPr>
        <w:t xml:space="preserve">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numPr>
          <w:ilvl w:val="3"/>
          <w:numId w:val="0"/>
        </w:numPr>
        <w:ind w:leftChars="0"/>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cs="黑体" w:asciiTheme="minorEastAsia" w:hAnsiTheme="minorEastAsia"/>
          <w:b/>
          <w:bCs/>
          <w:color w:val="auto"/>
          <w:sz w:val="44"/>
          <w:szCs w:val="44"/>
          <w:lang w:val="zh-CN"/>
        </w:rPr>
      </w:pPr>
      <w:r>
        <w:rPr>
          <w:rFonts w:hint="eastAsia" w:ascii="宋体" w:hAnsi="宋体" w:cs="Arial"/>
          <w:color w:val="auto"/>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w:t>
      </w:r>
      <w:r>
        <w:rPr>
          <w:rFonts w:hint="eastAsia" w:ascii="宋体" w:hAnsi="宋体"/>
          <w:b/>
          <w:bCs/>
          <w:color w:val="auto"/>
          <w:sz w:val="28"/>
          <w:szCs w:val="28"/>
        </w:rPr>
        <w:t>谈判</w:t>
      </w:r>
      <w:r>
        <w:rPr>
          <w:rFonts w:ascii="宋体" w:hAnsi="宋体"/>
          <w:b/>
          <w:bCs/>
          <w:color w:val="auto"/>
          <w:sz w:val="28"/>
          <w:szCs w:val="28"/>
        </w:rPr>
        <w:t>文件另有规定外，</w:t>
      </w:r>
      <w:r>
        <w:rPr>
          <w:rFonts w:hint="eastAsia" w:ascii="宋体" w:hAnsi="宋体"/>
          <w:b/>
          <w:bCs/>
          <w:color w:val="auto"/>
          <w:sz w:val="28"/>
          <w:szCs w:val="28"/>
        </w:rPr>
        <w:t>供应商</w:t>
      </w:r>
      <w:r>
        <w:rPr>
          <w:rFonts w:ascii="宋体" w:hAnsi="宋体"/>
          <w:b/>
          <w:bCs/>
          <w:color w:val="auto"/>
          <w:sz w:val="28"/>
          <w:szCs w:val="28"/>
        </w:rPr>
        <w:t>认为需要提交的其他证明材料或资料加盖</w:t>
      </w:r>
      <w:r>
        <w:rPr>
          <w:rFonts w:hint="eastAsia" w:ascii="宋体" w:hAnsi="宋体"/>
          <w:b/>
          <w:bCs/>
          <w:color w:val="auto"/>
          <w:sz w:val="28"/>
          <w:szCs w:val="28"/>
        </w:rPr>
        <w:t>供应商</w:t>
      </w:r>
      <w:r>
        <w:rPr>
          <w:rFonts w:ascii="宋体" w:hAnsi="宋体"/>
          <w:b/>
          <w:bCs/>
          <w:color w:val="auto"/>
          <w:sz w:val="28"/>
          <w:szCs w:val="28"/>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仿宋_GB2312">
    <w:altName w:val="仿宋"/>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文本框 1"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49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2"/>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59F817E8"/>
    <w:multiLevelType w:val="singleLevel"/>
    <w:tmpl w:val="59F817E8"/>
    <w:lvl w:ilvl="0" w:tentative="0">
      <w:start w:val="1"/>
      <w:numFmt w:val="chineseCounting"/>
      <w:pStyle w:val="64"/>
      <w:suff w:val="nothing"/>
      <w:lvlText w:val="%1、"/>
      <w:lvlJc w:val="left"/>
    </w:lvl>
  </w:abstractNum>
  <w:abstractNum w:abstractNumId="6">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0"/>
  </w:num>
  <w:num w:numId="2">
    <w:abstractNumId w:val="1"/>
  </w:num>
  <w:num w:numId="3">
    <w:abstractNumId w:val="5"/>
  </w:num>
  <w:num w:numId="4">
    <w:abstractNumId w:val="8"/>
  </w:num>
  <w:num w:numId="5">
    <w:abstractNumId w:val="2"/>
  </w:num>
  <w:num w:numId="6">
    <w:abstractNumId w:val="6"/>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25D9"/>
    <w:rsid w:val="001E592F"/>
    <w:rsid w:val="001E76C9"/>
    <w:rsid w:val="001F7199"/>
    <w:rsid w:val="00206982"/>
    <w:rsid w:val="002078AE"/>
    <w:rsid w:val="00210B90"/>
    <w:rsid w:val="00213F11"/>
    <w:rsid w:val="00214892"/>
    <w:rsid w:val="00224D01"/>
    <w:rsid w:val="00231307"/>
    <w:rsid w:val="00234627"/>
    <w:rsid w:val="00241A41"/>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509A7"/>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701A3"/>
    <w:rsid w:val="005711DE"/>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C4642"/>
    <w:rsid w:val="005D1597"/>
    <w:rsid w:val="005D4EBE"/>
    <w:rsid w:val="005D51C3"/>
    <w:rsid w:val="005D6674"/>
    <w:rsid w:val="005F4274"/>
    <w:rsid w:val="00600324"/>
    <w:rsid w:val="00605FD5"/>
    <w:rsid w:val="00612130"/>
    <w:rsid w:val="00614C74"/>
    <w:rsid w:val="00622142"/>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C4E06"/>
    <w:rsid w:val="006C6F1B"/>
    <w:rsid w:val="006D0369"/>
    <w:rsid w:val="006D2CF0"/>
    <w:rsid w:val="006D2D95"/>
    <w:rsid w:val="006D71B0"/>
    <w:rsid w:val="006D71DF"/>
    <w:rsid w:val="006E21C6"/>
    <w:rsid w:val="006F1019"/>
    <w:rsid w:val="006F15D2"/>
    <w:rsid w:val="006F7C4F"/>
    <w:rsid w:val="007050C8"/>
    <w:rsid w:val="00714D78"/>
    <w:rsid w:val="00724498"/>
    <w:rsid w:val="007303E5"/>
    <w:rsid w:val="00733E11"/>
    <w:rsid w:val="00736C7C"/>
    <w:rsid w:val="0075258E"/>
    <w:rsid w:val="00752DA3"/>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6206"/>
    <w:rsid w:val="00BF6B3B"/>
    <w:rsid w:val="00C02173"/>
    <w:rsid w:val="00C0537F"/>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2D91"/>
    <w:rsid w:val="00C53C71"/>
    <w:rsid w:val="00C54034"/>
    <w:rsid w:val="00C54556"/>
    <w:rsid w:val="00C56D2B"/>
    <w:rsid w:val="00C57617"/>
    <w:rsid w:val="00C60B8E"/>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96B66"/>
    <w:rsid w:val="00DA2DBB"/>
    <w:rsid w:val="00DB0E94"/>
    <w:rsid w:val="00DB3D3C"/>
    <w:rsid w:val="00DB4EA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441A"/>
    <w:rsid w:val="00FA44E8"/>
    <w:rsid w:val="00FA6EDD"/>
    <w:rsid w:val="00FB2E22"/>
    <w:rsid w:val="00FB5348"/>
    <w:rsid w:val="00FB5796"/>
    <w:rsid w:val="00FB6F1A"/>
    <w:rsid w:val="00FC04EC"/>
    <w:rsid w:val="00FC302B"/>
    <w:rsid w:val="00FC5DCD"/>
    <w:rsid w:val="00FD37A3"/>
    <w:rsid w:val="00FE5AD6"/>
    <w:rsid w:val="00FF04A6"/>
    <w:rsid w:val="015E675E"/>
    <w:rsid w:val="01CD2E9D"/>
    <w:rsid w:val="02257485"/>
    <w:rsid w:val="023B7AFE"/>
    <w:rsid w:val="03642F3A"/>
    <w:rsid w:val="0652201E"/>
    <w:rsid w:val="07733ED3"/>
    <w:rsid w:val="079A26F9"/>
    <w:rsid w:val="0804293C"/>
    <w:rsid w:val="09C37472"/>
    <w:rsid w:val="0AFF60DE"/>
    <w:rsid w:val="0C981A08"/>
    <w:rsid w:val="0D2622BF"/>
    <w:rsid w:val="0D6026F2"/>
    <w:rsid w:val="0D6975D2"/>
    <w:rsid w:val="0DBB294B"/>
    <w:rsid w:val="0DD3723A"/>
    <w:rsid w:val="0EE97B8E"/>
    <w:rsid w:val="0EED42F1"/>
    <w:rsid w:val="0F0F0F63"/>
    <w:rsid w:val="0FDD7B3F"/>
    <w:rsid w:val="109630D4"/>
    <w:rsid w:val="117A1DF7"/>
    <w:rsid w:val="11A93813"/>
    <w:rsid w:val="12F9459F"/>
    <w:rsid w:val="13706DBD"/>
    <w:rsid w:val="13C72FDB"/>
    <w:rsid w:val="144362BE"/>
    <w:rsid w:val="14737324"/>
    <w:rsid w:val="148D6DCE"/>
    <w:rsid w:val="1496763A"/>
    <w:rsid w:val="14A37090"/>
    <w:rsid w:val="16884EA2"/>
    <w:rsid w:val="176C0575"/>
    <w:rsid w:val="17B30CC5"/>
    <w:rsid w:val="17CD65DD"/>
    <w:rsid w:val="1A464258"/>
    <w:rsid w:val="1BFD3750"/>
    <w:rsid w:val="1C0D0E22"/>
    <w:rsid w:val="1CA75985"/>
    <w:rsid w:val="1D3D2567"/>
    <w:rsid w:val="1D9A4838"/>
    <w:rsid w:val="1DD64980"/>
    <w:rsid w:val="1DE978C4"/>
    <w:rsid w:val="1ED878F4"/>
    <w:rsid w:val="20AB5326"/>
    <w:rsid w:val="24B72FF5"/>
    <w:rsid w:val="24E915BF"/>
    <w:rsid w:val="27821D05"/>
    <w:rsid w:val="27FE437C"/>
    <w:rsid w:val="284941DC"/>
    <w:rsid w:val="2A5C4C80"/>
    <w:rsid w:val="2A9B65A1"/>
    <w:rsid w:val="2AA71F8F"/>
    <w:rsid w:val="2BBB0CAB"/>
    <w:rsid w:val="2C2B746F"/>
    <w:rsid w:val="2C8B3664"/>
    <w:rsid w:val="2E5B51FD"/>
    <w:rsid w:val="2E5C09FD"/>
    <w:rsid w:val="2EC8588E"/>
    <w:rsid w:val="2F0F4330"/>
    <w:rsid w:val="2F9D4845"/>
    <w:rsid w:val="30033BF1"/>
    <w:rsid w:val="301A7EDF"/>
    <w:rsid w:val="30A11399"/>
    <w:rsid w:val="30A11FCF"/>
    <w:rsid w:val="32493792"/>
    <w:rsid w:val="32BA2D96"/>
    <w:rsid w:val="34AE374B"/>
    <w:rsid w:val="35100CAA"/>
    <w:rsid w:val="35AD3EF5"/>
    <w:rsid w:val="35B07A97"/>
    <w:rsid w:val="35B53B02"/>
    <w:rsid w:val="35E717ED"/>
    <w:rsid w:val="36DC44A4"/>
    <w:rsid w:val="371619FA"/>
    <w:rsid w:val="373607C6"/>
    <w:rsid w:val="396963F9"/>
    <w:rsid w:val="398F18A7"/>
    <w:rsid w:val="3A4B28EC"/>
    <w:rsid w:val="3A860534"/>
    <w:rsid w:val="3AB0548E"/>
    <w:rsid w:val="3B7E06C6"/>
    <w:rsid w:val="3C99413F"/>
    <w:rsid w:val="3E0D4F54"/>
    <w:rsid w:val="3FB66E29"/>
    <w:rsid w:val="4057096D"/>
    <w:rsid w:val="40E9662B"/>
    <w:rsid w:val="40F12E27"/>
    <w:rsid w:val="417325FA"/>
    <w:rsid w:val="41E424CB"/>
    <w:rsid w:val="42745016"/>
    <w:rsid w:val="42747AC2"/>
    <w:rsid w:val="45107DD5"/>
    <w:rsid w:val="454D157F"/>
    <w:rsid w:val="4748383D"/>
    <w:rsid w:val="483327C3"/>
    <w:rsid w:val="484A2A04"/>
    <w:rsid w:val="48FE1123"/>
    <w:rsid w:val="4918629F"/>
    <w:rsid w:val="4A895B10"/>
    <w:rsid w:val="4B4635F5"/>
    <w:rsid w:val="4BA17E79"/>
    <w:rsid w:val="4D6F2CBC"/>
    <w:rsid w:val="4E6F2656"/>
    <w:rsid w:val="4EC04089"/>
    <w:rsid w:val="50C40376"/>
    <w:rsid w:val="551D69F3"/>
    <w:rsid w:val="55213467"/>
    <w:rsid w:val="552C60AE"/>
    <w:rsid w:val="55423AE9"/>
    <w:rsid w:val="55765394"/>
    <w:rsid w:val="559346D9"/>
    <w:rsid w:val="55CD5ACF"/>
    <w:rsid w:val="55D41375"/>
    <w:rsid w:val="562D6438"/>
    <w:rsid w:val="570D2635"/>
    <w:rsid w:val="57321D93"/>
    <w:rsid w:val="5785131D"/>
    <w:rsid w:val="59115A9D"/>
    <w:rsid w:val="5927426C"/>
    <w:rsid w:val="59340BFE"/>
    <w:rsid w:val="59B06C06"/>
    <w:rsid w:val="5A482C64"/>
    <w:rsid w:val="5AB00F9E"/>
    <w:rsid w:val="5BAB69DB"/>
    <w:rsid w:val="5C4442F2"/>
    <w:rsid w:val="5C727A2A"/>
    <w:rsid w:val="5CCF49AE"/>
    <w:rsid w:val="5CD379FF"/>
    <w:rsid w:val="5D477BB9"/>
    <w:rsid w:val="5D520EA4"/>
    <w:rsid w:val="5DB53F06"/>
    <w:rsid w:val="5DBC5230"/>
    <w:rsid w:val="5DFB2CE6"/>
    <w:rsid w:val="5FCA2E7D"/>
    <w:rsid w:val="5FCD53E2"/>
    <w:rsid w:val="60755A9B"/>
    <w:rsid w:val="607C7F63"/>
    <w:rsid w:val="614A4B79"/>
    <w:rsid w:val="62256567"/>
    <w:rsid w:val="6292525E"/>
    <w:rsid w:val="62CD7249"/>
    <w:rsid w:val="640038EE"/>
    <w:rsid w:val="64EA2CC0"/>
    <w:rsid w:val="656D5A41"/>
    <w:rsid w:val="66A36C22"/>
    <w:rsid w:val="68133FA1"/>
    <w:rsid w:val="69DB7ED9"/>
    <w:rsid w:val="6B1322D3"/>
    <w:rsid w:val="6B3C6816"/>
    <w:rsid w:val="6BC54C0A"/>
    <w:rsid w:val="6DA76189"/>
    <w:rsid w:val="6DEA209F"/>
    <w:rsid w:val="6E3D3992"/>
    <w:rsid w:val="70404545"/>
    <w:rsid w:val="708E3211"/>
    <w:rsid w:val="70A46938"/>
    <w:rsid w:val="71570483"/>
    <w:rsid w:val="718E5927"/>
    <w:rsid w:val="71ED2F81"/>
    <w:rsid w:val="725310CC"/>
    <w:rsid w:val="72827E86"/>
    <w:rsid w:val="755440B2"/>
    <w:rsid w:val="75BC2C57"/>
    <w:rsid w:val="762E00DE"/>
    <w:rsid w:val="768E15B5"/>
    <w:rsid w:val="77374253"/>
    <w:rsid w:val="776E4D1A"/>
    <w:rsid w:val="7A3A3C5D"/>
    <w:rsid w:val="7A5423D9"/>
    <w:rsid w:val="7B40242B"/>
    <w:rsid w:val="7BA57168"/>
    <w:rsid w:val="7C433F8A"/>
    <w:rsid w:val="7C9A726F"/>
    <w:rsid w:val="7CDF1A1D"/>
    <w:rsid w:val="7E76666C"/>
    <w:rsid w:val="7F075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2">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semiHidden/>
    <w:unhideWhenUsed/>
    <w:qFormat/>
    <w:uiPriority w:val="9"/>
    <w:pPr>
      <w:keepNext/>
      <w:keepLines/>
      <w:spacing w:before="280" w:after="290"/>
      <w:jc w:val="center"/>
      <w:outlineLvl w:val="4"/>
    </w:pPr>
    <w:rPr>
      <w:rFonts w:ascii="Calibri" w:hAnsi="Calibri"/>
      <w:b/>
      <w:bCs/>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9"/>
    <w:qFormat/>
    <w:uiPriority w:val="0"/>
    <w:rPr>
      <w:rFonts w:ascii="Times New Roman" w:hAnsi="Times New Roman" w:eastAsia="宋体" w:cs="Times New Roman"/>
      <w:color w:val="FF0000"/>
      <w:sz w:val="24"/>
      <w:szCs w:val="24"/>
    </w:rPr>
  </w:style>
  <w:style w:type="paragraph" w:styleId="10">
    <w:name w:val="Body Text"/>
    <w:basedOn w:val="1"/>
    <w:next w:val="11"/>
    <w:link w:val="40"/>
    <w:semiHidden/>
    <w:unhideWhenUsed/>
    <w:qFormat/>
    <w:uiPriority w:val="99"/>
    <w:pPr>
      <w:spacing w:after="120"/>
    </w:pPr>
  </w:style>
  <w:style w:type="paragraph" w:customStyle="1" w:styleId="11">
    <w:name w:val="style4"/>
    <w:basedOn w:val="1"/>
    <w:next w:val="12"/>
    <w:qFormat/>
    <w:uiPriority w:val="0"/>
    <w:pPr>
      <w:widowControl/>
      <w:spacing w:before="280" w:after="280"/>
    </w:pPr>
    <w:rPr>
      <w:rFonts w:ascii="宋体" w:hAnsi="Times New Roman" w:eastAsia="宋体" w:cs="Times New Roman"/>
      <w:sz w:val="18"/>
    </w:rPr>
  </w:style>
  <w:style w:type="paragraph" w:customStyle="1" w:styleId="1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next w:val="14"/>
    <w:link w:val="42"/>
    <w:qFormat/>
    <w:uiPriority w:val="0"/>
    <w:pPr>
      <w:adjustRightInd w:val="0"/>
      <w:spacing w:after="120" w:line="360" w:lineRule="atLeast"/>
      <w:ind w:left="420" w:leftChars="200"/>
      <w:jc w:val="left"/>
      <w:textAlignment w:val="baseline"/>
    </w:pPr>
    <w:rPr>
      <w:kern w:val="0"/>
      <w:sz w:val="24"/>
      <w:szCs w:val="20"/>
    </w:rPr>
  </w:style>
  <w:style w:type="paragraph" w:styleId="14">
    <w:name w:val="Body Text First Indent 2"/>
    <w:basedOn w:val="13"/>
    <w:next w:val="1"/>
    <w:link w:val="65"/>
    <w:semiHidden/>
    <w:unhideWhenUsed/>
    <w:qFormat/>
    <w:uiPriority w:val="99"/>
    <w:pPr>
      <w:adjustRightInd/>
      <w:spacing w:line="240" w:lineRule="auto"/>
      <w:ind w:firstLine="420" w:firstLineChars="200"/>
      <w:jc w:val="both"/>
      <w:textAlignment w:val="auto"/>
    </w:pPr>
    <w:rPr>
      <w:kern w:val="2"/>
      <w:sz w:val="21"/>
      <w:szCs w:val="22"/>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3"/>
    <w:qFormat/>
    <w:uiPriority w:val="0"/>
    <w:rPr>
      <w:rFonts w:eastAsia="宋体"/>
      <w:sz w:val="24"/>
    </w:rPr>
  </w:style>
  <w:style w:type="paragraph" w:styleId="18">
    <w:name w:val="Date"/>
    <w:basedOn w:val="1"/>
    <w:next w:val="1"/>
    <w:link w:val="44"/>
    <w:unhideWhenUsed/>
    <w:qFormat/>
    <w:uiPriority w:val="99"/>
    <w:pPr>
      <w:ind w:left="100" w:leftChars="2500"/>
    </w:pPr>
  </w:style>
  <w:style w:type="paragraph" w:styleId="19">
    <w:name w:val="Balloon Text"/>
    <w:basedOn w:val="1"/>
    <w:link w:val="46"/>
    <w:semiHidden/>
    <w:unhideWhenUsed/>
    <w:qFormat/>
    <w:uiPriority w:val="99"/>
    <w:rPr>
      <w:sz w:val="18"/>
      <w:szCs w:val="18"/>
    </w:rPr>
  </w:style>
  <w:style w:type="paragraph" w:styleId="20">
    <w:name w:val="footer"/>
    <w:basedOn w:val="1"/>
    <w:link w:val="47"/>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0"/>
    <w:next w:val="14"/>
    <w:link w:val="51"/>
    <w:qFormat/>
    <w:uiPriority w:val="0"/>
    <w:pPr>
      <w:ind w:firstLine="420" w:firstLineChars="100"/>
    </w:pPr>
    <w:rPr>
      <w:rFonts w:ascii="宋体" w:hAnsi="Times New Roman" w:eastAsia="宋体" w:cs="Times New Roman"/>
      <w:kern w:val="0"/>
      <w:sz w:val="34"/>
      <w:szCs w:val="20"/>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Emphasis"/>
    <w:basedOn w:val="29"/>
    <w:qFormat/>
    <w:uiPriority w:val="20"/>
    <w:rPr>
      <w:i/>
      <w:iCs/>
    </w:rPr>
  </w:style>
  <w:style w:type="character" w:styleId="32">
    <w:name w:val="Hyperlink"/>
    <w:basedOn w:val="29"/>
    <w:unhideWhenUsed/>
    <w:qFormat/>
    <w:uiPriority w:val="0"/>
    <w:rPr>
      <w:color w:val="0000FF"/>
      <w:u w:val="single"/>
    </w:rPr>
  </w:style>
  <w:style w:type="paragraph" w:customStyle="1" w:styleId="33">
    <w:name w:val="列出段落1"/>
    <w:basedOn w:val="1"/>
    <w:qFormat/>
    <w:uiPriority w:val="0"/>
    <w:pPr>
      <w:ind w:firstLine="420" w:firstLineChars="200"/>
    </w:pPr>
  </w:style>
  <w:style w:type="paragraph" w:customStyle="1" w:styleId="34">
    <w:name w:val="*正文"/>
    <w:basedOn w:val="1"/>
    <w:qFormat/>
    <w:uiPriority w:val="0"/>
    <w:pPr>
      <w:keepNext/>
      <w:keepLines/>
      <w:spacing w:line="360" w:lineRule="auto"/>
      <w:ind w:firstLine="200" w:firstLineChars="200"/>
    </w:pPr>
    <w:rPr>
      <w:rFonts w:ascii="宋体" w:hAnsi="宋体"/>
    </w:rPr>
  </w:style>
  <w:style w:type="character" w:customStyle="1" w:styleId="35">
    <w:name w:val="标题 1 Char"/>
    <w:basedOn w:val="29"/>
    <w:link w:val="3"/>
    <w:qFormat/>
    <w:uiPriority w:val="0"/>
    <w:rPr>
      <w:rFonts w:ascii="Calibri" w:hAnsi="Calibri" w:eastAsia="宋体" w:cs="Times New Roman"/>
      <w:b/>
      <w:bCs/>
      <w:kern w:val="44"/>
      <w:sz w:val="44"/>
      <w:szCs w:val="44"/>
    </w:rPr>
  </w:style>
  <w:style w:type="character" w:customStyle="1" w:styleId="36">
    <w:name w:val="标题 2 Char"/>
    <w:basedOn w:val="29"/>
    <w:link w:val="4"/>
    <w:qFormat/>
    <w:uiPriority w:val="0"/>
    <w:rPr>
      <w:rFonts w:ascii="Arial" w:hAnsi="Arial" w:eastAsia="黑体" w:cs="Times New Roman"/>
      <w:b/>
      <w:bCs/>
      <w:kern w:val="0"/>
      <w:sz w:val="32"/>
      <w:szCs w:val="32"/>
    </w:rPr>
  </w:style>
  <w:style w:type="character" w:customStyle="1" w:styleId="37">
    <w:name w:val="标题 3 Char"/>
    <w:basedOn w:val="29"/>
    <w:link w:val="5"/>
    <w:qFormat/>
    <w:uiPriority w:val="0"/>
    <w:rPr>
      <w:rFonts w:ascii="宋体" w:hAnsi="宋体" w:eastAsia="宋体" w:cs="Times New Roman"/>
      <w:b/>
      <w:color w:val="000000"/>
      <w:kern w:val="0"/>
      <w:sz w:val="24"/>
      <w:szCs w:val="20"/>
      <w:lang w:val="en-GB"/>
    </w:rPr>
  </w:style>
  <w:style w:type="character" w:customStyle="1" w:styleId="38">
    <w:name w:val="标题 4 Char"/>
    <w:basedOn w:val="29"/>
    <w:link w:val="2"/>
    <w:qFormat/>
    <w:uiPriority w:val="0"/>
    <w:rPr>
      <w:rFonts w:ascii="Arial" w:hAnsi="Arial" w:eastAsia="黑体" w:cs="Times New Roman"/>
      <w:b/>
      <w:bCs/>
      <w:kern w:val="0"/>
      <w:sz w:val="28"/>
      <w:szCs w:val="28"/>
    </w:rPr>
  </w:style>
  <w:style w:type="character" w:customStyle="1" w:styleId="39">
    <w:name w:val="正文文本 3 Char"/>
    <w:basedOn w:val="29"/>
    <w:link w:val="9"/>
    <w:qFormat/>
    <w:uiPriority w:val="0"/>
    <w:rPr>
      <w:rFonts w:ascii="Times New Roman" w:hAnsi="Times New Roman" w:eastAsia="宋体" w:cs="Times New Roman"/>
      <w:color w:val="FF0000"/>
      <w:sz w:val="24"/>
      <w:szCs w:val="24"/>
    </w:rPr>
  </w:style>
  <w:style w:type="character" w:customStyle="1" w:styleId="40">
    <w:name w:val="正文文本 Char"/>
    <w:basedOn w:val="29"/>
    <w:link w:val="10"/>
    <w:semiHidden/>
    <w:qFormat/>
    <w:uiPriority w:val="99"/>
  </w:style>
  <w:style w:type="character" w:customStyle="1" w:styleId="41">
    <w:name w:val="正文文本缩进 Char"/>
    <w:basedOn w:val="29"/>
    <w:link w:val="13"/>
    <w:qFormat/>
    <w:uiPriority w:val="0"/>
  </w:style>
  <w:style w:type="character" w:customStyle="1" w:styleId="42">
    <w:name w:val="正文文本缩进 Char1"/>
    <w:basedOn w:val="29"/>
    <w:link w:val="13"/>
    <w:qFormat/>
    <w:uiPriority w:val="0"/>
    <w:rPr>
      <w:kern w:val="0"/>
      <w:sz w:val="24"/>
      <w:szCs w:val="20"/>
    </w:rPr>
  </w:style>
  <w:style w:type="character" w:customStyle="1" w:styleId="43">
    <w:name w:val="纯文本 Char"/>
    <w:basedOn w:val="29"/>
    <w:link w:val="17"/>
    <w:qFormat/>
    <w:uiPriority w:val="0"/>
    <w:rPr>
      <w:rFonts w:eastAsia="宋体"/>
      <w:sz w:val="24"/>
    </w:rPr>
  </w:style>
  <w:style w:type="character" w:customStyle="1" w:styleId="44">
    <w:name w:val="日期 Char"/>
    <w:basedOn w:val="29"/>
    <w:link w:val="18"/>
    <w:qFormat/>
    <w:uiPriority w:val="99"/>
  </w:style>
  <w:style w:type="character" w:customStyle="1" w:styleId="45">
    <w:name w:val="批注框文本 Char"/>
    <w:basedOn w:val="29"/>
    <w:link w:val="19"/>
    <w:semiHidden/>
    <w:qFormat/>
    <w:uiPriority w:val="99"/>
    <w:rPr>
      <w:sz w:val="18"/>
      <w:szCs w:val="18"/>
    </w:rPr>
  </w:style>
  <w:style w:type="character" w:customStyle="1" w:styleId="46">
    <w:name w:val="批注框文本 Char1"/>
    <w:basedOn w:val="29"/>
    <w:link w:val="19"/>
    <w:semiHidden/>
    <w:qFormat/>
    <w:uiPriority w:val="99"/>
    <w:rPr>
      <w:sz w:val="18"/>
      <w:szCs w:val="18"/>
    </w:rPr>
  </w:style>
  <w:style w:type="character" w:customStyle="1" w:styleId="47">
    <w:name w:val="页脚 Char"/>
    <w:basedOn w:val="29"/>
    <w:link w:val="20"/>
    <w:qFormat/>
    <w:uiPriority w:val="99"/>
    <w:rPr>
      <w:sz w:val="18"/>
      <w:szCs w:val="18"/>
    </w:rPr>
  </w:style>
  <w:style w:type="character" w:customStyle="1" w:styleId="48">
    <w:name w:val="页眉 Char"/>
    <w:basedOn w:val="29"/>
    <w:link w:val="22"/>
    <w:qFormat/>
    <w:uiPriority w:val="99"/>
    <w:rPr>
      <w:sz w:val="18"/>
      <w:szCs w:val="18"/>
    </w:rPr>
  </w:style>
  <w:style w:type="character" w:customStyle="1" w:styleId="49">
    <w:name w:val="HTML 预设格式 Char"/>
    <w:basedOn w:val="29"/>
    <w:link w:val="24"/>
    <w:semiHidden/>
    <w:qFormat/>
    <w:uiPriority w:val="99"/>
    <w:rPr>
      <w:rFonts w:ascii="宋体" w:hAnsi="宋体" w:eastAsia="宋体" w:cs="宋体"/>
      <w:kern w:val="0"/>
      <w:sz w:val="24"/>
      <w:szCs w:val="24"/>
    </w:rPr>
  </w:style>
  <w:style w:type="character" w:customStyle="1" w:styleId="50">
    <w:name w:val="HTML 预设格式 Char1"/>
    <w:basedOn w:val="29"/>
    <w:link w:val="24"/>
    <w:semiHidden/>
    <w:qFormat/>
    <w:uiPriority w:val="99"/>
    <w:rPr>
      <w:rFonts w:ascii="Courier New" w:hAnsi="Courier New" w:cs="Courier New"/>
      <w:sz w:val="20"/>
      <w:szCs w:val="20"/>
    </w:rPr>
  </w:style>
  <w:style w:type="character" w:customStyle="1" w:styleId="51">
    <w:name w:val="正文首行缩进 Char"/>
    <w:basedOn w:val="40"/>
    <w:link w:val="26"/>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9"/>
    <w:qFormat/>
    <w:uiPriority w:val="0"/>
  </w:style>
  <w:style w:type="paragraph" w:customStyle="1" w:styleId="6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正文首行缩进 2 Char"/>
    <w:basedOn w:val="42"/>
    <w:link w:val="14"/>
    <w:semiHidden/>
    <w:qFormat/>
    <w:uiPriority w:val="99"/>
    <w:rPr>
      <w:kern w:val="2"/>
      <w:sz w:val="21"/>
      <w:szCs w:val="22"/>
    </w:rPr>
  </w:style>
  <w:style w:type="paragraph" w:customStyle="1" w:styleId="66">
    <w:name w:val="List Paragraph1"/>
    <w:basedOn w:val="1"/>
    <w:qFormat/>
    <w:uiPriority w:val="0"/>
    <w:pPr>
      <w:ind w:firstLine="420" w:firstLineChars="200"/>
    </w:pPr>
    <w:rPr>
      <w:rFonts w:ascii="Calibri" w:hAnsi="Calibri" w:cs="宋体"/>
    </w:rPr>
  </w:style>
  <w:style w:type="character" w:customStyle="1" w:styleId="67">
    <w:name w:val="font01"/>
    <w:basedOn w:val="29"/>
    <w:qFormat/>
    <w:uiPriority w:val="0"/>
    <w:rPr>
      <w:rFonts w:hint="eastAsia" w:ascii="宋体" w:hAnsi="宋体" w:eastAsia="宋体" w:cs="宋体"/>
      <w:color w:val="000000"/>
      <w:sz w:val="22"/>
      <w:szCs w:val="22"/>
      <w:u w:val="none"/>
    </w:rPr>
  </w:style>
  <w:style w:type="character" w:customStyle="1" w:styleId="68">
    <w:name w:val="font31"/>
    <w:basedOn w:val="29"/>
    <w:qFormat/>
    <w:uiPriority w:val="0"/>
    <w:rPr>
      <w:rFonts w:ascii="Calibri" w:hAnsi="Calibri" w:cs="Calibri"/>
      <w:b/>
      <w:color w:val="000000"/>
      <w:sz w:val="18"/>
      <w:szCs w:val="18"/>
      <w:u w:val="none"/>
    </w:rPr>
  </w:style>
  <w:style w:type="character" w:customStyle="1" w:styleId="69">
    <w:name w:val="font121"/>
    <w:basedOn w:val="29"/>
    <w:qFormat/>
    <w:uiPriority w:val="0"/>
    <w:rPr>
      <w:rFonts w:hint="eastAsia" w:ascii="宋体" w:hAnsi="宋体" w:eastAsia="宋体" w:cs="宋体"/>
      <w:color w:val="000000"/>
      <w:sz w:val="18"/>
      <w:szCs w:val="18"/>
      <w:u w:val="none"/>
    </w:rPr>
  </w:style>
  <w:style w:type="character" w:customStyle="1" w:styleId="70">
    <w:name w:val="font91"/>
    <w:basedOn w:val="29"/>
    <w:qFormat/>
    <w:uiPriority w:val="0"/>
    <w:rPr>
      <w:rFonts w:hint="eastAsia" w:ascii="宋体" w:hAnsi="宋体" w:eastAsia="宋体" w:cs="宋体"/>
      <w:color w:val="000000"/>
      <w:sz w:val="18"/>
      <w:szCs w:val="18"/>
      <w:u w:val="none"/>
    </w:rPr>
  </w:style>
  <w:style w:type="character" w:customStyle="1" w:styleId="71">
    <w:name w:val="font112"/>
    <w:basedOn w:val="29"/>
    <w:qFormat/>
    <w:uiPriority w:val="0"/>
    <w:rPr>
      <w:rFonts w:hint="eastAsia" w:ascii="宋体" w:hAnsi="宋体" w:eastAsia="宋体" w:cs="宋体"/>
      <w:color w:val="FF0000"/>
      <w:sz w:val="18"/>
      <w:szCs w:val="18"/>
      <w:u w:val="none"/>
    </w:rPr>
  </w:style>
  <w:style w:type="character" w:customStyle="1" w:styleId="72">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73">
    <w:name w:val="UserStyle_1"/>
    <w:basedOn w:val="72"/>
    <w:qFormat/>
    <w:uiPriority w:val="0"/>
    <w:rPr>
      <w:rFonts w:ascii="宋体" w:hAnsi="宋体" w:eastAsia="宋体"/>
      <w:color w:val="000000"/>
      <w:sz w:val="24"/>
      <w:szCs w:val="24"/>
    </w:rPr>
  </w:style>
  <w:style w:type="character" w:customStyle="1" w:styleId="74">
    <w:name w:val="UserStyle_0"/>
    <w:basedOn w:val="72"/>
    <w:qFormat/>
    <w:uiPriority w:val="0"/>
    <w:rPr>
      <w:rFonts w:ascii="MS Gothic" w:hAnsi="MS Gothic" w:eastAsia="MS Gothic"/>
      <w:color w:val="000000"/>
      <w:sz w:val="24"/>
      <w:szCs w:val="24"/>
    </w:rPr>
  </w:style>
  <w:style w:type="paragraph" w:customStyle="1" w:styleId="75">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784E3-8471-4A88-856B-70894EBDB99B}">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77</Pages>
  <Words>6250</Words>
  <Characters>35627</Characters>
  <Lines>296</Lines>
  <Paragraphs>83</Paragraphs>
  <TotalTime>13</TotalTime>
  <ScaleCrop>false</ScaleCrop>
  <LinksUpToDate>false</LinksUpToDate>
  <CharactersWithSpaces>41794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许昌丰元咨询管理有限公司:连丹丹</cp:lastModifiedBy>
  <dcterms:modified xsi:type="dcterms:W3CDTF">2021-05-26T07:41:40Z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051091EB99A4474ABD99145219203627</vt:lpwstr>
  </property>
</Properties>
</file>