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CellSpacing w:w="15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0"/>
        <w:gridCol w:w="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81" w:type="dxa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olor w:val="000000"/>
              </w:rPr>
              <w:t>项目概况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禹州市农业农村局2021年高标准农田建设项目设计项目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招标项目的潜在投标人应在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</w:rPr>
              <w:t>1、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</w:rPr>
              <w:t>2、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获取招标文件，并于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</w:rPr>
              <w:t>2021年0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u w:val="none"/>
              </w:rPr>
              <w:t>时30分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（北京时间）前递交响应文件。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81" w:type="dxa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一、项目基本情况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1、项目编号：禹财竞谈-2021-22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2、项目名称：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禹州市农业农村局2021年高标准农田建设项目设计项目（不见面开标）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3、采购方式：竞争性谈判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4、预算金额：448000.00元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1" w:type="dxa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最高限价：448000.00元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tbl>
            <w:tblPr>
              <w:tblStyle w:val="9"/>
              <w:tblW w:w="4500" w:type="pct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7"/>
              <w:gridCol w:w="1907"/>
              <w:gridCol w:w="2567"/>
              <w:gridCol w:w="1214"/>
              <w:gridCol w:w="144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5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包号</w:t>
                  </w:r>
                </w:p>
              </w:tc>
              <w:tc>
                <w:tcPr>
                  <w:tcW w:w="175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包名称</w:t>
                  </w:r>
                </w:p>
              </w:tc>
              <w:tc>
                <w:tcPr>
                  <w:tcW w:w="75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包预算（元）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包最高限价（元）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</w:rPr>
                    <w:t>YZCG-DLT2021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lang w:val="en-US" w:eastAsia="zh-CN"/>
                    </w:rPr>
                    <w:t xml:space="preserve">024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第一标包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448000.00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448000.00</w:t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5、采购需求（包括但不限于标的的名称、数量、简要技术需求或服务要求等）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禹州市农业农村局2021年高标准农田建设项目设计项目</w:t>
            </w:r>
            <w:r>
              <w:rPr>
                <w:rFonts w:hint="eastAsia"/>
                <w:sz w:val="21"/>
                <w:szCs w:val="21"/>
              </w:rPr>
              <w:t>（详见谈判文件第二章项目需求）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6、合同履行期限：10日历天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7、本项目是否接受联合体投标：否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8、是否接受进口产品：否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二、申请人资格要求：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1、满足《中华人民共和国政府采购法》第二十二条规定；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2、落实政府采购政策满足的资格要求：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</w:rPr>
              <w:t>本项目落实节约能源、保护环境、扶持不发达地区和少数民族地区、促进中小企业、监狱企业发展等政府采购政策。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3、本项目的特定资格要求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符合《政府采购法》第二十二条之规定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供应商须具有建设行政主管部门颁发的工程设计综合甲级资质或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农林行业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(农业综合开发生态工程)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乙级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资质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水利行业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设计（灌溉排涝）丙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资质，拟派项目负责人须具有相关专业中级及以上职称，并在人员、设备、资金等方面具有相应的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设计能力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、供应商2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年0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月0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日以来（以合同签订时间为准）须具有类似项目设计业绩；</w:t>
            </w:r>
          </w:p>
          <w:p>
            <w:pPr>
              <w:spacing w:after="120" w:line="360" w:lineRule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、被委托人须是本单位职工，须提供公司为本人缴纳社会保险证明；</w:t>
            </w:r>
          </w:p>
          <w:p>
            <w:pPr>
              <w:spacing w:after="12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、本项目不接受联合体投标。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三、获取采购文件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1.时间：2021年04月27日 至 2021年05月07日，每天上午00:00至12:00，下午12:00至23:59（北京时间，法定节假日除外。）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地点：1、持CA数字认证证书，登录《全国公共资源交易平台（河南省·许昌市）》“系统用户注册”入口http://ggzy.xuchang.gov.cn:8088/ggzy/eps/public/RegistAllJcxx.html）进行免费注册登记（详见“常见问题解答-诚信库网上注册相关资料下载”）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、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3.方式：网上自行下载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4.售价：500元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四、响应文件提交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1.时间：2021年05月08日10时30分（北京时间）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2.地点：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本项目采用网上响应，请符合响应条件的供应商使用CA数字证书加密上传响应文件。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五、响应文件开启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1.时间：2021年05月08日10时30分（北京时间）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2.地点：</w:t>
            </w:r>
            <w:r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六、发布公告的媒介及招标公告期限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本次招标公告在《河南省政府采购网》、《许昌市政府采购网》、《全国公共资源交易平台（河南省·许昌市）》上发布。 招标公告期限为三个工作日2021年04月28日至2021年05月07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日。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七、其他补充事宜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八、凡对本次招标提出询问，请按照以下方式联系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 采购人信息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禹州市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农业农村局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禹州市禹王大道西段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和先生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13938781222 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2.采购代理机构信息（如有）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中科高盛咨询集团有限公司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郑州市商务内环龙湖大厦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女士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0371-53626688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3.项目联系方式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项目联系人：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女士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0371-53626688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77F8A"/>
    <w:rsid w:val="4BD01131"/>
    <w:rsid w:val="60297589"/>
    <w:rsid w:val="713675BD"/>
    <w:rsid w:val="787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6">
    <w:name w:val="Body Text Indent"/>
    <w:basedOn w:val="1"/>
    <w:next w:val="7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(Web)"/>
    <w:basedOn w:val="1"/>
    <w:uiPriority w:val="0"/>
    <w:rPr>
      <w:sz w:val="24"/>
    </w:rPr>
  </w:style>
  <w:style w:type="character" w:styleId="11">
    <w:name w:val="FollowedHyperlink"/>
    <w:basedOn w:val="10"/>
    <w:qFormat/>
    <w:uiPriority w:val="0"/>
    <w:rPr>
      <w:color w:val="000000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uiPriority w:val="0"/>
    <w:rPr>
      <w:color w:val="000000"/>
      <w:u w:val="none"/>
    </w:rPr>
  </w:style>
  <w:style w:type="character" w:customStyle="1" w:styleId="14">
    <w:name w:val="hover"/>
    <w:basedOn w:val="10"/>
    <w:qFormat/>
    <w:uiPriority w:val="0"/>
  </w:style>
  <w:style w:type="character" w:customStyle="1" w:styleId="15">
    <w:name w:val="red"/>
    <w:basedOn w:val="10"/>
    <w:uiPriority w:val="0"/>
    <w:rPr>
      <w:color w:val="FF0000"/>
      <w:sz w:val="18"/>
      <w:szCs w:val="18"/>
    </w:rPr>
  </w:style>
  <w:style w:type="character" w:customStyle="1" w:styleId="16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17">
    <w:name w:val="red2"/>
    <w:basedOn w:val="10"/>
    <w:qFormat/>
    <w:uiPriority w:val="0"/>
    <w:rPr>
      <w:color w:val="CC0000"/>
    </w:rPr>
  </w:style>
  <w:style w:type="character" w:customStyle="1" w:styleId="18">
    <w:name w:val="red3"/>
    <w:basedOn w:val="10"/>
    <w:qFormat/>
    <w:uiPriority w:val="0"/>
    <w:rPr>
      <w:color w:val="FF0000"/>
    </w:rPr>
  </w:style>
  <w:style w:type="character" w:customStyle="1" w:styleId="19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20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1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22">
    <w:name w:val="gb-jt"/>
    <w:basedOn w:val="10"/>
    <w:qFormat/>
    <w:uiPriority w:val="0"/>
  </w:style>
  <w:style w:type="character" w:customStyle="1" w:styleId="23">
    <w:name w:val="right"/>
    <w:basedOn w:val="10"/>
    <w:qFormat/>
    <w:uiPriority w:val="0"/>
    <w:rPr>
      <w:color w:val="999999"/>
      <w:sz w:val="18"/>
      <w:szCs w:val="18"/>
    </w:rPr>
  </w:style>
  <w:style w:type="character" w:customStyle="1" w:styleId="24">
    <w:name w:val="active4"/>
    <w:basedOn w:val="10"/>
    <w:qFormat/>
    <w:uiPriority w:val="0"/>
    <w:rPr>
      <w:color w:val="FFFFFF"/>
      <w:shd w:val="clear" w:fill="2B7AFC"/>
    </w:rPr>
  </w:style>
  <w:style w:type="character" w:customStyle="1" w:styleId="25">
    <w:name w:val="hover2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dcterms:modified xsi:type="dcterms:W3CDTF">2021-04-28T06:43:24Z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15BA4FEBAFC640B7A2CC6166417B7C8E</vt:lpwstr>
  </property>
</Properties>
</file>