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
          <w:sz w:val="32"/>
          <w:szCs w:val="32"/>
        </w:rPr>
      </w:pPr>
      <w:r>
        <w:rPr>
          <w:rFonts w:hint="eastAsia" w:cs="黑体" w:asciiTheme="minorEastAsia" w:hAnsiTheme="minorEastAsia"/>
          <w:b/>
          <w:sz w:val="32"/>
          <w:szCs w:val="32"/>
        </w:rPr>
        <w:t>鄢陵县农业农村局鄢陵县2020年旱作节水农业技术推广项目</w:t>
      </w:r>
    </w:p>
    <w:p>
      <w:pPr>
        <w:jc w:val="center"/>
        <w:rPr>
          <w:rFonts w:cs="黑体" w:asciiTheme="minorEastAsia" w:hAnsiTheme="minorEastAsia"/>
          <w:b/>
          <w:sz w:val="32"/>
          <w:szCs w:val="32"/>
        </w:rPr>
      </w:pPr>
      <w:r>
        <w:rPr>
          <w:rFonts w:hint="eastAsia" w:cs="黑体" w:asciiTheme="minorEastAsia" w:hAnsiTheme="minorEastAsia"/>
          <w:b/>
          <w:sz w:val="32"/>
          <w:szCs w:val="32"/>
        </w:rPr>
        <w:t>（不见面开标）</w:t>
      </w:r>
    </w:p>
    <w:p>
      <w:pPr>
        <w:rPr>
          <w:rFonts w:cs="黑体" w:asciiTheme="minorEastAsia" w:hAnsiTheme="minorEastAsia"/>
          <w:bCs/>
          <w:sz w:val="44"/>
          <w:szCs w:val="44"/>
        </w:rPr>
      </w:pPr>
    </w:p>
    <w:p>
      <w:pPr>
        <w:jc w:val="center"/>
        <w:rPr>
          <w:rFonts w:cs="黑体" w:asciiTheme="minorEastAsia" w:hAnsiTheme="minorEastAsia"/>
          <w:bCs/>
          <w:sz w:val="44"/>
          <w:szCs w:val="44"/>
        </w:rPr>
      </w:pPr>
    </w:p>
    <w:p>
      <w:pPr>
        <w:jc w:val="center"/>
        <w:rPr>
          <w:rFonts w:cs="黑体" w:asciiTheme="minorEastAsia" w:hAnsiTheme="minorEastAsia"/>
          <w:bCs/>
          <w:sz w:val="72"/>
          <w:szCs w:val="72"/>
        </w:rPr>
      </w:pPr>
    </w:p>
    <w:p>
      <w:pPr>
        <w:spacing w:line="312" w:lineRule="auto"/>
        <w:jc w:val="center"/>
        <w:rPr>
          <w:rFonts w:ascii="宋体" w:hAnsi="宋体" w:eastAsia="宋体" w:cs="宋体"/>
          <w:b/>
          <w:bCs/>
          <w:sz w:val="72"/>
          <w:szCs w:val="72"/>
          <w:shd w:val="clear" w:color="auto" w:fill="FFFFFF"/>
        </w:rPr>
      </w:pPr>
      <w:r>
        <w:rPr>
          <w:rFonts w:hint="eastAsia" w:ascii="宋体" w:hAnsi="宋体" w:eastAsia="宋体" w:cs="宋体"/>
          <w:b/>
          <w:bCs/>
          <w:sz w:val="72"/>
          <w:szCs w:val="72"/>
          <w:shd w:val="clear" w:color="auto" w:fill="FFFFFF"/>
        </w:rPr>
        <w:t>招标文件</w:t>
      </w:r>
    </w:p>
    <w:p>
      <w:pPr>
        <w:jc w:val="left"/>
        <w:rPr>
          <w:rFonts w:cs="仿宋" w:asciiTheme="minorEastAsia" w:hAnsiTheme="minorEastAsia"/>
          <w:sz w:val="32"/>
          <w:szCs w:val="32"/>
        </w:rPr>
      </w:pPr>
    </w:p>
    <w:p>
      <w:pPr>
        <w:jc w:val="left"/>
        <w:rPr>
          <w:rFonts w:cs="仿宋" w:asciiTheme="minorEastAsia" w:hAnsiTheme="minorEastAsia"/>
          <w:sz w:val="32"/>
          <w:szCs w:val="32"/>
        </w:rPr>
      </w:pPr>
    </w:p>
    <w:p>
      <w:pPr>
        <w:jc w:val="left"/>
        <w:rPr>
          <w:rFonts w:cs="仿宋" w:asciiTheme="minorEastAsia" w:hAnsiTheme="minorEastAsia"/>
          <w:sz w:val="32"/>
          <w:szCs w:val="32"/>
        </w:rPr>
      </w:pPr>
    </w:p>
    <w:p>
      <w:pPr>
        <w:widowControl/>
        <w:spacing w:line="360" w:lineRule="auto"/>
        <w:ind w:firstLine="2400" w:firstLineChars="750"/>
        <w:rPr>
          <w:rFonts w:cs="黑体" w:asciiTheme="minorEastAsia" w:hAnsiTheme="minorEastAsia"/>
          <w:sz w:val="32"/>
          <w:szCs w:val="32"/>
        </w:rPr>
      </w:pPr>
      <w:r>
        <w:rPr>
          <w:rFonts w:hint="eastAsia" w:cs="黑体" w:asciiTheme="minorEastAsia" w:hAnsiTheme="minorEastAsia"/>
          <w:sz w:val="32"/>
          <w:szCs w:val="32"/>
        </w:rPr>
        <w:t>项目编号：Y2021HZ065</w:t>
      </w:r>
    </w:p>
    <w:p>
      <w:pPr>
        <w:ind w:firstLine="2400" w:firstLineChars="750"/>
        <w:rPr>
          <w:rFonts w:cs="黑体" w:asciiTheme="minorEastAsia" w:hAnsiTheme="minorEastAsia"/>
          <w:sz w:val="32"/>
          <w:szCs w:val="32"/>
        </w:rPr>
      </w:pPr>
      <w:r>
        <w:rPr>
          <w:rFonts w:hint="eastAsia" w:cs="黑体" w:asciiTheme="minorEastAsia" w:hAnsiTheme="minorEastAsia"/>
          <w:sz w:val="32"/>
          <w:szCs w:val="32"/>
        </w:rPr>
        <w:t>招标编号：2021-03-16</w:t>
      </w:r>
    </w:p>
    <w:p>
      <w:pPr>
        <w:jc w:val="center"/>
        <w:rPr>
          <w:rFonts w:cs="黑体" w:asciiTheme="minorEastAsia" w:hAnsiTheme="minorEastAsia"/>
          <w:sz w:val="32"/>
          <w:szCs w:val="32"/>
        </w:rPr>
      </w:pPr>
    </w:p>
    <w:p>
      <w:pPr>
        <w:spacing w:line="560" w:lineRule="exact"/>
        <w:ind w:right="960"/>
        <w:jc w:val="left"/>
        <w:rPr>
          <w:rFonts w:cs="黑体" w:asciiTheme="minorEastAsia" w:hAnsiTheme="minorEastAsia"/>
          <w:sz w:val="32"/>
          <w:szCs w:val="32"/>
        </w:rPr>
      </w:pPr>
    </w:p>
    <w:p>
      <w:pPr>
        <w:spacing w:line="560" w:lineRule="exact"/>
        <w:ind w:right="960"/>
        <w:jc w:val="left"/>
        <w:rPr>
          <w:rFonts w:cs="黑体" w:asciiTheme="minorEastAsia" w:hAnsiTheme="minorEastAsia"/>
          <w:sz w:val="32"/>
          <w:szCs w:val="32"/>
        </w:rPr>
      </w:pPr>
    </w:p>
    <w:p>
      <w:pPr>
        <w:spacing w:line="560" w:lineRule="exact"/>
        <w:ind w:right="960"/>
        <w:jc w:val="left"/>
        <w:rPr>
          <w:rFonts w:cs="黑体" w:asciiTheme="minorEastAsia" w:hAnsiTheme="minorEastAsia"/>
          <w:sz w:val="32"/>
          <w:szCs w:val="32"/>
        </w:rPr>
      </w:pPr>
    </w:p>
    <w:p>
      <w:pPr>
        <w:spacing w:line="560" w:lineRule="exact"/>
        <w:ind w:right="960"/>
        <w:jc w:val="left"/>
        <w:rPr>
          <w:rFonts w:cs="黑体" w:asciiTheme="minorEastAsia" w:hAnsiTheme="minorEastAsia"/>
          <w:sz w:val="32"/>
          <w:szCs w:val="32"/>
        </w:rPr>
      </w:pPr>
    </w:p>
    <w:p>
      <w:pPr>
        <w:spacing w:line="360" w:lineRule="auto"/>
        <w:ind w:left="1178" w:leftChars="561" w:firstLine="800" w:firstLineChars="250"/>
        <w:jc w:val="left"/>
        <w:rPr>
          <w:rFonts w:cs="黑体" w:asciiTheme="minorEastAsia" w:hAnsiTheme="minorEastAsia"/>
          <w:sz w:val="32"/>
          <w:szCs w:val="32"/>
        </w:rPr>
      </w:pPr>
      <w:r>
        <w:rPr>
          <w:rFonts w:hint="eastAsia" w:cs="黑体" w:asciiTheme="minorEastAsia" w:hAnsiTheme="minorEastAsia"/>
          <w:sz w:val="32"/>
          <w:szCs w:val="32"/>
        </w:rPr>
        <w:t>采 购 人：鄢陵县农业农村局</w:t>
      </w:r>
    </w:p>
    <w:p>
      <w:pPr>
        <w:spacing w:line="560" w:lineRule="exact"/>
        <w:ind w:right="960" w:firstLine="1920" w:firstLineChars="600"/>
        <w:jc w:val="left"/>
        <w:rPr>
          <w:rFonts w:cs="黑体" w:asciiTheme="minorEastAsia" w:hAnsiTheme="minorEastAsia"/>
          <w:sz w:val="32"/>
          <w:szCs w:val="32"/>
        </w:rPr>
      </w:pPr>
      <w:r>
        <w:rPr>
          <w:rFonts w:hint="eastAsia" w:cs="黑体" w:asciiTheme="minorEastAsia" w:hAnsiTheme="minorEastAsia"/>
          <w:sz w:val="32"/>
          <w:szCs w:val="32"/>
        </w:rPr>
        <w:t>代理机构：驰远工程管理有限公司</w:t>
      </w:r>
    </w:p>
    <w:p>
      <w:pPr>
        <w:spacing w:line="480" w:lineRule="auto"/>
        <w:ind w:firstLine="1920" w:firstLineChars="600"/>
        <w:jc w:val="left"/>
        <w:rPr>
          <w:rFonts w:cs="黑体" w:asciiTheme="minorEastAsia" w:hAnsiTheme="minorEastAsia"/>
          <w:spacing w:val="-6"/>
          <w:sz w:val="32"/>
          <w:szCs w:val="32"/>
        </w:rPr>
      </w:pPr>
      <w:r>
        <w:rPr>
          <w:rFonts w:hint="eastAsia" w:cs="黑体" w:asciiTheme="minorEastAsia" w:hAnsiTheme="minorEastAsia"/>
          <w:sz w:val="32"/>
          <w:szCs w:val="32"/>
        </w:rPr>
        <w:t>日    期：</w:t>
      </w:r>
      <w:r>
        <w:rPr>
          <w:rFonts w:hint="eastAsia" w:cs="黑体" w:asciiTheme="minorEastAsia" w:hAnsiTheme="minorEastAsia"/>
          <w:spacing w:val="-6"/>
          <w:sz w:val="32"/>
          <w:szCs w:val="32"/>
        </w:rPr>
        <w:t xml:space="preserve">二○二一年四月  </w:t>
      </w:r>
    </w:p>
    <w:p>
      <w:pPr>
        <w:rPr>
          <w:rFonts w:asciiTheme="majorEastAsia" w:hAnsiTheme="majorEastAsia" w:eastAsiaTheme="majorEastAsia" w:cstheme="majorEastAsia"/>
          <w:b/>
          <w:bCs/>
          <w:color w:val="000000"/>
          <w:sz w:val="44"/>
          <w:szCs w:val="44"/>
        </w:rPr>
      </w:pPr>
      <w:r>
        <w:rPr>
          <w:rFonts w:cs="黑体" w:asciiTheme="minorEastAsia" w:hAnsiTheme="minorEastAsia"/>
          <w:b/>
          <w:bCs/>
          <w:sz w:val="44"/>
          <w:szCs w:val="44"/>
        </w:rPr>
        <w:br w:type="page"/>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41"/>
        <w:numPr>
          <w:ilvl w:val="0"/>
          <w:numId w:val="4"/>
        </w:numPr>
        <w:ind w:firstLineChars="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2"/>
        <w:widowControl/>
        <w:shd w:val="clear" w:color="auto" w:fill="FFFFFF"/>
        <w:spacing w:line="360" w:lineRule="auto"/>
        <w:ind w:firstLine="420"/>
        <w:contextualSpacing/>
        <w:jc w:val="left"/>
        <w:rPr>
          <w:color w:val="000000"/>
          <w:sz w:val="21"/>
          <w:szCs w:val="21"/>
          <w:u w:val="single"/>
          <w:shd w:val="clear" w:color="auto" w:fill="FFFFFF"/>
        </w:rPr>
      </w:pPr>
      <w:r>
        <w:rPr>
          <w:rFonts w:hint="eastAsia"/>
          <w:color w:val="000000"/>
          <w:sz w:val="21"/>
          <w:szCs w:val="21"/>
          <w:u w:val="single"/>
          <w:shd w:val="clear" w:color="auto" w:fill="FFFFFF"/>
        </w:rPr>
        <w:t>驰远工程管理有限公司（以下简称采购中心）受鄢陵县农业农村局的委托，对“鄢陵县农业农村局鄢陵县2020年旱作节水农业技术推广项目（不见面开标）”项目的相关货物和服务进行国内公开招标。现邀请合格投标人前来投标。</w:t>
      </w:r>
    </w:p>
    <w:p>
      <w:pPr>
        <w:pStyle w:val="22"/>
        <w:widowControl/>
        <w:shd w:val="clear" w:color="auto" w:fill="FFFFFF"/>
        <w:spacing w:line="360" w:lineRule="auto"/>
        <w:ind w:firstLine="413" w:firstLineChars="196"/>
        <w:contextualSpacing/>
        <w:jc w:val="left"/>
        <w:rPr>
          <w:color w:val="000000"/>
          <w:sz w:val="21"/>
          <w:szCs w:val="21"/>
          <w:u w:val="single"/>
          <w:shd w:val="clear" w:color="auto" w:fill="FFFFFF"/>
        </w:rPr>
      </w:pPr>
      <w:r>
        <w:rPr>
          <w:rFonts w:hint="eastAsia" w:cs="黑体" w:asciiTheme="minorEastAsia" w:hAnsiTheme="minorEastAsia" w:eastAsiaTheme="minorEastAsia"/>
          <w:b/>
          <w:bCs/>
          <w:color w:val="000000"/>
          <w:sz w:val="21"/>
          <w:szCs w:val="21"/>
          <w:shd w:val="clear" w:color="auto" w:fill="FFFFFF"/>
        </w:rPr>
        <w:t>一、项目编号：</w:t>
      </w:r>
      <w:r>
        <w:rPr>
          <w:rFonts w:hint="eastAsia" w:cs="黑体" w:asciiTheme="minorEastAsia" w:hAnsiTheme="minorEastAsia" w:eastAsiaTheme="minorEastAsia"/>
          <w:color w:val="000000"/>
          <w:sz w:val="21"/>
          <w:szCs w:val="21"/>
          <w:shd w:val="clear" w:color="auto" w:fill="FFFFFF"/>
        </w:rPr>
        <w:t>Y2021HZ065</w:t>
      </w:r>
    </w:p>
    <w:p>
      <w:pPr>
        <w:pStyle w:val="22"/>
        <w:widowControl/>
        <w:shd w:val="clear" w:color="auto" w:fill="FFFFFF"/>
        <w:spacing w:line="360" w:lineRule="auto"/>
        <w:ind w:firstLine="413" w:firstLineChars="196"/>
        <w:contextualSpacing/>
        <w:jc w:val="left"/>
        <w:rPr>
          <w:color w:val="000000"/>
          <w:sz w:val="21"/>
          <w:szCs w:val="21"/>
          <w:u w:val="single"/>
          <w:shd w:val="clear" w:color="auto" w:fill="FFFFFF"/>
        </w:rPr>
      </w:pPr>
      <w:r>
        <w:rPr>
          <w:rFonts w:hint="eastAsia" w:cs="仿宋_GB2312" w:asciiTheme="minorEastAsia" w:hAnsiTheme="minorEastAsia" w:eastAsiaTheme="minorEastAsia"/>
          <w:b/>
          <w:color w:val="000000"/>
          <w:sz w:val="21"/>
          <w:szCs w:val="21"/>
          <w:shd w:val="clear" w:color="auto" w:fill="FFFFFF"/>
        </w:rPr>
        <w:t>二、项目名称：</w:t>
      </w:r>
      <w:r>
        <w:rPr>
          <w:rFonts w:hint="eastAsia" w:eastAsiaTheme="minorEastAsia"/>
          <w:color w:val="000000"/>
          <w:sz w:val="21"/>
          <w:szCs w:val="21"/>
          <w:u w:val="single"/>
          <w:shd w:val="clear" w:color="auto" w:fill="FFFFFF"/>
        </w:rPr>
        <w:t>鄢陵县农业农村局鄢陵县2020年旱作节水农业技术推广项目</w:t>
      </w:r>
      <w:r>
        <w:rPr>
          <w:rFonts w:hint="eastAsia"/>
          <w:color w:val="000000"/>
          <w:sz w:val="21"/>
          <w:szCs w:val="21"/>
          <w:u w:val="single"/>
          <w:shd w:val="clear" w:color="auto" w:fill="FFFFFF"/>
        </w:rPr>
        <w:t>（不见面开标）</w:t>
      </w:r>
    </w:p>
    <w:p>
      <w:pPr>
        <w:pStyle w:val="22"/>
        <w:widowControl/>
        <w:shd w:val="clear" w:color="auto" w:fill="FFFFFF"/>
        <w:spacing w:line="360" w:lineRule="auto"/>
        <w:ind w:firstLine="413" w:firstLineChars="196"/>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三、采购方式：</w:t>
      </w:r>
      <w:r>
        <w:rPr>
          <w:rFonts w:hint="eastAsia" w:cs="仿宋_GB2312" w:asciiTheme="minorEastAsia" w:hAnsiTheme="minorEastAsia" w:eastAsiaTheme="minorEastAsia"/>
          <w:color w:val="000000"/>
          <w:sz w:val="21"/>
          <w:szCs w:val="21"/>
          <w:shd w:val="clear" w:color="auto" w:fill="FFFFFF"/>
        </w:rPr>
        <w:t>公开招标</w:t>
      </w:r>
    </w:p>
    <w:p>
      <w:pPr>
        <w:pStyle w:val="22"/>
        <w:widowControl/>
        <w:numPr>
          <w:ilvl w:val="0"/>
          <w:numId w:val="5"/>
        </w:numPr>
        <w:shd w:val="clear" w:color="auto" w:fill="FFFFFF"/>
        <w:spacing w:line="360" w:lineRule="auto"/>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招标内容</w:t>
      </w:r>
    </w:p>
    <w:p>
      <w:pPr>
        <w:pStyle w:val="22"/>
        <w:widowControl/>
        <w:shd w:val="clear" w:color="auto" w:fill="FFFFFF"/>
        <w:spacing w:line="360" w:lineRule="auto"/>
        <w:ind w:left="283" w:leftChars="135" w:firstLine="105" w:firstLineChars="5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1.项目主要内容、数量及要求：鄢陵县2020年旱作节水农业技术推广项目主要包括土壤墒情检测系统、智能水肥一体化系统及田间管网、蓄水保墒、抗旱抗逆等。（具体要求详见招标文件）。</w:t>
      </w:r>
    </w:p>
    <w:p>
      <w:pPr>
        <w:pStyle w:val="22"/>
        <w:widowControl/>
        <w:shd w:val="clear" w:color="auto" w:fill="FFFFFF"/>
        <w:spacing w:line="360" w:lineRule="auto"/>
        <w:ind w:firstLine="420" w:firstLineChars="200"/>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2.预算金额：1782050元。</w:t>
      </w:r>
    </w:p>
    <w:p>
      <w:pPr>
        <w:pStyle w:val="22"/>
        <w:widowControl/>
        <w:shd w:val="clear" w:color="auto" w:fill="FFFFFF"/>
        <w:spacing w:line="360" w:lineRule="auto"/>
        <w:ind w:firstLine="420" w:firstLineChars="200"/>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3.最高限价：1782050元。</w:t>
      </w:r>
    </w:p>
    <w:p>
      <w:pPr>
        <w:pStyle w:val="22"/>
        <w:widowControl/>
        <w:shd w:val="clear" w:color="auto" w:fill="FFFFFF"/>
        <w:spacing w:line="360" w:lineRule="auto"/>
        <w:ind w:firstLine="420" w:firstLineChars="20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4.履约时间 ：合同签订之日后20天内</w:t>
      </w:r>
      <w:r>
        <w:rPr>
          <w:rFonts w:cs="仿宋_GB2312" w:asciiTheme="minorEastAsia" w:hAnsiTheme="minorEastAsia" w:eastAsiaTheme="minorEastAsia"/>
          <w:color w:val="000000"/>
          <w:sz w:val="21"/>
          <w:szCs w:val="21"/>
        </w:rPr>
        <w:t xml:space="preserve"> </w:t>
      </w:r>
      <w:r>
        <w:rPr>
          <w:rFonts w:hint="eastAsia" w:cs="仿宋_GB2312" w:asciiTheme="minorEastAsia" w:hAnsiTheme="minorEastAsia" w:eastAsiaTheme="minorEastAsia"/>
          <w:color w:val="000000"/>
          <w:sz w:val="21"/>
          <w:szCs w:val="21"/>
        </w:rPr>
        <w:t>。</w:t>
      </w:r>
    </w:p>
    <w:p>
      <w:pPr>
        <w:pStyle w:val="22"/>
        <w:widowControl/>
        <w:shd w:val="clear" w:color="auto" w:fill="FFFFFF"/>
        <w:spacing w:line="360" w:lineRule="auto"/>
        <w:ind w:left="283" w:leftChars="135" w:firstLine="105" w:firstLineChars="5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5.履约地点：采购人指定地点。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五、投标人应具备的特殊要求：无特殊要求。</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六、招标文件的获取</w:t>
      </w:r>
    </w:p>
    <w:p>
      <w:pPr>
        <w:pStyle w:val="22"/>
        <w:widowControl/>
        <w:shd w:val="clear" w:color="auto" w:fill="FFFFFF"/>
        <w:spacing w:line="360" w:lineRule="auto"/>
        <w:ind w:left="424" w:leftChars="202" w:firstLine="424" w:firstLineChars="202"/>
        <w:contextualSpacing/>
        <w:jc w:val="left"/>
        <w:rPr>
          <w:color w:val="000000"/>
          <w:sz w:val="21"/>
          <w:szCs w:val="21"/>
          <w:shd w:val="clear" w:color="auto" w:fill="FFFFFF"/>
        </w:rPr>
      </w:pPr>
      <w:r>
        <w:rPr>
          <w:rFonts w:hint="eastAsia"/>
          <w:color w:val="000000"/>
          <w:sz w:val="21"/>
          <w:szCs w:val="21"/>
          <w:shd w:val="clear" w:color="auto" w:fill="FFFFFF"/>
        </w:rPr>
        <w:t>即日起至投标截止时间，登录《全国公共资源交易平台（河南省·许昌市）》“投标人/供应商登录”入口（</w:t>
      </w:r>
      <w:r>
        <w:rPr>
          <w:color w:val="00B050"/>
          <w:sz w:val="21"/>
          <w:szCs w:val="21"/>
          <w:shd w:val="clear" w:color="auto" w:fill="FFFFFF"/>
        </w:rPr>
        <w:t>http://ggzy.xuchang.gov.cn</w:t>
      </w:r>
      <w:r>
        <w:rPr>
          <w:rFonts w:hint="eastAsia"/>
          <w:color w:val="00B050"/>
          <w:sz w:val="21"/>
          <w:szCs w:val="21"/>
          <w:shd w:val="clear" w:color="auto" w:fill="FFFFFF"/>
        </w:rPr>
        <w:t>:8088/ggzy/</w:t>
      </w:r>
      <w:r>
        <w:rPr>
          <w:rFonts w:hint="eastAsia"/>
          <w:color w:val="000000"/>
          <w:sz w:val="21"/>
          <w:szCs w:val="21"/>
          <w:shd w:val="clear" w:color="auto" w:fill="FFFFFF"/>
        </w:rPr>
        <w:t>）自行免费下载招标文件。</w:t>
      </w:r>
    </w:p>
    <w:p>
      <w:pPr>
        <w:pStyle w:val="22"/>
        <w:widowControl/>
        <w:shd w:val="clear" w:color="auto" w:fill="FFFFFF"/>
        <w:spacing w:line="360" w:lineRule="auto"/>
        <w:ind w:left="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七、投标文件的提交方式及注意事项</w:t>
      </w:r>
    </w:p>
    <w:p>
      <w:pPr>
        <w:pStyle w:val="22"/>
        <w:widowControl/>
        <w:shd w:val="clear" w:color="auto" w:fill="FFFFFF"/>
        <w:spacing w:line="360" w:lineRule="auto"/>
        <w:ind w:left="424" w:leftChars="202" w:firstLine="424" w:firstLineChars="202"/>
        <w:contextualSpacing/>
        <w:jc w:val="left"/>
        <w:rPr>
          <w:color w:val="000000"/>
          <w:sz w:val="21"/>
          <w:szCs w:val="21"/>
          <w:shd w:val="clear" w:color="auto" w:fill="FFFFFF"/>
        </w:rPr>
      </w:pPr>
      <w:r>
        <w:rPr>
          <w:rFonts w:hint="eastAsia"/>
          <w:color w:val="000000"/>
          <w:sz w:val="21"/>
          <w:szCs w:val="21"/>
          <w:shd w:val="clear" w:color="auto" w:fill="FFFFFF"/>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八、投标截止时间、开标时间及地点</w:t>
      </w:r>
    </w:p>
    <w:p>
      <w:pPr>
        <w:pStyle w:val="22"/>
        <w:widowControl/>
        <w:numPr>
          <w:ilvl w:val="0"/>
          <w:numId w:val="6"/>
        </w:numPr>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投标截止及开标时间：</w:t>
      </w:r>
      <w:r>
        <w:rPr>
          <w:rFonts w:hint="eastAsia"/>
          <w:color w:val="000000"/>
          <w:sz w:val="21"/>
          <w:szCs w:val="21"/>
          <w:shd w:val="clear" w:color="auto" w:fill="FFFFFF"/>
        </w:rPr>
        <w:t>2021年4月23日08时30分（北京时间），</w:t>
      </w:r>
      <w:r>
        <w:rPr>
          <w:rFonts w:hint="eastAsia" w:cs="仿宋_GB2312" w:asciiTheme="minorEastAsia" w:hAnsiTheme="minorEastAsia" w:eastAsiaTheme="minorEastAsia"/>
          <w:color w:val="000000"/>
          <w:sz w:val="21"/>
          <w:szCs w:val="21"/>
          <w:shd w:val="clear" w:color="auto" w:fill="FFFFFF"/>
        </w:rPr>
        <w:t>逾期提交或不符合规定的投标文件不予接受。</w:t>
      </w:r>
    </w:p>
    <w:p>
      <w:pPr>
        <w:pStyle w:val="22"/>
        <w:widowControl/>
        <w:numPr>
          <w:ilvl w:val="0"/>
          <w:numId w:val="6"/>
        </w:numPr>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开标地点：</w:t>
      </w:r>
      <w:r>
        <w:rPr>
          <w:rFonts w:hint="eastAsia"/>
          <w:color w:val="000000"/>
          <w:sz w:val="21"/>
          <w:szCs w:val="21"/>
          <w:shd w:val="clear" w:color="auto" w:fill="FFFFFF"/>
        </w:rPr>
        <w:t>鄢陵县公共资源交易中心四楼开标</w:t>
      </w:r>
      <w:r>
        <w:rPr>
          <w:rFonts w:hint="eastAsia"/>
          <w:color w:val="000000"/>
          <w:sz w:val="21"/>
          <w:szCs w:val="21"/>
          <w:u w:val="single"/>
          <w:shd w:val="clear" w:color="auto" w:fill="FFFFFF"/>
        </w:rPr>
        <w:t xml:space="preserve">  二  </w:t>
      </w:r>
      <w:r>
        <w:rPr>
          <w:rFonts w:hint="eastAsia"/>
          <w:color w:val="000000"/>
          <w:sz w:val="21"/>
          <w:szCs w:val="21"/>
          <w:shd w:val="clear" w:color="auto" w:fill="FFFFFF"/>
        </w:rPr>
        <w:t>室。</w:t>
      </w:r>
      <w:r>
        <w:rPr>
          <w:rFonts w:hint="eastAsia" w:cs="仿宋_GB2312" w:asciiTheme="minorEastAsia" w:hAnsiTheme="minorEastAsia" w:eastAsiaTheme="minorEastAsia"/>
          <w:color w:val="000000"/>
          <w:sz w:val="21"/>
          <w:szCs w:val="21"/>
        </w:rPr>
        <w:t>（</w:t>
      </w:r>
      <w:r>
        <w:rPr>
          <w:rFonts w:hint="eastAsia" w:cs="Arial" w:asciiTheme="minorEastAsia" w:hAnsiTheme="minorEastAsia" w:eastAsiaTheme="minorEastAsia"/>
          <w:b/>
          <w:color w:val="FF0000"/>
          <w:sz w:val="21"/>
          <w:szCs w:val="21"/>
        </w:rPr>
        <w:t>本项目采用远程不见面开标方式，投标人无须到现场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九、开标注意事项</w:t>
      </w:r>
    </w:p>
    <w:p>
      <w:pPr>
        <w:pStyle w:val="22"/>
        <w:widowControl/>
        <w:shd w:val="clear" w:color="auto" w:fill="FFFFFF"/>
        <w:spacing w:line="360" w:lineRule="auto"/>
        <w:ind w:left="424" w:leftChars="202" w:firstLine="424" w:firstLineChars="202"/>
        <w:contextualSpacing/>
        <w:jc w:val="left"/>
        <w:rPr>
          <w:color w:val="000000"/>
          <w:sz w:val="21"/>
          <w:szCs w:val="21"/>
          <w:shd w:val="clear" w:color="auto" w:fill="FFFFFF"/>
        </w:rPr>
      </w:pPr>
      <w:r>
        <w:rPr>
          <w:rFonts w:hint="eastAsia"/>
          <w:color w:val="000000"/>
          <w:sz w:val="21"/>
          <w:szCs w:val="21"/>
          <w:shd w:val="clear" w:color="auto" w:fill="FFFFFF"/>
        </w:rPr>
        <w:t>开标时间前，投标人使用CA数字证书登录全国公共资源交易平台（河南省·许昌市）——进入公共资源交易系统（</w:t>
      </w:r>
      <w:r>
        <w:rPr>
          <w:rFonts w:hint="eastAsia"/>
          <w:color w:val="00B050"/>
          <w:sz w:val="21"/>
          <w:szCs w:val="21"/>
          <w:shd w:val="clear" w:color="auto" w:fill="FFFFFF"/>
        </w:rPr>
        <w:t>http://ggzy.xuchang.gov.cn:8088/ggzy/</w:t>
      </w:r>
      <w:r>
        <w:rPr>
          <w:rFonts w:hint="eastAsia"/>
          <w:color w:val="000000"/>
          <w:sz w:val="21"/>
          <w:szCs w:val="21"/>
          <w:shd w:val="clear" w:color="auto" w:fill="FFFFFF"/>
        </w:rPr>
        <w:t>）——点击“项目信息——项目名称”——在系统操作导航栏点击“开标——不见面开标大厅”，在规定的开标时间内进行解密开标。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十、本次招标公告同时在《中国政府采购网》、《河南省政府采购网》、《许昌市政府采购网》、《全国公共资源交易平台（河南省·许昌市）》发布。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十一、联系方式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采购人名称</w:t>
      </w:r>
      <w:r>
        <w:rPr>
          <w:rFonts w:hint="eastAsia" w:ascii="宋体" w:hAnsi="宋体"/>
          <w:szCs w:val="21"/>
        </w:rPr>
        <w:t>：</w:t>
      </w:r>
      <w:r>
        <w:rPr>
          <w:rFonts w:hint="eastAsia" w:cs="Arial" w:asciiTheme="minorEastAsia" w:hAnsiTheme="minorEastAsia"/>
          <w:color w:val="000000"/>
          <w:szCs w:val="21"/>
        </w:rPr>
        <w:t>鄢陵县农业农村局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val="zh-CN"/>
        </w:rPr>
        <w:t>鄢陵县花都大道</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lang w:val="zh-CN"/>
        </w:rPr>
        <w:t>联系人：吴女士  联系电话：</w:t>
      </w:r>
      <w:r>
        <w:rPr>
          <w:rFonts w:hint="eastAsia" w:cs="Arial" w:asciiTheme="minorEastAsia" w:hAnsiTheme="minorEastAsia"/>
          <w:color w:val="000000"/>
          <w:szCs w:val="21"/>
        </w:rPr>
        <w:t>18749593108</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采购代理机构</w:t>
      </w:r>
      <w:r>
        <w:rPr>
          <w:rFonts w:hint="eastAsia" w:ascii="宋体" w:hAnsi="宋体"/>
          <w:szCs w:val="21"/>
        </w:rPr>
        <w:t>：</w:t>
      </w:r>
      <w:r>
        <w:rPr>
          <w:rFonts w:hint="eastAsia" w:cs="Arial" w:asciiTheme="minorEastAsia" w:hAnsiTheme="minorEastAsia"/>
          <w:color w:val="000000"/>
          <w:szCs w:val="21"/>
        </w:rPr>
        <w:t xml:space="preserve">驰远工程管理有限公司　　　 </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地址：平顶山市新华区建设路西段281号（选煤设计院） </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联系人：王女士    联系方式：18503745088　</w:t>
      </w:r>
    </w:p>
    <w:p>
      <w:pPr>
        <w:adjustRightInd w:val="0"/>
        <w:spacing w:line="360" w:lineRule="auto"/>
        <w:ind w:firstLine="840" w:firstLineChars="400"/>
        <w:contextualSpacing/>
        <w:jc w:val="left"/>
        <w:rPr>
          <w:rFonts w:cs="Arial" w:asciiTheme="minorEastAsia" w:hAnsiTheme="minorEastAsia"/>
          <w:color w:val="000000"/>
          <w:szCs w:val="21"/>
        </w:rPr>
      </w:pPr>
    </w:p>
    <w:p>
      <w:pPr>
        <w:spacing w:line="360" w:lineRule="auto"/>
        <w:ind w:firstLine="422" w:firstLineChars="150"/>
        <w:rPr>
          <w:rFonts w:hAnsi="宋体"/>
          <w:b/>
          <w:sz w:val="28"/>
          <w:szCs w:val="28"/>
        </w:rPr>
      </w:pPr>
      <w:r>
        <w:rPr>
          <w:rFonts w:hint="eastAsia" w:hAnsi="宋体"/>
          <w:b/>
          <w:sz w:val="28"/>
          <w:szCs w:val="28"/>
        </w:rPr>
        <w:t>温馨提示：本项目为全流程电子化交易项目，请注意以下事项。</w:t>
      </w:r>
    </w:p>
    <w:p>
      <w:pPr>
        <w:pStyle w:val="41"/>
        <w:numPr>
          <w:ilvl w:val="0"/>
          <w:numId w:val="7"/>
        </w:numPr>
        <w:tabs>
          <w:tab w:val="left" w:pos="7095"/>
        </w:tabs>
        <w:spacing w:line="360" w:lineRule="auto"/>
        <w:ind w:firstLineChars="0"/>
        <w:contextualSpacing/>
        <w:rPr>
          <w:rFonts w:asciiTheme="minorEastAsia" w:hAnsiTheme="minorEastAsia"/>
          <w:b/>
          <w:color w:val="000000"/>
        </w:rPr>
      </w:pPr>
      <w:r>
        <w:rPr>
          <w:rFonts w:hint="eastAsia" w:cs="Helvetica"/>
          <w:color w:val="333333"/>
        </w:rPr>
        <w:t>供应商参加本项目投标，需提前自行联系CA服务机构办理数字认证证书并进行电子签章。</w:t>
      </w:r>
    </w:p>
    <w:p>
      <w:pPr>
        <w:pStyle w:val="41"/>
        <w:numPr>
          <w:ilvl w:val="0"/>
          <w:numId w:val="7"/>
        </w:numPr>
        <w:tabs>
          <w:tab w:val="left" w:pos="7095"/>
        </w:tabs>
        <w:spacing w:line="360" w:lineRule="auto"/>
        <w:ind w:firstLineChars="0"/>
        <w:contextualSpacing/>
        <w:rPr>
          <w:rFonts w:hAnsi="宋体"/>
          <w:color w:val="000000"/>
        </w:rPr>
      </w:pPr>
      <w:r>
        <w:rPr>
          <w:rFonts w:hint="eastAsia" w:hAnsi="宋体"/>
          <w:color w:val="000000"/>
        </w:rPr>
        <w:t>招标文件下载、投标文件制作、提交、远程不见面开标（</w:t>
      </w:r>
      <w:r>
        <w:rPr>
          <w:rFonts w:hint="eastAsia" w:hAnsi="宋体"/>
        </w:rPr>
        <w:t>电子投标文件的解密</w:t>
      </w:r>
      <w:r>
        <w:rPr>
          <w:rFonts w:hint="eastAsia" w:hAnsi="宋体"/>
          <w:color w:val="000000"/>
        </w:rPr>
        <w:t>）环节，投标人须使用同一个</w:t>
      </w:r>
      <w:r>
        <w:rPr>
          <w:rFonts w:hAnsi="宋体"/>
          <w:color w:val="000000"/>
        </w:rPr>
        <w:t>CA数字证书</w:t>
      </w:r>
      <w:r>
        <w:rPr>
          <w:rFonts w:hint="eastAsia" w:hAnsi="宋体"/>
          <w:color w:val="000000"/>
        </w:rPr>
        <w:t>（证书须在有效期内并可正常使用）</w:t>
      </w:r>
      <w:r>
        <w:rPr>
          <w:rFonts w:hAnsi="宋体"/>
          <w:color w:val="000000"/>
        </w:rPr>
        <w:t>。</w:t>
      </w:r>
    </w:p>
    <w:p>
      <w:pPr>
        <w:pStyle w:val="41"/>
        <w:numPr>
          <w:ilvl w:val="0"/>
          <w:numId w:val="7"/>
        </w:numPr>
        <w:tabs>
          <w:tab w:val="left" w:pos="7095"/>
        </w:tabs>
        <w:spacing w:line="360" w:lineRule="auto"/>
        <w:ind w:firstLineChars="0"/>
        <w:contextualSpacing/>
        <w:rPr>
          <w:rFonts w:hAnsi="宋体"/>
          <w:b/>
          <w:color w:val="000000"/>
        </w:rPr>
      </w:pPr>
      <w:r>
        <w:rPr>
          <w:rFonts w:hint="eastAsia" w:hAnsi="宋体"/>
          <w:b/>
          <w:color w:val="000000"/>
        </w:rPr>
        <w:t>电子投标文件的制作</w:t>
      </w:r>
    </w:p>
    <w:p>
      <w:pPr>
        <w:pStyle w:val="41"/>
        <w:numPr>
          <w:ilvl w:val="1"/>
          <w:numId w:val="8"/>
        </w:numPr>
        <w:tabs>
          <w:tab w:val="left" w:pos="7095"/>
        </w:tabs>
        <w:spacing w:line="360" w:lineRule="auto"/>
        <w:ind w:firstLineChars="0"/>
        <w:contextualSpacing/>
        <w:rPr>
          <w:rFonts w:hAnsi="宋体"/>
          <w:color w:val="000000"/>
        </w:rPr>
      </w:pPr>
      <w:r>
        <w:rPr>
          <w:rFonts w:hint="eastAsia" w:hAnsi="宋体"/>
          <w:color w:val="000000"/>
        </w:rPr>
        <w:t>投标人登录《全国公共资源交易平台</w:t>
      </w:r>
      <w:r>
        <w:rPr>
          <w:rFonts w:hint="eastAsia" w:asciiTheme="majorEastAsia" w:hAnsiTheme="majorEastAsia" w:eastAsiaTheme="majorEastAsia"/>
          <w:color w:val="000000"/>
        </w:rPr>
        <w:t>(</w:t>
      </w:r>
      <w:r>
        <w:rPr>
          <w:rFonts w:hint="eastAsia" w:hAnsi="宋体"/>
          <w:color w:val="000000"/>
        </w:rPr>
        <w:t>河南省</w:t>
      </w:r>
      <w:r>
        <w:rPr>
          <w:rFonts w:hint="eastAsia" w:ascii="MS Mincho" w:hAnsi="MS Mincho" w:eastAsia="MS Mincho" w:cs="MS Mincho"/>
          <w:color w:val="000000"/>
        </w:rPr>
        <w:t>▪</w:t>
      </w:r>
      <w:r>
        <w:rPr>
          <w:rFonts w:hint="eastAsia" w:ascii="宋体" w:hAnsi="宋体" w:cs="宋体"/>
          <w:color w:val="000000"/>
        </w:rPr>
        <w:t>许昌市</w:t>
      </w:r>
      <w:r>
        <w:rPr>
          <w:rFonts w:hint="eastAsia" w:asciiTheme="minorEastAsia" w:hAnsiTheme="minorEastAsia"/>
          <w:color w:val="000000"/>
        </w:rPr>
        <w:t>)</w:t>
      </w:r>
      <w:r>
        <w:rPr>
          <w:rFonts w:hint="eastAsia" w:hAnsi="宋体"/>
          <w:color w:val="000000"/>
        </w:rPr>
        <w:t>》公共资源交易系统</w:t>
      </w:r>
      <w:r>
        <w:rPr>
          <w:rFonts w:hint="eastAsia" w:hAnsi="宋体"/>
          <w:color w:val="00B050"/>
        </w:rPr>
        <w:t>（</w:t>
      </w:r>
      <w:r>
        <w:fldChar w:fldCharType="begin"/>
      </w:r>
      <w:r>
        <w:instrText xml:space="preserve"> HYPERLINK "http://221.14.6.70:8088/ggzy/" </w:instrText>
      </w:r>
      <w:r>
        <w:fldChar w:fldCharType="separate"/>
      </w:r>
      <w:r>
        <w:rPr>
          <w:rStyle w:val="29"/>
          <w:rFonts w:hAnsi="宋体"/>
          <w:color w:val="00B050"/>
        </w:rPr>
        <w:t>http://ggzy.xuchang.gov.cn:8088/ggzy/</w:t>
      </w:r>
      <w:r>
        <w:rPr>
          <w:rStyle w:val="29"/>
          <w:rFonts w:hAnsi="宋体"/>
          <w:color w:val="00B050"/>
        </w:rPr>
        <w:fldChar w:fldCharType="end"/>
      </w:r>
      <w:r>
        <w:rPr>
          <w:rFonts w:hint="eastAsia" w:hAnsi="宋体"/>
          <w:color w:val="000000"/>
        </w:rPr>
        <w:t>）下载“许昌投标文件制作系统SEARUN 最新版本”，制作投标文件。</w:t>
      </w:r>
    </w:p>
    <w:p>
      <w:pPr>
        <w:pStyle w:val="41"/>
        <w:tabs>
          <w:tab w:val="left" w:pos="7095"/>
        </w:tabs>
        <w:spacing w:line="360" w:lineRule="auto"/>
        <w:ind w:left="840" w:firstLine="0" w:firstLineChars="0"/>
        <w:contextualSpacing/>
        <w:rPr>
          <w:rFonts w:hAnsi="宋体"/>
          <w:color w:val="000000"/>
        </w:rPr>
      </w:pPr>
      <w:r>
        <w:rPr>
          <w:rFonts w:asciiTheme="minorEastAsia" w:hAnsiTheme="minorEastAsia"/>
          <w:color w:val="000000"/>
        </w:rPr>
        <w:t>3.</w:t>
      </w:r>
      <w:r>
        <w:rPr>
          <w:rFonts w:hint="eastAsia" w:asciiTheme="minorEastAsia" w:hAnsiTheme="minorEastAsia"/>
          <w:color w:val="000000"/>
        </w:rPr>
        <w:t>2</w:t>
      </w:r>
      <w:r>
        <w:rPr>
          <w:rFonts w:hint="eastAsia" w:hAnsi="宋体"/>
          <w:color w:val="000000"/>
        </w:rPr>
        <w:t>投标人对同一项目多个标段进行投标的，应分别下载所投标段的招标文件，按标段制作投标文件。一个标段对应生成一个文件夹（xxxx项目xx标段）,其中后缀名为“</w:t>
      </w:r>
      <w:r>
        <w:rPr>
          <w:rFonts w:hAnsi="宋体"/>
          <w:color w:val="000000"/>
        </w:rPr>
        <w:t>.file</w:t>
      </w:r>
      <w:r>
        <w:rPr>
          <w:rFonts w:hint="eastAsia" w:hAnsi="宋体"/>
          <w:color w:val="000000"/>
        </w:rPr>
        <w:t>”的文件用于投标。</w:t>
      </w:r>
    </w:p>
    <w:p>
      <w:pPr>
        <w:pStyle w:val="41"/>
        <w:numPr>
          <w:ilvl w:val="0"/>
          <w:numId w:val="9"/>
        </w:numPr>
        <w:tabs>
          <w:tab w:val="left" w:pos="7095"/>
        </w:tabs>
        <w:spacing w:line="360" w:lineRule="auto"/>
        <w:ind w:firstLineChars="0"/>
        <w:contextualSpacing/>
        <w:rPr>
          <w:rFonts w:hAnsi="宋体"/>
          <w:b/>
          <w:color w:val="000000"/>
        </w:rPr>
      </w:pPr>
      <w:r>
        <w:rPr>
          <w:rFonts w:hint="eastAsia" w:asciiTheme="minorEastAsia" w:hAnsiTheme="minorEastAsia"/>
          <w:b/>
          <w:color w:val="000000"/>
        </w:rPr>
        <w:t>加密</w:t>
      </w:r>
      <w:r>
        <w:rPr>
          <w:rFonts w:hint="eastAsia" w:hAnsi="宋体"/>
          <w:b/>
          <w:color w:val="000000"/>
        </w:rPr>
        <w:t>电子投标文件的提交</w:t>
      </w:r>
    </w:p>
    <w:p>
      <w:pPr>
        <w:pStyle w:val="41"/>
        <w:numPr>
          <w:ilvl w:val="1"/>
          <w:numId w:val="8"/>
        </w:numPr>
        <w:tabs>
          <w:tab w:val="left" w:pos="7095"/>
        </w:tabs>
        <w:spacing w:line="360" w:lineRule="auto"/>
        <w:ind w:firstLineChars="0"/>
        <w:contextualSpacing/>
        <w:rPr>
          <w:rFonts w:hAnsi="宋体"/>
          <w:color w:val="000000"/>
        </w:rPr>
      </w:pPr>
      <w:r>
        <w:rPr>
          <w:rFonts w:hint="eastAsia" w:hAnsi="宋体"/>
          <w:color w:val="000000"/>
        </w:rPr>
        <w:t>投标人对同一项目多个标段进行投标的，加密电子投标文件应按标段分别提交。</w:t>
      </w:r>
    </w:p>
    <w:p>
      <w:pPr>
        <w:pStyle w:val="41"/>
        <w:numPr>
          <w:ilvl w:val="0"/>
          <w:numId w:val="10"/>
        </w:numPr>
        <w:tabs>
          <w:tab w:val="left" w:pos="7095"/>
        </w:tabs>
        <w:spacing w:line="360" w:lineRule="auto"/>
        <w:ind w:firstLineChars="0"/>
        <w:contextualSpacing/>
        <w:rPr>
          <w:rFonts w:hAnsi="宋体"/>
          <w:color w:val="000000"/>
        </w:rPr>
      </w:pPr>
      <w:r>
        <w:rPr>
          <w:rFonts w:hint="eastAsia" w:asciiTheme="minorEastAsia" w:hAnsiTheme="minorEastAsia"/>
          <w:color w:val="000000"/>
        </w:rPr>
        <w:t>加密</w:t>
      </w:r>
      <w:r>
        <w:rPr>
          <w:rFonts w:hint="eastAsia" w:hAnsi="宋体"/>
          <w:color w:val="000000"/>
        </w:rPr>
        <w:t>电子投标文件成功提交后，《全国公共资源交易平台(河南省</w:t>
      </w:r>
      <w:r>
        <w:rPr>
          <w:rFonts w:hint="eastAsia" w:ascii="MS Mincho" w:hAnsi="MS Mincho" w:eastAsia="MS Mincho" w:cs="MS Mincho"/>
          <w:color w:val="000000"/>
        </w:rPr>
        <w:t>▪</w:t>
      </w:r>
      <w:r>
        <w:rPr>
          <w:rFonts w:hint="eastAsia" w:ascii="宋体" w:hAnsi="宋体" w:cs="宋体"/>
          <w:color w:val="000000"/>
        </w:rPr>
        <w:t>许昌市</w:t>
      </w:r>
      <w:r>
        <w:rPr>
          <w:rFonts w:hint="eastAsia" w:hAnsi="宋体"/>
          <w:color w:val="000000"/>
        </w:rPr>
        <w:t>)》公共资源交易系统</w:t>
      </w:r>
      <w:r>
        <w:rPr>
          <w:rFonts w:hint="eastAsia" w:hAnsi="宋体"/>
          <w:color w:val="00B050"/>
        </w:rPr>
        <w:t>（</w:t>
      </w:r>
      <w:r>
        <w:fldChar w:fldCharType="begin"/>
      </w:r>
      <w:r>
        <w:instrText xml:space="preserve"> HYPERLINK "http://221.14.6.70:8088/ggzy/" </w:instrText>
      </w:r>
      <w:r>
        <w:fldChar w:fldCharType="separate"/>
      </w:r>
      <w:r>
        <w:rPr>
          <w:rStyle w:val="29"/>
          <w:rFonts w:hAnsi="宋体"/>
          <w:color w:val="00B050"/>
        </w:rPr>
        <w:t>http://ggzy.xuchang.gov.cn:8088/ggzy/</w:t>
      </w:r>
      <w:r>
        <w:rPr>
          <w:rStyle w:val="29"/>
          <w:rFonts w:hAnsi="宋体"/>
          <w:color w:val="00B050"/>
        </w:rPr>
        <w:fldChar w:fldCharType="end"/>
      </w:r>
      <w:r>
        <w:rPr>
          <w:rFonts w:hint="eastAsia" w:hAnsi="宋体"/>
          <w:color w:val="000000"/>
        </w:rPr>
        <w:t>）</w:t>
      </w:r>
      <w:r>
        <w:rPr>
          <w:rFonts w:hint="eastAsia" w:cs="仿宋_GB2312" w:asciiTheme="minorEastAsia" w:hAnsiTheme="minorEastAsia"/>
          <w:color w:val="000000"/>
        </w:rPr>
        <w:t>生成“投标文件提交回执单”。</w:t>
      </w:r>
    </w:p>
    <w:p>
      <w:pPr>
        <w:pStyle w:val="41"/>
        <w:numPr>
          <w:ilvl w:val="0"/>
          <w:numId w:val="9"/>
        </w:numPr>
        <w:tabs>
          <w:tab w:val="left" w:pos="7095"/>
        </w:tabs>
        <w:spacing w:line="360" w:lineRule="auto"/>
        <w:ind w:firstLineChars="0"/>
        <w:contextualSpacing/>
        <w:rPr>
          <w:rFonts w:hAnsi="宋体"/>
          <w:b/>
          <w:color w:val="000000"/>
        </w:rPr>
      </w:pPr>
      <w:r>
        <w:rPr>
          <w:rFonts w:hint="eastAsia" w:asciiTheme="minorEastAsia" w:hAnsiTheme="minorEastAsia"/>
          <w:b/>
          <w:color w:val="000000"/>
        </w:rPr>
        <w:t>远程不见面开标（</w:t>
      </w:r>
      <w:r>
        <w:rPr>
          <w:rFonts w:hint="eastAsia" w:hAnsi="宋体"/>
          <w:b/>
          <w:color w:val="000000"/>
        </w:rPr>
        <w:t>电子投标文件的解密</w:t>
      </w:r>
      <w:r>
        <w:rPr>
          <w:rFonts w:hint="eastAsia" w:asciiTheme="minorEastAsia" w:hAnsiTheme="minorEastAsia"/>
          <w:b/>
          <w:color w:val="000000"/>
        </w:rPr>
        <w:t>）</w:t>
      </w:r>
    </w:p>
    <w:p>
      <w:pPr>
        <w:pStyle w:val="41"/>
        <w:numPr>
          <w:ilvl w:val="1"/>
          <w:numId w:val="8"/>
        </w:numPr>
        <w:tabs>
          <w:tab w:val="left" w:pos="7095"/>
        </w:tabs>
        <w:spacing w:line="360" w:lineRule="auto"/>
        <w:ind w:firstLineChars="0"/>
        <w:contextualSpacing/>
        <w:rPr>
          <w:rFonts w:hAnsi="宋体"/>
          <w:color w:val="000000"/>
        </w:rPr>
      </w:pPr>
      <w:r>
        <w:rPr>
          <w:rFonts w:hint="eastAsia" w:hAnsi="宋体"/>
          <w:color w:val="000000"/>
        </w:rPr>
        <w:t>本项目采用远程“不见面”开标方式，投标前请详细阅读全国公共资源交易平台（河南省·许昌市）首页“资料下载”栏目的《许昌市不见面操作手册》。</w:t>
      </w:r>
    </w:p>
    <w:p>
      <w:pPr>
        <w:pStyle w:val="41"/>
        <w:numPr>
          <w:ilvl w:val="0"/>
          <w:numId w:val="11"/>
        </w:numPr>
        <w:tabs>
          <w:tab w:val="left" w:pos="7095"/>
        </w:tabs>
        <w:spacing w:line="360" w:lineRule="auto"/>
        <w:ind w:firstLineChars="0"/>
        <w:contextualSpacing/>
        <w:rPr>
          <w:rFonts w:hAnsi="宋体"/>
          <w:color w:val="000000"/>
        </w:rPr>
      </w:pPr>
      <w:r>
        <w:rPr>
          <w:rFonts w:hint="eastAsia" w:hAnsi="宋体"/>
          <w:color w:val="000000"/>
        </w:rPr>
        <w:t>投标人提前设置不见面开标浏览器，并于开标时间前登录本项目不见面开标大厅，按照规定的开标时间准时参加网上开标。</w:t>
      </w:r>
    </w:p>
    <w:p>
      <w:pPr>
        <w:pStyle w:val="41"/>
        <w:numPr>
          <w:ilvl w:val="0"/>
          <w:numId w:val="12"/>
        </w:numPr>
        <w:tabs>
          <w:tab w:val="left" w:pos="7095"/>
        </w:tabs>
        <w:spacing w:line="360" w:lineRule="auto"/>
        <w:ind w:firstLineChars="0"/>
        <w:contextualSpacing/>
        <w:rPr>
          <w:rFonts w:hAnsi="宋体"/>
          <w:color w:val="000000"/>
        </w:rPr>
      </w:pPr>
      <w:r>
        <w:rPr>
          <w:rFonts w:hint="eastAsia" w:hAnsi="宋体"/>
          <w:color w:val="000000"/>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1"/>
        <w:numPr>
          <w:ilvl w:val="0"/>
          <w:numId w:val="13"/>
        </w:numPr>
        <w:tabs>
          <w:tab w:val="left" w:pos="7095"/>
        </w:tabs>
        <w:spacing w:line="360" w:lineRule="auto"/>
        <w:ind w:firstLineChars="0"/>
        <w:contextualSpacing/>
        <w:rPr>
          <w:rFonts w:hAnsi="宋体"/>
          <w:color w:val="000000"/>
        </w:rPr>
      </w:pPr>
      <w:r>
        <w:rPr>
          <w:rFonts w:hint="eastAsia" w:hAnsi="宋体"/>
          <w:color w:val="000000"/>
        </w:rPr>
        <w:t>开标活动结束时，投标人应在《开标记录表》上进行电子签章。投标人未签章的，视同认可开标结果。</w:t>
      </w:r>
    </w:p>
    <w:p>
      <w:pPr>
        <w:pStyle w:val="41"/>
        <w:numPr>
          <w:ilvl w:val="0"/>
          <w:numId w:val="14"/>
        </w:numPr>
        <w:tabs>
          <w:tab w:val="left" w:pos="7095"/>
        </w:tabs>
        <w:spacing w:line="360" w:lineRule="auto"/>
        <w:ind w:firstLineChars="0"/>
        <w:contextualSpacing/>
        <w:rPr>
          <w:rFonts w:hAnsi="宋体"/>
          <w:color w:val="000000"/>
        </w:rPr>
      </w:pPr>
      <w:r>
        <w:rPr>
          <w:rFonts w:hint="eastAsia" w:hAnsi="宋体"/>
          <w:color w:val="000000"/>
        </w:rPr>
        <w:t>投标人对开标过程和开标记录如有疑义，可在本项目不见面开标大厅“文字互动”对话框或“新增质疑”处在线提出询问。</w:t>
      </w:r>
    </w:p>
    <w:p>
      <w:pPr>
        <w:pStyle w:val="41"/>
        <w:numPr>
          <w:ilvl w:val="0"/>
          <w:numId w:val="15"/>
        </w:numPr>
        <w:tabs>
          <w:tab w:val="left" w:pos="7095"/>
        </w:tabs>
        <w:spacing w:line="360" w:lineRule="auto"/>
        <w:ind w:firstLineChars="0"/>
        <w:contextualSpacing/>
        <w:rPr>
          <w:rFonts w:hAnsi="宋体"/>
          <w:b/>
          <w:color w:val="000000"/>
        </w:rPr>
      </w:pPr>
      <w:r>
        <w:rPr>
          <w:rFonts w:hint="eastAsia" w:hAnsi="宋体"/>
          <w:b/>
          <w:color w:val="000000"/>
        </w:rPr>
        <w:t>评标依据</w:t>
      </w:r>
    </w:p>
    <w:p>
      <w:pPr>
        <w:pStyle w:val="41"/>
        <w:numPr>
          <w:ilvl w:val="1"/>
          <w:numId w:val="8"/>
        </w:numPr>
        <w:tabs>
          <w:tab w:val="left" w:pos="7095"/>
        </w:tabs>
        <w:spacing w:line="360" w:lineRule="auto"/>
        <w:ind w:firstLineChars="0"/>
        <w:contextualSpacing/>
        <w:rPr>
          <w:rFonts w:hAnsi="宋体"/>
          <w:color w:val="000000"/>
        </w:rPr>
      </w:pPr>
      <w:r>
        <w:rPr>
          <w:rFonts w:hint="eastAsia" w:hAnsi="宋体"/>
          <w:color w:val="000000"/>
        </w:rPr>
        <w:t>全流程电子化交易（不见面开标）项目，评标委员会以成功上传、解密的电子投标文件为依据评审。</w:t>
      </w:r>
    </w:p>
    <w:p>
      <w:pPr>
        <w:pStyle w:val="41"/>
        <w:numPr>
          <w:ilvl w:val="0"/>
          <w:numId w:val="16"/>
        </w:numPr>
        <w:tabs>
          <w:tab w:val="left" w:pos="7095"/>
        </w:tabs>
        <w:spacing w:line="360" w:lineRule="auto"/>
        <w:ind w:firstLineChars="0"/>
        <w:contextualSpacing/>
        <w:rPr>
          <w:rFonts w:hAnsi="宋体"/>
          <w:color w:val="000000"/>
        </w:rPr>
      </w:pPr>
      <w:r>
        <w:rPr>
          <w:rFonts w:hint="eastAsia" w:hAnsi="宋体"/>
          <w:color w:val="000000"/>
        </w:rPr>
        <w:t>评标期间，投标人应保持通讯手机畅通。评标委员会如要求投标人作出澄清、说明或者补正等，投标人应在评标委员会要求的评标期间合理的时间内通过电子邮件形式提供。</w:t>
      </w:r>
    </w:p>
    <w:p>
      <w:pPr>
        <w:pStyle w:val="41"/>
        <w:numPr>
          <w:ilvl w:val="0"/>
          <w:numId w:val="17"/>
        </w:numPr>
        <w:tabs>
          <w:tab w:val="left" w:pos="7095"/>
        </w:tabs>
        <w:spacing w:line="360" w:lineRule="auto"/>
        <w:ind w:firstLineChars="0"/>
        <w:contextualSpacing/>
        <w:rPr>
          <w:rFonts w:hAnsi="宋体"/>
          <w:color w:val="000000"/>
        </w:rPr>
      </w:pPr>
      <w:r>
        <w:rPr>
          <w:rFonts w:hint="eastAsia" w:hAnsi="宋体"/>
          <w:color w:val="000000"/>
        </w:rPr>
        <w:t>投标人通过电子邮件提供的书面说明或相关证明材料应加盖公章，或者由法定代表人或其授权的代表签字。</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pStyle w:val="2"/>
      </w:pPr>
    </w:p>
    <w:p>
      <w:pPr>
        <w:adjustRightInd w:val="0"/>
        <w:snapToGrid w:val="0"/>
        <w:spacing w:line="360" w:lineRule="auto"/>
        <w:ind w:firstLine="840" w:firstLineChars="400"/>
        <w:jc w:val="left"/>
        <w:rPr>
          <w:rFonts w:ascii="宋体" w:hAnsi="宋体"/>
          <w:szCs w:val="21"/>
        </w:rPr>
      </w:pPr>
    </w:p>
    <w:p>
      <w:pPr>
        <w:numPr>
          <w:ilvl w:val="0"/>
          <w:numId w:val="1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shd w:val="clear" w:color="auto" w:fill="FFFFFF"/>
        <w:spacing w:line="540" w:lineRule="exact"/>
        <w:contextualSpacing/>
        <w:rPr>
          <w:rFonts w:cs="宋体" w:asciiTheme="minorEastAsia" w:hAnsiTheme="minorEastAsia"/>
          <w:sz w:val="24"/>
          <w:szCs w:val="24"/>
        </w:rPr>
      </w:pPr>
      <w:r>
        <w:rPr>
          <w:rFonts w:hint="eastAsia" w:cs="宋体" w:asciiTheme="minorEastAsia" w:hAnsiTheme="minorEastAsia"/>
          <w:sz w:val="24"/>
          <w:szCs w:val="24"/>
        </w:rPr>
        <w:t>一、采购清单</w:t>
      </w:r>
    </w:p>
    <w:tbl>
      <w:tblPr>
        <w:tblStyle w:val="24"/>
        <w:tblW w:w="93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341"/>
        <w:gridCol w:w="5421"/>
        <w:gridCol w:w="657"/>
        <w:gridCol w:w="645"/>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序号</w:t>
            </w:r>
          </w:p>
        </w:tc>
        <w:tc>
          <w:tcPr>
            <w:tcW w:w="1341"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型号说明</w:t>
            </w:r>
          </w:p>
        </w:tc>
        <w:tc>
          <w:tcPr>
            <w:tcW w:w="5421"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参数</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单位</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数量</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是否为核心产品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cs="宋体"/>
                <w:b/>
                <w:color w:val="000000"/>
                <w:kern w:val="0"/>
                <w:sz w:val="20"/>
                <w:szCs w:val="20"/>
                <w:lang w:bidi="ar"/>
              </w:rPr>
              <w:t>一</w:t>
            </w:r>
          </w:p>
        </w:tc>
        <w:tc>
          <w:tcPr>
            <w:tcW w:w="8709" w:type="dxa"/>
            <w:gridSpan w:val="5"/>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墒情自动检测站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cs="宋体"/>
                <w:b/>
                <w:color w:val="000000"/>
                <w:kern w:val="0"/>
                <w:sz w:val="20"/>
                <w:szCs w:val="20"/>
                <w:lang w:bidi="ar"/>
              </w:rPr>
              <w:t>（一）</w:t>
            </w:r>
          </w:p>
        </w:tc>
        <w:tc>
          <w:tcPr>
            <w:tcW w:w="8709" w:type="dxa"/>
            <w:gridSpan w:val="5"/>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土壤墒情检测系统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5"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气象墒情主机</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采集器供电： DC5V ±0.5V 峰值电流1A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工作环境温度： -10~+45℃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工作环境：-20-80℃，湿度≤100%无凝露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采用ARM7内核工业级处理芯片，搭配ABS外壳，整体轻便、坚固美观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通信方式：支持modbus485，支持GPRS通信，支持RS232数据输出，支持Lora无线通信，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工作电流：20mA，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休眠电流：＜50uA。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扩展传感器协议：modbus485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扩展传感器最大数量：32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扩展传感器电压：12V，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扩展传感器电流：≤2A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内置传感器：温度，湿度，大气压，噪声，（PM2.5、PM10、TSP）（选配）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·内置传感器精度：温度：±0.01℃，湿度：±2%RH，大气压：0.2Pa，颗粒物传感器：最小分辨粒径0.3μm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·数据上传间隔：30s-65535s可调</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5"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土壤温湿度传感器</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1.规格：探针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2.监测层：4层，20CM、40CM、60CM、80CM；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3.测量方法：电极法；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4.土壤温度：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a.测量范围：-40-+80℃；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b.最大允许误差：±0.5℃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5.土壤湿度：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a.测量范围：0-100%RH；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b.最大允许误差：±4.5%RH；</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空气温湿度传感器</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1.空气温度：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a.测量范围：-40~+80℃；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b.分辨率：0.1℃；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c.精度：±0.5℃；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d.输出：modbus485；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2.空气湿度：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a.测量范围：-40~100%RH；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b.分辨率：0.1%RH；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c.精度：±4.5%RH；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3.含配套百叶箱；</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降雨量传感器</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1.雨强：0-4mm/min；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2.最大允许误差：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a.±0.4mm(≤10mm)；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b.±0.4mm(≤10mm)；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3.分辨率：0.2mm；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4.输出：modbus485；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5.口径：Ф200 ± 0.6mm；</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风速传感器</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1.测量范围：0 m/s~60m/s；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2.最大允许误差：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a.±0.3m/s(≤10m/s)；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b.±(0.3+0.03v) (＞10m/s)；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3.分辨率：0.05m/s；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4.风速输出：modbus485；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5.抗风强度：60m/s；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6.使用环境：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a.温度：-40℃~+60℃；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b.湿度：0~100%RH；</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风向传感器</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1.测量范围：0°~360°；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2.最大允许误差：±3°；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3.响应灵敏度：0.5m/s(风向标偏转30°时)；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4.抗风强度：60m/s；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5.使用环境：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a.温度：-40℃~+60℃；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b.湿度：0~100%RH；</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光照强度传感器</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1.范围0-200000Lux；</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.分辨率1Lux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允许误差±2%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4.输出：modbus485；</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大气压强传感器</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1.测量范围：300~1200Hpa；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2.分辨率：±0.5Hpa；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3.输出：modbus485； </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太阳能供电系统</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1.太阳能板：30W；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2.蓄电瓶：24A；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3.含专用支架；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4.含太阳智能控制器；</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341"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专用立杆</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1.高度：3米；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2.厚度：3.0mm；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3.管径：114mm；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4.风速、风向、光照强度、大气压强，空气温度湿度传感器横梁1套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5.地笼一套</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41"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通信费</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物联网定制</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cs="宋体"/>
                <w:color w:val="000000"/>
                <w:kern w:val="0"/>
                <w:sz w:val="20"/>
                <w:szCs w:val="20"/>
                <w:lang w:bidi="ar"/>
              </w:rPr>
              <w:t>（二）</w:t>
            </w:r>
          </w:p>
        </w:tc>
        <w:tc>
          <w:tcPr>
            <w:tcW w:w="8709" w:type="dxa"/>
            <w:gridSpan w:val="5"/>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智能水肥一体化系统及田间管网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土壤温湿度传感器</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◆规格：集成管式（柱式）；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◆土壤湿度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测量范围：0～100%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测量精度：3%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◆土壤温度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测量范围：-30℃～70℃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测量精度：0.1℃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◆记录间隔：30分～24小时（可调）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◆测点间距：10cm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◆输出方式：USB接口数据导出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◆存储容量：1M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◆数据查看：Web网页系统平台远程查看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◆供电方式： 太阳能电池板+锂电池组合供电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◆防护外壳：PVC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◆防护等级：IP68</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◆工作环境：-20℃～85℃</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41"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太阳能供电系统</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1.太阳能板：6W；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2.电池：2000mah；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3.含专用支架；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4.支架高：1.5米；</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设备占用地面硬化</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土壤墒情检测系统一套，管式墒情监测仪四套，设备占用田间地面，需要地面硬化，长600cm*宽300cm*高20cm,地面需要水泥硬化，三，防止设备坍塌损坏</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341"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设备围栏</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土壤墒情检测系统一套，管式墒情监测仪四套，需要设置围栏防止人为及其他动物的破坏，围栏面积长600cm*宽300cm*高200cm，钢制围栏，防雨、防尘，经久耐用</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341"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设备控制室</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平米，设备控制室定制钢制，防盗钢制门，地面水泥硬化，铺设地板砖20平方护墙板50平方，房间办公桌椅及室内装修所用材料为优质E1级环保实木颗粒板，三胺纸饰面，游离甲醛释放量符合国家环保E1级0.124mg/m3标准，桌子一张，1200*600*800mm，椅子4把，插座两个，2.5平方电缆25米，方便观看试验田，收集数据，分析讨论问</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341"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临时备用电源</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为防止太阳能供电系统故障，设备无法运行，设置临时备用电源设备保证土壤墒情检测系统及管式墒情监测仪正常使用，不会因为长时间断电无法采集数据信息，6000 VA  4200W内置电池，</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b/>
                <w:bCs/>
              </w:rPr>
            </w:pPr>
            <w:r>
              <w:rPr>
                <w:rFonts w:hint="eastAsia"/>
                <w:b/>
                <w:bCs/>
              </w:rPr>
              <w:t>二</w:t>
            </w:r>
          </w:p>
        </w:tc>
        <w:tc>
          <w:tcPr>
            <w:tcW w:w="8709" w:type="dxa"/>
            <w:gridSpan w:val="5"/>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智能水肥一体化系统及田间管网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智能水肥一体机施肥机（旁路式，三通道， 2"接口，单路流量0-250L/h）</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1、3施肥通道；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2、电源：220V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3、吸肥功率：1.0KW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4、可连接2线制解码器，最多控制田间32路电磁阀；带施肥流量检测传感器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5、产品功能：手机APP远程控制，可采用水肥比、定时、EC/PH自动调整精准控制；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6、施肥流量：0L-750L/h；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7、7寸人机界面；</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500L肥药桶（肥料桶底部开1/2"内丝接口、顶部开1"内丝接口）</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1、容积：500L，材质：PE；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2、耐强酸强碱，可长期储存肥料</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潜水泵</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1、流量50m3/h，扬程45m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2、不锈钢叶轮</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自动搅拌器+叶轮（0.75KW/380V）</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搅拌电机：380V，0.55KW，不可调转速；</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注肥流量手动调节器</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1寸，内丝连接，可手动调压</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监测注肥总量和瞬时注肥量仪</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1、DN80，法兰安装；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2、精度等级：0.5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3、电极材质：316L；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4、供电电压：220V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5、输出信号4-20mA,485协议</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瞬时注肥量可调阀（手动调节）</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1、尺寸：DN50；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2、PVC检修球阀，DN50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3、高强度尼龙阀体</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智能控制系统(20路 外部电磁阀控制系统，自动灌溉控制系统)</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定制功能：轮灌控制、气象站信息采集、决策施肥、蓄水池水位监控、报警信息、定时灌溉、定量灌溉、定比例施肥、水肥比施肥控制</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手机APP含3年的资费和无线信号转换器，电脑手机都可以</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支持远程控制、信息采集查看、视频监控展示、历史数据查看、轮灌周期设定</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2寸电磁阀（进口耐特菲姆）+解码器</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1、3寸，法兰连接；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2、供电电压：24VDC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3、材质：复合尼龙材质；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4、最大流量：60m3/h                                                                                                                                                                                                          5、9-20VDC供电；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6、2线制低压电力载波通讯,定制</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电磁阀连接配件</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1、尺寸：DN50；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2、供电方式：脉冲电磁阀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3、直流电磁头；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4、高强度尼龙阀体</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无线网关</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支持标准的 SIP协议及其呼叫控制流程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单个全网通模块最大可支持4个手机卡，可自由切换，8个通道共32个手机卡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支持静态IP地址配置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支持G.711、G.729、G.723.1 等语音编解码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支持回音消除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支持满载并发通话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支持二次拨号语音提示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兼容FreeSwitch、Asterisk等业务平台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通过Web界面配置、操作和升级软件</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变频控制柜,在施肥机上压力任意设定，含压力传感器（根据水泵功率而定）</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1.变频器功率：30KW；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2.通信方式：GPRS/WCDMA/4G；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3.支持分布式、并行部署；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4.带电流、电压显示模块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5.4.3寸显示屏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6.供电电压：380V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7.支持手机电脑远程监测控制，按钮现场控制；</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信号线</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RVV2*1.5铜线，穿管安装</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8000</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线管地埋</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VC20阻燃防水管，防止线材氧化，需要热熔对接，地面需要浇水施肥，收种农作物，需要挖沟填埋，进行隐藏化处理，需要租用机械设备挖沟深度需要80cm左右、宽度8-10cm左右，方便地埋施工，不影响翻土犁地，挖开后需要人工进行填埋恢复地面平整，不影响种植，接口处需人工焊接填埋，保证设备使用安全，试验田现无法准确指明具体的位置与合作的农户，工程清单及工程量具体施工前提供（根据现场情况及设备给出大概方案，后期实施过程中按实际情况来施工）</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8000</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自动反冲洗砂石过滤器（进出水口DN4寸法兰）</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1、流量Q=50m3/h；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2、双罐体，进出水口尺寸为3寸；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3、自清洗控制器为电池供电；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4、过滤精度：120目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5、石英砂滤料，尺寸为1.5-2.5mm</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自动反冲洗叠片过滤器（进出水口DN4寸法兰）</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1、流量Q=50m3/h；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2、双滤筒，进出水口尺寸为3寸；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3、自清洗控制器为电池供电；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4、过滤精度：120目</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过滤器排污连接件</w:t>
            </w:r>
          </w:p>
        </w:tc>
        <w:tc>
          <w:tcPr>
            <w:tcW w:w="5421" w:type="dxa"/>
            <w:tcBorders>
              <w:tl2br w:val="nil"/>
              <w:tr2bl w:val="nil"/>
            </w:tcBorders>
            <w:shd w:val="clear" w:color="auto" w:fill="auto"/>
            <w:tcMar>
              <w:top w:w="15" w:type="dxa"/>
              <w:left w:w="15" w:type="dxa"/>
              <w:right w:w="15" w:type="dxa"/>
            </w:tcMar>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含法兰、胶圈、三通、弯头、螺杆等</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6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2.5寸pe抗老化管</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寸pe管，热熔对接，防止输水过程中压力过小，水流失，对接完成需要打压测试，压力不符合要求需要找到问题，重新对接，保证使用过程中不出现问题。所有PE管道皆为农业级别塑料，管承压力0.8Mpa以上（农业工程施工，天气及季节影响较大，管材及附件根据实际农作物作出调整）</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15000</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2.5寸pe管施工</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材使用需要开挖土地，管材不能妨碍正常的采种农作物，需要租用机械设备挖开地面深度需要80-100cm，宽度10-20cm，方便放置管材及后期维护，挖开后需要人工恢复地面平整，不影响种植，接口处需人工焊接填埋，保证设备使用安全</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15000</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大喷枪（套装）</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喷枪流量30m³/h，正常工作压力0.4-0.6mpa</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生料带</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产品规格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10—100mm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使用温度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使用压力</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6.3Mpa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PH值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0—14</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放管架</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根据现场定制</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专用工具</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定制</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设备操作间</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操作间15平方，方便放置水肥一体机及附件设备，操作间定制钢制，防盗钢门，做8%灰土夯实再做水泥硬化及涂刷防水涂料，防止水汽对设备氧化生锈无法使用，防水涂料2桶，商砼5立方，铺设地板砖15平方，护墙板40平方，大沙需2方，水泥2吨</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间</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34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远程监控系统</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4米长立杆，配置智能球机一个，太阳能板一套，可实现手机电脑远程查看，记录回放等功能</w:t>
            </w:r>
          </w:p>
        </w:tc>
        <w:tc>
          <w:tcPr>
            <w:tcW w:w="65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6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6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8709" w:type="dxa"/>
            <w:gridSpan w:val="5"/>
            <w:tcBorders>
              <w:tl2br w:val="nil"/>
              <w:tr2bl w:val="nil"/>
            </w:tcBorders>
            <w:shd w:val="clear" w:color="auto" w:fill="auto"/>
            <w:tcMar>
              <w:top w:w="15" w:type="dxa"/>
              <w:left w:w="15" w:type="dxa"/>
              <w:right w:w="15" w:type="dxa"/>
            </w:tcMar>
            <w:vAlign w:val="center"/>
          </w:tcPr>
          <w:p>
            <w:pPr>
              <w:jc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蓄水保墒、抗旱抗逆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41" w:type="dxa"/>
            <w:tcBorders>
              <w:tl2br w:val="nil"/>
              <w:tr2bl w:val="nil"/>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浓缩液态肥料</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氮30磷酐15氧化钾bai17.5氧化镁du1.3硫1.7除含有以上大中量元zhi素外，还含有植物茁壮成长所必备的整合态的微量元素，让植物更为容易吸收。微量元素总含量≥0.2g/L。</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千克</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1500</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6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41" w:type="dxa"/>
            <w:tcBorders>
              <w:tl2br w:val="nil"/>
              <w:tr2bl w:val="nil"/>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叶面肥 </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把氮、磷、钾、铁、锌、锰、硼、铜等大量或微量元素集中在一起制成的一类营养物质，大多是作物根系吸收水肥不良时作叶面喷肥以补充养分，促进作物生长发育。</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千克</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10000</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6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341" w:type="dxa"/>
            <w:tcBorders>
              <w:tl2br w:val="nil"/>
              <w:tr2bl w:val="nil"/>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生物肥</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大量营养元素和钙、镁、硫、铁、硼、锌、硒、钼等中微量元素，含有大量有机物质、腐殖酸类物质和保肥增效剂，养分齐全，速缓相济，供肥均衡，肥效持久。</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千克</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5000</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6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341" w:type="dxa"/>
            <w:tcBorders>
              <w:tl2br w:val="nil"/>
              <w:tr2bl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测墒灌溉</w:t>
            </w:r>
          </w:p>
        </w:tc>
        <w:tc>
          <w:tcPr>
            <w:tcW w:w="5421"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展墒情监测，加快自动化、信息化、智能化技术应用，积极采用自动监测站和管式自动监测仪等设备，提升监测效率。定点定期开展土壤墒情监测，及时规范报送、发布信息、采用广播、电视、网络、微信公众号等多种形式提供墒情服务信息。坚持重大灾害、关键农时加密监测。全面掌握水资源状况、降水总量、降雨分布、灌溉制度和优势特色作物需水规律，结合生产实际，充分利用墒情监测与农业节水技术研究成果</w:t>
            </w:r>
          </w:p>
        </w:tc>
        <w:tc>
          <w:tcPr>
            <w:tcW w:w="65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亩</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1700</w:t>
            </w:r>
          </w:p>
        </w:tc>
        <w:tc>
          <w:tcPr>
            <w:tcW w:w="6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否</w:t>
            </w:r>
          </w:p>
        </w:tc>
      </w:tr>
    </w:tbl>
    <w:p>
      <w:pPr>
        <w:rPr>
          <w:rFonts w:asciiTheme="minorEastAsia" w:hAnsiTheme="minorEastAsia"/>
        </w:rPr>
      </w:pPr>
    </w:p>
    <w:p>
      <w:pPr>
        <w:widowControl/>
        <w:shd w:val="clear" w:color="auto" w:fill="FFFFFF"/>
        <w:spacing w:line="360" w:lineRule="auto"/>
        <w:ind w:firstLine="482" w:firstLineChars="200"/>
        <w:contextualSpacing/>
        <w:jc w:val="left"/>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2、投标人应就本项目（每包或者标段）完整投标，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autoSpaceDE w:val="0"/>
        <w:autoSpaceDN w:val="0"/>
        <w:adjustRightInd w:val="0"/>
        <w:spacing w:line="360" w:lineRule="auto"/>
        <w:ind w:firstLine="482"/>
        <w:jc w:val="left"/>
        <w:rPr>
          <w:rFonts w:ascii="Calibri" w:hAnsi="Calibri" w:eastAsia="宋体" w:cs="Calibri"/>
          <w:b/>
          <w:bCs/>
          <w:color w:val="000000"/>
          <w:kern w:val="0"/>
          <w:sz w:val="24"/>
          <w:szCs w:val="24"/>
          <w:highlight w:val="white"/>
        </w:rPr>
      </w:pPr>
      <w:r>
        <w:rPr>
          <w:rFonts w:hint="eastAsia" w:cs="宋体" w:asciiTheme="minorEastAsia" w:hAnsiTheme="minorEastAsia"/>
          <w:b/>
          <w:color w:val="000000"/>
          <w:kern w:val="0"/>
          <w:sz w:val="24"/>
          <w:szCs w:val="24"/>
          <w:lang w:val="zh-CN"/>
        </w:rPr>
        <w:t>四、</w:t>
      </w:r>
      <w:r>
        <w:rPr>
          <w:rFonts w:hint="eastAsia" w:ascii="宋体" w:eastAsia="宋体" w:cs="宋体"/>
          <w:b/>
          <w:bCs/>
          <w:color w:val="000000"/>
          <w:kern w:val="0"/>
          <w:sz w:val="24"/>
          <w:szCs w:val="24"/>
          <w:highlight w:val="white"/>
          <w:lang w:val="zh-CN"/>
        </w:rPr>
        <w:t>包装要求</w:t>
      </w:r>
    </w:p>
    <w:p>
      <w:pPr>
        <w:widowControl/>
        <w:shd w:val="clear" w:color="auto" w:fill="FFFFFF"/>
        <w:spacing w:line="360" w:lineRule="auto"/>
        <w:ind w:firstLine="480" w:firstLineChars="200"/>
        <w:contextualSpacing/>
        <w:jc w:val="left"/>
        <w:rPr>
          <w:rFonts w:cs="宋体" w:asciiTheme="minorEastAsia" w:hAnsiTheme="minorEastAsia"/>
          <w:b/>
          <w:color w:val="000000"/>
          <w:kern w:val="0"/>
          <w:sz w:val="24"/>
          <w:szCs w:val="24"/>
          <w:lang w:val="zh-CN"/>
        </w:rPr>
      </w:pPr>
      <w:r>
        <w:rPr>
          <w:rFonts w:hint="eastAsia" w:ascii="宋体" w:hAnsi="Calibri" w:eastAsia="宋体" w:cs="宋体"/>
          <w:color w:val="000000"/>
          <w:kern w:val="0"/>
          <w:sz w:val="24"/>
          <w:szCs w:val="24"/>
          <w:highlight w:val="white"/>
          <w:lang w:val="zh-CN"/>
        </w:rPr>
        <w:t>涉及商品包装和快递包装的项目，投标人提供产品及相关快递服务的具体包装要求和履约验收相关条款应符合财政部办公厅</w:t>
      </w:r>
      <w:r>
        <w:rPr>
          <w:rFonts w:ascii="Calibri" w:hAnsi="Calibri" w:eastAsia="宋体" w:cs="Calibri"/>
          <w:color w:val="000000"/>
          <w:kern w:val="0"/>
          <w:sz w:val="24"/>
          <w:szCs w:val="24"/>
          <w:highlight w:val="white"/>
        </w:rPr>
        <w:t xml:space="preserve"> </w:t>
      </w:r>
      <w:r>
        <w:rPr>
          <w:rFonts w:hint="eastAsia" w:ascii="宋体" w:hAnsi="Calibri" w:eastAsia="宋体" w:cs="宋体"/>
          <w:color w:val="000000"/>
          <w:kern w:val="0"/>
          <w:sz w:val="24"/>
          <w:szCs w:val="24"/>
          <w:highlight w:val="white"/>
          <w:lang w:val="zh-CN"/>
        </w:rPr>
        <w:t>生态环境部办公厅</w:t>
      </w:r>
      <w:r>
        <w:rPr>
          <w:rFonts w:ascii="Calibri" w:hAnsi="Calibri" w:eastAsia="宋体" w:cs="Calibri"/>
          <w:color w:val="000000"/>
          <w:kern w:val="0"/>
          <w:sz w:val="24"/>
          <w:szCs w:val="24"/>
          <w:highlight w:val="white"/>
        </w:rPr>
        <w:t xml:space="preserve"> </w:t>
      </w:r>
      <w:r>
        <w:rPr>
          <w:rFonts w:hint="eastAsia" w:ascii="宋体" w:hAnsi="Calibri" w:eastAsia="宋体" w:cs="宋体"/>
          <w:color w:val="000000"/>
          <w:kern w:val="0"/>
          <w:sz w:val="24"/>
          <w:szCs w:val="24"/>
          <w:highlight w:val="white"/>
          <w:lang w:val="zh-CN"/>
        </w:rPr>
        <w:t>国家邮政局办公室关于印发《商品包装政府采购需求标准（试行）》、《快递包装政府采购需求标准（试行）》的通知（财</w:t>
      </w:r>
      <w:r>
        <w:rPr>
          <w:rFonts w:hint="eastAsia" w:cs="宋体" w:asciiTheme="minorEastAsia" w:hAnsiTheme="minorEastAsia"/>
          <w:color w:val="000000"/>
          <w:kern w:val="0"/>
          <w:sz w:val="24"/>
          <w:szCs w:val="24"/>
          <w:highlight w:val="white"/>
          <w:lang w:val="zh-CN"/>
        </w:rPr>
        <w:t>办库〔</w:t>
      </w:r>
      <w:r>
        <w:rPr>
          <w:rFonts w:cs="Calibri" w:asciiTheme="minorEastAsia" w:hAnsiTheme="minorEastAsia"/>
          <w:color w:val="000000"/>
          <w:kern w:val="0"/>
          <w:sz w:val="24"/>
          <w:szCs w:val="24"/>
          <w:highlight w:val="white"/>
        </w:rPr>
        <w:t>2020</w:t>
      </w:r>
      <w:r>
        <w:rPr>
          <w:rFonts w:hint="eastAsia" w:cs="宋体" w:asciiTheme="minorEastAsia" w:hAnsiTheme="minorEastAsia"/>
          <w:color w:val="000000"/>
          <w:kern w:val="0"/>
          <w:sz w:val="24"/>
          <w:szCs w:val="24"/>
          <w:highlight w:val="white"/>
          <w:lang w:val="zh-CN"/>
        </w:rPr>
        <w:t>〕</w:t>
      </w:r>
      <w:r>
        <w:rPr>
          <w:rFonts w:cs="Calibri" w:asciiTheme="minorEastAsia" w:hAnsiTheme="minorEastAsia"/>
          <w:color w:val="000000"/>
          <w:kern w:val="0"/>
          <w:sz w:val="24"/>
          <w:szCs w:val="24"/>
          <w:highlight w:val="white"/>
        </w:rPr>
        <w:t>123</w:t>
      </w:r>
      <w:r>
        <w:rPr>
          <w:rFonts w:hint="eastAsia" w:cs="宋体" w:asciiTheme="minorEastAsia" w:hAnsiTheme="minorEastAsia"/>
          <w:color w:val="000000"/>
          <w:kern w:val="0"/>
          <w:sz w:val="24"/>
          <w:szCs w:val="24"/>
          <w:highlight w:val="white"/>
          <w:lang w:val="zh-CN"/>
        </w:rPr>
        <w:t>号）</w:t>
      </w:r>
      <w:r>
        <w:rPr>
          <w:rFonts w:hint="eastAsia" w:ascii="宋体" w:hAnsi="Calibri" w:eastAsia="宋体" w:cs="宋体"/>
          <w:color w:val="000000"/>
          <w:kern w:val="0"/>
          <w:sz w:val="24"/>
          <w:szCs w:val="24"/>
          <w:highlight w:val="white"/>
          <w:lang w:val="zh-CN"/>
        </w:rPr>
        <w:t>的规定。</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pStyle w:val="22"/>
        <w:widowControl/>
        <w:shd w:val="clear" w:color="auto" w:fill="FFFFFF"/>
        <w:spacing w:line="360" w:lineRule="auto"/>
        <w:ind w:firstLine="420"/>
        <w:contextualSpacing/>
        <w:jc w:val="left"/>
        <w:rPr>
          <w:rFonts w:ascii="宋体" w:cs="宋体"/>
          <w:color w:val="000000"/>
          <w:kern w:val="0"/>
          <w:highlight w:val="white"/>
          <w:lang w:val="zh-CN"/>
        </w:rPr>
      </w:pPr>
      <w:r>
        <w:rPr>
          <w:rFonts w:hint="eastAsia" w:ascii="宋体" w:cs="宋体"/>
          <w:color w:val="000000"/>
          <w:kern w:val="0"/>
          <w:highlight w:val="white"/>
          <w:lang w:val="zh-CN"/>
        </w:rPr>
        <w:t>1、由采购人成立验收小组：采购人在收到供应商项目验收建议之日起7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w:t>
      </w:r>
    </w:p>
    <w:p>
      <w:pPr>
        <w:pStyle w:val="22"/>
        <w:widowControl/>
        <w:shd w:val="clear" w:color="auto" w:fill="FFFFFF"/>
        <w:spacing w:line="360" w:lineRule="auto"/>
        <w:ind w:firstLine="420"/>
        <w:contextualSpacing/>
        <w:jc w:val="left"/>
        <w:rPr>
          <w:rFonts w:ascii="宋体" w:cs="宋体"/>
          <w:color w:val="000000"/>
          <w:kern w:val="0"/>
          <w:highlight w:val="white"/>
          <w:lang w:val="zh-CN"/>
        </w:rPr>
      </w:pPr>
      <w:r>
        <w:rPr>
          <w:rFonts w:hint="eastAsia" w:ascii="宋体" w:cs="宋体"/>
          <w:color w:val="000000"/>
          <w:kern w:val="0"/>
          <w:highlight w:val="white"/>
          <w:lang w:val="zh-CN"/>
        </w:rPr>
        <w:t>2、按照招标文件要求、投标文件响应和承诺验收。</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六、本项目预算金额1782050元。最高限价1782050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ascii="宋体" w:hAnsi="Calibri" w:eastAsia="宋体" w:cs="宋体"/>
          <w:color w:val="000000"/>
          <w:kern w:val="0"/>
          <w:sz w:val="24"/>
          <w:szCs w:val="24"/>
          <w:lang w:val="zh-CN"/>
        </w:rPr>
      </w:pPr>
      <w:r>
        <w:rPr>
          <w:rFonts w:hint="eastAsia" w:ascii="宋体" w:hAnsi="Calibri" w:eastAsia="宋体" w:cs="宋体"/>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Calibri" w:eastAsia="宋体" w:cs="宋体"/>
          <w:color w:val="000000"/>
          <w:kern w:val="0"/>
          <w:sz w:val="24"/>
          <w:szCs w:val="24"/>
          <w:lang w:val="zh-CN"/>
        </w:rPr>
      </w:pPr>
      <w:r>
        <w:rPr>
          <w:rFonts w:hint="eastAsia" w:ascii="宋体" w:hAnsi="Calibri" w:eastAsia="宋体" w:cs="宋体"/>
          <w:color w:val="000000"/>
          <w:kern w:val="0"/>
          <w:sz w:val="24"/>
          <w:szCs w:val="24"/>
          <w:lang w:val="zh-CN"/>
        </w:rPr>
        <w:t>2、支付时间及条件：签订合同</w:t>
      </w:r>
      <w:r>
        <w:rPr>
          <w:rFonts w:hint="eastAsia" w:ascii="宋体" w:hAnsi="Calibri" w:eastAsia="宋体" w:cs="宋体"/>
          <w:color w:val="000000"/>
          <w:kern w:val="0"/>
          <w:sz w:val="24"/>
          <w:szCs w:val="24"/>
        </w:rPr>
        <w:t>后付30%，项目验收合格后支付剩余的70%</w:t>
      </w:r>
      <w:r>
        <w:rPr>
          <w:rFonts w:hint="eastAsia" w:cs="仿宋" w:asciiTheme="minorEastAsia" w:hAnsiTheme="minorEastAsia"/>
          <w:bCs/>
          <w:sz w:val="24"/>
        </w:rPr>
        <w:t>。</w:t>
      </w: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360" w:lineRule="auto"/>
              <w:jc w:val="left"/>
              <w:rPr>
                <w:rFonts w:cs="仿宋_GB2312" w:asciiTheme="minorEastAsia" w:hAnsiTheme="minorEastAsia"/>
                <w:szCs w:val="21"/>
              </w:rPr>
            </w:pPr>
            <w:r>
              <w:rPr>
                <w:rFonts w:hint="eastAsia" w:cs="仿宋_GB2312" w:asciiTheme="minorEastAsia" w:hAnsiTheme="minorEastAsia"/>
                <w:szCs w:val="21"/>
              </w:rPr>
              <w:t>项目名称：鄢陵县农业农村局鄢陵县2020年旱作节水农业技术推广项目（不见面开标）</w:t>
            </w:r>
          </w:p>
          <w:p>
            <w:pPr>
              <w:widowControl/>
              <w:shd w:val="clear" w:color="auto" w:fill="FFFFFF"/>
              <w:spacing w:line="360" w:lineRule="auto"/>
              <w:jc w:val="left"/>
              <w:rPr>
                <w:rFonts w:cs="仿宋_GB2312" w:asciiTheme="minorEastAsia" w:hAnsiTheme="minorEastAsia"/>
                <w:szCs w:val="21"/>
              </w:rPr>
            </w:pPr>
            <w:r>
              <w:rPr>
                <w:rFonts w:hint="eastAsia" w:cs="仿宋_GB2312" w:asciiTheme="minorEastAsia" w:hAnsiTheme="minorEastAsia"/>
                <w:szCs w:val="21"/>
              </w:rPr>
              <w:t>项目编号：Y2021HZ065</w:t>
            </w:r>
          </w:p>
          <w:p>
            <w:pPr>
              <w:widowControl/>
              <w:shd w:val="clear" w:color="auto" w:fill="FFFFFF"/>
              <w:spacing w:line="360" w:lineRule="auto"/>
              <w:jc w:val="left"/>
              <w:rPr>
                <w:rFonts w:cs="仿宋_GB2312" w:asciiTheme="minorEastAsia" w:hAnsiTheme="minorEastAsia"/>
                <w:szCs w:val="21"/>
              </w:rPr>
            </w:pPr>
            <w:r>
              <w:rPr>
                <w:rFonts w:hint="eastAsia" w:cs="仿宋_GB2312" w:asciiTheme="minorEastAsia" w:hAnsiTheme="minorEastAsia"/>
                <w:szCs w:val="21"/>
              </w:rPr>
              <w:t>项目内容：鄢陵县农业农村局鄢陵县2020年旱作节水农业技术推广项目采购服务。（具体要求详见招标文件）</w:t>
            </w:r>
          </w:p>
          <w:p>
            <w:pPr>
              <w:widowControl/>
              <w:shd w:val="clear" w:color="auto" w:fill="FFFFFF"/>
              <w:spacing w:line="360" w:lineRule="auto"/>
              <w:jc w:val="left"/>
              <w:rPr>
                <w:rFonts w:cs="仿宋_GB2312" w:asciiTheme="minorEastAsia" w:hAnsiTheme="minorEastAsia"/>
                <w:szCs w:val="21"/>
              </w:rPr>
            </w:pPr>
            <w:r>
              <w:rPr>
                <w:rFonts w:hint="eastAsia" w:cs="仿宋_GB2312" w:asciiTheme="minorEastAsia" w:hAnsiTheme="minorEastAsia"/>
                <w:szCs w:val="21"/>
              </w:rPr>
              <w:t>项目地址：鄢陵县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名称：鄢陵县农业农村局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zh-CN"/>
              </w:rPr>
              <w:t>鄢陵县花都大道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联系人：吴女士  联系电话：18749593108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名称：驰远工程管理有限公司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地址：平顶山市新华区建设路西段281号（选煤设计院）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联系人：王丽    联系方式：18503745088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“中国社会组织政务服务平台”网站（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rPr>
              <w:t>人民币壹佰柒拾捌万贰仟零伍拾元整（￥1782050元）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highlight w:val="none"/>
                <w:lang w:val="zh-CN"/>
              </w:rPr>
            </w:pPr>
            <w:r>
              <w:rPr>
                <w:rFonts w:cs="宋体" w:asciiTheme="minorEastAsia" w:hAnsiTheme="minorEastAsia"/>
                <w:bCs/>
                <w:szCs w:val="21"/>
                <w:highlight w:val="none"/>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hint="eastAsia" w:cs="宋体" w:asciiTheme="minorEastAsia" w:hAnsiTheme="minorEastAsia"/>
                <w:b/>
                <w:color w:val="000000"/>
                <w:kern w:val="0"/>
                <w:szCs w:val="21"/>
                <w:highlight w:val="none"/>
                <w:lang w:val="zh-CN"/>
              </w:rPr>
              <w:instrText xml:space="preserve">eq \o\ac(□)</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不组织</w:t>
            </w:r>
          </w:p>
          <w:p>
            <w:pPr>
              <w:autoSpaceDE w:val="0"/>
              <w:autoSpaceDN w:val="0"/>
              <w:adjustRightInd w:val="0"/>
              <w:spacing w:line="360" w:lineRule="auto"/>
              <w:rPr>
                <w:rFonts w:hint="eastAsia" w:cs="宋体" w:asciiTheme="minorEastAsia" w:hAnsiTheme="minorEastAsia"/>
                <w:bCs/>
                <w:szCs w:val="21"/>
                <w:highlight w:val="none"/>
                <w:lang w:val="en-US" w:eastAsia="zh-CN"/>
              </w:rPr>
            </w:pPr>
            <w:r>
              <w:rPr>
                <w:rFonts w:hint="eastAsia" w:cs="宋体" w:asciiTheme="minorEastAsia" w:hAnsiTheme="minorEastAsia"/>
                <w:b/>
                <w:bCs/>
                <w:szCs w:val="21"/>
                <w:highlight w:val="none"/>
                <w:lang w:val="zh-CN"/>
              </w:rPr>
              <w:t>☑</w:t>
            </w:r>
            <w:r>
              <w:rPr>
                <w:rFonts w:hint="eastAsia" w:cs="宋体" w:asciiTheme="minorEastAsia" w:hAnsiTheme="minorEastAsia"/>
                <w:bCs/>
                <w:szCs w:val="21"/>
                <w:highlight w:val="none"/>
                <w:lang w:val="zh-CN"/>
              </w:rPr>
              <w:t>组织，时间：</w:t>
            </w:r>
            <w:r>
              <w:rPr>
                <w:rFonts w:hint="eastAsia" w:cs="宋体" w:asciiTheme="minorEastAsia" w:hAnsiTheme="minorEastAsia"/>
                <w:bCs/>
                <w:szCs w:val="21"/>
                <w:highlight w:val="none"/>
                <w:lang w:val="en-US" w:eastAsia="zh-CN"/>
              </w:rPr>
              <w:t>2021年4月6日至2021年4月8日</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由于本项目为新型智慧农业，需投标人勘察现场了解情况后，制定合理的设计方案，采购人出具勘察证明。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2021年</w:t>
            </w:r>
            <w:r>
              <w:rPr>
                <w:rFonts w:hint="eastAsia" w:cs="宋体" w:asciiTheme="minorEastAsia" w:hAnsiTheme="minorEastAsia"/>
                <w:bCs/>
                <w:szCs w:val="21"/>
              </w:rPr>
              <w:t>4</w:t>
            </w:r>
            <w:r>
              <w:rPr>
                <w:rFonts w:hint="eastAsia" w:cs="宋体" w:asciiTheme="minorEastAsia" w:hAnsiTheme="minorEastAsia"/>
                <w:bCs/>
                <w:szCs w:val="21"/>
                <w:lang w:val="zh-CN"/>
              </w:rPr>
              <w:t>月</w:t>
            </w:r>
            <w:r>
              <w:rPr>
                <w:rFonts w:hint="eastAsia" w:cs="宋体" w:asciiTheme="minorEastAsia" w:hAnsiTheme="minorEastAsia"/>
                <w:bCs/>
                <w:szCs w:val="21"/>
              </w:rPr>
              <w:t>23</w:t>
            </w:r>
            <w:r>
              <w:rPr>
                <w:rFonts w:hint="eastAsia" w:cs="宋体" w:asciiTheme="minorEastAsia" w:hAnsiTheme="minorEastAsia"/>
                <w:bCs/>
                <w:szCs w:val="21"/>
                <w:lang w:val="zh-CN"/>
              </w:rPr>
              <w:t>日</w:t>
            </w:r>
            <w:r>
              <w:rPr>
                <w:rFonts w:hint="eastAsia" w:cs="宋体" w:asciiTheme="minorEastAsia" w:hAnsiTheme="minorEastAsia"/>
                <w:bCs/>
                <w:szCs w:val="21"/>
              </w:rPr>
              <w:t>08</w:t>
            </w:r>
            <w:r>
              <w:rPr>
                <w:rFonts w:hint="eastAsia" w:cs="宋体" w:asciiTheme="minorEastAsia" w:hAnsiTheme="minorEastAsia"/>
                <w:bCs/>
                <w:szCs w:val="21"/>
                <w:lang w:val="zh-CN"/>
              </w:rPr>
              <w:t>时</w:t>
            </w:r>
            <w:r>
              <w:rPr>
                <w:rFonts w:hint="eastAsia" w:cs="宋体" w:asciiTheme="minorEastAsia" w:hAnsiTheme="minorEastAsia"/>
                <w:bCs/>
                <w:szCs w:val="21"/>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开标地点：鄢陵县公共资源交易中心（本项目采用远程不见面开标，投标人无须到交易中心现场）。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评标委员会组建</w:t>
            </w:r>
          </w:p>
        </w:tc>
        <w:tc>
          <w:tcPr>
            <w:tcW w:w="6813" w:type="dxa"/>
            <w:vAlign w:val="center"/>
          </w:tcPr>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评标委员会组建：共5人，由采购人代表1人和评审专家4人组成。</w:t>
            </w:r>
          </w:p>
          <w:p>
            <w:pPr>
              <w:autoSpaceDE w:val="0"/>
              <w:autoSpaceDN w:val="0"/>
              <w:adjustRightInd w:val="0"/>
              <w:spacing w:line="360" w:lineRule="auto"/>
              <w:contextualSpacing/>
              <w:rPr>
                <w:rFonts w:cs="宋体" w:asciiTheme="minorEastAsia" w:hAnsiTheme="minorEastAsia"/>
                <w:bCs/>
                <w:szCs w:val="21"/>
                <w:lang w:val="zh-CN"/>
              </w:rPr>
            </w:pPr>
            <w:r>
              <w:rPr>
                <w:rFonts w:hint="eastAsia" w:asciiTheme="minorEastAsia" w:hAnsiTheme="minorEastAsia"/>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Theme="minorEastAsia" w:hAnsiTheme="minorEastAsia"/>
              </w:rPr>
              <w:t>否则不得享受相关中小企业扶持政策。</w:t>
            </w:r>
          </w:p>
          <w:p>
            <w:pPr>
              <w:autoSpaceDE w:val="0"/>
              <w:autoSpaceDN w:val="0"/>
              <w:adjustRightInd w:val="0"/>
              <w:spacing w:line="360" w:lineRule="auto"/>
              <w:contextualSpacing/>
              <w:rPr>
                <w:rFonts w:asciiTheme="minorEastAsia" w:hAnsiTheme="minorEastAsia"/>
                <w:u w:val="single"/>
              </w:rPr>
            </w:pPr>
            <w:r>
              <w:rPr>
                <w:rFonts w:hint="eastAsia" w:asciiTheme="minorEastAsia" w:hAnsiTheme="minorEastAsia"/>
              </w:rPr>
              <w:t>2、本次</w:t>
            </w:r>
            <w:r>
              <w:rPr>
                <w:rFonts w:asciiTheme="minorEastAsia" w:hAnsiTheme="minorEastAsia"/>
              </w:rPr>
              <w:t>采购标的对应的中小企业划分标准所属行业</w:t>
            </w:r>
            <w:r>
              <w:rPr>
                <w:rFonts w:hint="eastAsia" w:asciiTheme="minorEastAsia" w:hAnsiTheme="minorEastAsia"/>
              </w:rPr>
              <w:t>：</w:t>
            </w:r>
            <w:r>
              <w:rPr>
                <w:rFonts w:hint="eastAsia" w:asciiTheme="minorEastAsia" w:hAnsiTheme="minorEastAsia"/>
                <w:u w:val="single"/>
              </w:rPr>
              <w:t xml:space="preserve">            </w:t>
            </w:r>
          </w:p>
          <w:p>
            <w:pPr>
              <w:autoSpaceDE w:val="0"/>
              <w:autoSpaceDN w:val="0"/>
              <w:adjustRightInd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rPr>
              <w:t>3、根据财政部、工业和信息化部发布的《政府采购促进中小企业发展管理办法》（财库〔2020〕46号）规定，对小型和微型企业投标价格给</w:t>
            </w:r>
            <w:r>
              <w:rPr>
                <w:rFonts w:hint="eastAsia" w:asciiTheme="minorEastAsia" w:hAnsiTheme="minorEastAsia"/>
                <w:color w:val="000000" w:themeColor="text1"/>
                <w14:textFill>
                  <w14:solidFill>
                    <w14:schemeClr w14:val="tx1"/>
                  </w14:solidFill>
                </w14:textFill>
              </w:rPr>
              <w:t>予10 %（6%-10%）的扣除，用扣除后的价格参与评审。</w:t>
            </w:r>
          </w:p>
          <w:p>
            <w:pPr>
              <w:spacing w:line="360" w:lineRule="auto"/>
              <w:contextualSpacing/>
              <w:rPr>
                <w:rFonts w:asciiTheme="minorEastAsia" w:hAnsiTheme="minorEastAsia"/>
              </w:rPr>
            </w:pPr>
            <w:r>
              <w:rPr>
                <w:rFonts w:hint="eastAsia" w:asciiTheme="minorEastAsia" w:hAnsiTheme="minorEastAsia"/>
              </w:rPr>
              <w:t>4、</w:t>
            </w:r>
            <w:r>
              <w:rPr>
                <w:rFonts w:asciiTheme="minorEastAsia" w:hAnsiTheme="minorEastAsia"/>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5、</w:t>
            </w:r>
            <w:r>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Theme="minorEastAsia" w:hAnsiTheme="minorEastAsia"/>
              </w:rPr>
              <w:t>2</w:t>
            </w:r>
            <w:r>
              <w:rPr>
                <w:rFonts w:asciiTheme="minorEastAsia" w:hAnsiTheme="minorEastAsia"/>
              </w:rPr>
              <w:t>—</w:t>
            </w:r>
            <w:r>
              <w:rPr>
                <w:rFonts w:hint="eastAsia" w:asciiTheme="minorEastAsia" w:hAnsiTheme="minorEastAsia"/>
              </w:rPr>
              <w:t>3</w:t>
            </w:r>
            <w:r>
              <w:rPr>
                <w:rFonts w:asciiTheme="minorEastAsia" w:hAnsiTheme="minorEastAsia"/>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Theme="minorEastAsia" w:hAnsiTheme="minorEastAsia"/>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Theme="minorEastAsia" w:hAnsiTheme="minorEastAsi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缴纳形式：基本户转账或履约保函的形式。</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履约担保金额：中标合同金额的3%（百元取整）</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投标人采用基本户转账方式缴纳履约担保的，在中标通知书领取后与招标人签订合同前办理，应缴纳至以下账户（履约担保缴纳时需备注项目名称、编号、标段）：</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 xml:space="preserve">开户行：中原银行鄢陵支行 </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户  名：鄢陵县公共资源交易中心</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账  号：411025010190014701</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注意事项:</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有下列情形之一的履约担保不予退还:</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1、</w:t>
            </w:r>
            <w:r>
              <w:rPr>
                <w:rFonts w:hint="eastAsia" w:cs="宋体" w:asciiTheme="minorEastAsia" w:hAnsiTheme="minorEastAsia"/>
                <w:color w:val="000000"/>
                <w:kern w:val="0"/>
                <w:szCs w:val="21"/>
                <w:lang w:val="zh-CN"/>
              </w:rPr>
              <w:t>中标人向他人转让中标项目或将中标项目肢解后分别向他人转让；</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2、法律法规、规章规定的其它不予退还的情形。</w:t>
            </w:r>
          </w:p>
          <w:p>
            <w:pPr>
              <w:autoSpaceDE w:val="0"/>
              <w:autoSpaceDN w:val="0"/>
              <w:adjustRightInd w:val="0"/>
              <w:spacing w:line="360" w:lineRule="auto"/>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3、</w:t>
            </w:r>
            <w:r>
              <w:rPr>
                <w:rFonts w:hint="eastAsia" w:cs="宋体" w:asciiTheme="minorEastAsia" w:hAnsiTheme="minorEastAsia"/>
                <w:color w:val="000000"/>
                <w:kern w:val="0"/>
                <w:szCs w:val="21"/>
                <w:lang w:val="zh-CN"/>
              </w:rPr>
              <w:t>投标人采用联合体投标的，由联合体牵头人负责履约担保或者履约保</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函的缴纳或提交。</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4、投标人因账户开户银行、银行账号发生变化，不能按照来款途径原路返还履约担保的，投标人须提供原账户开户银行相关证明及新开账户开户许可证（鄢陵县公共资源交易中心四楼政府采购中心财务室，联</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系电话：0374—76088</w:t>
            </w:r>
            <w:r>
              <w:rPr>
                <w:rFonts w:hint="eastAsia" w:cs="宋体" w:asciiTheme="minorEastAsia" w:hAnsiTheme="minorEastAsia"/>
                <w:color w:val="000000"/>
                <w:kern w:val="0"/>
                <w:szCs w:val="21"/>
              </w:rPr>
              <w:t>18</w:t>
            </w:r>
            <w:r>
              <w:rPr>
                <w:rFonts w:hint="eastAsia" w:cs="宋体" w:asciiTheme="minorEastAsia" w:hAnsiTheme="minorEastAsia"/>
                <w:color w:val="000000"/>
                <w:kern w:val="0"/>
                <w:szCs w:val="21"/>
                <w:lang w:val="zh-CN"/>
              </w:rPr>
              <w:t>）</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color w:val="FF0000"/>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Pr>
                <w:rFonts w:hint="eastAsia" w:cs="宋体" w:asciiTheme="minorEastAsia" w:hAnsiTheme="minorEastAsia"/>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eq \o\ac(</w:instrText>
            </w:r>
            <w:r>
              <w:rPr>
                <w:rFonts w:hint="eastAsia" w:cs="宋体" w:asciiTheme="minorEastAsia" w:hAnsiTheme="minorEastAsia"/>
                <w:bCs/>
                <w:szCs w:val="21"/>
                <w:lang w:val="zh-CN"/>
              </w:rPr>
              <w:instrText xml:space="preserve">□</w:instrText>
            </w:r>
            <w:r>
              <w:rPr>
                <w:rFonts w:cs="宋体" w:asciiTheme="minorEastAsia" w:hAnsiTheme="minorEastAsia"/>
                <w:bCs/>
                <w:szCs w:val="21"/>
                <w:lang w:val="zh-CN"/>
              </w:rPr>
              <w:instrText xml:space="preserve">)</w:instrText>
            </w:r>
            <w:r>
              <w:rPr>
                <w:rFonts w:cs="宋体" w:asciiTheme="minorEastAsia" w:hAnsiTheme="minorEastAsia"/>
                <w:bCs/>
                <w:szCs w:val="21"/>
                <w:lang w:val="zh-CN"/>
              </w:rPr>
              <w:fldChar w:fldCharType="end"/>
            </w:r>
            <w:r>
              <w:rPr>
                <w:rFonts w:hint="eastAsia" w:cs="宋体" w:asciiTheme="minorEastAsia" w:hAnsiTheme="minorEastAsia"/>
                <w:bCs/>
                <w:szCs w:val="21"/>
                <w:lang w:val="zh-CN"/>
              </w:rPr>
              <w:t>不收取</w:t>
            </w: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eq \o\ac(</w:instrText>
            </w:r>
            <w:r>
              <w:rPr>
                <w:rFonts w:hint="eastAsia" w:cs="宋体" w:asciiTheme="minorEastAsia" w:hAnsiTheme="minorEastAsia"/>
                <w:bCs/>
                <w:szCs w:val="21"/>
                <w:lang w:val="zh-CN"/>
              </w:rPr>
              <w:instrText xml:space="preserve">□,√</w:instrText>
            </w:r>
            <w:r>
              <w:rPr>
                <w:rFonts w:cs="宋体" w:asciiTheme="minorEastAsia" w:hAnsiTheme="minorEastAsia"/>
                <w:bCs/>
                <w:szCs w:val="21"/>
                <w:lang w:val="zh-CN"/>
              </w:rPr>
              <w:instrText xml:space="preserve">)</w:instrText>
            </w:r>
            <w:r>
              <w:rPr>
                <w:rFonts w:cs="宋体" w:asciiTheme="minorEastAsia" w:hAnsiTheme="minorEastAsia"/>
                <w:bCs/>
                <w:szCs w:val="21"/>
                <w:lang w:val="zh-CN"/>
              </w:rPr>
              <w:fldChar w:fldCharType="end"/>
            </w:r>
            <w:r>
              <w:rPr>
                <w:rFonts w:hint="eastAsia" w:cs="宋体" w:asciiTheme="minorEastAsia" w:hAnsiTheme="minorEastAsia"/>
                <w:bCs/>
                <w:szCs w:val="21"/>
                <w:lang w:val="zh-CN"/>
              </w:rPr>
              <w:t>收取中标人</w:t>
            </w:r>
            <w:r>
              <w:rPr>
                <w:rFonts w:cs="宋体" w:asciiTheme="minorEastAsia" w:hAnsiTheme="minorEastAsia"/>
                <w:bCs/>
                <w:szCs w:val="21"/>
                <w:lang w:val="zh-CN"/>
              </w:rPr>
              <w:fldChar w:fldCharType="begin"/>
            </w:r>
            <w:r>
              <w:rPr>
                <w:rFonts w:cs="宋体" w:asciiTheme="minorEastAsia" w:hAnsiTheme="minorEastAsia"/>
                <w:bCs/>
                <w:szCs w:val="21"/>
                <w:lang w:val="zh-CN"/>
              </w:rPr>
              <w:instrText xml:space="preserve">eq \o\ac(</w:instrText>
            </w:r>
            <w:r>
              <w:rPr>
                <w:rFonts w:hint="eastAsia" w:cs="宋体" w:asciiTheme="minorEastAsia" w:hAnsiTheme="minorEastAsia"/>
                <w:bCs/>
                <w:szCs w:val="21"/>
                <w:lang w:val="zh-CN"/>
              </w:rPr>
              <w:instrText xml:space="preserve">□</w:instrText>
            </w:r>
            <w:r>
              <w:rPr>
                <w:rFonts w:cs="宋体" w:asciiTheme="minorEastAsia" w:hAnsiTheme="minorEastAsia"/>
                <w:bCs/>
                <w:szCs w:val="21"/>
                <w:lang w:val="zh-CN"/>
              </w:rPr>
              <w:instrText xml:space="preserve">)</w:instrText>
            </w:r>
            <w:r>
              <w:rPr>
                <w:rFonts w:cs="宋体" w:asciiTheme="minorEastAsia" w:hAnsiTheme="minorEastAsia"/>
                <w:bCs/>
                <w:szCs w:val="21"/>
                <w:lang w:val="zh-CN"/>
              </w:rPr>
              <w:fldChar w:fldCharType="end"/>
            </w:r>
            <w:r>
              <w:rPr>
                <w:rFonts w:hint="eastAsia" w:cs="宋体" w:asciiTheme="minorEastAsia" w:hAnsiTheme="minorEastAsia"/>
                <w:bCs/>
                <w:szCs w:val="21"/>
                <w:lang w:val="zh-CN"/>
              </w:rPr>
              <w:t>收取采购人</w:t>
            </w:r>
          </w:p>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收取标准</w:t>
            </w:r>
            <w:r>
              <w:rPr>
                <w:rFonts w:cs="宋体" w:asciiTheme="minorEastAsia" w:hAnsiTheme="minorEastAsia"/>
                <w:bCs/>
                <w:szCs w:val="21"/>
                <w:lang w:val="zh-CN"/>
              </w:rPr>
              <w:t xml:space="preserve">: </w:t>
            </w:r>
            <w:r>
              <w:rPr>
                <w:rFonts w:hint="eastAsia" w:cs="宋体" w:asciiTheme="minorEastAsia" w:hAnsiTheme="minorEastAsia"/>
                <w:bCs/>
                <w:szCs w:val="21"/>
                <w:lang w:val="zh-CN"/>
              </w:rPr>
              <w:t>参照国家计委计价格</w:t>
            </w:r>
            <w:r>
              <w:rPr>
                <w:rFonts w:cs="宋体" w:asciiTheme="minorEastAsia" w:hAnsiTheme="minorEastAsia"/>
                <w:bCs/>
                <w:szCs w:val="21"/>
                <w:lang w:val="zh-CN"/>
              </w:rPr>
              <w:t>[2002]1980</w:t>
            </w:r>
            <w:r>
              <w:rPr>
                <w:rFonts w:hint="eastAsia" w:cs="宋体" w:asciiTheme="minorEastAsia" w:hAnsiTheme="minorEastAsia"/>
                <w:bCs/>
                <w:szCs w:val="21"/>
                <w:lang w:val="zh-CN"/>
              </w:rPr>
              <w:t>号文、发改价格</w:t>
            </w:r>
            <w:r>
              <w:rPr>
                <w:rFonts w:cs="宋体" w:asciiTheme="minorEastAsia" w:hAnsiTheme="minorEastAsia"/>
                <w:bCs/>
                <w:szCs w:val="21"/>
                <w:lang w:val="zh-CN"/>
              </w:rPr>
              <w:t>[2015]299</w:t>
            </w:r>
            <w:r>
              <w:rPr>
                <w:rFonts w:hint="eastAsia" w:cs="宋体" w:asciiTheme="minorEastAsia" w:hAnsiTheme="minorEastAsia"/>
                <w:bCs/>
                <w:szCs w:val="21"/>
                <w:lang w:val="zh-CN"/>
              </w:rPr>
              <w:t>号文、</w:t>
            </w:r>
            <w:r>
              <w:rPr>
                <w:rFonts w:cs="宋体" w:asciiTheme="minorEastAsia" w:hAnsiTheme="minorEastAsia"/>
                <w:bCs/>
                <w:szCs w:val="21"/>
                <w:lang w:val="zh-CN"/>
              </w:rPr>
              <w:t>[2011]534</w:t>
            </w:r>
            <w:r>
              <w:rPr>
                <w:rFonts w:hint="eastAsia" w:cs="宋体" w:asciiTheme="minorEastAsia" w:hAnsiTheme="minorEastAsia"/>
                <w:bCs/>
                <w:szCs w:val="21"/>
                <w:lang w:val="zh-CN"/>
              </w:rPr>
              <w:t>号文文件费率标准计算。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w:t>
            </w:r>
            <w:r>
              <w:rPr>
                <w:rFonts w:hint="eastAsia" w:cs="仿宋_GB2312" w:asciiTheme="minorEastAsia" w:hAnsiTheme="minorEastAsia"/>
                <w:color w:val="000000" w:themeColor="text1"/>
                <w:szCs w:val="21"/>
                <w:lang w:val="zh-CN"/>
                <w14:textFill>
                  <w14:solidFill>
                    <w14:schemeClr w14:val="tx1"/>
                  </w14:solidFill>
                </w14:textFill>
              </w:rPr>
              <w:t>进入鄢陵县公共资源交易中心三楼楼电子</w:t>
            </w:r>
            <w:r>
              <w:rPr>
                <w:rFonts w:hint="eastAsia" w:cs="仿宋_GB2312" w:asciiTheme="minorEastAsia" w:hAnsiTheme="minorEastAsia"/>
                <w:szCs w:val="21"/>
                <w:lang w:val="zh-CN"/>
              </w:rPr>
              <w:t>监督室进行监督，并向采购代理机构出具授权函，且不得超过2人。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w:t>
            </w:r>
            <w:r>
              <w:rPr>
                <w:rFonts w:hint="eastAsia" w:ascii="宋体" w:hAnsi="宋体" w:cs="宋体"/>
                <w:kern w:val="0"/>
                <w:sz w:val="24"/>
                <w:szCs w:val="24"/>
              </w:rPr>
              <w:t>代理机构</w:t>
            </w:r>
            <w:r>
              <w:rPr>
                <w:rFonts w:hint="eastAsia" w:ascii="新宋体" w:hAnsi="新宋体" w:eastAsia="新宋体"/>
                <w:szCs w:val="21"/>
              </w:rPr>
              <w:t>发</w:t>
            </w:r>
            <w:r>
              <w:rPr>
                <w:rFonts w:hint="eastAsia" w:cs="宋体" w:asciiTheme="minorEastAsia" w:hAnsiTheme="minorEastAsia"/>
                <w:bCs/>
                <w:szCs w:val="21"/>
                <w:lang w:val="zh-CN"/>
              </w:rPr>
              <w:t>送投标报价及分项报价一览表（包含主要中标标的的名称、规格型号、数量、单价、服务要求等）电子文档，并同时通知代理机构联系人。联系电话：</w:t>
            </w:r>
            <w:r>
              <w:rPr>
                <w:rFonts w:hint="eastAsia" w:cs="宋体" w:asciiTheme="minorEastAsia" w:hAnsiTheme="minorEastAsia"/>
                <w:bCs/>
                <w:szCs w:val="21"/>
              </w:rPr>
              <w:t>18503745088，</w:t>
            </w:r>
            <w:r>
              <w:rPr>
                <w:rFonts w:hint="eastAsia" w:cs="宋体" w:asciiTheme="minorEastAsia" w:hAnsiTheme="minorEastAsia"/>
                <w:bCs/>
                <w:szCs w:val="21"/>
                <w:lang w:val="zh-CN"/>
              </w:rPr>
              <w:t xml:space="preserve">邮箱232306943@qq.com。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1"/>
        <w:autoSpaceDE w:val="0"/>
        <w:autoSpaceDN w:val="0"/>
        <w:spacing w:line="360" w:lineRule="auto"/>
        <w:ind w:left="780" w:firstLine="0" w:firstLineChars="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1"/>
        <w:numPr>
          <w:ilvl w:val="1"/>
          <w:numId w:val="19"/>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1"/>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kern w:val="0"/>
          <w:szCs w:val="21"/>
        </w:rPr>
        <w:t>www.chinanpo.gov.cn</w:t>
      </w:r>
      <w:r>
        <w:rPr>
          <w:rStyle w:val="29"/>
          <w:rFonts w:cs="宋体" w:asciiTheme="minorEastAsia" w:hAnsiTheme="minorEastAsia"/>
          <w:kern w:val="0"/>
          <w:szCs w:val="21"/>
        </w:rPr>
        <w:fldChar w:fldCharType="end"/>
      </w:r>
      <w:r>
        <w:rPr>
          <w:rFonts w:hint="eastAsia" w:cs="宋体" w:asciiTheme="minorEastAsia" w:hAnsiTheme="minorEastAsia"/>
          <w:kern w:val="0"/>
          <w:szCs w:val="21"/>
        </w:rPr>
        <w:t>）；</w:t>
      </w:r>
    </w:p>
    <w:p>
      <w:pPr>
        <w:pStyle w:val="41"/>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1"/>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1"/>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1"/>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1"/>
        <w:numPr>
          <w:ilvl w:val="1"/>
          <w:numId w:val="19"/>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1"/>
        <w:numPr>
          <w:ilvl w:val="1"/>
          <w:numId w:val="1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1"/>
        <w:numPr>
          <w:ilvl w:val="1"/>
          <w:numId w:val="1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1"/>
        <w:numPr>
          <w:ilvl w:val="0"/>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1"/>
        <w:numPr>
          <w:ilvl w:val="0"/>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1"/>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1"/>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1"/>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1"/>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1"/>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1"/>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1"/>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1"/>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1"/>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1"/>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1"/>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1"/>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1"/>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1"/>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1"/>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1"/>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color w:val="000000"/>
          <w:szCs w:val="21"/>
        </w:rPr>
        <w:t>加密电子投标文件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1"/>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1"/>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1"/>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1"/>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000000"/>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autoSpaceDE w:val="0"/>
        <w:autoSpaceDN w:val="0"/>
        <w:spacing w:line="360" w:lineRule="auto"/>
        <w:ind w:left="1050" w:hanging="1050" w:hangingChars="500"/>
        <w:contextualSpacing/>
        <w:rPr>
          <w:rFonts w:cs="宋体" w:asciiTheme="minorEastAsia" w:hAnsiTheme="minorEastAsia"/>
          <w:kern w:val="0"/>
          <w:szCs w:val="21"/>
        </w:rPr>
      </w:pPr>
      <w:r>
        <w:rPr>
          <w:rFonts w:hint="eastAsia" w:cs="宋体" w:asciiTheme="minorEastAsia" w:hAnsiTheme="minorEastAsia"/>
          <w:kern w:val="0"/>
          <w:szCs w:val="21"/>
        </w:rPr>
        <w:t>23.3.1   电子投标文件的解密。全流程电子化交易项目电子投标文件采用双重加密。解密需分标段进行两次解密。</w:t>
      </w:r>
    </w:p>
    <w:p>
      <w:pPr>
        <w:pStyle w:val="41"/>
        <w:numPr>
          <w:ilvl w:val="1"/>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1"/>
        <w:numPr>
          <w:ilvl w:val="1"/>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1"/>
        <w:numPr>
          <w:ilvl w:val="1"/>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1"/>
        <w:numPr>
          <w:ilvl w:val="1"/>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color w:val="000000"/>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color w:val="000000"/>
          <w:szCs w:val="21"/>
        </w:rPr>
        <w:t>投标人未电子签章的，视同认可开标结果。</w:t>
      </w:r>
    </w:p>
    <w:p>
      <w:pPr>
        <w:pStyle w:val="41"/>
        <w:numPr>
          <w:ilvl w:val="1"/>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1"/>
        <w:numPr>
          <w:ilvl w:val="1"/>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1"/>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w:t>
      </w:r>
      <w:r>
        <w:rPr>
          <w:rFonts w:hint="eastAsia" w:cs="宋体" w:asciiTheme="minorEastAsia" w:hAnsiTheme="minorEastAsia"/>
          <w:color w:val="FF0000"/>
          <w:kern w:val="0"/>
          <w:szCs w:val="21"/>
        </w:rPr>
        <w:t>当为5人以上单数，</w:t>
      </w:r>
      <w:r>
        <w:rPr>
          <w:rFonts w:hint="eastAsia" w:cs="宋体" w:asciiTheme="minorEastAsia" w:hAnsiTheme="minorEastAsia"/>
          <w:kern w:val="0"/>
          <w:szCs w:val="21"/>
        </w:rPr>
        <w:t>其中评审专家的人数不少于评标委员会成员总数的三分之二。评审专家依法从政府采购评审专家库中随机抽取。</w:t>
      </w:r>
    </w:p>
    <w:p>
      <w:pPr>
        <w:pStyle w:val="41"/>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1"/>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1"/>
        <w:numPr>
          <w:ilvl w:val="0"/>
          <w:numId w:val="3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1"/>
        <w:numPr>
          <w:ilvl w:val="0"/>
          <w:numId w:val="3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1"/>
        <w:numPr>
          <w:ilvl w:val="0"/>
          <w:numId w:val="3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1"/>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1"/>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1"/>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1"/>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1"/>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1"/>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1"/>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1"/>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1"/>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27.投标文件的澄清</w:t>
      </w:r>
    </w:p>
    <w:p>
      <w:pPr>
        <w:pStyle w:val="41"/>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1"/>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1"/>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28.投标文件报价出现前后不一致的修正</w:t>
      </w:r>
    </w:p>
    <w:p>
      <w:pPr>
        <w:pStyle w:val="41"/>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1"/>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1"/>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1"/>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29.投标无效情形</w:t>
      </w:r>
    </w:p>
    <w:p>
      <w:pPr>
        <w:pStyle w:val="41"/>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1"/>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1"/>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1"/>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1"/>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1"/>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1"/>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1"/>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1"/>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1"/>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1"/>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1"/>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1"/>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1"/>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1"/>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1"/>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30.相同品牌投标人的认定</w:t>
      </w:r>
      <w:r>
        <w:rPr>
          <w:rFonts w:cs="仿宋_GB2312" w:asciiTheme="minorEastAsia" w:hAnsiTheme="minorEastAsia"/>
          <w:b/>
          <w:bCs/>
          <w:szCs w:val="21"/>
          <w:lang w:val="zh-CN"/>
        </w:rPr>
        <w:t>（服务类项目不适用本条款规定）</w:t>
      </w:r>
    </w:p>
    <w:p>
      <w:pPr>
        <w:pStyle w:val="41"/>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1"/>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1"/>
        <w:autoSpaceDE w:val="0"/>
        <w:autoSpaceDN w:val="0"/>
        <w:spacing w:line="360" w:lineRule="auto"/>
        <w:ind w:left="964" w:firstLine="0" w:firstLineChars="0"/>
        <w:contextualSpacing/>
        <w:rPr>
          <w:rFonts w:cs="宋体" w:asciiTheme="minorEastAsia" w:hAnsiTheme="minorEastAsia"/>
          <w:kern w:val="0"/>
          <w:szCs w:val="21"/>
          <w:highlight w:val="yellow"/>
        </w:rPr>
      </w:pP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31.投标文件的比较与评价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32.评标方法、评标标准</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         评标方法分为最低评标价法和综合评分法。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32.1.1       最低评标价法</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32.1.1.1     最低评标价法，是指投标文件满足招标文件全部实质性要求，且投标报价最低的投标人为中标候选人的评标方法。</w:t>
      </w:r>
    </w:p>
    <w:p>
      <w:pPr>
        <w:autoSpaceDE w:val="0"/>
        <w:autoSpaceDN w:val="0"/>
        <w:spacing w:line="360" w:lineRule="auto"/>
        <w:ind w:left="1260" w:hanging="1260" w:hangingChars="600"/>
        <w:contextualSpacing/>
        <w:rPr>
          <w:rFonts w:cs="宋体" w:asciiTheme="minorEastAsia" w:hAnsiTheme="minorEastAsia"/>
          <w:kern w:val="0"/>
          <w:szCs w:val="21"/>
        </w:rPr>
      </w:pPr>
      <w:r>
        <w:rPr>
          <w:rFonts w:hint="eastAsia" w:cs="宋体" w:asciiTheme="minorEastAsia" w:hAnsiTheme="minorEastAsia"/>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32.1.2      综合评分法，是指投标文件满足招标文件全部实质性要求，且按照评审因素的量化指标评审得分最高的投标人为中标候选人的评标方法。</w:t>
      </w:r>
    </w:p>
    <w:p>
      <w:pPr>
        <w:pStyle w:val="41"/>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价格分</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1"/>
        <w:numPr>
          <w:ilvl w:val="1"/>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33.推荐中标候选人</w:t>
      </w:r>
    </w:p>
    <w:p>
      <w:pPr>
        <w:autoSpaceDE w:val="0"/>
        <w:autoSpaceDN w:val="0"/>
        <w:spacing w:line="360" w:lineRule="auto"/>
        <w:ind w:left="945" w:hanging="945" w:hangingChars="45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     采用最低评标价法的，评标结果按投标报价由低到高顺序排列。投标报价相同的并列。投标文件满足招标文件全部实质性要求且投标报价最低的投标人为排名第一的中标候选人。</w:t>
      </w:r>
    </w:p>
    <w:p>
      <w:pPr>
        <w:pStyle w:val="41"/>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1"/>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1"/>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1"/>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1"/>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1"/>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1"/>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1"/>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1"/>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1"/>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1"/>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1"/>
        <w:numPr>
          <w:ilvl w:val="0"/>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1"/>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1"/>
        <w:numPr>
          <w:ilvl w:val="0"/>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采购人应当自收到评标报告之日起1个工作日内，在评标报告确定的中标候选人名单中按顺序确定中标人。中标候选人并列的，由采购人采取随机抽取的方式确定。</w:t>
      </w:r>
    </w:p>
    <w:p>
      <w:pPr>
        <w:pStyle w:val="41"/>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1"/>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采购人确认中标人后，1个工作日公告中标结果的同时，向中标人发出中标通知书。</w:t>
      </w:r>
    </w:p>
    <w:p>
      <w:pPr>
        <w:pStyle w:val="41"/>
        <w:numPr>
          <w:ilvl w:val="0"/>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1"/>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1"/>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1"/>
        <w:numPr>
          <w:ilvl w:val="0"/>
          <w:numId w:val="6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1"/>
        <w:numPr>
          <w:ilvl w:val="0"/>
          <w:numId w:val="6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1"/>
        <w:numPr>
          <w:ilvl w:val="0"/>
          <w:numId w:val="6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1"/>
        <w:numPr>
          <w:ilvl w:val="1"/>
          <w:numId w:val="6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1"/>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1"/>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采购人应当自中标通知书发出之日起7日内，按照招标文件和中标人投标文件的规定，与中标人签订书面合同。所签订的合同不得对招标文件确定的事项和中标人投标文件作实质性修改。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到鄢陵县财政局采购办进行合同备案，并登陆“许昌市政府采购网”进行网上备案。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w:t>
      </w:r>
      <w:r>
        <w:rPr>
          <w:rFonts w:hint="eastAsia" w:cs="宋体" w:asciiTheme="minorEastAsia" w:hAnsiTheme="minorEastAsia"/>
          <w:color w:val="FF0000"/>
          <w:kern w:val="0"/>
          <w:szCs w:val="21"/>
        </w:rPr>
        <w:t>中标人提交履约保证金的，中标人应当以支票、汇票、本票或者金融机构、担保机构出具的保函等非现金形式向采购人提交。履约保证金的数额中标合同金额的3%。</w:t>
      </w:r>
      <w:r>
        <w:rPr>
          <w:rFonts w:hint="eastAsia" w:ascii="宋体" w:hAnsi="宋体" w:eastAsia="宋体" w:cs="宋体"/>
          <w:color w:val="FF0000"/>
          <w:sz w:val="24"/>
          <w:szCs w:val="24"/>
        </w:rPr>
        <w:br w:type="textWrapping"/>
      </w:r>
    </w:p>
    <w:p>
      <w:pPr>
        <w:pStyle w:val="41"/>
        <w:numPr>
          <w:ilvl w:val="0"/>
          <w:numId w:val="66"/>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1"/>
        <w:numPr>
          <w:ilvl w:val="1"/>
          <w:numId w:val="68"/>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41.2  合作金融机构（排名不分先后）</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合作金融机构名称：浦发银行许昌分行</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地址：许昌市许继大道1163号许继花园</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合作金融机构名称：交通银行许昌分行</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联系人：宋纪刚  0374-2369912  13733951305</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地址：许昌市莲城大道114号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徐亚爽15038297574</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联系人：韩晨  13253490679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41.3  “许昌市政府采购合同融资金融产品推介名录”链接</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http://xuchang.hngp.gov.cn/xuchang/content?infoId=1606365368231095&amp;channelCode=H711001</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2</w:t>
      </w:r>
      <w:r>
        <w:rPr>
          <w:rFonts w:ascii="ˎ̥" w:hAnsi="ˎ̥"/>
        </w:rPr>
        <w:t>—</w:t>
      </w:r>
      <w:r>
        <w:rPr>
          <w:rFonts w:hint="eastAsia" w:ascii="ˎ̥" w:hAnsi="ˎ̥"/>
        </w:rPr>
        <w:t>3</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“中国社会组织政务服务平台”网站（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“中国社会组织政务服务平台”网站（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投标人应具备的特殊</w:t>
            </w:r>
          </w:p>
          <w:p>
            <w:pPr>
              <w:spacing w:line="360" w:lineRule="auto"/>
              <w:rPr>
                <w:rFonts w:asciiTheme="minorEastAsia" w:hAnsiTheme="minorEastAsia"/>
                <w:b/>
                <w:bCs/>
                <w:szCs w:val="21"/>
              </w:rPr>
            </w:pPr>
            <w:r>
              <w:rPr>
                <w:rFonts w:hint="eastAsia" w:asciiTheme="minorEastAsia" w:hAnsiTheme="minorEastAsia"/>
                <w:b/>
                <w:szCs w:val="21"/>
              </w:rPr>
              <w:t>要求</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ˎ̥" w:hAnsi="ˎ̥"/>
        </w:rPr>
      </w:pPr>
      <w:r>
        <w:rPr>
          <w:rFonts w:hint="eastAsia" w:cs="仿宋_GB2312" w:asciiTheme="minorEastAsia" w:hAnsiTheme="minorEastAsia" w:eastAsiaTheme="minorEastAsia"/>
          <w:sz w:val="21"/>
          <w:szCs w:val="21"/>
          <w:lang w:val="zh-CN"/>
        </w:rPr>
        <w:t>1）</w:t>
      </w:r>
      <w:r>
        <w:rPr>
          <w:rFonts w:hint="eastAsia" w:ascii="ˎ̥" w:hAnsi="ˎ̥"/>
          <w:sz w:val="21"/>
          <w:szCs w:val="21"/>
        </w:rPr>
        <w:t>如果本项目非专门面向中小企业采购，对</w:t>
      </w:r>
      <w:r>
        <w:rPr>
          <w:rFonts w:ascii="ˎ̥" w:hAnsi="ˎ̥"/>
          <w:sz w:val="21"/>
          <w:szCs w:val="21"/>
        </w:rPr>
        <w:t>符合</w:t>
      </w:r>
      <w:r>
        <w:rPr>
          <w:rFonts w:hint="eastAsia" w:ascii="ˎ̥" w:hAnsi="ˎ̥"/>
          <w:sz w:val="21"/>
          <w:szCs w:val="21"/>
        </w:rPr>
        <w:t>《政府采购促进中小企业发展管理办法》(财库〔2020〕46号</w:t>
      </w:r>
      <w:r>
        <w:rPr>
          <w:rFonts w:ascii="ˎ̥" w:hAnsi="ˎ̥"/>
          <w:sz w:val="21"/>
          <w:szCs w:val="21"/>
        </w:rPr>
        <w:t>规定的小微企业报价</w:t>
      </w:r>
      <w:r>
        <w:rPr>
          <w:rFonts w:hint="eastAsia" w:ascii="ˎ̥" w:hAnsi="ˎ̥"/>
          <w:sz w:val="21"/>
          <w:szCs w:val="21"/>
        </w:rPr>
        <w:t>给予</w:t>
      </w:r>
      <w:r>
        <w:rPr>
          <w:rFonts w:hint="eastAsia" w:ascii="ˎ̥" w:hAnsi="ˎ̥"/>
          <w:color w:val="FF0000"/>
          <w:sz w:val="21"/>
          <w:szCs w:val="21"/>
        </w:rPr>
        <w:t>10%</w:t>
      </w:r>
      <w:r>
        <w:rPr>
          <w:rFonts w:hint="eastAsia" w:ascii="ˎ̥" w:hAnsi="ˎ̥"/>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2）对监狱企业价格给予10%的扣除，用扣除后的价格参与评审。监狱企业应当提供由省级以上监狱管理局、戒毒管理局(含新疆生产建设兵团)出具的属于监狱企业的证明文件。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10%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widowControl/>
        <w:spacing w:line="560" w:lineRule="atLeast"/>
        <w:ind w:firstLine="600"/>
        <w:rPr>
          <w:rFonts w:ascii="Calibri" w:hAnsi="Calibri" w:eastAsia="宋体" w:cs="Times New Roman"/>
          <w:kern w:val="2"/>
          <w:sz w:val="24"/>
          <w:szCs w:val="24"/>
          <w:lang w:val="en-US" w:eastAsia="zh-CN" w:bidi="ar-SA"/>
        </w:rPr>
      </w:pPr>
      <w:r>
        <w:rPr>
          <w:rFonts w:hint="eastAsia" w:cs="仿宋_GB2312" w:asciiTheme="minorEastAsia" w:hAnsiTheme="minorEastAsia"/>
          <w:b/>
          <w:szCs w:val="21"/>
          <w:lang w:val="zh-CN"/>
        </w:rPr>
        <w:t>（7）评标标准</w:t>
      </w:r>
    </w:p>
    <w:tbl>
      <w:tblPr>
        <w:tblStyle w:val="25"/>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884"/>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评分内容</w:t>
            </w:r>
          </w:p>
        </w:tc>
        <w:tc>
          <w:tcPr>
            <w:tcW w:w="884" w:type="dxa"/>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分值</w:t>
            </w:r>
          </w:p>
        </w:tc>
        <w:tc>
          <w:tcPr>
            <w:tcW w:w="6995" w:type="dxa"/>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评审细则说明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价格部分（30）</w:t>
            </w:r>
          </w:p>
        </w:tc>
        <w:tc>
          <w:tcPr>
            <w:tcW w:w="884" w:type="dxa"/>
            <w:vAlign w:val="center"/>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30分</w:t>
            </w:r>
          </w:p>
        </w:tc>
        <w:tc>
          <w:tcPr>
            <w:tcW w:w="6995" w:type="dxa"/>
            <w:vAlign w:val="center"/>
          </w:tcPr>
          <w:p>
            <w:pPr>
              <w:spacing w:line="440" w:lineRule="exact"/>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评标基准价=有效供应商的最低报价</w:t>
            </w:r>
          </w:p>
          <w:p>
            <w:pPr>
              <w:spacing w:line="440" w:lineRule="exact"/>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投标报价得分=评标基准价/投标报价×30</w:t>
            </w:r>
          </w:p>
          <w:p>
            <w:pPr>
              <w:spacing w:line="440" w:lineRule="exact"/>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有效供应商是指实质上响应采购文件要求并通过实质性审核未被废标的所有供应商。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restart"/>
            <w:vAlign w:val="center"/>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企业实力（35）</w:t>
            </w:r>
          </w:p>
        </w:tc>
        <w:tc>
          <w:tcPr>
            <w:tcW w:w="884" w:type="dxa"/>
            <w:vAlign w:val="center"/>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10分</w:t>
            </w:r>
          </w:p>
        </w:tc>
        <w:tc>
          <w:tcPr>
            <w:tcW w:w="6995" w:type="dxa"/>
            <w:vAlign w:val="center"/>
          </w:tcPr>
          <w:p>
            <w:pPr>
              <w:spacing w:line="360" w:lineRule="auto"/>
              <w:rPr>
                <w:rFonts w:hint="eastAsia" w:ascii="Calibri" w:hAnsi="Calibri" w:eastAsia="宋体" w:cs="Times New Roman"/>
                <w:kern w:val="2"/>
                <w:sz w:val="24"/>
                <w:szCs w:val="24"/>
                <w:highlight w:val="none"/>
                <w:lang w:val="zh-CN" w:eastAsia="zh-CN" w:bidi="ar-SA"/>
              </w:rPr>
            </w:pPr>
            <w:r>
              <w:rPr>
                <w:rFonts w:hint="eastAsia" w:ascii="Calibri" w:hAnsi="Calibri" w:eastAsia="宋体" w:cs="Times New Roman"/>
                <w:kern w:val="2"/>
                <w:sz w:val="24"/>
                <w:szCs w:val="24"/>
                <w:highlight w:val="none"/>
                <w:lang w:val="en-US" w:eastAsia="zh-CN" w:bidi="ar-SA"/>
              </w:rPr>
              <w:t>投标人具备</w:t>
            </w:r>
            <w:r>
              <w:rPr>
                <w:rFonts w:hint="eastAsia" w:ascii="Calibri" w:hAnsi="Calibri" w:eastAsia="宋体" w:cs="Times New Roman"/>
                <w:kern w:val="2"/>
                <w:sz w:val="24"/>
                <w:szCs w:val="24"/>
                <w:highlight w:val="none"/>
                <w:lang w:val="zh-CN" w:eastAsia="zh-CN" w:bidi="ar-SA"/>
              </w:rPr>
              <w:t>AAA信用等级的得</w:t>
            </w:r>
            <w:r>
              <w:rPr>
                <w:rFonts w:hint="eastAsia" w:ascii="Calibri" w:hAnsi="Calibri" w:eastAsia="宋体" w:cs="Times New Roman"/>
                <w:kern w:val="2"/>
                <w:sz w:val="24"/>
                <w:szCs w:val="24"/>
                <w:highlight w:val="none"/>
                <w:lang w:val="en-US" w:eastAsia="zh-CN" w:bidi="ar-SA"/>
              </w:rPr>
              <w:t>1</w:t>
            </w:r>
            <w:r>
              <w:rPr>
                <w:rFonts w:hint="eastAsia" w:ascii="Calibri" w:hAnsi="Calibri" w:eastAsia="宋体" w:cs="Times New Roman"/>
                <w:kern w:val="2"/>
                <w:sz w:val="24"/>
                <w:szCs w:val="24"/>
                <w:highlight w:val="none"/>
                <w:lang w:val="zh-CN" w:eastAsia="zh-CN" w:bidi="ar-SA"/>
              </w:rPr>
              <w:t>分，AA的得</w:t>
            </w:r>
            <w:r>
              <w:rPr>
                <w:rFonts w:hint="eastAsia" w:ascii="Calibri" w:hAnsi="Calibri" w:eastAsia="宋体" w:cs="Times New Roman"/>
                <w:kern w:val="2"/>
                <w:sz w:val="24"/>
                <w:szCs w:val="24"/>
                <w:highlight w:val="none"/>
                <w:lang w:val="en-US" w:eastAsia="zh-CN" w:bidi="ar-SA"/>
              </w:rPr>
              <w:t>0.5</w:t>
            </w:r>
            <w:r>
              <w:rPr>
                <w:rFonts w:hint="eastAsia" w:ascii="Calibri" w:hAnsi="Calibri" w:eastAsia="宋体" w:cs="Times New Roman"/>
                <w:kern w:val="2"/>
                <w:sz w:val="24"/>
                <w:szCs w:val="24"/>
                <w:highlight w:val="none"/>
                <w:lang w:val="zh-CN" w:eastAsia="zh-CN" w:bidi="ar-SA"/>
              </w:rPr>
              <w:t>分；</w:t>
            </w:r>
          </w:p>
          <w:p>
            <w:pPr>
              <w:spacing w:line="360" w:lineRule="auto"/>
              <w:rPr>
                <w:rFonts w:ascii="Calibri" w:hAnsi="Calibri" w:eastAsia="宋体" w:cs="Times New Roman"/>
                <w:kern w:val="2"/>
                <w:sz w:val="24"/>
                <w:szCs w:val="24"/>
                <w:highlight w:val="none"/>
                <w:lang w:val="zh-CN" w:eastAsia="zh-CN" w:bidi="ar-SA"/>
              </w:rPr>
            </w:pPr>
            <w:r>
              <w:rPr>
                <w:rFonts w:hint="eastAsia" w:ascii="Calibri" w:hAnsi="Calibri" w:eastAsia="宋体" w:cs="Times New Roman"/>
                <w:kern w:val="2"/>
                <w:sz w:val="24"/>
                <w:szCs w:val="24"/>
                <w:highlight w:val="none"/>
                <w:lang w:val="zh-CN" w:eastAsia="zh-CN" w:bidi="ar-SA"/>
              </w:rPr>
              <w:t>（以证书为准）</w:t>
            </w:r>
          </w:p>
          <w:p>
            <w:pPr>
              <w:spacing w:line="360" w:lineRule="auto"/>
              <w:rPr>
                <w:rFonts w:hint="default"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投标人对现场进行勘察，并做出科学合理的设计方案的得9分。（需出具现场勘察证明）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tcPr>
          <w:p>
            <w:pPr>
              <w:jc w:val="center"/>
              <w:rPr>
                <w:rFonts w:ascii="Calibri" w:hAnsi="Calibri" w:eastAsia="宋体" w:cs="Times New Roman"/>
                <w:kern w:val="2"/>
                <w:sz w:val="24"/>
                <w:szCs w:val="24"/>
                <w:highlight w:val="none"/>
                <w:lang w:val="en-US" w:eastAsia="zh-CN" w:bidi="ar-SA"/>
              </w:rPr>
            </w:pPr>
          </w:p>
        </w:tc>
        <w:tc>
          <w:tcPr>
            <w:tcW w:w="884" w:type="dxa"/>
            <w:vAlign w:val="center"/>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15分</w:t>
            </w:r>
          </w:p>
        </w:tc>
        <w:tc>
          <w:tcPr>
            <w:tcW w:w="6995" w:type="dxa"/>
            <w:vAlign w:val="center"/>
          </w:tcPr>
          <w:p>
            <w:pPr>
              <w:pStyle w:val="22"/>
              <w:widowControl/>
              <w:spacing w:line="360" w:lineRule="auto"/>
              <w:jc w:val="center"/>
              <w:rPr>
                <w:rFonts w:ascii="Calibri" w:hAnsi="Calibri" w:eastAsia="宋体" w:cs="Times New Roman"/>
                <w:kern w:val="2"/>
                <w:sz w:val="24"/>
                <w:szCs w:val="24"/>
                <w:highlight w:val="none"/>
                <w:lang w:val="en-US" w:eastAsia="zh-CN" w:bidi="ar-SA"/>
              </w:rPr>
            </w:pPr>
            <w:r>
              <w:rPr>
                <w:rFonts w:ascii="Calibri" w:hAnsi="Calibri" w:eastAsia="宋体" w:cs="Times New Roman"/>
                <w:kern w:val="2"/>
                <w:sz w:val="24"/>
                <w:szCs w:val="24"/>
                <w:highlight w:val="none"/>
                <w:lang w:val="en-US" w:eastAsia="zh-CN" w:bidi="ar-SA"/>
              </w:rPr>
              <w:t>有详细完整的售后服务计划、稳定的售后服务队伍、服务响应时间、应急处理等横向比较进行综合打分，优得1</w:t>
            </w:r>
            <w:r>
              <w:rPr>
                <w:rFonts w:hint="eastAsia" w:ascii="Calibri" w:hAnsi="Calibri" w:eastAsia="宋体" w:cs="Times New Roman"/>
                <w:kern w:val="2"/>
                <w:sz w:val="24"/>
                <w:szCs w:val="24"/>
                <w:highlight w:val="none"/>
                <w:lang w:val="en-US" w:eastAsia="zh-CN" w:bidi="ar-SA"/>
              </w:rPr>
              <w:t>5</w:t>
            </w:r>
            <w:r>
              <w:rPr>
                <w:rFonts w:ascii="Calibri" w:hAnsi="Calibri" w:eastAsia="宋体" w:cs="Times New Roman"/>
                <w:kern w:val="2"/>
                <w:sz w:val="24"/>
                <w:szCs w:val="24"/>
                <w:highlight w:val="none"/>
                <w:lang w:val="en-US" w:eastAsia="zh-CN" w:bidi="ar-SA"/>
              </w:rPr>
              <w:t>分，良得</w:t>
            </w:r>
            <w:r>
              <w:rPr>
                <w:rFonts w:hint="eastAsia" w:ascii="Calibri" w:hAnsi="Calibri" w:eastAsia="宋体" w:cs="Times New Roman"/>
                <w:kern w:val="2"/>
                <w:sz w:val="24"/>
                <w:szCs w:val="24"/>
                <w:highlight w:val="none"/>
                <w:lang w:val="en-US" w:eastAsia="zh-CN" w:bidi="ar-SA"/>
              </w:rPr>
              <w:t>8</w:t>
            </w:r>
            <w:r>
              <w:rPr>
                <w:rFonts w:ascii="Calibri" w:hAnsi="Calibri" w:eastAsia="宋体" w:cs="Times New Roman"/>
                <w:kern w:val="2"/>
                <w:sz w:val="24"/>
                <w:szCs w:val="24"/>
                <w:highlight w:val="none"/>
                <w:lang w:val="en-US" w:eastAsia="zh-CN" w:bidi="ar-SA"/>
              </w:rPr>
              <w:t>分，</w:t>
            </w:r>
            <w:r>
              <w:rPr>
                <w:rFonts w:hint="eastAsia" w:ascii="Calibri" w:hAnsi="Calibri" w:eastAsia="宋体" w:cs="Times New Roman"/>
                <w:kern w:val="2"/>
                <w:sz w:val="24"/>
                <w:szCs w:val="24"/>
                <w:highlight w:val="none"/>
                <w:lang w:val="en-US" w:eastAsia="zh-CN" w:bidi="ar-SA"/>
              </w:rPr>
              <w:t>一般得2分，</w:t>
            </w:r>
            <w:r>
              <w:rPr>
                <w:rFonts w:ascii="Calibri" w:hAnsi="Calibri" w:eastAsia="宋体" w:cs="Times New Roman"/>
                <w:kern w:val="2"/>
                <w:sz w:val="24"/>
                <w:szCs w:val="24"/>
                <w:highlight w:val="none"/>
                <w:lang w:val="en-US" w:eastAsia="zh-CN" w:bidi="ar-SA"/>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tcPr>
          <w:p>
            <w:pPr>
              <w:jc w:val="center"/>
              <w:rPr>
                <w:rFonts w:ascii="Calibri" w:hAnsi="Calibri" w:eastAsia="宋体" w:cs="Times New Roman"/>
                <w:kern w:val="2"/>
                <w:sz w:val="24"/>
                <w:szCs w:val="24"/>
                <w:highlight w:val="none"/>
                <w:lang w:val="en-US" w:eastAsia="zh-CN" w:bidi="ar-SA"/>
              </w:rPr>
            </w:pPr>
          </w:p>
        </w:tc>
        <w:tc>
          <w:tcPr>
            <w:tcW w:w="884" w:type="dxa"/>
            <w:vAlign w:val="center"/>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10分</w:t>
            </w:r>
          </w:p>
        </w:tc>
        <w:tc>
          <w:tcPr>
            <w:tcW w:w="6995" w:type="dxa"/>
            <w:vAlign w:val="center"/>
          </w:tcPr>
          <w:p>
            <w:pPr>
              <w:pStyle w:val="22"/>
              <w:widowControl/>
              <w:spacing w:line="360" w:lineRule="auto"/>
              <w:jc w:val="center"/>
              <w:rPr>
                <w:rFonts w:ascii="Calibri" w:hAnsi="Calibri" w:eastAsia="宋体" w:cs="Times New Roman"/>
                <w:kern w:val="2"/>
                <w:sz w:val="24"/>
                <w:szCs w:val="24"/>
                <w:highlight w:val="none"/>
                <w:lang w:val="en-US" w:eastAsia="zh-CN" w:bidi="ar-SA"/>
              </w:rPr>
            </w:pPr>
            <w:r>
              <w:rPr>
                <w:rFonts w:ascii="Calibri" w:hAnsi="Calibri" w:eastAsia="宋体" w:cs="Times New Roman"/>
                <w:kern w:val="2"/>
                <w:sz w:val="24"/>
                <w:szCs w:val="24"/>
                <w:highlight w:val="none"/>
                <w:lang w:val="en-US" w:eastAsia="zh-CN" w:bidi="ar-SA"/>
              </w:rPr>
              <w:t>投标文件制作规范、大方、附件齐全、所提供与投标产品相同配置及参数的说明书或彩页能详细反映招标文件技术参数的。优得</w:t>
            </w:r>
            <w:r>
              <w:rPr>
                <w:rFonts w:hint="eastAsia" w:ascii="Calibri" w:hAnsi="Calibri" w:eastAsia="宋体" w:cs="Times New Roman"/>
                <w:kern w:val="2"/>
                <w:sz w:val="24"/>
                <w:szCs w:val="24"/>
                <w:highlight w:val="none"/>
                <w:lang w:val="en-US" w:eastAsia="zh-CN" w:bidi="ar-SA"/>
              </w:rPr>
              <w:t>1</w:t>
            </w:r>
            <w:r>
              <w:rPr>
                <w:rFonts w:hint="eastAsia" w:cs="Times New Roman"/>
                <w:kern w:val="2"/>
                <w:sz w:val="24"/>
                <w:szCs w:val="24"/>
                <w:highlight w:val="none"/>
                <w:lang w:val="en-US" w:eastAsia="zh-CN" w:bidi="ar-SA"/>
              </w:rPr>
              <w:t>0</w:t>
            </w:r>
            <w:r>
              <w:rPr>
                <w:rFonts w:hint="eastAsia" w:ascii="Calibri" w:hAnsi="Calibri" w:eastAsia="宋体" w:cs="Times New Roman"/>
                <w:kern w:val="2"/>
                <w:sz w:val="24"/>
                <w:szCs w:val="24"/>
                <w:highlight w:val="none"/>
                <w:lang w:val="en-US" w:eastAsia="zh-CN" w:bidi="ar-SA"/>
              </w:rPr>
              <w:t>分，</w:t>
            </w:r>
            <w:r>
              <w:rPr>
                <w:rFonts w:ascii="Calibri" w:hAnsi="Calibri" w:eastAsia="宋体" w:cs="Times New Roman"/>
                <w:kern w:val="2"/>
                <w:sz w:val="24"/>
                <w:szCs w:val="24"/>
                <w:highlight w:val="none"/>
                <w:lang w:val="en-US" w:eastAsia="zh-CN" w:bidi="ar-SA"/>
              </w:rPr>
              <w:t>良得</w:t>
            </w:r>
            <w:r>
              <w:rPr>
                <w:rFonts w:hint="eastAsia" w:cs="Times New Roman"/>
                <w:kern w:val="2"/>
                <w:sz w:val="24"/>
                <w:szCs w:val="24"/>
                <w:highlight w:val="none"/>
                <w:lang w:val="en-US" w:eastAsia="zh-CN" w:bidi="ar-SA"/>
              </w:rPr>
              <w:t>5</w:t>
            </w:r>
            <w:r>
              <w:rPr>
                <w:rFonts w:ascii="Calibri" w:hAnsi="Calibri" w:eastAsia="宋体" w:cs="Times New Roman"/>
                <w:kern w:val="2"/>
                <w:sz w:val="24"/>
                <w:szCs w:val="24"/>
                <w:highlight w:val="none"/>
                <w:lang w:val="en-US" w:eastAsia="zh-CN" w:bidi="ar-SA"/>
              </w:rPr>
              <w:t>分，</w:t>
            </w:r>
            <w:r>
              <w:rPr>
                <w:rFonts w:hint="eastAsia" w:ascii="Calibri" w:hAnsi="Calibri" w:eastAsia="宋体" w:cs="Times New Roman"/>
                <w:kern w:val="2"/>
                <w:sz w:val="24"/>
                <w:szCs w:val="24"/>
                <w:highlight w:val="none"/>
                <w:lang w:val="en-US" w:eastAsia="zh-CN" w:bidi="ar-SA"/>
              </w:rPr>
              <w:t>一般得2分，</w:t>
            </w:r>
            <w:r>
              <w:rPr>
                <w:rFonts w:ascii="Calibri" w:hAnsi="Calibri" w:eastAsia="宋体" w:cs="Times New Roman"/>
                <w:kern w:val="2"/>
                <w:sz w:val="24"/>
                <w:szCs w:val="24"/>
                <w:highlight w:val="none"/>
                <w:lang w:val="en-US" w:eastAsia="zh-CN" w:bidi="ar-SA"/>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restart"/>
            <w:vAlign w:val="center"/>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技术部分（35）</w:t>
            </w:r>
          </w:p>
        </w:tc>
        <w:tc>
          <w:tcPr>
            <w:tcW w:w="884" w:type="dxa"/>
            <w:vAlign w:val="center"/>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15</w:t>
            </w:r>
            <w:bookmarkStart w:id="12" w:name="_GoBack"/>
            <w:bookmarkEnd w:id="12"/>
          </w:p>
        </w:tc>
        <w:tc>
          <w:tcPr>
            <w:tcW w:w="6995" w:type="dxa"/>
            <w:vAlign w:val="center"/>
          </w:tcPr>
          <w:p>
            <w:pPr>
              <w:pStyle w:val="22"/>
              <w:widowControl/>
              <w:spacing w:line="360" w:lineRule="auto"/>
              <w:jc w:val="center"/>
              <w:rPr>
                <w:rFonts w:ascii="Calibri" w:hAnsi="Calibri" w:eastAsia="宋体" w:cs="Times New Roman"/>
                <w:kern w:val="2"/>
                <w:sz w:val="24"/>
                <w:szCs w:val="24"/>
                <w:highlight w:val="none"/>
                <w:lang w:val="en-US" w:eastAsia="zh-CN" w:bidi="ar-SA"/>
              </w:rPr>
            </w:pPr>
            <w:r>
              <w:rPr>
                <w:rFonts w:ascii="Calibri" w:hAnsi="Calibri" w:eastAsia="宋体" w:cs="Times New Roman"/>
                <w:kern w:val="2"/>
                <w:sz w:val="24"/>
                <w:szCs w:val="24"/>
                <w:highlight w:val="none"/>
                <w:lang w:val="en-US" w:eastAsia="zh-CN" w:bidi="ar-SA"/>
              </w:rPr>
              <w:t>能提供科学合理技术服务方案，优秀的得1</w:t>
            </w:r>
            <w:r>
              <w:rPr>
                <w:rFonts w:hint="eastAsia" w:cs="Times New Roman"/>
                <w:kern w:val="2"/>
                <w:sz w:val="24"/>
                <w:szCs w:val="24"/>
                <w:highlight w:val="none"/>
                <w:lang w:val="en-US" w:eastAsia="zh-CN" w:bidi="ar-SA"/>
              </w:rPr>
              <w:t>5</w:t>
            </w:r>
            <w:r>
              <w:rPr>
                <w:rFonts w:ascii="Calibri" w:hAnsi="Calibri" w:eastAsia="宋体" w:cs="Times New Roman"/>
                <w:kern w:val="2"/>
                <w:sz w:val="24"/>
                <w:szCs w:val="24"/>
                <w:highlight w:val="none"/>
                <w:lang w:val="en-US" w:eastAsia="zh-CN" w:bidi="ar-SA"/>
              </w:rPr>
              <w:t>分，良好得</w:t>
            </w:r>
            <w:r>
              <w:rPr>
                <w:rFonts w:hint="eastAsia" w:cs="Times New Roman"/>
                <w:kern w:val="2"/>
                <w:sz w:val="24"/>
                <w:szCs w:val="24"/>
                <w:highlight w:val="none"/>
                <w:lang w:val="en-US" w:eastAsia="zh-CN" w:bidi="ar-SA"/>
              </w:rPr>
              <w:t>10</w:t>
            </w:r>
            <w:r>
              <w:rPr>
                <w:rFonts w:ascii="Calibri" w:hAnsi="Calibri" w:eastAsia="宋体" w:cs="Times New Roman"/>
                <w:kern w:val="2"/>
                <w:sz w:val="24"/>
                <w:szCs w:val="24"/>
                <w:highlight w:val="none"/>
                <w:lang w:val="en-US" w:eastAsia="zh-CN" w:bidi="ar-SA"/>
              </w:rPr>
              <w:t>分，一般的得</w:t>
            </w:r>
            <w:r>
              <w:rPr>
                <w:rFonts w:hint="eastAsia" w:cs="Times New Roman"/>
                <w:kern w:val="2"/>
                <w:sz w:val="24"/>
                <w:szCs w:val="24"/>
                <w:highlight w:val="none"/>
                <w:lang w:val="en-US" w:eastAsia="zh-CN" w:bidi="ar-SA"/>
              </w:rPr>
              <w:t>5</w:t>
            </w:r>
            <w:r>
              <w:rPr>
                <w:rFonts w:ascii="Calibri" w:hAnsi="Calibri" w:eastAsia="宋体" w:cs="Times New Roman"/>
                <w:kern w:val="2"/>
                <w:sz w:val="24"/>
                <w:szCs w:val="24"/>
                <w:highlight w:val="none"/>
                <w:lang w:val="en-US" w:eastAsia="zh-CN" w:bidi="ar-SA"/>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tcPr>
          <w:p>
            <w:pPr>
              <w:jc w:val="center"/>
              <w:rPr>
                <w:rFonts w:ascii="Calibri" w:hAnsi="Calibri" w:eastAsia="宋体" w:cs="Times New Roman"/>
                <w:kern w:val="2"/>
                <w:sz w:val="24"/>
                <w:szCs w:val="24"/>
                <w:highlight w:val="none"/>
                <w:lang w:val="en-US" w:eastAsia="zh-CN" w:bidi="ar-SA"/>
              </w:rPr>
            </w:pPr>
          </w:p>
        </w:tc>
        <w:tc>
          <w:tcPr>
            <w:tcW w:w="884" w:type="dxa"/>
            <w:vAlign w:val="center"/>
          </w:tcPr>
          <w:p>
            <w:pPr>
              <w:jc w:val="center"/>
              <w:rPr>
                <w:rFonts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20</w:t>
            </w:r>
          </w:p>
        </w:tc>
        <w:tc>
          <w:tcPr>
            <w:tcW w:w="6995" w:type="dxa"/>
            <w:vAlign w:val="center"/>
          </w:tcPr>
          <w:p>
            <w:pPr>
              <w:pStyle w:val="22"/>
              <w:widowControl/>
              <w:spacing w:line="360" w:lineRule="auto"/>
              <w:jc w:val="center"/>
              <w:rPr>
                <w:rFonts w:ascii="Calibri" w:hAnsi="Calibri" w:eastAsia="宋体" w:cs="Times New Roman"/>
                <w:kern w:val="2"/>
                <w:sz w:val="24"/>
                <w:szCs w:val="24"/>
                <w:highlight w:val="none"/>
                <w:lang w:val="en-US" w:eastAsia="zh-CN" w:bidi="ar-SA"/>
              </w:rPr>
            </w:pPr>
            <w:r>
              <w:rPr>
                <w:rFonts w:ascii="Calibri" w:hAnsi="Calibri" w:eastAsia="宋体" w:cs="Times New Roman"/>
                <w:kern w:val="2"/>
                <w:sz w:val="24"/>
                <w:szCs w:val="24"/>
                <w:highlight w:val="none"/>
                <w:lang w:val="en-US" w:eastAsia="zh-CN" w:bidi="ar-SA"/>
              </w:rPr>
              <w:t>根据投标人对所投产品配置的成熟性、稳定性、可维修性及产品性能与配置等情况，根据情况在5分至 20 分范围内进行打分。</w:t>
            </w:r>
          </w:p>
        </w:tc>
      </w:tr>
    </w:tbl>
    <w:p>
      <w:pPr>
        <w:pStyle w:val="14"/>
        <w:spacing w:line="360" w:lineRule="auto"/>
        <w:ind w:firstLine="482" w:firstLineChars="200"/>
        <w:contextualSpacing/>
        <w:rPr>
          <w:rFonts w:cs="仿宋_GB2312" w:asciiTheme="minorEastAsia" w:hAnsiTheme="minorEastAsia"/>
          <w:b/>
          <w:szCs w:val="21"/>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color w:val="000000" w:themeColor="text1"/>
                <w:szCs w:val="21"/>
                <w14:textFill>
                  <w14:solidFill>
                    <w14:schemeClr w14:val="tx1"/>
                  </w14:solidFill>
                </w14:textFill>
              </w:rPr>
            </w:pPr>
            <w:r>
              <w:rPr>
                <w:rFonts w:hint="eastAsia" w:ascii="ˎ̥" w:hAnsi="ˎ̥" w:eastAsia="宋体"/>
                <w:color w:val="000000" w:themeColor="text1"/>
                <w:szCs w:val="21"/>
                <w14:textFill>
                  <w14:solidFill>
                    <w14:schemeClr w14:val="tx1"/>
                  </w14:solidFill>
                </w14:textFill>
              </w:rPr>
              <w:t>对小型和微型企业报价</w:t>
            </w:r>
          </w:p>
          <w:p>
            <w:pPr>
              <w:jc w:val="center"/>
              <w:rPr>
                <w:rFonts w:ascii="宋体" w:hAnsi="宋体"/>
                <w:b/>
                <w:color w:val="000000" w:themeColor="text1"/>
                <w:szCs w:val="21"/>
                <w:lang w:val="en-GB"/>
                <w14:textFill>
                  <w14:solidFill>
                    <w14:schemeClr w14:val="tx1"/>
                  </w14:solidFill>
                </w14:textFill>
              </w:rPr>
            </w:pPr>
            <w:r>
              <w:rPr>
                <w:rFonts w:hint="eastAsia" w:ascii="ˎ̥" w:hAnsi="ˎ̥" w:eastAsia="宋体"/>
                <w:color w:val="000000" w:themeColor="text1"/>
                <w:szCs w:val="21"/>
                <w14:textFill>
                  <w14:solidFill>
                    <w14:schemeClr w14:val="tx1"/>
                  </w14:solidFill>
                </w14:textFill>
              </w:rPr>
              <w:t>扣除10%</w:t>
            </w:r>
          </w:p>
        </w:tc>
        <w:tc>
          <w:tcPr>
            <w:tcW w:w="2835" w:type="dxa"/>
            <w:vMerge w:val="restart"/>
            <w:shd w:val="clear" w:color="auto" w:fill="auto"/>
            <w:vAlign w:val="center"/>
          </w:tcPr>
          <w:p>
            <w:pPr>
              <w:jc w:val="center"/>
              <w:rPr>
                <w:color w:val="000000" w:themeColor="text1"/>
                <w:szCs w:val="21"/>
                <w:lang w:val="en-GB"/>
                <w14:textFill>
                  <w14:solidFill>
                    <w14:schemeClr w14:val="tx1"/>
                  </w14:solidFill>
                </w14:textFill>
              </w:rPr>
            </w:pPr>
            <w:r>
              <w:rPr>
                <w:rFonts w:hint="eastAsia"/>
                <w:color w:val="000000" w:themeColor="text1"/>
                <w:szCs w:val="21"/>
                <w:lang w:val="en-GB"/>
                <w14:textFill>
                  <w14:solidFill>
                    <w14:schemeClr w14:val="tx1"/>
                  </w14:solidFill>
                </w14:textFill>
              </w:rPr>
              <w:t>评标价格＝</w:t>
            </w:r>
            <w:r>
              <w:rPr>
                <w:rFonts w:hint="eastAsia" w:ascii="ˎ̥" w:hAnsi="ˎ̥" w:eastAsia="宋体"/>
                <w:color w:val="000000" w:themeColor="text1"/>
                <w:szCs w:val="21"/>
                <w14:textFill>
                  <w14:solidFill>
                    <w14:schemeClr w14:val="tx1"/>
                  </w14:solidFill>
                </w14:textFill>
              </w:rPr>
              <w:t>小型和微型企业报价</w:t>
            </w:r>
            <w:r>
              <w:rPr>
                <w:rFonts w:hint="eastAsia" w:ascii="宋体" w:hAnsi="宋体"/>
                <w:color w:val="000000" w:themeColor="text1"/>
                <w:szCs w:val="21"/>
                <w:lang w:val="en-GB"/>
                <w14:textFill>
                  <w14:solidFill>
                    <w14:schemeClr w14:val="tx1"/>
                  </w14:solidFill>
                </w14:textFill>
              </w:rPr>
              <w:t>×（1-</w:t>
            </w:r>
            <w:r>
              <w:rPr>
                <w:rFonts w:hint="eastAsia"/>
                <w:color w:val="000000" w:themeColor="text1"/>
                <w:szCs w:val="21"/>
                <w:lang w:val="en-GB"/>
                <w14:textFill>
                  <w14:solidFill>
                    <w14:schemeClr w14:val="tx1"/>
                  </w14:solidFill>
                </w14:textFill>
              </w:rPr>
              <w:t>10%</w:t>
            </w:r>
            <w:r>
              <w:rPr>
                <w:rFonts w:hint="eastAsia" w:ascii="宋体" w:hAnsi="宋体"/>
                <w:color w:val="000000" w:themeColor="text1"/>
                <w:szCs w:val="21"/>
                <w:lang w:val="en-GB"/>
                <w14:textFill>
                  <w14:solidFill>
                    <w14:schemeClr w14:val="tx1"/>
                  </w14:solidFill>
                </w14:textFill>
              </w:rPr>
              <w:t>）</w:t>
            </w:r>
          </w:p>
          <w:p>
            <w:pPr>
              <w:jc w:val="center"/>
              <w:rPr>
                <w:rFonts w:ascii="宋体" w:hAnsi="宋体"/>
                <w:b/>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color w:val="000000" w:themeColor="text1"/>
                <w:szCs w:val="21"/>
                <w14:textFill>
                  <w14:solidFill>
                    <w14:schemeClr w14:val="tx1"/>
                  </w14:solidFill>
                </w14:textFill>
              </w:rPr>
            </w:pPr>
            <w:r>
              <w:rPr>
                <w:rFonts w:hint="eastAsia" w:ascii="宋体" w:hAnsi="宋体"/>
                <w:szCs w:val="21"/>
              </w:rPr>
              <w:t>扣除</w:t>
            </w:r>
            <w:r>
              <w:rPr>
                <w:rFonts w:hint="eastAsia" w:ascii="宋体" w:hAnsi="宋体"/>
                <w:color w:val="000000" w:themeColor="text1"/>
                <w:szCs w:val="21"/>
                <w14:textFill>
                  <w14:solidFill>
                    <w14:schemeClr w14:val="tx1"/>
                  </w14:solidFill>
                </w14:textFill>
              </w:rPr>
              <w:t>10%</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w:t>
            </w:r>
            <w:r>
              <w:rPr>
                <w:rFonts w:ascii="宋体" w:hAnsi="宋体"/>
                <w:szCs w:val="21"/>
              </w:rPr>
              <w:t>2</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w:t>
            </w:r>
            <w:r>
              <w:rPr>
                <w:szCs w:val="21"/>
                <w:lang w:val="en-GB"/>
              </w:rPr>
              <w:t>2</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hint="eastAsia" w:ascii="宋体" w:hAnsi="宋体"/>
                <w:szCs w:val="21"/>
              </w:rPr>
              <w:t>10%</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hint="eastAsia" w:ascii="宋体" w:hAnsi="宋体"/>
                <w:szCs w:val="21"/>
                <w:u w:val="single"/>
              </w:rPr>
              <w:t>10</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hint="eastAsia" w:ascii="宋体" w:cs="宋体"/>
          <w:sz w:val="24"/>
          <w:lang w:val="zh-CN"/>
        </w:rPr>
        <w:t>需方：许昌电气职业学院</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供、需双方根据</w:t>
      </w:r>
      <w:r>
        <w:rPr>
          <w:rFonts w:hint="eastAsia" w:ascii="宋体" w:cs="宋体"/>
          <w:sz w:val="24"/>
        </w:rPr>
        <w:t xml:space="preserve">    </w:t>
      </w:r>
      <w:r>
        <w:rPr>
          <w:rFonts w:hint="eastAsia" w:ascii="宋体" w:cs="宋体"/>
          <w:sz w:val="24"/>
          <w:lang w:val="zh-CN"/>
        </w:rPr>
        <w:t>年</w:t>
      </w:r>
      <w:r>
        <w:rPr>
          <w:rFonts w:hint="eastAsia" w:ascii="宋体" w:cs="宋体"/>
          <w:sz w:val="24"/>
        </w:rPr>
        <w:t xml:space="preserve">  </w:t>
      </w:r>
      <w:r>
        <w:rPr>
          <w:rFonts w:hint="eastAsia" w:ascii="宋体" w:cs="宋体"/>
          <w:sz w:val="24"/>
          <w:lang w:val="zh-CN"/>
        </w:rPr>
        <w:t>月</w:t>
      </w:r>
      <w:r>
        <w:rPr>
          <w:rFonts w:hint="eastAsia" w:ascii="宋体" w:cs="宋体"/>
          <w:sz w:val="24"/>
        </w:rPr>
        <w:t xml:space="preserve">  </w:t>
      </w:r>
      <w:r>
        <w:rPr>
          <w:rFonts w:hint="eastAsia" w:ascii="宋体" w:cs="宋体"/>
          <w:sz w:val="24"/>
          <w:lang w:val="zh-CN"/>
        </w:rPr>
        <w:t>日许昌市政府采购服务中心签发的</w:t>
      </w:r>
      <w:r>
        <w:rPr>
          <w:rFonts w:hint="eastAsia" w:ascii="宋体" w:cs="宋体"/>
          <w:sz w:val="24"/>
        </w:rPr>
        <w:t xml:space="preserve">      </w:t>
      </w:r>
      <w:r>
        <w:rPr>
          <w:rFonts w:hint="eastAsia" w:ascii="宋体" w:cs="宋体"/>
          <w:sz w:val="24"/>
          <w:lang w:val="zh-CN"/>
        </w:rPr>
        <w:t>号许昌电气职业学院</w:t>
      </w:r>
      <w:r>
        <w:rPr>
          <w:rFonts w:hint="eastAsia" w:ascii="宋体" w:cs="宋体"/>
          <w:sz w:val="24"/>
        </w:rPr>
        <w:t xml:space="preserve">            </w:t>
      </w:r>
      <w:r>
        <w:rPr>
          <w:rFonts w:hint="eastAsia" w:ascii="宋体" w:cs="宋体"/>
          <w:sz w:val="24"/>
          <w:lang w:val="zh-CN"/>
        </w:rPr>
        <w:t>项目(不见面开标)中标通知书和招投标文件，并经双方协商一致，在平等互利的基础上，达成以下合同条款：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一、招标文件、投标文件、澄清文件及材料（如果有的话）、成交通知书、合同条款、补充协议（如果有的话）均为合同不可分割的部分。如本合同与招标文件存在不一致的情况，以招标文件为准。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4"/>
        <w:tblW w:w="8897" w:type="dxa"/>
        <w:tblInd w:w="0" w:type="dxa"/>
        <w:tblLayout w:type="fixed"/>
        <w:tblCellMar>
          <w:top w:w="0" w:type="dxa"/>
          <w:left w:w="108" w:type="dxa"/>
          <w:bottom w:w="0" w:type="dxa"/>
          <w:right w:w="108" w:type="dxa"/>
        </w:tblCellMar>
      </w:tblPr>
      <w:tblGrid>
        <w:gridCol w:w="796"/>
        <w:gridCol w:w="509"/>
        <w:gridCol w:w="1061"/>
        <w:gridCol w:w="2668"/>
        <w:gridCol w:w="817"/>
        <w:gridCol w:w="916"/>
        <w:gridCol w:w="1034"/>
        <w:gridCol w:w="1096"/>
      </w:tblGrid>
      <w:tr>
        <w:tblPrEx>
          <w:tblCellMar>
            <w:top w:w="0" w:type="dxa"/>
            <w:left w:w="108" w:type="dxa"/>
            <w:bottom w:w="0" w:type="dxa"/>
            <w:right w:w="108" w:type="dxa"/>
          </w:tblCellMar>
        </w:tblPrEx>
        <w:trPr>
          <w:trHeight w:val="463"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r>
              <w:rPr>
                <w:rStyle w:val="64"/>
                <w:rFonts w:hint="eastAsia" w:ascii="宋体" w:hAnsi="宋体"/>
                <w:szCs w:val="24"/>
                <w:lang w:val="zh-CN"/>
              </w:rPr>
              <w:t>序号</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4"/>
                <w:rFonts w:ascii="宋体" w:hAnsi="宋体"/>
              </w:rPr>
            </w:pPr>
            <w:r>
              <w:rPr>
                <w:rStyle w:val="64"/>
                <w:rFonts w:hint="eastAsia" w:ascii="宋体" w:hAnsi="宋体"/>
                <w:szCs w:val="24"/>
                <w:lang w:val="zh-CN"/>
              </w:rPr>
              <w:t>名</w:t>
            </w:r>
            <w:r>
              <w:rPr>
                <w:rStyle w:val="64"/>
                <w:rFonts w:hint="eastAsia" w:ascii="宋体" w:hAnsi="宋体"/>
                <w:szCs w:val="24"/>
              </w:rPr>
              <w:t xml:space="preserve"> </w:t>
            </w:r>
            <w:r>
              <w:rPr>
                <w:rStyle w:val="64"/>
                <w:rFonts w:hint="eastAsia" w:ascii="宋体" w:hAnsi="宋体"/>
                <w:szCs w:val="24"/>
                <w:lang w:val="zh-CN"/>
              </w:rPr>
              <w:t>称</w:t>
            </w: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4"/>
                <w:rFonts w:ascii="宋体" w:hAnsi="宋体"/>
                <w:lang w:val="zh-CN"/>
              </w:rPr>
            </w:pPr>
            <w:r>
              <w:rPr>
                <w:rStyle w:val="64"/>
                <w:rFonts w:hint="eastAsia" w:ascii="宋体" w:hAnsi="宋体"/>
                <w:szCs w:val="24"/>
                <w:lang w:val="zh-CN"/>
              </w:rPr>
              <w:t>规格型号</w:t>
            </w: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r>
              <w:rPr>
                <w:rStyle w:val="64"/>
                <w:rFonts w:hint="eastAsia" w:ascii="宋体" w:hAnsi="宋体"/>
                <w:szCs w:val="24"/>
                <w:lang w:val="zh-CN"/>
              </w:rPr>
              <w:t>单</w:t>
            </w:r>
            <w:r>
              <w:rPr>
                <w:rStyle w:val="64"/>
                <w:rFonts w:hint="eastAsia" w:ascii="宋体" w:hAnsi="宋体"/>
                <w:szCs w:val="24"/>
              </w:rPr>
              <w:t xml:space="preserve"> </w:t>
            </w:r>
            <w:r>
              <w:rPr>
                <w:rStyle w:val="64"/>
                <w:rFonts w:hint="eastAsia" w:ascii="宋体" w:hAnsi="宋体"/>
                <w:szCs w:val="24"/>
                <w:lang w:val="zh-CN"/>
              </w:rPr>
              <w:t>位</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r>
              <w:rPr>
                <w:rStyle w:val="64"/>
                <w:rFonts w:hint="eastAsia" w:ascii="宋体" w:hAnsi="宋体"/>
                <w:szCs w:val="24"/>
                <w:lang w:val="zh-CN"/>
              </w:rPr>
              <w:t>数</w:t>
            </w:r>
            <w:r>
              <w:rPr>
                <w:rStyle w:val="64"/>
                <w:rFonts w:hint="eastAsia" w:ascii="宋体" w:hAnsi="宋体"/>
                <w:szCs w:val="24"/>
              </w:rPr>
              <w:t xml:space="preserve"> </w:t>
            </w:r>
            <w:r>
              <w:rPr>
                <w:rStyle w:val="64"/>
                <w:rFonts w:hint="eastAsia" w:ascii="宋体" w:hAnsi="宋体"/>
                <w:szCs w:val="24"/>
                <w:lang w:val="zh-CN"/>
              </w:rPr>
              <w:t>量</w:t>
            </w: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r>
              <w:rPr>
                <w:rStyle w:val="64"/>
                <w:rFonts w:hint="eastAsia" w:ascii="宋体" w:hAnsi="宋体"/>
                <w:szCs w:val="24"/>
                <w:lang w:val="zh-CN"/>
              </w:rPr>
              <w:t>单</w:t>
            </w:r>
            <w:r>
              <w:rPr>
                <w:rStyle w:val="64"/>
                <w:rFonts w:hint="eastAsia" w:ascii="宋体" w:hAnsi="宋体"/>
                <w:szCs w:val="24"/>
              </w:rPr>
              <w:t xml:space="preserve"> </w:t>
            </w:r>
            <w:r>
              <w:rPr>
                <w:rStyle w:val="64"/>
                <w:rFonts w:hint="eastAsia" w:ascii="宋体" w:hAnsi="宋体"/>
                <w:szCs w:val="24"/>
                <w:lang w:val="zh-CN"/>
              </w:rPr>
              <w:t>价</w:t>
            </w: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r>
              <w:rPr>
                <w:rStyle w:val="64"/>
                <w:rFonts w:hint="eastAsia" w:ascii="宋体" w:hAnsi="宋体"/>
                <w:szCs w:val="24"/>
                <w:lang w:val="zh-CN"/>
              </w:rPr>
              <w:t>总价</w:t>
            </w: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r>
              <w:rPr>
                <w:rStyle w:val="64"/>
                <w:rFonts w:hint="eastAsia" w:ascii="宋体" w:hAnsi="宋体"/>
                <w:szCs w:val="24"/>
              </w:rPr>
              <w:t>1</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4"/>
                <w:rFonts w:ascii="宋体" w:hAnsi="宋体"/>
              </w:rPr>
            </w:pP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4"/>
                <w:rFonts w:ascii="宋体" w:hAnsi="宋体"/>
              </w:rPr>
            </w:pP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r>
              <w:rPr>
                <w:rStyle w:val="64"/>
                <w:rFonts w:hint="eastAsia" w:ascii="宋体" w:hAnsi="宋体"/>
                <w:szCs w:val="24"/>
              </w:rPr>
              <w:t>2</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4"/>
                <w:rFonts w:ascii="宋体" w:hAnsi="宋体"/>
              </w:rPr>
            </w:pP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4"/>
                <w:rFonts w:ascii="宋体" w:hAnsi="宋体"/>
              </w:rPr>
            </w:pP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r>
              <w:rPr>
                <w:rStyle w:val="64"/>
                <w:rFonts w:hint="eastAsia" w:ascii="宋体" w:hAnsi="宋体"/>
                <w:szCs w:val="24"/>
              </w:rPr>
              <w:t>3</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4"/>
                <w:rFonts w:ascii="宋体" w:hAnsi="宋体"/>
              </w:rPr>
            </w:pP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4"/>
                <w:rFonts w:ascii="宋体" w:hAnsi="宋体"/>
              </w:rPr>
            </w:pP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r>
              <w:rPr>
                <w:rStyle w:val="64"/>
                <w:rFonts w:hint="eastAsia" w:ascii="宋体" w:hAnsi="宋体"/>
                <w:szCs w:val="24"/>
              </w:rPr>
              <w:t>……</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4"/>
                <w:rFonts w:ascii="宋体" w:hAnsi="宋体"/>
              </w:rPr>
            </w:pPr>
            <w:r>
              <w:rPr>
                <w:rStyle w:val="64"/>
                <w:rFonts w:hint="eastAsia" w:ascii="宋体" w:hAnsi="宋体"/>
                <w:szCs w:val="24"/>
              </w:rPr>
              <w:t>……</w:t>
            </w: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 w:val="24"/>
              </w:rPr>
            </w:pPr>
            <w:r>
              <w:rPr>
                <w:rStyle w:val="64"/>
                <w:rFonts w:hint="eastAsia" w:ascii="宋体" w:hAnsi="宋体"/>
                <w:szCs w:val="24"/>
              </w:rPr>
              <w:t>……</w:t>
            </w: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 w:val="24"/>
              </w:rPr>
            </w:pPr>
            <w:r>
              <w:rPr>
                <w:rStyle w:val="64"/>
                <w:rFonts w:hint="eastAsia" w:ascii="宋体" w:hAnsi="宋体"/>
                <w:szCs w:val="24"/>
              </w:rPr>
              <w:t>……</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 w:val="24"/>
              </w:rPr>
            </w:pPr>
            <w:r>
              <w:rPr>
                <w:rStyle w:val="64"/>
                <w:rFonts w:hint="eastAsia" w:ascii="宋体" w:hAnsi="宋体"/>
                <w:szCs w:val="24"/>
              </w:rPr>
              <w:t>……</w:t>
            </w: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 w:val="24"/>
              </w:rPr>
            </w:pPr>
            <w:r>
              <w:rPr>
                <w:rStyle w:val="64"/>
                <w:rFonts w:hint="eastAsia" w:ascii="宋体" w:hAnsi="宋体"/>
                <w:szCs w:val="24"/>
              </w:rPr>
              <w:t>……</w:t>
            </w: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rPr>
            </w:pPr>
            <w:r>
              <w:rPr>
                <w:rStyle w:val="64"/>
                <w:rFonts w:hint="eastAsia" w:ascii="宋体" w:hAnsi="宋体"/>
                <w:szCs w:val="24"/>
              </w:rPr>
              <w:t>……</w:t>
            </w:r>
          </w:p>
        </w:tc>
      </w:tr>
      <w:tr>
        <w:tblPrEx>
          <w:tblCellMar>
            <w:top w:w="0" w:type="dxa"/>
            <w:left w:w="108" w:type="dxa"/>
            <w:bottom w:w="0" w:type="dxa"/>
            <w:right w:w="108" w:type="dxa"/>
          </w:tblCellMar>
        </w:tblPrEx>
        <w:trPr>
          <w:trHeight w:val="494" w:hRule="atLeast"/>
        </w:trPr>
        <w:tc>
          <w:tcPr>
            <w:tcW w:w="130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lang w:val="zh-CN"/>
              </w:rPr>
            </w:pPr>
            <w:r>
              <w:rPr>
                <w:rStyle w:val="64"/>
                <w:rFonts w:hint="eastAsia" w:ascii="宋体" w:hAnsi="宋体"/>
                <w:szCs w:val="24"/>
                <w:lang w:val="zh-CN"/>
              </w:rPr>
              <w:t>合</w:t>
            </w:r>
            <w:r>
              <w:rPr>
                <w:rStyle w:val="64"/>
                <w:rFonts w:hint="eastAsia" w:ascii="宋体" w:hAnsi="宋体"/>
                <w:szCs w:val="24"/>
              </w:rPr>
              <w:t xml:space="preserve">  </w:t>
            </w:r>
            <w:r>
              <w:rPr>
                <w:rStyle w:val="64"/>
                <w:rFonts w:hint="eastAsia" w:ascii="宋体" w:hAnsi="宋体"/>
                <w:szCs w:val="24"/>
                <w:lang w:val="zh-CN"/>
              </w:rPr>
              <w:t>计</w:t>
            </w:r>
          </w:p>
        </w:tc>
        <w:tc>
          <w:tcPr>
            <w:tcW w:w="7592" w:type="dxa"/>
            <w:gridSpan w:val="6"/>
            <w:tcBorders>
              <w:top w:val="single" w:color="auto" w:sz="6" w:space="0"/>
              <w:left w:val="single" w:color="auto" w:sz="6" w:space="0"/>
              <w:bottom w:val="single" w:color="auto" w:sz="6" w:space="0"/>
              <w:right w:val="single" w:color="000000" w:sz="6" w:space="0"/>
            </w:tcBorders>
            <w:vAlign w:val="center"/>
          </w:tcPr>
          <w:p>
            <w:pPr>
              <w:autoSpaceDE w:val="0"/>
              <w:autoSpaceDN w:val="0"/>
              <w:jc w:val="left"/>
              <w:rPr>
                <w:rStyle w:val="64"/>
                <w:rFonts w:ascii="宋体" w:hAnsi="宋体"/>
                <w:lang w:val="zh-CN"/>
              </w:rPr>
            </w:pPr>
            <w:r>
              <w:rPr>
                <w:rStyle w:val="64"/>
                <w:rFonts w:hint="eastAsia" w:ascii="宋体" w:hAnsi="宋体"/>
                <w:szCs w:val="24"/>
                <w:lang w:val="zh-CN"/>
              </w:rPr>
              <w:t>大写：</w:t>
            </w:r>
            <w:r>
              <w:rPr>
                <w:rStyle w:val="64"/>
                <w:rFonts w:hint="eastAsia" w:ascii="宋体" w:hAnsi="宋体"/>
                <w:szCs w:val="24"/>
              </w:rPr>
              <w:t xml:space="preserve">    </w:t>
            </w:r>
            <w:r>
              <w:rPr>
                <w:rStyle w:val="64"/>
                <w:rFonts w:hint="eastAsia" w:ascii="宋体" w:hAnsi="宋体"/>
                <w:szCs w:val="24"/>
                <w:lang w:val="zh-CN"/>
              </w:rPr>
              <w:t xml:space="preserve">整 </w:t>
            </w:r>
            <w:r>
              <w:rPr>
                <w:rStyle w:val="64"/>
                <w:rFonts w:ascii="宋体" w:hAnsi="宋体"/>
                <w:szCs w:val="24"/>
                <w:lang w:val="zh-CN"/>
              </w:rPr>
              <w:t xml:space="preserve">       </w:t>
            </w:r>
            <w:r>
              <w:rPr>
                <w:rStyle w:val="64"/>
                <w:rFonts w:hint="eastAsia" w:ascii="宋体" w:hAnsi="宋体"/>
                <w:szCs w:val="24"/>
                <w:lang w:val="zh-CN"/>
              </w:rPr>
              <w:t xml:space="preserve"> 小写：</w:t>
            </w:r>
            <w:r>
              <w:rPr>
                <w:rStyle w:val="64"/>
                <w:rFonts w:hint="eastAsia" w:ascii="宋体" w:hAnsi="宋体"/>
                <w:szCs w:val="24"/>
              </w:rPr>
              <w:t xml:space="preserve">    </w:t>
            </w:r>
            <w:r>
              <w:rPr>
                <w:rStyle w:val="64"/>
                <w:rFonts w:hint="eastAsia" w:ascii="宋体" w:hAnsi="宋体"/>
                <w:szCs w:val="24"/>
                <w:lang w:val="zh-CN"/>
              </w:rPr>
              <w:t>元</w:t>
            </w:r>
          </w:p>
        </w:tc>
      </w:tr>
      <w:tr>
        <w:tblPrEx>
          <w:tblCellMar>
            <w:top w:w="0" w:type="dxa"/>
            <w:left w:w="108" w:type="dxa"/>
            <w:bottom w:w="0" w:type="dxa"/>
            <w:right w:w="108" w:type="dxa"/>
          </w:tblCellMar>
        </w:tblPrEx>
        <w:trPr>
          <w:trHeight w:val="494" w:hRule="atLeast"/>
        </w:trPr>
        <w:tc>
          <w:tcPr>
            <w:tcW w:w="130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4"/>
                <w:rFonts w:ascii="宋体" w:hAnsi="宋体"/>
                <w:lang w:val="zh-CN"/>
              </w:rPr>
            </w:pPr>
            <w:r>
              <w:rPr>
                <w:rStyle w:val="64"/>
                <w:rFonts w:hint="eastAsia" w:ascii="宋体" w:hAnsi="宋体"/>
                <w:szCs w:val="24"/>
                <w:lang w:val="zh-CN"/>
              </w:rPr>
              <w:t>交货期</w:t>
            </w:r>
          </w:p>
        </w:tc>
        <w:tc>
          <w:tcPr>
            <w:tcW w:w="7592" w:type="dxa"/>
            <w:gridSpan w:val="6"/>
            <w:tcBorders>
              <w:top w:val="single" w:color="auto" w:sz="6" w:space="0"/>
              <w:left w:val="single" w:color="auto" w:sz="6" w:space="0"/>
              <w:bottom w:val="single" w:color="auto" w:sz="6" w:space="0"/>
              <w:right w:val="single" w:color="000000" w:sz="6" w:space="0"/>
            </w:tcBorders>
            <w:vAlign w:val="center"/>
          </w:tcPr>
          <w:p>
            <w:pPr>
              <w:autoSpaceDE w:val="0"/>
              <w:autoSpaceDN w:val="0"/>
              <w:jc w:val="left"/>
              <w:rPr>
                <w:rStyle w:val="64"/>
                <w:rFonts w:ascii="宋体" w:hAnsi="宋体"/>
                <w:lang w:val="zh-CN"/>
              </w:rPr>
            </w:pPr>
            <w:r>
              <w:rPr>
                <w:rStyle w:val="64"/>
                <w:rFonts w:hint="eastAsia" w:ascii="宋体" w:hAnsi="宋体"/>
                <w:szCs w:val="24"/>
                <w:lang w:val="zh-CN"/>
              </w:rPr>
              <w:t>自合同生效之日起</w:t>
            </w:r>
            <w:r>
              <w:rPr>
                <w:rStyle w:val="64"/>
                <w:rFonts w:hint="eastAsia" w:ascii="宋体" w:hAnsi="宋体"/>
                <w:szCs w:val="24"/>
              </w:rPr>
              <w:t xml:space="preserve">  </w:t>
            </w:r>
            <w:r>
              <w:rPr>
                <w:rStyle w:val="64"/>
                <w:rFonts w:hint="eastAsia" w:ascii="宋体" w:hAnsi="宋体"/>
                <w:szCs w:val="24"/>
                <w:lang w:val="zh-CN"/>
              </w:rPr>
              <w:t>天</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ascii="宋体" w:cs="宋体"/>
          <w:sz w:val="24"/>
          <w:lang w:val="zh-CN"/>
        </w:rPr>
        <w:t>2</w:t>
      </w:r>
      <w:r>
        <w:rPr>
          <w:rFonts w:hint="eastAsia" w:ascii="宋体" w:cs="宋体"/>
          <w:sz w:val="24"/>
          <w:lang w:val="zh-CN"/>
        </w:rPr>
        <w:t>、需方在货物及服务使用期限内，如有第三方提出侵犯其知识产权主张的，供方承担所提供的货物及服务因知识产权产生的责任。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四、交货时间、地点、方式：自合同生效之日起</w:t>
      </w:r>
      <w:r>
        <w:rPr>
          <w:rFonts w:hint="eastAsia" w:ascii="宋体" w:cs="宋体"/>
          <w:sz w:val="24"/>
        </w:rPr>
        <w:t xml:space="preserve">    </w:t>
      </w:r>
      <w:r>
        <w:rPr>
          <w:rFonts w:hint="eastAsia" w:ascii="宋体" w:cs="宋体"/>
          <w:sz w:val="24"/>
          <w:lang w:val="zh-CN"/>
        </w:rPr>
        <w:t>天，供方负责按招投标文件及合同要求将项目实施完毕，并具备验收条件。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w:t>
      </w:r>
      <w:r>
        <w:rPr>
          <w:rFonts w:hint="eastAsia" w:ascii="宋体" w:cs="宋体"/>
          <w:sz w:val="24"/>
        </w:rPr>
        <w:t xml:space="preserve"> </w:t>
      </w:r>
      <w:r>
        <w:rPr>
          <w:rFonts w:hint="eastAsia" w:ascii="宋体" w:cs="宋体"/>
          <w:sz w:val="24"/>
          <w:lang w:val="zh-CN"/>
        </w:rPr>
        <w:t>。</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spacing w:line="360" w:lineRule="auto"/>
        <w:ind w:firstLine="480" w:firstLineChars="200"/>
        <w:rPr>
          <w:rFonts w:ascii="宋体" w:cs="宋体"/>
          <w:sz w:val="24"/>
          <w:lang w:val="zh-CN"/>
        </w:rPr>
      </w:pPr>
      <w:r>
        <w:rPr>
          <w:rFonts w:hint="eastAsia" w:ascii="宋体" w:cs="宋体"/>
          <w:sz w:val="24"/>
          <w:lang w:val="zh-CN"/>
        </w:rPr>
        <w:t>1、供方提供自合同生效之日起</w:t>
      </w:r>
      <w:r>
        <w:rPr>
          <w:rFonts w:hint="eastAsia" w:ascii="宋体" w:cs="宋体"/>
          <w:sz w:val="24"/>
        </w:rPr>
        <w:t xml:space="preserve">     </w:t>
      </w:r>
      <w:r>
        <w:rPr>
          <w:rFonts w:hint="eastAsia" w:ascii="宋体" w:cs="宋体"/>
          <w:sz w:val="24"/>
          <w:lang w:val="zh-CN"/>
        </w:rPr>
        <w:t>年免费质保期限</w:t>
      </w:r>
      <w:r>
        <w:rPr>
          <w:rFonts w:hint="eastAsia" w:ascii="宋体" w:cs="宋体"/>
          <w:sz w:val="24"/>
        </w:rPr>
        <w:t xml:space="preserve"> </w:t>
      </w:r>
      <w:r>
        <w:rPr>
          <w:rFonts w:hint="eastAsia" w:ascii="宋体" w:cs="宋体"/>
          <w:sz w:val="24"/>
          <w:lang w:val="zh-CN"/>
        </w:rPr>
        <w:t>。质保期内发生的相关费用由供方承担，因损坏而更换的部件质保期顺延。质保期自设备安装调试验收签署书面验收书之日起算。</w:t>
      </w:r>
    </w:p>
    <w:p>
      <w:pPr>
        <w:spacing w:line="360" w:lineRule="auto"/>
        <w:ind w:firstLine="480" w:firstLineChars="200"/>
        <w:rPr>
          <w:rFonts w:ascii="宋体" w:hAnsi="宋体" w:cs="宋体"/>
          <w:sz w:val="24"/>
        </w:rPr>
      </w:pPr>
      <w:r>
        <w:rPr>
          <w:rFonts w:hint="eastAsia" w:ascii="宋体" w:cs="宋体"/>
          <w:sz w:val="24"/>
        </w:rPr>
        <w:t>2、响应时间：</w:t>
      </w:r>
      <w:r>
        <w:rPr>
          <w:rFonts w:hint="eastAsia" w:ascii="宋体" w:hAnsi="宋体" w:cs="宋体"/>
          <w:sz w:val="24"/>
          <w:szCs w:val="24"/>
        </w:rPr>
        <w:t xml:space="preserve">  </w:t>
      </w:r>
      <w:r>
        <w:rPr>
          <w:rFonts w:hint="eastAsia" w:ascii="宋体" w:hAnsi="宋体" w:eastAsia="宋体" w:cs="宋体"/>
          <w:sz w:val="24"/>
          <w:szCs w:val="24"/>
        </w:rPr>
        <w:t>。</w:t>
      </w:r>
    </w:p>
    <w:p>
      <w:pPr>
        <w:wordWrap w:val="0"/>
        <w:topLinePunct/>
        <w:autoSpaceDE w:val="0"/>
        <w:autoSpaceDN w:val="0"/>
        <w:adjustRightInd w:val="0"/>
        <w:spacing w:line="360" w:lineRule="auto"/>
        <w:ind w:firstLine="482"/>
        <w:rPr>
          <w:rFonts w:ascii="宋体" w:hAnsi="宋体" w:cs="宋体"/>
          <w:sz w:val="24"/>
        </w:rPr>
      </w:pPr>
      <w:r>
        <w:rPr>
          <w:rFonts w:hint="eastAsia" w:ascii="宋体" w:hAnsi="宋体" w:eastAsia="宋体" w:cs="宋体"/>
          <w:sz w:val="24"/>
          <w:szCs w:val="24"/>
        </w:rPr>
        <w:t>3、维修单位名称：</w:t>
      </w:r>
      <w:r>
        <w:rPr>
          <w:rFonts w:hint="eastAsia" w:ascii="宋体" w:hAnsi="宋体" w:cs="宋体"/>
          <w:sz w:val="24"/>
          <w:szCs w:val="24"/>
        </w:rPr>
        <w:t xml:space="preserve"> </w:t>
      </w:r>
    </w:p>
    <w:p>
      <w:pPr>
        <w:wordWrap w:val="0"/>
        <w:topLinePunct/>
        <w:autoSpaceDE w:val="0"/>
        <w:autoSpaceDN w:val="0"/>
        <w:adjustRightInd w:val="0"/>
        <w:spacing w:line="360" w:lineRule="auto"/>
        <w:ind w:firstLine="789" w:firstLineChars="329"/>
        <w:rPr>
          <w:rFonts w:ascii="宋体" w:hAnsi="宋体" w:cs="宋体"/>
          <w:sz w:val="24"/>
        </w:rPr>
      </w:pPr>
      <w:r>
        <w:rPr>
          <w:rFonts w:hint="eastAsia" w:ascii="宋体" w:hAnsi="宋体" w:eastAsia="宋体" w:cs="宋体"/>
          <w:sz w:val="24"/>
          <w:szCs w:val="24"/>
        </w:rPr>
        <w:t>售后服务地点：</w:t>
      </w:r>
    </w:p>
    <w:p>
      <w:pPr>
        <w:wordWrap w:val="0"/>
        <w:topLinePunct/>
        <w:autoSpaceDE w:val="0"/>
        <w:autoSpaceDN w:val="0"/>
        <w:adjustRightInd w:val="0"/>
        <w:spacing w:line="360" w:lineRule="auto"/>
        <w:ind w:firstLine="789" w:firstLineChars="329"/>
        <w:rPr>
          <w:rFonts w:ascii="宋体" w:hAnsi="宋体" w:cs="宋体"/>
          <w:sz w:val="24"/>
        </w:rPr>
      </w:pPr>
      <w:r>
        <w:rPr>
          <w:rFonts w:hint="eastAsia" w:ascii="宋体" w:hAnsi="宋体" w:eastAsia="宋体" w:cs="宋体"/>
          <w:sz w:val="24"/>
          <w:szCs w:val="24"/>
        </w:rPr>
        <w:t>联系人：</w:t>
      </w:r>
      <w:r>
        <w:rPr>
          <w:rFonts w:hint="eastAsia" w:ascii="宋体" w:hAnsi="宋体" w:cs="宋体"/>
          <w:sz w:val="24"/>
          <w:szCs w:val="24"/>
        </w:rPr>
        <w:t xml:space="preserve">        </w:t>
      </w:r>
      <w:r>
        <w:rPr>
          <w:rFonts w:hint="eastAsia" w:ascii="宋体" w:hAnsi="宋体" w:eastAsia="宋体" w:cs="宋体"/>
          <w:sz w:val="24"/>
          <w:szCs w:val="24"/>
        </w:rPr>
        <w:t>联系电话：</w:t>
      </w:r>
      <w:r>
        <w:rPr>
          <w:rFonts w:hint="eastAsia" w:ascii="宋体" w:hAnsi="宋体" w:cs="宋体"/>
          <w:sz w:val="24"/>
          <w:szCs w:val="24"/>
        </w:rPr>
        <w:t xml:space="preserve"> </w:t>
      </w:r>
    </w:p>
    <w:p>
      <w:pPr>
        <w:spacing w:line="360" w:lineRule="auto"/>
        <w:ind w:firstLine="480" w:firstLineChars="200"/>
        <w:rPr>
          <w:rFonts w:ascii="宋体" w:hAnsi="宋体" w:cs="宋体"/>
          <w:sz w:val="24"/>
        </w:rPr>
      </w:pPr>
      <w:r>
        <w:rPr>
          <w:rFonts w:hint="eastAsia" w:ascii="宋体" w:hAnsi="宋体" w:eastAsia="宋体" w:cs="宋体"/>
          <w:sz w:val="24"/>
          <w:szCs w:val="24"/>
        </w:rPr>
        <w:t>九、结算方式</w:t>
      </w:r>
    </w:p>
    <w:p>
      <w:pPr>
        <w:spacing w:line="360" w:lineRule="auto"/>
        <w:ind w:firstLine="480" w:firstLineChars="200"/>
        <w:rPr>
          <w:rFonts w:ascii="宋体" w:hAnsi="宋体" w:cs="宋体"/>
          <w:sz w:val="24"/>
        </w:rPr>
      </w:pPr>
      <w:r>
        <w:rPr>
          <w:rFonts w:hint="eastAsia" w:ascii="宋体" w:hAnsi="宋体" w:eastAsia="宋体" w:cs="宋体"/>
          <w:sz w:val="24"/>
          <w:szCs w:val="24"/>
        </w:rPr>
        <w:t>（一）支付方式：银行转账</w:t>
      </w:r>
    </w:p>
    <w:p>
      <w:pPr>
        <w:autoSpaceDE w:val="0"/>
        <w:autoSpaceDN w:val="0"/>
        <w:adjustRightInd w:val="0"/>
        <w:spacing w:line="360" w:lineRule="auto"/>
        <w:ind w:firstLine="480"/>
        <w:rPr>
          <w:rFonts w:ascii="宋体" w:hAnsi="宋体" w:cs="宋体"/>
          <w:sz w:val="24"/>
        </w:rPr>
      </w:pPr>
      <w:r>
        <w:rPr>
          <w:rFonts w:hint="eastAsia" w:ascii="宋体" w:hAnsi="宋体" w:eastAsia="宋体" w:cs="宋体"/>
          <w:sz w:val="24"/>
          <w:szCs w:val="24"/>
        </w:rPr>
        <w:t>（二）支付时间及条件：设备到货安装调试完毕后，经验收合格收到发票后5个工作日内，付合同金额的90%，剩余10%满一年无质量问题5个工作日内一次付清。</w:t>
      </w:r>
      <w:r>
        <w:rPr>
          <w:rFonts w:hint="eastAsia" w:ascii="宋体" w:hAnsi="宋体" w:cs="宋体"/>
          <w:sz w:val="24"/>
          <w:szCs w:val="24"/>
        </w:rPr>
        <w:t xml:space="preserve">     </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十、违约责任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1、供方所交的货物及服务不符合招、投标文件及本合同规定，需方有权拒收，供方应在本合同规定的交货期内负责更换并承担因更换而支付的费用。因更换而造成的逾期交货，则按逾期交货处理。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2、供方逾期交付货物，应向需方每日支付逾期交货部分货款总值5%的违约金；在合同规定的交货期满15日仍未全部交货，按不能交货处理。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3、供方在本合同规定的交货期内不能交货，应向需方支付全部合同金额5%的违约金，需方有权终止合同。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w:t>
      </w:r>
      <w:r>
        <w:rPr>
          <w:rFonts w:hint="eastAsia" w:ascii="宋体" w:cs="宋体"/>
          <w:sz w:val="24"/>
        </w:rPr>
        <w:t>6</w:t>
      </w:r>
      <w:r>
        <w:rPr>
          <w:rFonts w:hint="eastAsia" w:ascii="宋体" w:cs="宋体"/>
          <w:sz w:val="24"/>
          <w:lang w:val="zh-CN"/>
        </w:rPr>
        <w:t>份，供需双方各一份、相关部门</w:t>
      </w:r>
      <w:r>
        <w:rPr>
          <w:rFonts w:hint="eastAsia" w:ascii="宋体" w:cs="宋体"/>
          <w:sz w:val="24"/>
        </w:rPr>
        <w:t>4</w:t>
      </w:r>
      <w:r>
        <w:rPr>
          <w:rFonts w:hint="eastAsia" w:ascii="宋体" w:cs="宋体"/>
          <w:sz w:val="24"/>
          <w:lang w:val="zh-CN"/>
        </w:rPr>
        <w:t>份。</w:t>
      </w:r>
    </w:p>
    <w:p>
      <w:pPr>
        <w:autoSpaceDE w:val="0"/>
        <w:autoSpaceDN w:val="0"/>
        <w:adjustRightInd w:val="0"/>
        <w:spacing w:line="360" w:lineRule="auto"/>
        <w:ind w:firstLine="360"/>
        <w:rPr>
          <w:rFonts w:ascii="宋体" w:cs="宋体"/>
          <w:sz w:val="24"/>
        </w:rPr>
      </w:pPr>
      <w:r>
        <w:rPr>
          <w:rFonts w:hint="eastAsia" w:ascii="宋体" w:cs="宋体"/>
          <w:sz w:val="24"/>
          <w:lang w:val="zh-CN"/>
        </w:rPr>
        <w:t>十三、本合同记载的双方信息均为本合同履行期间双方书面材料对接往来的有效信息，如一方发生变更，应提前一个月书面通知，否则</w:t>
      </w:r>
      <w:r>
        <w:rPr>
          <w:rFonts w:hint="eastAsia" w:ascii="宋体" w:cs="宋体"/>
          <w:sz w:val="24"/>
        </w:rPr>
        <w:t>视为未变更。</w:t>
      </w:r>
    </w:p>
    <w:p>
      <w:pPr>
        <w:autoSpaceDE w:val="0"/>
        <w:autoSpaceDN w:val="0"/>
        <w:adjustRightInd w:val="0"/>
        <w:spacing w:line="360" w:lineRule="auto"/>
        <w:ind w:firstLine="240" w:firstLineChars="100"/>
        <w:rPr>
          <w:rFonts w:ascii="宋体" w:cs="宋体"/>
          <w:sz w:val="24"/>
          <w:lang w:val="zh-CN"/>
        </w:rPr>
      </w:pPr>
      <w:r>
        <w:rPr>
          <w:rFonts w:hint="eastAsia" w:ascii="宋体" w:cs="宋体"/>
          <w:sz w:val="24"/>
          <w:lang w:val="zh-CN"/>
        </w:rPr>
        <w:t>供方：</w:t>
      </w:r>
      <w:r>
        <w:rPr>
          <w:rFonts w:hint="eastAsia" w:ascii="宋体" w:cs="宋体"/>
          <w:sz w:val="24"/>
        </w:rPr>
        <w:t xml:space="preserve">                                </w:t>
      </w:r>
      <w:r>
        <w:rPr>
          <w:rFonts w:hint="eastAsia" w:ascii="宋体" w:cs="宋体"/>
          <w:sz w:val="24"/>
          <w:lang w:val="zh-CN"/>
        </w:rPr>
        <w:t>需方：许昌电气职业学院</w:t>
      </w:r>
      <w:r>
        <w:rPr>
          <w:rFonts w:hint="eastAsia" w:ascii="宋体" w:cs="宋体"/>
          <w:sz w:val="24"/>
        </w:rPr>
        <w:t xml:space="preserve">             </w:t>
      </w:r>
    </w:p>
    <w:p>
      <w:pPr>
        <w:autoSpaceDE w:val="0"/>
        <w:autoSpaceDN w:val="0"/>
        <w:adjustRightInd w:val="0"/>
        <w:spacing w:line="360" w:lineRule="auto"/>
        <w:ind w:firstLine="240" w:firstLineChars="100"/>
        <w:rPr>
          <w:rFonts w:asciiTheme="minorEastAsia" w:hAnsiTheme="minorEastAsia"/>
          <w:sz w:val="24"/>
        </w:rPr>
      </w:pPr>
      <w:r>
        <w:rPr>
          <w:rFonts w:hint="eastAsia" w:asciiTheme="minorEastAsia" w:hAnsiTheme="minorEastAsia"/>
          <w:sz w:val="24"/>
        </w:rPr>
        <w:t xml:space="preserve">地址：                    </w:t>
      </w:r>
      <w:r>
        <w:rPr>
          <w:rFonts w:hint="eastAsia" w:ascii="宋体" w:cs="宋体"/>
          <w:sz w:val="24"/>
        </w:rPr>
        <w:t xml:space="preserve">            </w:t>
      </w:r>
      <w:r>
        <w:rPr>
          <w:rFonts w:hint="eastAsia" w:ascii="宋体" w:cs="宋体"/>
          <w:sz w:val="24"/>
          <w:lang w:val="zh-CN"/>
        </w:rPr>
        <w:t>地址：许昌市魏文路与永昌大道交</w:t>
      </w:r>
    </w:p>
    <w:p>
      <w:pPr>
        <w:autoSpaceDE w:val="0"/>
        <w:autoSpaceDN w:val="0"/>
        <w:adjustRightInd w:val="0"/>
        <w:spacing w:line="360" w:lineRule="auto"/>
        <w:ind w:left="5759" w:leftChars="114" w:hanging="5520" w:hangingChars="2300"/>
        <w:rPr>
          <w:rFonts w:asciiTheme="minorEastAsia" w:hAnsiTheme="minorEastAsia"/>
          <w:sz w:val="24"/>
        </w:rPr>
      </w:pPr>
      <w:r>
        <w:rPr>
          <w:rFonts w:hint="eastAsia" w:asciiTheme="minorEastAsia" w:hAnsiTheme="minorEastAsia"/>
          <w:sz w:val="24"/>
        </w:rPr>
        <w:t xml:space="preserve">                          </w:t>
      </w:r>
      <w:r>
        <w:rPr>
          <w:rFonts w:hint="eastAsia" w:ascii="宋体" w:cs="宋体"/>
          <w:sz w:val="24"/>
        </w:rPr>
        <w:t xml:space="preserve">                  叉口  </w:t>
      </w:r>
    </w:p>
    <w:p>
      <w:pPr>
        <w:autoSpaceDE w:val="0"/>
        <w:autoSpaceDN w:val="0"/>
        <w:adjustRightInd w:val="0"/>
        <w:spacing w:line="360" w:lineRule="auto"/>
        <w:ind w:firstLine="240" w:firstLineChars="100"/>
        <w:rPr>
          <w:rFonts w:ascii="宋体" w:cs="宋体"/>
          <w:sz w:val="24"/>
        </w:rPr>
      </w:pPr>
      <w:r>
        <w:rPr>
          <w:rFonts w:hint="eastAsia" w:ascii="宋体" w:cs="宋体"/>
          <w:sz w:val="24"/>
          <w:lang w:val="zh-CN"/>
        </w:rPr>
        <w:t>法定代表人</w:t>
      </w:r>
      <w:r>
        <w:rPr>
          <w:rFonts w:hint="eastAsia" w:ascii="宋体" w:cs="宋体"/>
          <w:sz w:val="24"/>
        </w:rPr>
        <w:t xml:space="preserve">：                           </w:t>
      </w:r>
      <w:r>
        <w:rPr>
          <w:rFonts w:hint="eastAsia" w:ascii="宋体" w:cs="宋体"/>
          <w:sz w:val="24"/>
          <w:lang w:val="zh-CN"/>
        </w:rPr>
        <w:t>法定代表人</w:t>
      </w:r>
      <w:r>
        <w:rPr>
          <w:rFonts w:hint="eastAsia" w:ascii="宋体" w:cs="宋体"/>
          <w:sz w:val="24"/>
        </w:rPr>
        <w:t xml:space="preserve">：               </w:t>
      </w:r>
    </w:p>
    <w:p>
      <w:pPr>
        <w:autoSpaceDE w:val="0"/>
        <w:autoSpaceDN w:val="0"/>
        <w:adjustRightInd w:val="0"/>
        <w:spacing w:line="360" w:lineRule="auto"/>
        <w:ind w:firstLine="240" w:firstLineChars="100"/>
        <w:rPr>
          <w:lang w:val="zh-CN"/>
        </w:rPr>
      </w:pPr>
      <w:r>
        <w:rPr>
          <w:rFonts w:hint="eastAsia" w:ascii="宋体" w:cs="宋体"/>
          <w:sz w:val="24"/>
          <w:lang w:val="zh-CN"/>
        </w:rPr>
        <w:t>委托代理人：</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主管院领导：</w:t>
      </w:r>
    </w:p>
    <w:p>
      <w:pPr>
        <w:autoSpaceDE w:val="0"/>
        <w:autoSpaceDN w:val="0"/>
        <w:adjustRightInd w:val="0"/>
        <w:spacing w:line="360" w:lineRule="auto"/>
        <w:ind w:firstLine="240" w:firstLineChars="100"/>
        <w:rPr>
          <w:rFonts w:ascii="宋体" w:cs="宋体"/>
          <w:sz w:val="24"/>
          <w:lang w:val="zh-CN"/>
        </w:rPr>
      </w:pPr>
      <w:r>
        <w:rPr>
          <w:rFonts w:hint="eastAsia" w:ascii="宋体" w:cs="宋体"/>
          <w:sz w:val="24"/>
          <w:lang w:val="zh-CN"/>
        </w:rPr>
        <w:t>电话：</w:t>
      </w:r>
      <w:r>
        <w:rPr>
          <w:rFonts w:hint="eastAsia" w:ascii="宋体" w:cs="宋体"/>
          <w:sz w:val="24"/>
        </w:rPr>
        <w:t xml:space="preserve">      </w:t>
      </w:r>
      <w:r>
        <w:rPr>
          <w:rFonts w:ascii="宋体" w:cs="宋体"/>
          <w:sz w:val="24"/>
          <w:lang w:val="zh-CN"/>
        </w:rPr>
        <w:t xml:space="preserve">                        </w:t>
      </w:r>
      <w:r>
        <w:rPr>
          <w:rFonts w:hint="eastAsia" w:ascii="宋体" w:cs="宋体"/>
          <w:sz w:val="24"/>
        </w:rPr>
        <w:t xml:space="preserve">   联系人：           </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开户银行：</w:t>
      </w:r>
      <w:r>
        <w:rPr>
          <w:rFonts w:hint="eastAsia" w:ascii="宋体" w:cs="宋体"/>
          <w:sz w:val="24"/>
        </w:rPr>
        <w:t xml:space="preserve">                  </w:t>
      </w:r>
      <w:r>
        <w:rPr>
          <w:rFonts w:ascii="宋体" w:cs="宋体"/>
          <w:sz w:val="24"/>
          <w:lang w:val="zh-CN"/>
        </w:rPr>
        <w:t xml:space="preserve">        </w:t>
      </w:r>
      <w:r>
        <w:rPr>
          <w:rFonts w:hint="eastAsia" w:ascii="宋体" w:cs="宋体"/>
          <w:sz w:val="24"/>
        </w:rPr>
        <w:t xml:space="preserve">  </w:t>
      </w:r>
      <w:r>
        <w:rPr>
          <w:rFonts w:ascii="宋体" w:cs="宋体"/>
          <w:sz w:val="24"/>
          <w:lang w:val="zh-CN"/>
        </w:rPr>
        <w:t xml:space="preserve"> </w:t>
      </w:r>
      <w:r>
        <w:rPr>
          <w:rFonts w:hint="eastAsia" w:ascii="宋体" w:cs="宋体"/>
          <w:sz w:val="24"/>
          <w:lang w:val="zh-CN"/>
        </w:rPr>
        <w:t>开户银行：</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帐号：</w:t>
      </w:r>
      <w:r>
        <w:rPr>
          <w:rFonts w:hint="eastAsia" w:ascii="宋体" w:cs="宋体"/>
          <w:sz w:val="24"/>
        </w:rPr>
        <w:t xml:space="preserve">                   </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帐号：</w:t>
      </w:r>
    </w:p>
    <w:p>
      <w:pPr>
        <w:autoSpaceDE w:val="0"/>
        <w:autoSpaceDN w:val="0"/>
        <w:adjustRightInd w:val="0"/>
        <w:spacing w:line="360" w:lineRule="auto"/>
        <w:ind w:firstLine="240" w:firstLineChars="100"/>
        <w:rPr>
          <w:rFonts w:ascii="宋体" w:cs="宋体"/>
          <w:sz w:val="24"/>
          <w:lang w:val="zh-CN"/>
        </w:rPr>
      </w:pPr>
      <w:r>
        <w:rPr>
          <w:rFonts w:hint="eastAsia" w:ascii="宋体" w:cs="宋体"/>
          <w:sz w:val="24"/>
          <w:lang w:val="zh-CN"/>
        </w:rPr>
        <w:t>税务登记证号：</w:t>
      </w:r>
      <w:r>
        <w:rPr>
          <w:rFonts w:hint="eastAsia" w:ascii="宋体" w:cs="宋体"/>
          <w:sz w:val="24"/>
        </w:rPr>
        <w:t xml:space="preserve">                  </w:t>
      </w:r>
      <w:r>
        <w:rPr>
          <w:rFonts w:ascii="宋体" w:cs="宋体"/>
          <w:sz w:val="24"/>
          <w:lang w:val="zh-CN"/>
        </w:rPr>
        <w:t xml:space="preserve">    </w:t>
      </w:r>
      <w:r>
        <w:rPr>
          <w:rFonts w:hint="eastAsia" w:ascii="宋体" w:cs="宋体"/>
          <w:sz w:val="24"/>
        </w:rPr>
        <w:t xml:space="preserve">  </w:t>
      </w:r>
      <w:r>
        <w:rPr>
          <w:rFonts w:ascii="宋体" w:cs="宋体"/>
          <w:sz w:val="24"/>
          <w:lang w:val="zh-CN"/>
        </w:rPr>
        <w:t xml:space="preserve"> </w:t>
      </w:r>
      <w:r>
        <w:rPr>
          <w:rFonts w:hint="eastAsia" w:ascii="宋体" w:cs="宋体"/>
          <w:sz w:val="24"/>
          <w:lang w:val="zh-CN"/>
        </w:rPr>
        <w:t>签订时间：</w:t>
      </w:r>
    </w:p>
    <w:p>
      <w:pPr>
        <w:autoSpaceDE w:val="0"/>
        <w:autoSpaceDN w:val="0"/>
        <w:adjustRightInd w:val="0"/>
        <w:spacing w:line="360" w:lineRule="auto"/>
        <w:ind w:firstLine="240" w:firstLineChars="100"/>
        <w:rPr>
          <w:rFonts w:ascii="宋体" w:cs="宋体"/>
          <w:sz w:val="24"/>
          <w:lang w:val="zh-CN"/>
        </w:rPr>
      </w:pPr>
      <w:r>
        <w:rPr>
          <w:rFonts w:hint="eastAsia" w:ascii="宋体" w:cs="宋体"/>
          <w:sz w:val="24"/>
          <w:lang w:val="zh-CN"/>
        </w:rPr>
        <w:t>签订时间：</w:t>
      </w:r>
    </w:p>
    <w:p>
      <w:pPr>
        <w:autoSpaceDE w:val="0"/>
        <w:autoSpaceDN w:val="0"/>
        <w:adjustRightInd w:val="0"/>
        <w:spacing w:line="360" w:lineRule="auto"/>
        <w:ind w:firstLine="480"/>
        <w:rPr>
          <w:rFonts w:ascii="宋体" w:cs="宋体"/>
          <w:sz w:val="24"/>
        </w:rPr>
      </w:pPr>
    </w:p>
    <w:p>
      <w:pPr>
        <w:spacing w:line="360" w:lineRule="auto"/>
        <w:rPr>
          <w:b/>
          <w:bCs/>
          <w:sz w:val="24"/>
        </w:rPr>
      </w:pPr>
    </w:p>
    <w:p>
      <w:pPr>
        <w:rPr>
          <w:b/>
          <w:bCs/>
          <w:sz w:val="24"/>
        </w:rPr>
      </w:pPr>
    </w:p>
    <w:p>
      <w:pPr>
        <w:rPr>
          <w:b/>
          <w:bCs/>
          <w:sz w:val="24"/>
        </w:rPr>
      </w:pPr>
    </w:p>
    <w:p>
      <w:pPr>
        <w:pStyle w:val="2"/>
        <w:ind w:left="0" w:firstLine="0"/>
        <w:rPr>
          <w:b/>
          <w:bCs/>
          <w:sz w:val="24"/>
        </w:rPr>
      </w:pPr>
    </w:p>
    <w:p>
      <w:pPr>
        <w:pStyle w:val="10"/>
        <w:rPr>
          <w:b/>
          <w:bCs/>
          <w:sz w:val="24"/>
        </w:rPr>
      </w:pPr>
    </w:p>
    <w:p>
      <w:pPr>
        <w:pStyle w:val="10"/>
        <w:rPr>
          <w:b/>
          <w:bCs/>
          <w:sz w:val="24"/>
        </w:rPr>
      </w:pPr>
    </w:p>
    <w:p>
      <w:pPr>
        <w:pStyle w:val="10"/>
        <w:rPr>
          <w:b/>
          <w:bCs/>
          <w:sz w:val="24"/>
        </w:rPr>
      </w:pPr>
    </w:p>
    <w:p>
      <w:pPr>
        <w:pStyle w:val="10"/>
        <w:rPr>
          <w:b/>
          <w:bCs/>
          <w:sz w:val="24"/>
        </w:rPr>
      </w:pPr>
    </w:p>
    <w:p>
      <w:pPr>
        <w:pStyle w:val="10"/>
        <w:rPr>
          <w:b/>
          <w:bCs/>
          <w:sz w:val="24"/>
        </w:rPr>
      </w:pPr>
    </w:p>
    <w:p>
      <w:pPr>
        <w:pStyle w:val="10"/>
        <w:rPr>
          <w:b/>
          <w:bCs/>
          <w:sz w:val="24"/>
        </w:rPr>
      </w:pPr>
    </w:p>
    <w:p>
      <w:pPr>
        <w:pStyle w:val="10"/>
        <w:rPr>
          <w:b/>
          <w:bCs/>
          <w:sz w:val="24"/>
        </w:rPr>
      </w:pPr>
      <w:r>
        <w:rPr>
          <w:rFonts w:hint="eastAsia"/>
          <w:b/>
          <w:bCs/>
          <w:sz w:val="24"/>
        </w:rPr>
        <w:t>附件：货物技术参数</w:t>
      </w:r>
    </w:p>
    <w:tbl>
      <w:tblPr>
        <w:tblStyle w:val="24"/>
        <w:tblW w:w="0" w:type="auto"/>
        <w:jc w:val="center"/>
        <w:tblLayout w:type="fixed"/>
        <w:tblCellMar>
          <w:top w:w="0" w:type="dxa"/>
          <w:left w:w="108" w:type="dxa"/>
          <w:bottom w:w="0" w:type="dxa"/>
          <w:right w:w="108" w:type="dxa"/>
        </w:tblCellMar>
      </w:tblPr>
      <w:tblGrid>
        <w:gridCol w:w="813"/>
        <w:gridCol w:w="697"/>
        <w:gridCol w:w="6983"/>
      </w:tblGrid>
      <w:tr>
        <w:tblPrEx>
          <w:tblCellMar>
            <w:top w:w="0" w:type="dxa"/>
            <w:left w:w="108" w:type="dxa"/>
            <w:bottom w:w="0" w:type="dxa"/>
            <w:right w:w="108" w:type="dxa"/>
          </w:tblCellMar>
        </w:tblPrEx>
        <w:trPr>
          <w:trHeight w:val="129" w:hRule="atLeast"/>
          <w:jc w:val="center"/>
        </w:trPr>
        <w:tc>
          <w:tcPr>
            <w:tcW w:w="8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b/>
                <w:szCs w:val="21"/>
              </w:rPr>
            </w:pPr>
            <w:r>
              <w:rPr>
                <w:rFonts w:hint="eastAsia" w:ascii="宋体" w:hAnsi="宋体" w:cs="宋体"/>
                <w:b/>
                <w:szCs w:val="21"/>
                <w:lang w:val="zh-CN"/>
              </w:rPr>
              <w:t>序号</w:t>
            </w:r>
          </w:p>
        </w:tc>
        <w:tc>
          <w:tcPr>
            <w:tcW w:w="69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b/>
                <w:szCs w:val="21"/>
                <w:lang w:val="zh-CN"/>
              </w:rPr>
            </w:pPr>
            <w:r>
              <w:rPr>
                <w:rFonts w:hint="eastAsia" w:ascii="宋体" w:hAnsi="宋体" w:cs="宋体"/>
                <w:b/>
                <w:szCs w:val="21"/>
                <w:lang w:val="zh-CN"/>
              </w:rPr>
              <w:t>名称</w:t>
            </w:r>
          </w:p>
        </w:tc>
        <w:tc>
          <w:tcPr>
            <w:tcW w:w="698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szCs w:val="21"/>
              </w:rPr>
            </w:pPr>
            <w:r>
              <w:rPr>
                <w:rFonts w:hint="eastAsia" w:ascii="宋体" w:hAnsi="宋体" w:cs="宋体"/>
                <w:b/>
                <w:szCs w:val="21"/>
                <w:lang w:val="zh-CN"/>
              </w:rPr>
              <w:t>技术参数</w:t>
            </w:r>
          </w:p>
        </w:tc>
      </w:tr>
      <w:tr>
        <w:tblPrEx>
          <w:tblCellMar>
            <w:top w:w="0" w:type="dxa"/>
            <w:left w:w="108" w:type="dxa"/>
            <w:bottom w:w="0" w:type="dxa"/>
            <w:right w:w="108" w:type="dxa"/>
          </w:tblCellMar>
        </w:tblPrEx>
        <w:trPr>
          <w:trHeight w:val="851" w:hRule="atLeast"/>
          <w:jc w:val="center"/>
        </w:trPr>
        <w:tc>
          <w:tcPr>
            <w:tcW w:w="8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szCs w:val="21"/>
              </w:rPr>
            </w:pPr>
            <w:r>
              <w:rPr>
                <w:rFonts w:hint="eastAsia" w:ascii="宋体" w:hAnsi="宋体"/>
                <w:szCs w:val="21"/>
              </w:rPr>
              <w:t>1</w:t>
            </w:r>
          </w:p>
        </w:tc>
        <w:tc>
          <w:tcPr>
            <w:tcW w:w="697" w:type="dxa"/>
            <w:tcBorders>
              <w:top w:val="single" w:color="auto" w:sz="6" w:space="0"/>
              <w:left w:val="single" w:color="auto" w:sz="6" w:space="0"/>
              <w:bottom w:val="single" w:color="auto" w:sz="6" w:space="0"/>
              <w:right w:val="single" w:color="auto" w:sz="6" w:space="0"/>
            </w:tcBorders>
            <w:vAlign w:val="center"/>
          </w:tcPr>
          <w:p>
            <w:pPr>
              <w:pStyle w:val="63"/>
              <w:ind w:firstLine="0" w:firstLineChars="0"/>
              <w:rPr>
                <w:rFonts w:ascii="宋体" w:hAnsi="宋体" w:eastAsia="宋体"/>
                <w:sz w:val="21"/>
                <w:szCs w:val="21"/>
              </w:rPr>
            </w:pPr>
          </w:p>
        </w:tc>
        <w:tc>
          <w:tcPr>
            <w:tcW w:w="6983" w:type="dxa"/>
            <w:tcBorders>
              <w:top w:val="single" w:color="auto" w:sz="6" w:space="0"/>
              <w:left w:val="single" w:color="auto" w:sz="6" w:space="0"/>
              <w:bottom w:val="single" w:color="auto" w:sz="6" w:space="0"/>
              <w:right w:val="single" w:color="auto" w:sz="6" w:space="0"/>
            </w:tcBorders>
          </w:tcPr>
          <w:p>
            <w:pPr>
              <w:autoSpaceDE w:val="0"/>
              <w:autoSpaceDN w:val="0"/>
              <w:jc w:val="left"/>
              <w:rPr>
                <w:rFonts w:ascii="宋体" w:hAnsi="宋体"/>
                <w:szCs w:val="21"/>
              </w:rPr>
            </w:pPr>
          </w:p>
        </w:tc>
      </w:tr>
      <w:tr>
        <w:tblPrEx>
          <w:tblCellMar>
            <w:top w:w="0" w:type="dxa"/>
            <w:left w:w="108" w:type="dxa"/>
            <w:bottom w:w="0" w:type="dxa"/>
            <w:right w:w="108" w:type="dxa"/>
          </w:tblCellMar>
        </w:tblPrEx>
        <w:trPr>
          <w:trHeight w:val="851" w:hRule="atLeast"/>
          <w:jc w:val="center"/>
        </w:trPr>
        <w:tc>
          <w:tcPr>
            <w:tcW w:w="8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szCs w:val="21"/>
              </w:rPr>
            </w:pPr>
            <w:r>
              <w:rPr>
                <w:rFonts w:hint="eastAsia" w:ascii="宋体" w:hAnsi="宋体"/>
                <w:szCs w:val="21"/>
              </w:rPr>
              <w:t>2</w:t>
            </w:r>
          </w:p>
        </w:tc>
        <w:tc>
          <w:tcPr>
            <w:tcW w:w="69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p>
        </w:tc>
        <w:tc>
          <w:tcPr>
            <w:tcW w:w="6983"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szCs w:val="21"/>
              </w:rPr>
            </w:pPr>
          </w:p>
        </w:tc>
      </w:tr>
      <w:tr>
        <w:tblPrEx>
          <w:tblCellMar>
            <w:top w:w="0" w:type="dxa"/>
            <w:left w:w="108" w:type="dxa"/>
            <w:bottom w:w="0" w:type="dxa"/>
            <w:right w:w="108" w:type="dxa"/>
          </w:tblCellMar>
        </w:tblPrEx>
        <w:trPr>
          <w:trHeight w:val="851" w:hRule="atLeast"/>
          <w:jc w:val="center"/>
        </w:trPr>
        <w:tc>
          <w:tcPr>
            <w:tcW w:w="8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szCs w:val="21"/>
              </w:rPr>
            </w:pPr>
            <w:r>
              <w:rPr>
                <w:rFonts w:hint="eastAsia" w:ascii="宋体" w:hAnsi="宋体"/>
                <w:szCs w:val="21"/>
              </w:rPr>
              <w:t>3</w:t>
            </w:r>
          </w:p>
        </w:tc>
        <w:tc>
          <w:tcPr>
            <w:tcW w:w="69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p>
        </w:tc>
        <w:tc>
          <w:tcPr>
            <w:tcW w:w="6983"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szCs w:val="21"/>
              </w:rPr>
            </w:pPr>
          </w:p>
        </w:tc>
      </w:tr>
      <w:tr>
        <w:tblPrEx>
          <w:tblCellMar>
            <w:top w:w="0" w:type="dxa"/>
            <w:left w:w="108" w:type="dxa"/>
            <w:bottom w:w="0" w:type="dxa"/>
            <w:right w:w="108" w:type="dxa"/>
          </w:tblCellMar>
        </w:tblPrEx>
        <w:trPr>
          <w:trHeight w:val="305" w:hRule="atLeast"/>
          <w:jc w:val="center"/>
        </w:trPr>
        <w:tc>
          <w:tcPr>
            <w:tcW w:w="8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szCs w:val="21"/>
              </w:rPr>
            </w:pPr>
            <w:r>
              <w:rPr>
                <w:rStyle w:val="64"/>
                <w:rFonts w:hint="eastAsia" w:ascii="宋体" w:hAnsi="宋体"/>
                <w:szCs w:val="24"/>
              </w:rPr>
              <w:t>…</w:t>
            </w:r>
          </w:p>
        </w:tc>
        <w:tc>
          <w:tcPr>
            <w:tcW w:w="69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Style w:val="64"/>
                <w:rFonts w:hint="eastAsia" w:ascii="宋体" w:hAnsi="宋体"/>
                <w:szCs w:val="24"/>
              </w:rPr>
              <w:t>…</w:t>
            </w:r>
          </w:p>
        </w:tc>
        <w:tc>
          <w:tcPr>
            <w:tcW w:w="6983"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szCs w:val="21"/>
              </w:rPr>
            </w:pPr>
            <w:r>
              <w:rPr>
                <w:rStyle w:val="64"/>
                <w:rFonts w:hint="eastAsia" w:ascii="宋体" w:hAnsi="宋体"/>
                <w:szCs w:val="24"/>
              </w:rPr>
              <w:t>……</w:t>
            </w:r>
          </w:p>
        </w:tc>
      </w:tr>
    </w:tbl>
    <w:p>
      <w:pPr>
        <w:pStyle w:val="20"/>
        <w:rPr>
          <w:b/>
          <w:bCs/>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投标人应具备的特殊要求</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3"/>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3"/>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服务承诺</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3751" w:type="dxa"/>
            <w:gridSpan w:val="3"/>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3"/>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3"/>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3"/>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③本表序号29～31仅适用于物业项目。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8788" w:type="dxa"/>
        <w:tblInd w:w="0" w:type="dxa"/>
        <w:tblLayout w:type="fixed"/>
        <w:tblCellMar>
          <w:top w:w="0" w:type="dxa"/>
          <w:left w:w="108" w:type="dxa"/>
          <w:bottom w:w="0" w:type="dxa"/>
          <w:right w:w="108" w:type="dxa"/>
        </w:tblCellMar>
      </w:tblPr>
      <w:tblGrid>
        <w:gridCol w:w="1970"/>
        <w:gridCol w:w="3939"/>
        <w:gridCol w:w="1970"/>
        <w:gridCol w:w="909"/>
      </w:tblGrid>
      <w:tr>
        <w:trPr>
          <w:trHeight w:val="974" w:hRule="atLeast"/>
        </w:trPr>
        <w:tc>
          <w:tcPr>
            <w:tcW w:w="19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9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9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9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974" w:hRule="atLeast"/>
        </w:trPr>
        <w:tc>
          <w:tcPr>
            <w:tcW w:w="1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9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9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jc w:val="left"/>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jc w:val="left"/>
        <w:rPr>
          <w:rFonts w:hint="eastAsia" w:cs="宋体" w:asciiTheme="minorEastAsia" w:hAnsiTheme="minorEastAsia"/>
          <w:szCs w:val="21"/>
          <w:lang w:val="zh-CN"/>
        </w:rPr>
      </w:pPr>
      <w:r>
        <w:rPr>
          <w:rFonts w:hint="eastAsia" w:cs="宋体" w:asciiTheme="minorEastAsia" w:hAnsiTheme="minorEastAsia"/>
          <w:szCs w:val="21"/>
          <w:lang w:val="zh-CN"/>
        </w:rPr>
        <w:t>法定代表人（单位负责人）或授权代表签字</w:t>
      </w:r>
    </w:p>
    <w:p>
      <w:pPr>
        <w:autoSpaceDE w:val="0"/>
        <w:autoSpaceDN w:val="0"/>
        <w:adjustRightInd w:val="0"/>
        <w:spacing w:line="480" w:lineRule="auto"/>
        <w:jc w:val="left"/>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color w:val="000000" w:themeColor="text1"/>
          <w:kern w:val="0"/>
          <w:szCs w:val="21"/>
          <w14:textFill>
            <w14:solidFill>
              <w14:schemeClr w14:val="tx1"/>
            </w14:solidFill>
          </w14:textFill>
        </w:rPr>
      </w:pPr>
      <w:r>
        <w:rPr>
          <w:rFonts w:hint="eastAsia" w:asciiTheme="minorEastAsia" w:hAnsiTheme="minorEastAsia"/>
          <w:snapToGrid w:val="0"/>
          <w:kern w:val="0"/>
          <w:szCs w:val="21"/>
        </w:rPr>
        <w:t>致：</w:t>
      </w:r>
      <w:r>
        <w:rPr>
          <w:rFonts w:hint="eastAsia" w:asciiTheme="minorEastAsia" w:hAnsiTheme="minorEastAsia"/>
          <w:snapToGrid w:val="0"/>
          <w:color w:val="000000" w:themeColor="text1"/>
          <w:kern w:val="0"/>
          <w:szCs w:val="21"/>
          <w14:textFill>
            <w14:solidFill>
              <w14:schemeClr w14:val="tx1"/>
            </w14:solidFill>
          </w14:textFill>
        </w:rPr>
        <w:t>鄢陵县政府采购服务中心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cs="Arial" w:asciiTheme="minorEastAsia" w:hAnsiTheme="minorEastAsia"/>
          <w:szCs w:val="21"/>
        </w:rPr>
        <w:t xml:space="preserve"> </w:t>
      </w:r>
      <w:r>
        <w:rPr>
          <w:rFonts w:hint="eastAsia" w:cs="Arial"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投标人名称（并加盖公章）：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lang w:val="zh-CN"/>
        </w:rPr>
        <w:t>鄢陵县政府采购服务中心</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投标人名称（并加盖公章）：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服务承诺</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7"/>
                          </w:pPr>
                          <w:r>
                            <w:fldChar w:fldCharType="begin"/>
                          </w:r>
                          <w:r>
                            <w:instrText xml:space="preserve"> PAGE  \* MERGEFORMAT </w:instrText>
                          </w:r>
                          <w:r>
                            <w:fldChar w:fldCharType="separate"/>
                          </w:r>
                          <w:r>
                            <w:t>81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0152F7F"/>
    <w:multiLevelType w:val="multilevel"/>
    <w:tmpl w:val="10152F7F"/>
    <w:lvl w:ilvl="0" w:tentative="0">
      <w:start w:val="4"/>
      <w:numFmt w:val="japaneseCounting"/>
      <w:lvlText w:val="%1、"/>
      <w:lvlJc w:val="left"/>
      <w:pPr>
        <w:ind w:left="876" w:hanging="456"/>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097703"/>
    <w:multiLevelType w:val="multilevel"/>
    <w:tmpl w:val="130977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64718C"/>
    <w:multiLevelType w:val="multilevel"/>
    <w:tmpl w:val="1864718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1">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7A329CD"/>
    <w:multiLevelType w:val="multilevel"/>
    <w:tmpl w:val="37A329CD"/>
    <w:lvl w:ilvl="0" w:tentative="0">
      <w:start w:val="38"/>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7">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9F817C2"/>
    <w:multiLevelType w:val="singleLevel"/>
    <w:tmpl w:val="59F817C2"/>
    <w:lvl w:ilvl="0" w:tentative="0">
      <w:start w:val="2"/>
      <w:numFmt w:val="chineseCounting"/>
      <w:suff w:val="space"/>
      <w:lvlText w:val="第%1章"/>
      <w:lvlJc w:val="left"/>
    </w:lvl>
  </w:abstractNum>
  <w:abstractNum w:abstractNumId="44">
    <w:nsid w:val="59F817E8"/>
    <w:multiLevelType w:val="singleLevel"/>
    <w:tmpl w:val="59F817E8"/>
    <w:lvl w:ilvl="0" w:tentative="0">
      <w:start w:val="1"/>
      <w:numFmt w:val="chineseCounting"/>
      <w:pStyle w:val="52"/>
      <w:suff w:val="nothing"/>
      <w:lvlText w:val="%1、"/>
      <w:lvlJc w:val="left"/>
    </w:lvl>
  </w:abstractNum>
  <w:abstractNum w:abstractNumId="45">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8">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5">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40F3425"/>
    <w:multiLevelType w:val="multilevel"/>
    <w:tmpl w:val="740F3425"/>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4"/>
  </w:num>
  <w:num w:numId="4">
    <w:abstractNumId w:val="18"/>
  </w:num>
  <w:num w:numId="5">
    <w:abstractNumId w:val="11"/>
  </w:num>
  <w:num w:numId="6">
    <w:abstractNumId w:val="15"/>
  </w:num>
  <w:num w:numId="7">
    <w:abstractNumId w:val="13"/>
  </w:num>
  <w:num w:numId="8">
    <w:abstractNumId w:val="7"/>
  </w:num>
  <w:num w:numId="9">
    <w:abstractNumId w:val="50"/>
  </w:num>
  <w:num w:numId="10">
    <w:abstractNumId w:val="64"/>
  </w:num>
  <w:num w:numId="11">
    <w:abstractNumId w:val="68"/>
  </w:num>
  <w:num w:numId="12">
    <w:abstractNumId w:val="38"/>
  </w:num>
  <w:num w:numId="13">
    <w:abstractNumId w:val="40"/>
  </w:num>
  <w:num w:numId="14">
    <w:abstractNumId w:val="42"/>
  </w:num>
  <w:num w:numId="15">
    <w:abstractNumId w:val="60"/>
  </w:num>
  <w:num w:numId="16">
    <w:abstractNumId w:val="34"/>
  </w:num>
  <w:num w:numId="17">
    <w:abstractNumId w:val="32"/>
  </w:num>
  <w:num w:numId="18">
    <w:abstractNumId w:val="43"/>
  </w:num>
  <w:num w:numId="19">
    <w:abstractNumId w:val="26"/>
  </w:num>
  <w:num w:numId="20">
    <w:abstractNumId w:val="56"/>
  </w:num>
  <w:num w:numId="21">
    <w:abstractNumId w:val="30"/>
  </w:num>
  <w:num w:numId="22">
    <w:abstractNumId w:val="33"/>
  </w:num>
  <w:num w:numId="23">
    <w:abstractNumId w:val="53"/>
  </w:num>
  <w:num w:numId="24">
    <w:abstractNumId w:val="19"/>
  </w:num>
  <w:num w:numId="25">
    <w:abstractNumId w:val="21"/>
  </w:num>
  <w:num w:numId="26">
    <w:abstractNumId w:val="67"/>
  </w:num>
  <w:num w:numId="27">
    <w:abstractNumId w:val="49"/>
  </w:num>
  <w:num w:numId="28">
    <w:abstractNumId w:val="65"/>
  </w:num>
  <w:num w:numId="29">
    <w:abstractNumId w:val="10"/>
  </w:num>
  <w:num w:numId="30">
    <w:abstractNumId w:val="47"/>
  </w:num>
  <w:num w:numId="31">
    <w:abstractNumId w:val="8"/>
  </w:num>
  <w:num w:numId="32">
    <w:abstractNumId w:val="28"/>
  </w:num>
  <w:num w:numId="33">
    <w:abstractNumId w:val="45"/>
  </w:num>
  <w:num w:numId="34">
    <w:abstractNumId w:val="55"/>
  </w:num>
  <w:num w:numId="35">
    <w:abstractNumId w:val="35"/>
  </w:num>
  <w:num w:numId="36">
    <w:abstractNumId w:val="29"/>
  </w:num>
  <w:num w:numId="37">
    <w:abstractNumId w:val="4"/>
  </w:num>
  <w:num w:numId="38">
    <w:abstractNumId w:val="23"/>
  </w:num>
  <w:num w:numId="39">
    <w:abstractNumId w:val="22"/>
  </w:num>
  <w:num w:numId="40">
    <w:abstractNumId w:val="57"/>
  </w:num>
  <w:num w:numId="41">
    <w:abstractNumId w:val="52"/>
  </w:num>
  <w:num w:numId="42">
    <w:abstractNumId w:val="59"/>
  </w:num>
  <w:num w:numId="43">
    <w:abstractNumId w:val="41"/>
  </w:num>
  <w:num w:numId="44">
    <w:abstractNumId w:val="12"/>
  </w:num>
  <w:num w:numId="45">
    <w:abstractNumId w:val="25"/>
  </w:num>
  <w:num w:numId="46">
    <w:abstractNumId w:val="63"/>
  </w:num>
  <w:num w:numId="47">
    <w:abstractNumId w:val="24"/>
  </w:num>
  <w:num w:numId="48">
    <w:abstractNumId w:val="27"/>
  </w:num>
  <w:num w:numId="49">
    <w:abstractNumId w:val="5"/>
  </w:num>
  <w:num w:numId="50">
    <w:abstractNumId w:val="20"/>
  </w:num>
  <w:num w:numId="51">
    <w:abstractNumId w:val="51"/>
  </w:num>
  <w:num w:numId="52">
    <w:abstractNumId w:val="37"/>
  </w:num>
  <w:num w:numId="53">
    <w:abstractNumId w:val="14"/>
  </w:num>
  <w:num w:numId="54">
    <w:abstractNumId w:val="39"/>
  </w:num>
  <w:num w:numId="55">
    <w:abstractNumId w:val="61"/>
  </w:num>
  <w:num w:numId="56">
    <w:abstractNumId w:val="58"/>
  </w:num>
  <w:num w:numId="57">
    <w:abstractNumId w:val="48"/>
  </w:num>
  <w:num w:numId="58">
    <w:abstractNumId w:val="3"/>
  </w:num>
  <w:num w:numId="59">
    <w:abstractNumId w:val="62"/>
  </w:num>
  <w:num w:numId="60">
    <w:abstractNumId w:val="17"/>
  </w:num>
  <w:num w:numId="61">
    <w:abstractNumId w:val="2"/>
  </w:num>
  <w:num w:numId="62">
    <w:abstractNumId w:val="46"/>
  </w:num>
  <w:num w:numId="63">
    <w:abstractNumId w:val="16"/>
  </w:num>
  <w:num w:numId="64">
    <w:abstractNumId w:val="6"/>
  </w:num>
  <w:num w:numId="65">
    <w:abstractNumId w:val="54"/>
  </w:num>
  <w:num w:numId="66">
    <w:abstractNumId w:val="36"/>
  </w:num>
  <w:num w:numId="67">
    <w:abstractNumId w:val="31"/>
  </w:num>
  <w:num w:numId="68">
    <w:abstractNumId w:val="66"/>
  </w:num>
  <w:num w:numId="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C2"/>
    <w:rsid w:val="00001EBB"/>
    <w:rsid w:val="00005193"/>
    <w:rsid w:val="00005E59"/>
    <w:rsid w:val="000067F7"/>
    <w:rsid w:val="0000762E"/>
    <w:rsid w:val="0001005B"/>
    <w:rsid w:val="0001503A"/>
    <w:rsid w:val="00021B1B"/>
    <w:rsid w:val="0002390B"/>
    <w:rsid w:val="0002486A"/>
    <w:rsid w:val="00030573"/>
    <w:rsid w:val="00031724"/>
    <w:rsid w:val="00037B58"/>
    <w:rsid w:val="00043C89"/>
    <w:rsid w:val="00053050"/>
    <w:rsid w:val="00082BFE"/>
    <w:rsid w:val="000852C0"/>
    <w:rsid w:val="00085367"/>
    <w:rsid w:val="00085B7C"/>
    <w:rsid w:val="00087C61"/>
    <w:rsid w:val="00091AA2"/>
    <w:rsid w:val="00091BE3"/>
    <w:rsid w:val="00093DD4"/>
    <w:rsid w:val="00097B58"/>
    <w:rsid w:val="000B458E"/>
    <w:rsid w:val="000B50BB"/>
    <w:rsid w:val="000B7958"/>
    <w:rsid w:val="000C0B7C"/>
    <w:rsid w:val="000C4635"/>
    <w:rsid w:val="000C6642"/>
    <w:rsid w:val="000C743E"/>
    <w:rsid w:val="000D701D"/>
    <w:rsid w:val="000E20C1"/>
    <w:rsid w:val="000E2BB7"/>
    <w:rsid w:val="000F2DC9"/>
    <w:rsid w:val="00101F5A"/>
    <w:rsid w:val="00107C01"/>
    <w:rsid w:val="00113597"/>
    <w:rsid w:val="00116592"/>
    <w:rsid w:val="001210D8"/>
    <w:rsid w:val="001219A0"/>
    <w:rsid w:val="001260AF"/>
    <w:rsid w:val="00135915"/>
    <w:rsid w:val="0013773C"/>
    <w:rsid w:val="0014473A"/>
    <w:rsid w:val="0014672D"/>
    <w:rsid w:val="00150E10"/>
    <w:rsid w:val="0015261C"/>
    <w:rsid w:val="0015641F"/>
    <w:rsid w:val="00157527"/>
    <w:rsid w:val="001671D4"/>
    <w:rsid w:val="00186162"/>
    <w:rsid w:val="001877B3"/>
    <w:rsid w:val="001B0BC8"/>
    <w:rsid w:val="001B5936"/>
    <w:rsid w:val="001C04A6"/>
    <w:rsid w:val="001C0705"/>
    <w:rsid w:val="001C08C7"/>
    <w:rsid w:val="001C5D9B"/>
    <w:rsid w:val="001D0D47"/>
    <w:rsid w:val="001E0A89"/>
    <w:rsid w:val="001E1827"/>
    <w:rsid w:val="001E1D52"/>
    <w:rsid w:val="001E4AC6"/>
    <w:rsid w:val="001E7FF7"/>
    <w:rsid w:val="001F5CCE"/>
    <w:rsid w:val="001F6B5B"/>
    <w:rsid w:val="002020BE"/>
    <w:rsid w:val="002077DC"/>
    <w:rsid w:val="002128A2"/>
    <w:rsid w:val="002159CB"/>
    <w:rsid w:val="00221033"/>
    <w:rsid w:val="00244DAE"/>
    <w:rsid w:val="00245D09"/>
    <w:rsid w:val="00247A03"/>
    <w:rsid w:val="0025077F"/>
    <w:rsid w:val="00252AB5"/>
    <w:rsid w:val="00253A60"/>
    <w:rsid w:val="002608AD"/>
    <w:rsid w:val="00275783"/>
    <w:rsid w:val="00286795"/>
    <w:rsid w:val="00291601"/>
    <w:rsid w:val="002920EB"/>
    <w:rsid w:val="002923A5"/>
    <w:rsid w:val="00296423"/>
    <w:rsid w:val="002A0CF6"/>
    <w:rsid w:val="002A24E1"/>
    <w:rsid w:val="002A57A5"/>
    <w:rsid w:val="002B343D"/>
    <w:rsid w:val="002B4184"/>
    <w:rsid w:val="002B43F5"/>
    <w:rsid w:val="002B4562"/>
    <w:rsid w:val="002B4FE5"/>
    <w:rsid w:val="002B57DB"/>
    <w:rsid w:val="002B613D"/>
    <w:rsid w:val="002C096D"/>
    <w:rsid w:val="002D22A0"/>
    <w:rsid w:val="002D403F"/>
    <w:rsid w:val="002D63DB"/>
    <w:rsid w:val="002F2477"/>
    <w:rsid w:val="002F37A8"/>
    <w:rsid w:val="002F432C"/>
    <w:rsid w:val="0031334E"/>
    <w:rsid w:val="00317289"/>
    <w:rsid w:val="00317E88"/>
    <w:rsid w:val="00322BFC"/>
    <w:rsid w:val="00325FC8"/>
    <w:rsid w:val="003306BF"/>
    <w:rsid w:val="00330E30"/>
    <w:rsid w:val="00335F02"/>
    <w:rsid w:val="0034195F"/>
    <w:rsid w:val="003462B9"/>
    <w:rsid w:val="0035062D"/>
    <w:rsid w:val="003515AF"/>
    <w:rsid w:val="00353E56"/>
    <w:rsid w:val="00354107"/>
    <w:rsid w:val="00360063"/>
    <w:rsid w:val="00360D4E"/>
    <w:rsid w:val="003615F3"/>
    <w:rsid w:val="0036340D"/>
    <w:rsid w:val="003740C8"/>
    <w:rsid w:val="003744DE"/>
    <w:rsid w:val="0037479D"/>
    <w:rsid w:val="00374DEC"/>
    <w:rsid w:val="00386ECD"/>
    <w:rsid w:val="00391455"/>
    <w:rsid w:val="00392509"/>
    <w:rsid w:val="00394C40"/>
    <w:rsid w:val="003A0781"/>
    <w:rsid w:val="003A2250"/>
    <w:rsid w:val="003B0E5A"/>
    <w:rsid w:val="003D1856"/>
    <w:rsid w:val="003D4558"/>
    <w:rsid w:val="003D5E5D"/>
    <w:rsid w:val="003D6558"/>
    <w:rsid w:val="003D7355"/>
    <w:rsid w:val="003E2203"/>
    <w:rsid w:val="003E25B5"/>
    <w:rsid w:val="003E2F38"/>
    <w:rsid w:val="00412C83"/>
    <w:rsid w:val="004173DF"/>
    <w:rsid w:val="00427EB5"/>
    <w:rsid w:val="004355F3"/>
    <w:rsid w:val="00437DF0"/>
    <w:rsid w:val="0044249D"/>
    <w:rsid w:val="00456809"/>
    <w:rsid w:val="00463817"/>
    <w:rsid w:val="0046559B"/>
    <w:rsid w:val="0046649F"/>
    <w:rsid w:val="00470B31"/>
    <w:rsid w:val="00470F5A"/>
    <w:rsid w:val="00475CC1"/>
    <w:rsid w:val="004763F8"/>
    <w:rsid w:val="00476A53"/>
    <w:rsid w:val="00490D74"/>
    <w:rsid w:val="00494638"/>
    <w:rsid w:val="0049709E"/>
    <w:rsid w:val="00497576"/>
    <w:rsid w:val="004A72BC"/>
    <w:rsid w:val="004B1433"/>
    <w:rsid w:val="004B5733"/>
    <w:rsid w:val="004F7AF6"/>
    <w:rsid w:val="005073F0"/>
    <w:rsid w:val="00507941"/>
    <w:rsid w:val="00520B5E"/>
    <w:rsid w:val="005212AF"/>
    <w:rsid w:val="00523A81"/>
    <w:rsid w:val="00523A8A"/>
    <w:rsid w:val="00527C1F"/>
    <w:rsid w:val="00535CF9"/>
    <w:rsid w:val="00541303"/>
    <w:rsid w:val="005456D2"/>
    <w:rsid w:val="00550C25"/>
    <w:rsid w:val="00550D34"/>
    <w:rsid w:val="005512A0"/>
    <w:rsid w:val="00557D15"/>
    <w:rsid w:val="0056006B"/>
    <w:rsid w:val="005645FA"/>
    <w:rsid w:val="00564C20"/>
    <w:rsid w:val="005700EA"/>
    <w:rsid w:val="00574B52"/>
    <w:rsid w:val="00576EE5"/>
    <w:rsid w:val="00585C77"/>
    <w:rsid w:val="00595024"/>
    <w:rsid w:val="005A1E30"/>
    <w:rsid w:val="005C51BA"/>
    <w:rsid w:val="005C5A33"/>
    <w:rsid w:val="005D18DA"/>
    <w:rsid w:val="005D5162"/>
    <w:rsid w:val="005D546B"/>
    <w:rsid w:val="005E1203"/>
    <w:rsid w:val="00607496"/>
    <w:rsid w:val="006103BD"/>
    <w:rsid w:val="00610C20"/>
    <w:rsid w:val="006135EE"/>
    <w:rsid w:val="00616F06"/>
    <w:rsid w:val="006170AE"/>
    <w:rsid w:val="0062412C"/>
    <w:rsid w:val="006325E6"/>
    <w:rsid w:val="00636AAD"/>
    <w:rsid w:val="006377E5"/>
    <w:rsid w:val="0064000F"/>
    <w:rsid w:val="006436FD"/>
    <w:rsid w:val="00644568"/>
    <w:rsid w:val="0064732B"/>
    <w:rsid w:val="00657DAF"/>
    <w:rsid w:val="006720EC"/>
    <w:rsid w:val="006721E4"/>
    <w:rsid w:val="006744FF"/>
    <w:rsid w:val="0068257C"/>
    <w:rsid w:val="00683E55"/>
    <w:rsid w:val="00693A3F"/>
    <w:rsid w:val="006960CC"/>
    <w:rsid w:val="006A3F52"/>
    <w:rsid w:val="006A691F"/>
    <w:rsid w:val="006B25B7"/>
    <w:rsid w:val="006B42F0"/>
    <w:rsid w:val="006C247C"/>
    <w:rsid w:val="006C690F"/>
    <w:rsid w:val="006E005D"/>
    <w:rsid w:val="006E2316"/>
    <w:rsid w:val="006E31FA"/>
    <w:rsid w:val="006E320E"/>
    <w:rsid w:val="006F2CA9"/>
    <w:rsid w:val="0070414D"/>
    <w:rsid w:val="007060F2"/>
    <w:rsid w:val="007177D6"/>
    <w:rsid w:val="00720A57"/>
    <w:rsid w:val="00721C78"/>
    <w:rsid w:val="007302C5"/>
    <w:rsid w:val="00737F38"/>
    <w:rsid w:val="0074067C"/>
    <w:rsid w:val="0074103B"/>
    <w:rsid w:val="00751617"/>
    <w:rsid w:val="00751E61"/>
    <w:rsid w:val="00752B8A"/>
    <w:rsid w:val="0075325B"/>
    <w:rsid w:val="00766C83"/>
    <w:rsid w:val="007716D8"/>
    <w:rsid w:val="0077284D"/>
    <w:rsid w:val="0077324A"/>
    <w:rsid w:val="00786062"/>
    <w:rsid w:val="0078628A"/>
    <w:rsid w:val="00791C13"/>
    <w:rsid w:val="007944B5"/>
    <w:rsid w:val="007A4D71"/>
    <w:rsid w:val="007B1F5A"/>
    <w:rsid w:val="007C58F6"/>
    <w:rsid w:val="007C5BA1"/>
    <w:rsid w:val="007D2D78"/>
    <w:rsid w:val="007D6248"/>
    <w:rsid w:val="007E5995"/>
    <w:rsid w:val="007E71C1"/>
    <w:rsid w:val="007F2012"/>
    <w:rsid w:val="007F2A1A"/>
    <w:rsid w:val="00800F3D"/>
    <w:rsid w:val="008065D4"/>
    <w:rsid w:val="0081197D"/>
    <w:rsid w:val="008146C7"/>
    <w:rsid w:val="00824937"/>
    <w:rsid w:val="00830B83"/>
    <w:rsid w:val="00843E90"/>
    <w:rsid w:val="008442F5"/>
    <w:rsid w:val="008479C6"/>
    <w:rsid w:val="008500B0"/>
    <w:rsid w:val="00852B8D"/>
    <w:rsid w:val="00853F01"/>
    <w:rsid w:val="00857EF3"/>
    <w:rsid w:val="00870428"/>
    <w:rsid w:val="00876267"/>
    <w:rsid w:val="00880A98"/>
    <w:rsid w:val="00886347"/>
    <w:rsid w:val="00891ADA"/>
    <w:rsid w:val="008A0FC7"/>
    <w:rsid w:val="008C45D9"/>
    <w:rsid w:val="008C70F7"/>
    <w:rsid w:val="008D6FD5"/>
    <w:rsid w:val="008E1B72"/>
    <w:rsid w:val="00905274"/>
    <w:rsid w:val="00911F61"/>
    <w:rsid w:val="009145B3"/>
    <w:rsid w:val="00921EED"/>
    <w:rsid w:val="0092644B"/>
    <w:rsid w:val="00940491"/>
    <w:rsid w:val="009420E0"/>
    <w:rsid w:val="009444BC"/>
    <w:rsid w:val="00945A84"/>
    <w:rsid w:val="00946757"/>
    <w:rsid w:val="00954850"/>
    <w:rsid w:val="009553EF"/>
    <w:rsid w:val="00962DEE"/>
    <w:rsid w:val="00971122"/>
    <w:rsid w:val="0097173C"/>
    <w:rsid w:val="009717B8"/>
    <w:rsid w:val="009754D6"/>
    <w:rsid w:val="00985DC8"/>
    <w:rsid w:val="00986F47"/>
    <w:rsid w:val="009A74AA"/>
    <w:rsid w:val="009B0624"/>
    <w:rsid w:val="009B7264"/>
    <w:rsid w:val="009C12AB"/>
    <w:rsid w:val="009D6095"/>
    <w:rsid w:val="009E082E"/>
    <w:rsid w:val="009E4E1E"/>
    <w:rsid w:val="009E5DAD"/>
    <w:rsid w:val="009E66B0"/>
    <w:rsid w:val="009E7732"/>
    <w:rsid w:val="009F216B"/>
    <w:rsid w:val="009F384B"/>
    <w:rsid w:val="00A00980"/>
    <w:rsid w:val="00A02702"/>
    <w:rsid w:val="00A06138"/>
    <w:rsid w:val="00A1315B"/>
    <w:rsid w:val="00A15E63"/>
    <w:rsid w:val="00A372D4"/>
    <w:rsid w:val="00A46AAB"/>
    <w:rsid w:val="00A62E96"/>
    <w:rsid w:val="00A75BE8"/>
    <w:rsid w:val="00A768D5"/>
    <w:rsid w:val="00A819A9"/>
    <w:rsid w:val="00A9198F"/>
    <w:rsid w:val="00A955C2"/>
    <w:rsid w:val="00AA1DDA"/>
    <w:rsid w:val="00AA6DE7"/>
    <w:rsid w:val="00AB284A"/>
    <w:rsid w:val="00AB64A7"/>
    <w:rsid w:val="00AD0F7D"/>
    <w:rsid w:val="00AD1434"/>
    <w:rsid w:val="00AD3678"/>
    <w:rsid w:val="00AE03B0"/>
    <w:rsid w:val="00AF0D42"/>
    <w:rsid w:val="00B1733D"/>
    <w:rsid w:val="00B37B6C"/>
    <w:rsid w:val="00B42563"/>
    <w:rsid w:val="00B46D1A"/>
    <w:rsid w:val="00B50A76"/>
    <w:rsid w:val="00B54F8C"/>
    <w:rsid w:val="00B61B65"/>
    <w:rsid w:val="00B6576E"/>
    <w:rsid w:val="00B82013"/>
    <w:rsid w:val="00B9068C"/>
    <w:rsid w:val="00B91A5A"/>
    <w:rsid w:val="00BC7A35"/>
    <w:rsid w:val="00BD6B08"/>
    <w:rsid w:val="00BE3428"/>
    <w:rsid w:val="00BE6836"/>
    <w:rsid w:val="00BE7BF7"/>
    <w:rsid w:val="00BF1EA5"/>
    <w:rsid w:val="00C0331F"/>
    <w:rsid w:val="00C041E1"/>
    <w:rsid w:val="00C04DE4"/>
    <w:rsid w:val="00C10587"/>
    <w:rsid w:val="00C17114"/>
    <w:rsid w:val="00C2320A"/>
    <w:rsid w:val="00C248C6"/>
    <w:rsid w:val="00C365AE"/>
    <w:rsid w:val="00C37638"/>
    <w:rsid w:val="00C47970"/>
    <w:rsid w:val="00C54B87"/>
    <w:rsid w:val="00C75662"/>
    <w:rsid w:val="00C83E60"/>
    <w:rsid w:val="00C849DF"/>
    <w:rsid w:val="00C87C62"/>
    <w:rsid w:val="00C907D2"/>
    <w:rsid w:val="00C9179D"/>
    <w:rsid w:val="00C93FA4"/>
    <w:rsid w:val="00CA6C5D"/>
    <w:rsid w:val="00CC10CA"/>
    <w:rsid w:val="00CC65A1"/>
    <w:rsid w:val="00CC75EE"/>
    <w:rsid w:val="00CD01AA"/>
    <w:rsid w:val="00CE268B"/>
    <w:rsid w:val="00CE6F0C"/>
    <w:rsid w:val="00CF186C"/>
    <w:rsid w:val="00CF1EB3"/>
    <w:rsid w:val="00D000F5"/>
    <w:rsid w:val="00D055A5"/>
    <w:rsid w:val="00D06239"/>
    <w:rsid w:val="00D0632B"/>
    <w:rsid w:val="00D07DAD"/>
    <w:rsid w:val="00D10949"/>
    <w:rsid w:val="00D24F6E"/>
    <w:rsid w:val="00D25406"/>
    <w:rsid w:val="00D2620D"/>
    <w:rsid w:val="00D267B1"/>
    <w:rsid w:val="00D27188"/>
    <w:rsid w:val="00D34ED2"/>
    <w:rsid w:val="00D45EBD"/>
    <w:rsid w:val="00D464DC"/>
    <w:rsid w:val="00D46996"/>
    <w:rsid w:val="00D56411"/>
    <w:rsid w:val="00D62D52"/>
    <w:rsid w:val="00D77F59"/>
    <w:rsid w:val="00D808AD"/>
    <w:rsid w:val="00D837B0"/>
    <w:rsid w:val="00D849E9"/>
    <w:rsid w:val="00D90E84"/>
    <w:rsid w:val="00DA44C0"/>
    <w:rsid w:val="00DA50B8"/>
    <w:rsid w:val="00DB38C6"/>
    <w:rsid w:val="00DB4E0D"/>
    <w:rsid w:val="00DC3AF4"/>
    <w:rsid w:val="00DC5952"/>
    <w:rsid w:val="00DD16DD"/>
    <w:rsid w:val="00DD25EC"/>
    <w:rsid w:val="00DD3F05"/>
    <w:rsid w:val="00DD5DA3"/>
    <w:rsid w:val="00DD70B6"/>
    <w:rsid w:val="00DE1709"/>
    <w:rsid w:val="00E10B25"/>
    <w:rsid w:val="00E1110A"/>
    <w:rsid w:val="00E16C5D"/>
    <w:rsid w:val="00E16D54"/>
    <w:rsid w:val="00E23886"/>
    <w:rsid w:val="00E27FD9"/>
    <w:rsid w:val="00E31971"/>
    <w:rsid w:val="00E40071"/>
    <w:rsid w:val="00E4251C"/>
    <w:rsid w:val="00E458EF"/>
    <w:rsid w:val="00E539D0"/>
    <w:rsid w:val="00E6320D"/>
    <w:rsid w:val="00E73258"/>
    <w:rsid w:val="00E74721"/>
    <w:rsid w:val="00E77BF1"/>
    <w:rsid w:val="00E82070"/>
    <w:rsid w:val="00E92193"/>
    <w:rsid w:val="00E92F97"/>
    <w:rsid w:val="00E96905"/>
    <w:rsid w:val="00EA08B2"/>
    <w:rsid w:val="00EA2676"/>
    <w:rsid w:val="00EA3673"/>
    <w:rsid w:val="00EA37E1"/>
    <w:rsid w:val="00EB5572"/>
    <w:rsid w:val="00EC126D"/>
    <w:rsid w:val="00ED2AAD"/>
    <w:rsid w:val="00ED31D4"/>
    <w:rsid w:val="00ED5055"/>
    <w:rsid w:val="00ED73A3"/>
    <w:rsid w:val="00ED7AA8"/>
    <w:rsid w:val="00EE7AEA"/>
    <w:rsid w:val="00EE7FAE"/>
    <w:rsid w:val="00F01A9F"/>
    <w:rsid w:val="00F14EC4"/>
    <w:rsid w:val="00F321F5"/>
    <w:rsid w:val="00F36540"/>
    <w:rsid w:val="00F50C3A"/>
    <w:rsid w:val="00F56D39"/>
    <w:rsid w:val="00F604C2"/>
    <w:rsid w:val="00F64FE5"/>
    <w:rsid w:val="00F66334"/>
    <w:rsid w:val="00F7709D"/>
    <w:rsid w:val="00F8281B"/>
    <w:rsid w:val="00F857E5"/>
    <w:rsid w:val="00F90838"/>
    <w:rsid w:val="00F95855"/>
    <w:rsid w:val="00FA1241"/>
    <w:rsid w:val="00FA12D3"/>
    <w:rsid w:val="00FA3274"/>
    <w:rsid w:val="00FC47DB"/>
    <w:rsid w:val="00FD5735"/>
    <w:rsid w:val="00FF001C"/>
    <w:rsid w:val="0272330E"/>
    <w:rsid w:val="03986089"/>
    <w:rsid w:val="04346FDB"/>
    <w:rsid w:val="04CE2F78"/>
    <w:rsid w:val="07CD0DA8"/>
    <w:rsid w:val="07E94B32"/>
    <w:rsid w:val="095F5593"/>
    <w:rsid w:val="099A4309"/>
    <w:rsid w:val="0AAE3879"/>
    <w:rsid w:val="0BE91781"/>
    <w:rsid w:val="0CC93A58"/>
    <w:rsid w:val="0D115A9B"/>
    <w:rsid w:val="0EA04DED"/>
    <w:rsid w:val="19E75295"/>
    <w:rsid w:val="20D77001"/>
    <w:rsid w:val="23A244A3"/>
    <w:rsid w:val="247B2956"/>
    <w:rsid w:val="276E6188"/>
    <w:rsid w:val="278B166F"/>
    <w:rsid w:val="2DAD3734"/>
    <w:rsid w:val="2F5C5902"/>
    <w:rsid w:val="2F912895"/>
    <w:rsid w:val="31F51014"/>
    <w:rsid w:val="324404FD"/>
    <w:rsid w:val="35BD7C2C"/>
    <w:rsid w:val="35C93211"/>
    <w:rsid w:val="37314952"/>
    <w:rsid w:val="3C620A3B"/>
    <w:rsid w:val="3DF003FC"/>
    <w:rsid w:val="40871428"/>
    <w:rsid w:val="40A4580D"/>
    <w:rsid w:val="42D5311B"/>
    <w:rsid w:val="4704270A"/>
    <w:rsid w:val="477D1EDA"/>
    <w:rsid w:val="49362CE0"/>
    <w:rsid w:val="49393971"/>
    <w:rsid w:val="498E381C"/>
    <w:rsid w:val="4ADC31EB"/>
    <w:rsid w:val="4C935A4C"/>
    <w:rsid w:val="4CF24631"/>
    <w:rsid w:val="4FDE37D4"/>
    <w:rsid w:val="517C5181"/>
    <w:rsid w:val="5548419D"/>
    <w:rsid w:val="58C13962"/>
    <w:rsid w:val="5947623C"/>
    <w:rsid w:val="5BFE1FB2"/>
    <w:rsid w:val="5D822CC1"/>
    <w:rsid w:val="5EBB6056"/>
    <w:rsid w:val="6127331E"/>
    <w:rsid w:val="615608C2"/>
    <w:rsid w:val="61992537"/>
    <w:rsid w:val="62224CE9"/>
    <w:rsid w:val="6289581A"/>
    <w:rsid w:val="647E711F"/>
    <w:rsid w:val="67AC14B5"/>
    <w:rsid w:val="69317154"/>
    <w:rsid w:val="6C4757FE"/>
    <w:rsid w:val="704205D5"/>
    <w:rsid w:val="709C25EE"/>
    <w:rsid w:val="738D5C97"/>
    <w:rsid w:val="743407FE"/>
    <w:rsid w:val="7A1337FD"/>
    <w:rsid w:val="7B8B1918"/>
    <w:rsid w:val="7BD779D8"/>
    <w:rsid w:val="7F0F3F76"/>
    <w:rsid w:val="7FAB23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link w:val="62"/>
    <w:unhideWhenUsed/>
    <w:qFormat/>
    <w:uiPriority w:val="99"/>
    <w:pPr>
      <w:keepLines/>
      <w:widowControl/>
      <w:overflowPunct w:val="0"/>
      <w:autoSpaceDE w:val="0"/>
      <w:autoSpaceDN w:val="0"/>
      <w:adjustRightInd w:val="0"/>
      <w:spacing w:after="240"/>
      <w:ind w:left="1987" w:right="2880" w:hanging="1267"/>
      <w:textAlignment w:val="baseline"/>
    </w:pPr>
    <w:rPr>
      <w:rFonts w:ascii="Courier New" w:hAnsi="Courier New" w:eastAsia="宋体" w:cs="Times New Roman"/>
      <w:szCs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semiHidden/>
    <w:unhideWhenUsed/>
    <w:qFormat/>
    <w:uiPriority w:val="99"/>
    <w:pPr>
      <w:spacing w:after="120"/>
    </w:pPr>
  </w:style>
  <w:style w:type="paragraph" w:styleId="11">
    <w:name w:val="Body Text Indent"/>
    <w:basedOn w:val="1"/>
    <w:link w:val="58"/>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60"/>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Body Text 2"/>
    <w:basedOn w:val="1"/>
    <w:link w:val="61"/>
    <w:semiHidden/>
    <w:unhideWhenUsed/>
    <w:qFormat/>
    <w:uiPriority w:val="99"/>
    <w:pPr>
      <w:spacing w:after="120" w:line="480" w:lineRule="auto"/>
    </w:pPr>
  </w:style>
  <w:style w:type="paragraph" w:styleId="21">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next w:val="1"/>
    <w:qFormat/>
    <w:uiPriority w:val="99"/>
    <w:rPr>
      <w:rFonts w:ascii="Calibri" w:hAnsi="Calibri" w:eastAsia="宋体" w:cs="Times New Roman"/>
      <w:sz w:val="24"/>
      <w:szCs w:val="24"/>
    </w:rPr>
  </w:style>
  <w:style w:type="paragraph" w:styleId="23">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table" w:styleId="25">
    <w:name w:val="Table Grid"/>
    <w:basedOn w:val="24"/>
    <w:qFormat/>
    <w:uiPriority w:val="99"/>
    <w:rPr>
      <w:rFonts w:eastAsia="微软雅黑"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Hyperlink"/>
    <w:basedOn w:val="26"/>
    <w:unhideWhenUsed/>
    <w:qFormat/>
    <w:uiPriority w:val="99"/>
    <w:rPr>
      <w:color w:val="0000FF"/>
      <w:u w:val="single"/>
    </w:rPr>
  </w:style>
  <w:style w:type="character" w:customStyle="1" w:styleId="30">
    <w:name w:val="标题 1 Char"/>
    <w:basedOn w:val="26"/>
    <w:link w:val="3"/>
    <w:qFormat/>
    <w:uiPriority w:val="0"/>
    <w:rPr>
      <w:rFonts w:ascii="Calibri" w:hAnsi="Calibri" w:eastAsia="宋体" w:cs="Times New Roman"/>
      <w:b/>
      <w:bCs/>
      <w:kern w:val="44"/>
      <w:sz w:val="44"/>
      <w:szCs w:val="44"/>
    </w:rPr>
  </w:style>
  <w:style w:type="character" w:customStyle="1" w:styleId="31">
    <w:name w:val="标题 2 Char"/>
    <w:basedOn w:val="26"/>
    <w:link w:val="4"/>
    <w:qFormat/>
    <w:uiPriority w:val="0"/>
    <w:rPr>
      <w:rFonts w:ascii="Arial" w:hAnsi="Arial" w:eastAsia="黑体" w:cs="Times New Roman"/>
      <w:b/>
      <w:bCs/>
      <w:sz w:val="32"/>
      <w:szCs w:val="32"/>
    </w:rPr>
  </w:style>
  <w:style w:type="character" w:customStyle="1" w:styleId="32">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6"/>
    <w:qFormat/>
    <w:uiPriority w:val="0"/>
    <w:rPr>
      <w:rFonts w:ascii="Arial" w:hAnsi="Arial" w:eastAsia="黑体" w:cs="Times New Roman"/>
      <w:b/>
      <w:bCs/>
      <w:sz w:val="28"/>
      <w:szCs w:val="28"/>
    </w:rPr>
  </w:style>
  <w:style w:type="character" w:customStyle="1" w:styleId="34">
    <w:name w:val="纯文本 Char"/>
    <w:basedOn w:val="26"/>
    <w:link w:val="14"/>
    <w:qFormat/>
    <w:uiPriority w:val="0"/>
    <w:rPr>
      <w:rFonts w:eastAsia="宋体"/>
      <w:sz w:val="24"/>
    </w:rPr>
  </w:style>
  <w:style w:type="character" w:customStyle="1" w:styleId="35">
    <w:name w:val="日期 Char"/>
    <w:basedOn w:val="26"/>
    <w:link w:val="15"/>
    <w:qFormat/>
    <w:uiPriority w:val="99"/>
  </w:style>
  <w:style w:type="character" w:customStyle="1" w:styleId="36">
    <w:name w:val="页脚 Char"/>
    <w:basedOn w:val="26"/>
    <w:link w:val="17"/>
    <w:qFormat/>
    <w:uiPriority w:val="99"/>
    <w:rPr>
      <w:sz w:val="18"/>
      <w:szCs w:val="18"/>
    </w:rPr>
  </w:style>
  <w:style w:type="character" w:customStyle="1" w:styleId="37">
    <w:name w:val="页眉 Char"/>
    <w:basedOn w:val="26"/>
    <w:link w:val="18"/>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99"/>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6"/>
    <w:link w:val="9"/>
    <w:qFormat/>
    <w:uiPriority w:val="0"/>
    <w:rPr>
      <w:rFonts w:ascii="Times New Roman" w:hAnsi="Times New Roman" w:eastAsia="宋体" w:cs="Times New Roman"/>
      <w:color w:val="FF0000"/>
      <w:sz w:val="24"/>
      <w:szCs w:val="24"/>
    </w:rPr>
  </w:style>
  <w:style w:type="character" w:customStyle="1" w:styleId="50">
    <w:name w:val="edittexttarea"/>
    <w:basedOn w:val="26"/>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6"/>
    <w:link w:val="10"/>
    <w:semiHidden/>
    <w:qFormat/>
    <w:uiPriority w:val="99"/>
  </w:style>
  <w:style w:type="character" w:customStyle="1" w:styleId="54">
    <w:name w:val="正文首行缩进 Char"/>
    <w:basedOn w:val="53"/>
    <w:link w:val="23"/>
    <w:qFormat/>
    <w:uiPriority w:val="0"/>
    <w:rPr>
      <w:rFonts w:ascii="宋体" w:hAnsi="Times New Roman" w:eastAsia="宋体" w:cs="Times New Roman"/>
      <w:kern w:val="0"/>
      <w:sz w:val="34"/>
      <w:szCs w:val="20"/>
    </w:rPr>
  </w:style>
  <w:style w:type="character" w:customStyle="1" w:styleId="55">
    <w:name w:val="HTML 预设格式 Char"/>
    <w:basedOn w:val="26"/>
    <w:semiHidden/>
    <w:qFormat/>
    <w:uiPriority w:val="99"/>
    <w:rPr>
      <w:rFonts w:ascii="宋体" w:hAnsi="宋体" w:eastAsia="宋体" w:cs="宋体"/>
      <w:kern w:val="0"/>
      <w:sz w:val="24"/>
      <w:szCs w:val="24"/>
    </w:rPr>
  </w:style>
  <w:style w:type="character" w:customStyle="1" w:styleId="56">
    <w:name w:val="HTML 预设格式 Char1"/>
    <w:basedOn w:val="26"/>
    <w:link w:val="21"/>
    <w:semiHidden/>
    <w:qFormat/>
    <w:uiPriority w:val="99"/>
    <w:rPr>
      <w:rFonts w:ascii="Courier New" w:hAnsi="Courier New" w:cs="Courier New"/>
      <w:sz w:val="20"/>
      <w:szCs w:val="20"/>
    </w:rPr>
  </w:style>
  <w:style w:type="character" w:customStyle="1" w:styleId="57">
    <w:name w:val="正文文本缩进 Char"/>
    <w:qFormat/>
    <w:uiPriority w:val="0"/>
    <w:rPr>
      <w:sz w:val="24"/>
    </w:rPr>
  </w:style>
  <w:style w:type="character" w:customStyle="1" w:styleId="58">
    <w:name w:val="正文文本缩进 Char1"/>
    <w:basedOn w:val="26"/>
    <w:link w:val="11"/>
    <w:semiHidden/>
    <w:qFormat/>
    <w:uiPriority w:val="99"/>
  </w:style>
  <w:style w:type="character" w:customStyle="1" w:styleId="59">
    <w:name w:val="批注框文本 Char"/>
    <w:basedOn w:val="26"/>
    <w:semiHidden/>
    <w:qFormat/>
    <w:uiPriority w:val="99"/>
    <w:rPr>
      <w:sz w:val="18"/>
      <w:szCs w:val="18"/>
    </w:rPr>
  </w:style>
  <w:style w:type="character" w:customStyle="1" w:styleId="60">
    <w:name w:val="批注框文本 Char1"/>
    <w:basedOn w:val="26"/>
    <w:link w:val="16"/>
    <w:semiHidden/>
    <w:qFormat/>
    <w:uiPriority w:val="99"/>
    <w:rPr>
      <w:sz w:val="18"/>
      <w:szCs w:val="18"/>
    </w:rPr>
  </w:style>
  <w:style w:type="character" w:customStyle="1" w:styleId="61">
    <w:name w:val="正文文本 2 Char"/>
    <w:basedOn w:val="26"/>
    <w:link w:val="20"/>
    <w:semiHidden/>
    <w:uiPriority w:val="99"/>
    <w:rPr>
      <w:kern w:val="2"/>
      <w:sz w:val="21"/>
      <w:szCs w:val="22"/>
    </w:rPr>
  </w:style>
  <w:style w:type="character" w:customStyle="1" w:styleId="62">
    <w:name w:val="信息标题 Char"/>
    <w:basedOn w:val="26"/>
    <w:link w:val="2"/>
    <w:uiPriority w:val="99"/>
    <w:rPr>
      <w:rFonts w:ascii="Courier New" w:hAnsi="Courier New" w:eastAsia="宋体" w:cs="Times New Roman"/>
      <w:kern w:val="2"/>
      <w:sz w:val="21"/>
      <w:szCs w:val="24"/>
    </w:rPr>
  </w:style>
  <w:style w:type="paragraph" w:customStyle="1" w:styleId="63">
    <w:name w:val="UserStyle_9"/>
    <w:basedOn w:val="1"/>
    <w:qFormat/>
    <w:uiPriority w:val="0"/>
    <w:pPr>
      <w:ind w:firstLine="200" w:firstLineChars="200"/>
      <w:jc w:val="left"/>
      <w:textAlignment w:val="baseline"/>
    </w:pPr>
    <w:rPr>
      <w:rFonts w:ascii="Times New Roman" w:hAnsi="Times New Roman" w:eastAsia="仿宋_GB2312" w:cs="Times New Roman"/>
      <w:sz w:val="24"/>
      <w:szCs w:val="30"/>
    </w:rPr>
  </w:style>
  <w:style w:type="character" w:customStyle="1" w:styleId="64">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060FE-3050-4945-80A3-FF598DCA07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37215</Words>
  <Characters>6737</Characters>
  <Lines>56</Lines>
  <Paragraphs>87</Paragraphs>
  <TotalTime>5</TotalTime>
  <ScaleCrop>false</ScaleCrop>
  <LinksUpToDate>false</LinksUpToDate>
  <CharactersWithSpaces>43865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2020-12-29T03:13:00Z</dcterms:created>
  <dc:creator>许昌市公共资源交易中心:孟莉</dc:creator>
  <cp:lastModifiedBy>果儿</cp:lastModifiedBy>
  <cp:lastPrinted>2021-04-01T03:41:00Z</cp:lastPrinted>
  <dcterms:modified xsi:type="dcterms:W3CDTF">2021-04-01T09:30:14Z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A2FF9715BFFB4D808978646C889FAB29</vt:lpwstr>
  </property>
</Properties>
</file>