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44"/>
          <w:szCs w:val="44"/>
        </w:rPr>
      </w:pPr>
    </w:p>
    <w:p>
      <w:pPr>
        <w:jc w:val="center"/>
        <w:rPr>
          <w:rFonts w:hint="eastAsia" w:ascii="黑体" w:hAnsi="黑体" w:eastAsia="黑体" w:cs="黑体"/>
          <w:bCs/>
          <w:sz w:val="36"/>
          <w:szCs w:val="36"/>
        </w:rPr>
      </w:pPr>
      <w:r>
        <w:rPr>
          <w:rFonts w:hint="eastAsia" w:ascii="黑体" w:hAnsi="黑体" w:eastAsia="黑体" w:cs="黑体"/>
          <w:bCs/>
          <w:sz w:val="36"/>
          <w:szCs w:val="36"/>
        </w:rPr>
        <w:t>禹州市教育体育局2021年中招体育考试器材采购项目</w:t>
      </w:r>
    </w:p>
    <w:p>
      <w:pPr>
        <w:jc w:val="center"/>
        <w:rPr>
          <w:rFonts w:hint="eastAsia" w:ascii="黑体" w:hAnsi="黑体" w:eastAsia="黑体" w:cs="黑体"/>
          <w:bCs/>
          <w:sz w:val="36"/>
          <w:szCs w:val="36"/>
        </w:rPr>
      </w:pPr>
      <w:r>
        <w:rPr>
          <w:rFonts w:hint="eastAsia" w:ascii="黑体" w:hAnsi="黑体" w:eastAsia="黑体" w:cs="黑体"/>
          <w:bCs/>
          <w:sz w:val="36"/>
          <w:szCs w:val="36"/>
        </w:rPr>
        <w:t>（不见面开标）</w:t>
      </w:r>
    </w:p>
    <w:p>
      <w:pPr>
        <w:rPr>
          <w:rFonts w:ascii="华文隶书" w:eastAsia="华文隶书"/>
          <w:bCs/>
          <w:w w:val="90"/>
          <w:sz w:val="96"/>
        </w:rPr>
      </w:pPr>
    </w:p>
    <w:p>
      <w:pPr>
        <w:pStyle w:val="31"/>
        <w:ind w:firstLine="420"/>
      </w:pPr>
    </w:p>
    <w:p>
      <w:pPr>
        <w:jc w:val="center"/>
        <w:rPr>
          <w:rFonts w:ascii="黑体" w:hAnsi="黑体" w:eastAsia="黑体" w:cs="黑体"/>
          <w:bCs/>
          <w:w w:val="90"/>
          <w:sz w:val="72"/>
          <w:szCs w:val="72"/>
        </w:rPr>
      </w:pPr>
      <w:r>
        <w:rPr>
          <w:rFonts w:hint="eastAsia" w:ascii="黑体" w:hAnsi="黑体" w:eastAsia="黑体" w:cs="黑体"/>
          <w:bCs/>
          <w:w w:val="90"/>
          <w:sz w:val="72"/>
          <w:szCs w:val="72"/>
        </w:rPr>
        <w:t>竞争性谈判文件</w:t>
      </w:r>
    </w:p>
    <w:p>
      <w:pPr>
        <w:rPr>
          <w:rFonts w:ascii="微软简隶书" w:eastAsia="微软简隶书"/>
        </w:rPr>
      </w:pPr>
    </w:p>
    <w:p>
      <w:pPr>
        <w:rPr>
          <w:rFonts w:ascii="微软简隶书" w:eastAsia="微软简隶书"/>
        </w:rPr>
      </w:pPr>
    </w:p>
    <w:p>
      <w:pPr>
        <w:pStyle w:val="10"/>
      </w:pPr>
    </w:p>
    <w:p>
      <w:pPr>
        <w:rPr>
          <w:rFonts w:ascii="微软简隶书" w:eastAsia="微软简隶书"/>
        </w:rPr>
      </w:pPr>
    </w:p>
    <w:p>
      <w:pPr>
        <w:rPr>
          <w:rFonts w:ascii="微软简隶书" w:eastAsia="微软简隶书"/>
        </w:rPr>
      </w:pPr>
    </w:p>
    <w:p>
      <w:pPr>
        <w:rPr>
          <w:rFonts w:ascii="微软简隶书" w:eastAsia="微软简隶书"/>
        </w:rPr>
      </w:pPr>
    </w:p>
    <w:p>
      <w:pPr>
        <w:spacing w:line="600" w:lineRule="exact"/>
        <w:ind w:firstLine="1066" w:firstLineChars="295"/>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采购编号：</w:t>
      </w:r>
      <w:r>
        <w:rPr>
          <w:rFonts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bCs/>
          <w:sz w:val="36"/>
          <w:szCs w:val="36"/>
        </w:rPr>
        <w:t>YZCG-T20210</w:t>
      </w:r>
      <w:r>
        <w:rPr>
          <w:rFonts w:hint="eastAsia" w:asciiTheme="majorEastAsia" w:hAnsiTheme="majorEastAsia" w:eastAsiaTheme="majorEastAsia" w:cstheme="majorEastAsia"/>
          <w:b/>
          <w:bCs/>
          <w:sz w:val="36"/>
          <w:szCs w:val="36"/>
          <w:lang w:val="en-US" w:eastAsia="zh-CN"/>
        </w:rPr>
        <w:t>12</w:t>
      </w:r>
    </w:p>
    <w:p>
      <w:pPr>
        <w:ind w:firstLine="1066" w:firstLineChars="29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黑体" w:hAnsi="黑体" w:eastAsia="黑体" w:cs="黑体"/>
          <w:bCs/>
          <w:sz w:val="36"/>
          <w:szCs w:val="36"/>
        </w:rPr>
        <w:t>禹州市教育体育局</w:t>
      </w:r>
    </w:p>
    <w:p>
      <w:pPr>
        <w:ind w:firstLine="1066" w:firstLineChars="29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二〇二一年</w:t>
      </w:r>
      <w:r>
        <w:rPr>
          <w:rFonts w:hint="eastAsia" w:asciiTheme="majorEastAsia" w:hAnsiTheme="majorEastAsia" w:eastAsiaTheme="majorEastAsia" w:cstheme="majorEastAsia"/>
          <w:b/>
          <w:bCs/>
          <w:sz w:val="36"/>
          <w:szCs w:val="36"/>
          <w:lang w:eastAsia="zh-CN"/>
        </w:rPr>
        <w:t>三</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第七章 拟签订合同文本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pStyle w:val="2"/>
      </w:pPr>
    </w:p>
    <w:p>
      <w:pPr>
        <w:spacing w:line="600" w:lineRule="exact"/>
        <w:ind w:firstLine="630" w:firstLineChars="3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禹州市政府采购中心受禹州市教育体育局的委托，就“禹州市教育体育局2021年中招体育考试器材采购项目（不见面开标）”进行竞争性谈判，欢迎合格的投标人前来投标。</w:t>
      </w:r>
    </w:p>
    <w:p>
      <w:pPr>
        <w:widowControl/>
        <w:numPr>
          <w:ilvl w:val="0"/>
          <w:numId w:val="5"/>
        </w:numPr>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pPr>
        <w:spacing w:line="600" w:lineRule="exact"/>
        <w:ind w:firstLine="420" w:firstLineChars="200"/>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1、采购人：禹州市教育体育局</w:t>
      </w:r>
    </w:p>
    <w:p>
      <w:pPr>
        <w:spacing w:line="600" w:lineRule="exact"/>
        <w:ind w:firstLine="315" w:firstLineChars="15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 2、项目名称：禹州市教育体育局2021年中招体育考试器材采购项目（不见面开标）</w:t>
      </w:r>
    </w:p>
    <w:p>
      <w:pPr>
        <w:spacing w:line="600" w:lineRule="exact"/>
        <w:ind w:firstLine="420" w:firstLine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3、采购编号：YZCG-T2021012</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4、项目需求：中招体育考试器材</w:t>
      </w:r>
      <w:r>
        <w:rPr>
          <w:rFonts w:hint="eastAsia" w:ascii="宋体" w:hAnsi="宋体" w:cs="宋体"/>
          <w:color w:val="000000"/>
          <w:kern w:val="0"/>
        </w:rPr>
        <w:t>一批</w:t>
      </w:r>
      <w:r>
        <w:rPr>
          <w:rFonts w:hint="eastAsia" w:cs="仿宋_GB2312" w:asciiTheme="minorEastAsia" w:hAnsiTheme="minorEastAsia"/>
          <w:color w:val="000000"/>
          <w:szCs w:val="21"/>
          <w:shd w:val="clear" w:color="auto" w:fill="FFFFFF"/>
        </w:rPr>
        <w:t>（详见谈判文件）</w:t>
      </w:r>
    </w:p>
    <w:p>
      <w:pPr>
        <w:widowControl/>
        <w:shd w:val="clear" w:color="auto" w:fill="FFFFFF"/>
        <w:spacing w:line="440" w:lineRule="exact"/>
        <w:ind w:firstLine="420" w:firstLineChars="200"/>
        <w:jc w:val="left"/>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5、采购预算：42万元</w:t>
      </w:r>
      <w:bookmarkStart w:id="2" w:name="_GoBack"/>
      <w:bookmarkEnd w:id="2"/>
    </w:p>
    <w:p>
      <w:pPr>
        <w:widowControl/>
        <w:shd w:val="clear" w:color="auto" w:fill="FFFFFF"/>
        <w:spacing w:line="440" w:lineRule="exact"/>
        <w:ind w:firstLine="420" w:firstLineChars="200"/>
        <w:jc w:val="left"/>
      </w:pPr>
      <w:r>
        <w:rPr>
          <w:rFonts w:hint="eastAsia" w:cs="仿宋_GB2312" w:asciiTheme="minorEastAsia" w:hAnsiTheme="minorEastAsia"/>
          <w:color w:val="000000"/>
          <w:szCs w:val="21"/>
          <w:shd w:val="clear" w:color="auto" w:fill="FFFFFF"/>
          <w:lang w:val="en-US" w:eastAsia="zh-CN"/>
        </w:rPr>
        <w:t>6、</w:t>
      </w:r>
      <w:r>
        <w:rPr>
          <w:rFonts w:hint="eastAsia" w:cs="仿宋_GB2312" w:asciiTheme="minorEastAsia" w:hAnsiTheme="minorEastAsia"/>
          <w:color w:val="000000"/>
          <w:szCs w:val="21"/>
          <w:shd w:val="clear" w:color="auto" w:fill="FFFFFF"/>
        </w:rPr>
        <w:t>合同履约期限：签订合同后7日内完成采购、安装、调试</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widowControl/>
        <w:numPr>
          <w:ilvl w:val="0"/>
          <w:numId w:val="6"/>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符合《政府采购法》第二十二条之规定；</w:t>
      </w:r>
    </w:p>
    <w:p>
      <w:pPr>
        <w:widowControl/>
        <w:numPr>
          <w:ilvl w:val="0"/>
          <w:numId w:val="6"/>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本项目不接受联合体投标。</w:t>
      </w:r>
    </w:p>
    <w:p>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30"/>
          <w:rFonts w:hint="eastAsia" w:cs="仿宋_GB2312" w:asciiTheme="minorEastAsia" w:hAnsiTheme="minorEastAsia" w:eastAsiaTheme="minorEastAsia"/>
          <w:color w:val="000000"/>
          <w:sz w:val="21"/>
          <w:szCs w:val="21"/>
          <w:shd w:val="clear" w:color="auto" w:fill="FFFFFF"/>
        </w:rPr>
        <w:t>http://</w:t>
      </w:r>
      <w:r>
        <w:rPr>
          <w:rStyle w:val="30"/>
          <w:rFonts w:cs="仿宋_GB2312" w:asciiTheme="minorEastAsia" w:hAnsiTheme="minorEastAsia" w:eastAsiaTheme="minorEastAsia"/>
          <w:color w:val="000000"/>
          <w:sz w:val="21"/>
          <w:szCs w:val="21"/>
          <w:shd w:val="clear" w:color="auto" w:fill="FFFFFF"/>
        </w:rPr>
        <w:t>ggzy.xuchang.gov.cn:8088/ggzy/eps/public/RegistAllJcxx.html</w:t>
      </w:r>
      <w:r>
        <w:rPr>
          <w:rStyle w:val="30"/>
          <w:rFonts w:hint="eastAsia" w:cs="仿宋_GB2312" w:asciiTheme="minorEastAsia" w:hAnsiTheme="minorEastAsia" w:eastAsiaTheme="minorEastAsia"/>
          <w:color w:val="000000"/>
          <w:sz w:val="21"/>
          <w:szCs w:val="21"/>
          <w:shd w:val="clear" w:color="auto" w:fill="FFFFFF"/>
        </w:rPr>
        <w:t>）</w:t>
      </w:r>
      <w:r>
        <w:rPr>
          <w:rStyle w:val="30"/>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30"/>
          <w:rFonts w:hint="eastAsia" w:cs="仿宋_GB2312" w:asciiTheme="minorEastAsia" w:hAnsiTheme="minorEastAsia" w:eastAsiaTheme="minorEastAsia"/>
          <w:color w:val="000000"/>
          <w:sz w:val="21"/>
          <w:szCs w:val="21"/>
          <w:shd w:val="clear" w:color="auto" w:fill="FFFFFF"/>
        </w:rPr>
        <w:t>（http://</w:t>
      </w:r>
      <w:r>
        <w:rPr>
          <w:rStyle w:val="30"/>
          <w:rFonts w:cs="仿宋_GB2312" w:asciiTheme="minorEastAsia" w:hAnsiTheme="minorEastAsia" w:eastAsiaTheme="minorEastAsia"/>
          <w:color w:val="000000"/>
          <w:sz w:val="21"/>
          <w:szCs w:val="21"/>
          <w:shd w:val="clear" w:color="auto" w:fill="FFFFFF"/>
        </w:rPr>
        <w:t>ggzy.xuchang.gov.cn:8088/ggzy/</w:t>
      </w:r>
      <w:r>
        <w:rPr>
          <w:rStyle w:val="30"/>
          <w:rFonts w:hint="eastAsia" w:cs="仿宋_GB2312" w:asciiTheme="minorEastAsia" w:hAnsiTheme="minorEastAsia" w:eastAsiaTheme="minorEastAsia"/>
          <w:color w:val="000000"/>
          <w:sz w:val="21"/>
          <w:szCs w:val="21"/>
          <w:shd w:val="clear" w:color="auto" w:fill="FFFFFF"/>
        </w:rPr>
        <w:t>）</w:t>
      </w:r>
      <w:r>
        <w:rPr>
          <w:rStyle w:val="30"/>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spacing w:line="440" w:lineRule="exact"/>
        <w:ind w:firstLine="420" w:firstLine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lang w:eastAsia="zh-CN"/>
        </w:rPr>
        <w:t>（三）</w:t>
      </w:r>
      <w:r>
        <w:rPr>
          <w:rFonts w:hint="eastAsia" w:cs="仿宋_GB2312" w:asciiTheme="minorEastAsia" w:hAnsiTheme="minorEastAsia"/>
          <w:color w:val="000000"/>
          <w:szCs w:val="21"/>
          <w:shd w:val="clear" w:color="auto" w:fill="FFFFFF"/>
        </w:rPr>
        <w:t>谈判文件每份售价人民币300元，售后不退。</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1、响应文件提交截止时间及谈判响应截止时间、谈判时间：2021年4月2日  8:30（北京时间），逾期送达或不符合规定的响应文件恕不接受。</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pStyle w:val="24"/>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（一）谈判响应文件开启地点：禹州市公共资源交易中心九楼第二开标室。（本项目采用远程不见面谈判，供应商无须到达现场）。</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地址：禹州市行政服务中心楼917房间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numPr>
          <w:ilvl w:val="0"/>
          <w:numId w:val="7"/>
        </w:numPr>
        <w:shd w:val="clear" w:color="auto" w:fill="FFFFFF"/>
        <w:spacing w:line="440" w:lineRule="exact"/>
        <w:ind w:firstLine="641"/>
        <w:jc w:val="left"/>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采购单位：禹州市教育体育局</w:t>
      </w:r>
    </w:p>
    <w:p>
      <w:pPr>
        <w:widowControl/>
        <w:numPr>
          <w:ilvl w:val="0"/>
          <w:numId w:val="7"/>
        </w:numPr>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地址：禹州市禹王</w:t>
      </w:r>
      <w:r>
        <w:rPr>
          <w:rFonts w:hint="eastAsia" w:cs="仿宋_GB2312" w:asciiTheme="minorEastAsia" w:hAnsiTheme="minorEastAsia"/>
          <w:color w:val="000000"/>
          <w:szCs w:val="21"/>
          <w:shd w:val="clear" w:color="auto" w:fill="FFFFFF"/>
          <w:lang w:val="en-US" w:eastAsia="zh-CN"/>
        </w:rPr>
        <w:t>大</w:t>
      </w:r>
      <w:r>
        <w:rPr>
          <w:rFonts w:hint="eastAsia" w:cs="仿宋_GB2312" w:asciiTheme="minorEastAsia" w:hAnsiTheme="minorEastAsia"/>
          <w:color w:val="000000"/>
          <w:szCs w:val="21"/>
          <w:shd w:val="clear" w:color="auto" w:fill="FFFFFF"/>
        </w:rPr>
        <w:t>道</w:t>
      </w:r>
    </w:p>
    <w:p>
      <w:pPr>
        <w:widowControl/>
        <w:shd w:val="clear" w:color="auto" w:fill="FFFFFF"/>
        <w:spacing w:line="440" w:lineRule="exact"/>
        <w:ind w:firstLine="850" w:firstLineChars="405"/>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联系人：代先生  联系电话：0374-8880023</w:t>
      </w:r>
    </w:p>
    <w:p>
      <w:pPr>
        <w:widowControl/>
        <w:shd w:val="clear" w:color="auto" w:fill="FFFFFF"/>
        <w:spacing w:line="440" w:lineRule="exact"/>
        <w:ind w:firstLine="850" w:firstLineChars="405"/>
        <w:jc w:val="left"/>
        <w:rPr>
          <w:rFonts w:cs="仿宋_GB2312" w:asciiTheme="minorEastAsia" w:hAnsiTheme="minorEastAsia"/>
          <w:color w:val="000000"/>
          <w:szCs w:val="21"/>
          <w:shd w:val="clear" w:color="auto" w:fill="FFFFFF"/>
        </w:rPr>
      </w:pPr>
    </w:p>
    <w:p>
      <w:pPr>
        <w:spacing w:line="360" w:lineRule="auto"/>
        <w:jc w:val="left"/>
        <w:rPr>
          <w:rFonts w:cs="仿宋_GB2312" w:asciiTheme="minorEastAsia" w:hAnsiTheme="minorEastAsia"/>
          <w:color w:val="000000"/>
          <w:szCs w:val="21"/>
          <w:shd w:val="clear" w:color="auto" w:fill="FFFFFF"/>
        </w:rPr>
      </w:pPr>
    </w:p>
    <w:p>
      <w:pPr>
        <w:spacing w:line="360" w:lineRule="auto"/>
        <w:jc w:val="left"/>
        <w:rPr>
          <w:rFonts w:cs="仿宋_GB2312" w:asciiTheme="minorEastAsia" w:hAnsiTheme="minorEastAsia"/>
          <w:color w:val="000000"/>
          <w:szCs w:val="21"/>
          <w:shd w:val="clear" w:color="auto" w:fill="FFFFFF"/>
        </w:rPr>
      </w:pPr>
    </w:p>
    <w:p>
      <w:pPr>
        <w:spacing w:line="440" w:lineRule="exact"/>
        <w:jc w:val="left"/>
        <w:rPr>
          <w:rFonts w:hAnsi="宋体"/>
          <w:b/>
          <w:sz w:val="28"/>
          <w:szCs w:val="28"/>
        </w:rPr>
      </w:pPr>
    </w:p>
    <w:p>
      <w:pPr>
        <w:pStyle w:val="2"/>
        <w:ind w:firstLine="0" w:firstLineChars="0"/>
      </w:pPr>
    </w:p>
    <w:p>
      <w:pPr>
        <w:spacing w:line="360" w:lineRule="auto"/>
        <w:rPr>
          <w:rFonts w:hAnsi="宋体"/>
          <w:b/>
          <w:sz w:val="28"/>
          <w:szCs w:val="28"/>
        </w:rPr>
      </w:pPr>
      <w:r>
        <w:rPr>
          <w:rFonts w:hint="eastAsia" w:hAnsi="宋体"/>
          <w:b/>
          <w:sz w:val="28"/>
          <w:szCs w:val="28"/>
        </w:rPr>
        <w:t>温馨提示：</w:t>
      </w:r>
    </w:p>
    <w:p>
      <w:pPr>
        <w:tabs>
          <w:tab w:val="left" w:pos="7095"/>
        </w:tabs>
        <w:spacing w:line="360" w:lineRule="auto"/>
        <w:ind w:firstLine="422" w:firstLineChars="200"/>
        <w:contextualSpacing/>
        <w:rPr>
          <w:rFonts w:hAnsi="宋体"/>
          <w:b/>
          <w:color w:val="000000"/>
          <w:szCs w:val="21"/>
        </w:rPr>
      </w:pPr>
      <w:r>
        <w:rPr>
          <w:rFonts w:hint="eastAsia" w:hAnsi="宋体"/>
          <w:b/>
          <w:color w:val="000000"/>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供应商应按谈判文件规定编制、提交、解密电子响应文件。</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电子文件下载、制作、提交期间和远程不见面谈判（</w:t>
      </w:r>
      <w:r>
        <w:rPr>
          <w:rFonts w:hint="eastAsia" w:hAnsi="宋体"/>
          <w:szCs w:val="21"/>
        </w:rPr>
        <w:t>电子响应文件的解密</w:t>
      </w:r>
      <w:r>
        <w:rPr>
          <w:rFonts w:hint="eastAsia" w:hAnsi="宋体"/>
          <w:b/>
          <w:color w:val="000000"/>
          <w:szCs w:val="21"/>
        </w:rPr>
        <w:t>）环节，供应商须使用同一个</w:t>
      </w:r>
      <w:r>
        <w:rPr>
          <w:rFonts w:hAnsi="宋体"/>
          <w:b/>
          <w:color w:val="000000"/>
          <w:szCs w:val="21"/>
        </w:rPr>
        <w:t>CA数字证书</w:t>
      </w:r>
      <w:r>
        <w:rPr>
          <w:rFonts w:hint="eastAsia" w:hAnsi="宋体"/>
          <w:b/>
          <w:color w:val="000000"/>
          <w:szCs w:val="21"/>
        </w:rPr>
        <w:t>（证书须在有效期内并可正常使用）</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0"/>
          <w:rFonts w:hAnsi="宋体"/>
          <w:szCs w:val="21"/>
        </w:rPr>
        <w:t>http://221.14.6.70:8088/ggzy/</w:t>
      </w:r>
      <w:r>
        <w:rPr>
          <w:rStyle w:val="30"/>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供应商对同一项目多个标段进行响应的，应分别下载所投标段的谈判文件，按标段制作电子响应文件，并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一个标段对应生成一个文件夹（xxxx项目xx标段）,其中后缀名为“</w:t>
      </w:r>
      <w:r>
        <w:rPr>
          <w:rFonts w:hAnsi="宋体"/>
          <w:color w:val="000000"/>
          <w:szCs w:val="21"/>
        </w:rPr>
        <w:t>.file</w:t>
      </w:r>
      <w:r>
        <w:rPr>
          <w:rFonts w:hint="eastAsia" w:hAnsi="宋体"/>
          <w:color w:val="00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电子响应文件应按规定在谈判响应截止时间（谈判时间）之前成功提交至《全国公共资源交易平台(河南省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0"/>
          <w:rFonts w:hAnsi="宋体"/>
          <w:szCs w:val="21"/>
        </w:rPr>
        <w:t>http://221.14.6.70:8088/ggzy/</w:t>
      </w:r>
      <w:r>
        <w:rPr>
          <w:rStyle w:val="30"/>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00B0F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0"/>
          <w:rFonts w:hAnsi="宋体"/>
          <w:szCs w:val="21"/>
        </w:rPr>
        <w:t>http://221.14.6.70:8088/ggzy/</w:t>
      </w:r>
      <w:r>
        <w:rPr>
          <w:rStyle w:val="30"/>
          <w:rFonts w:hAnsi="宋体"/>
          <w:szCs w:val="21"/>
        </w:rPr>
        <w:fldChar w:fldCharType="end"/>
      </w:r>
      <w:r>
        <w:rPr>
          <w:rFonts w:hint="eastAsia" w:hAnsi="宋体"/>
          <w:color w:val="000000"/>
          <w:szCs w:val="21"/>
        </w:rPr>
        <w:t>）</w:t>
      </w:r>
      <w:r>
        <w:rPr>
          <w:rFonts w:hint="eastAsia" w:cs="仿宋_GB2312" w:asciiTheme="minorEastAsia" w:hAnsiTheme="minorEastAsia"/>
          <w:color w:val="000000"/>
          <w:szCs w:val="21"/>
        </w:rPr>
        <w:t>生成“投标文件提交回执单”。</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5.远程不见面谈判（</w:t>
      </w:r>
      <w:r>
        <w:rPr>
          <w:rFonts w:hint="eastAsia" w:hAnsi="宋体"/>
          <w:b/>
          <w:color w:val="000000"/>
          <w:szCs w:val="21"/>
        </w:rPr>
        <w:t>电子响应文件的解密</w:t>
      </w:r>
      <w:r>
        <w:rPr>
          <w:rFonts w:hint="eastAsia" w:asciiTheme="minorEastAsia" w:hAnsiTheme="minorEastAsia"/>
          <w:b/>
          <w:color w:val="00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1</w:t>
      </w:r>
      <w:r>
        <w:rPr>
          <w:rFonts w:hint="eastAsia" w:hAnsi="宋体"/>
          <w:color w:val="000000"/>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000000"/>
          <w:szCs w:val="21"/>
        </w:rPr>
      </w:pPr>
      <w:r>
        <w:rPr>
          <w:rFonts w:hint="eastAsia" w:asciiTheme="minorEastAsia" w:hAnsiTheme="minorEastAsia"/>
          <w:b/>
          <w:color w:val="000000"/>
          <w:szCs w:val="21"/>
        </w:rPr>
        <w:t>6.评审依据</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（1）最后报价（加盖公章，或者由法定代表人或其授权的代表签字）；</w:t>
      </w:r>
    </w:p>
    <w:p>
      <w:pPr>
        <w:autoSpaceDE w:val="0"/>
        <w:autoSpaceDN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right="-11" w:firstLine="480" w:firstLineChars="200"/>
        <w:contextualSpacing/>
        <w:rPr>
          <w:rFonts w:ascii="楷体" w:hAnsi="楷体" w:eastAsia="楷体"/>
          <w:color w:val="000000"/>
          <w:sz w:val="24"/>
          <w:szCs w:val="24"/>
        </w:rPr>
      </w:pPr>
      <w:r>
        <w:rPr>
          <w:rFonts w:hint="eastAsia" w:ascii="楷体" w:hAnsi="楷体" w:eastAsia="楷体"/>
          <w:color w:val="000000"/>
          <w:sz w:val="24"/>
          <w:szCs w:val="24"/>
        </w:rPr>
        <w:t>②谈判文件第二章“采购需求”中“采购清单”以工程量清单提供的，供应商应以工程量清单方式提交最后报价。</w:t>
      </w:r>
    </w:p>
    <w:p>
      <w:pPr>
        <w:tabs>
          <w:tab w:val="left" w:pos="7095"/>
        </w:tabs>
        <w:spacing w:line="360" w:lineRule="auto"/>
        <w:ind w:firstLine="480" w:firstLineChars="200"/>
        <w:contextualSpacing/>
        <w:rPr>
          <w:rFonts w:asciiTheme="minorEastAsia" w:hAnsiTheme="minorEastAsia"/>
          <w:color w:val="000000"/>
          <w:szCs w:val="21"/>
        </w:rPr>
      </w:pPr>
      <w:r>
        <w:rPr>
          <w:rFonts w:hint="eastAsia" w:ascii="楷体" w:hAnsi="楷体" w:eastAsia="楷体"/>
          <w:color w:val="000000"/>
          <w:sz w:val="24"/>
          <w:szCs w:val="24"/>
        </w:rPr>
        <w:t>③请供应商根据项目情况，可提前准备分项报价。</w:t>
      </w:r>
    </w:p>
    <w:p>
      <w:pPr>
        <w:tabs>
          <w:tab w:val="left" w:pos="7095"/>
        </w:tabs>
        <w:spacing w:line="360" w:lineRule="auto"/>
        <w:ind w:firstLine="420" w:firstLineChars="200"/>
        <w:contextualSpacing/>
        <w:rPr>
          <w:rFonts w:cs="宋体" w:asciiTheme="majorEastAsia" w:hAnsiTheme="majorEastAsia" w:eastAsiaTheme="majorEastAsia"/>
          <w:b/>
          <w:kern w:val="0"/>
          <w:sz w:val="32"/>
          <w:szCs w:val="32"/>
        </w:rPr>
      </w:pPr>
      <w:r>
        <w:rPr>
          <w:rFonts w:hint="eastAsia" w:asciiTheme="minorEastAsia" w:hAnsiTheme="minor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hint="eastAsia" w:asciiTheme="minorEastAsia" w:hAnsiTheme="minorEastAsia"/>
          <w:color w:val="000000"/>
          <w:szCs w:val="21"/>
        </w:rPr>
        <w:t>”的，供应商提供的书面材料应加盖公章，或者由法定代表人或其授权的代表签字后通过电子邮件形式提供。</w:t>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360" w:lineRule="auto"/>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一、本项目需实现的功能或者目标：</w:t>
      </w:r>
    </w:p>
    <w:p>
      <w:pPr>
        <w:pStyle w:val="2"/>
        <w:rPr>
          <w:rFonts w:hint="eastAsia" w:eastAsiaTheme="minorEastAsia"/>
          <w:lang w:eastAsia="zh-CN"/>
        </w:rPr>
      </w:pPr>
      <w:r>
        <w:rPr>
          <w:rFonts w:hint="eastAsia"/>
        </w:rPr>
        <w:t>实现满足禹州市教育体育局中招体育测试工作需求</w:t>
      </w:r>
      <w:r>
        <w:rPr>
          <w:rFonts w:hint="eastAsia"/>
          <w:lang w:eastAsia="zh-CN"/>
        </w:rPr>
        <w:t>。</w:t>
      </w:r>
    </w:p>
    <w:p>
      <w:pPr>
        <w:widowControl/>
        <w:shd w:val="clear" w:color="auto" w:fill="FFFFFF"/>
        <w:spacing w:line="360" w:lineRule="auto"/>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二、采购清单：</w:t>
      </w:r>
    </w:p>
    <w:tbl>
      <w:tblPr>
        <w:tblStyle w:val="26"/>
        <w:tblpPr w:leftFromText="180" w:rightFromText="180" w:vertAnchor="text" w:horzAnchor="page" w:tblpXSpec="center" w:tblpY="41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263"/>
        <w:gridCol w:w="5600"/>
        <w:gridCol w:w="775"/>
        <w:gridCol w:w="762"/>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3" w:type="dxa"/>
            <w:noWrap/>
            <w:vAlign w:val="center"/>
          </w:tcPr>
          <w:p>
            <w:pPr>
              <w:pStyle w:val="72"/>
              <w:ind w:firstLine="0"/>
              <w:jc w:val="center"/>
              <w:rPr>
                <w:rFonts w:ascii="宋体" w:hAnsi="宋体" w:cs="宋体"/>
                <w:b/>
                <w:bCs/>
                <w:sz w:val="21"/>
                <w:szCs w:val="21"/>
              </w:rPr>
            </w:pPr>
            <w:r>
              <w:rPr>
                <w:rFonts w:hint="eastAsia" w:ascii="宋体" w:hAnsi="宋体" w:cs="宋体"/>
                <w:b/>
                <w:bCs/>
                <w:sz w:val="21"/>
                <w:szCs w:val="21"/>
              </w:rPr>
              <w:t>序号</w:t>
            </w:r>
          </w:p>
        </w:tc>
        <w:tc>
          <w:tcPr>
            <w:tcW w:w="1263" w:type="dxa"/>
            <w:noWrap/>
            <w:vAlign w:val="center"/>
          </w:tcPr>
          <w:p>
            <w:pPr>
              <w:pStyle w:val="72"/>
              <w:ind w:firstLine="0"/>
              <w:jc w:val="center"/>
              <w:rPr>
                <w:rFonts w:ascii="宋体" w:hAnsi="宋体" w:cs="宋体"/>
                <w:b/>
                <w:bCs/>
                <w:sz w:val="21"/>
                <w:szCs w:val="21"/>
              </w:rPr>
            </w:pPr>
            <w:r>
              <w:rPr>
                <w:rFonts w:hint="eastAsia" w:ascii="宋体" w:hAnsi="宋体" w:cs="宋体"/>
                <w:b/>
                <w:bCs/>
                <w:sz w:val="21"/>
                <w:szCs w:val="21"/>
              </w:rPr>
              <w:t>设备名称</w:t>
            </w:r>
          </w:p>
        </w:tc>
        <w:tc>
          <w:tcPr>
            <w:tcW w:w="5600" w:type="dxa"/>
            <w:noWrap/>
            <w:vAlign w:val="center"/>
          </w:tcPr>
          <w:p>
            <w:pPr>
              <w:pStyle w:val="72"/>
              <w:jc w:val="center"/>
              <w:rPr>
                <w:rFonts w:ascii="宋体" w:hAnsi="宋体" w:cs="宋体"/>
                <w:b/>
                <w:bCs/>
                <w:sz w:val="21"/>
                <w:szCs w:val="21"/>
              </w:rPr>
            </w:pPr>
            <w:r>
              <w:rPr>
                <w:rFonts w:hint="eastAsia" w:ascii="宋体" w:hAnsi="宋体" w:cs="宋体"/>
                <w:b/>
                <w:bCs/>
                <w:sz w:val="21"/>
                <w:szCs w:val="21"/>
              </w:rPr>
              <w:t>规格</w:t>
            </w:r>
          </w:p>
        </w:tc>
        <w:tc>
          <w:tcPr>
            <w:tcW w:w="775" w:type="dxa"/>
            <w:noWrap/>
            <w:vAlign w:val="center"/>
          </w:tcPr>
          <w:p>
            <w:pPr>
              <w:pStyle w:val="72"/>
              <w:ind w:firstLine="0"/>
              <w:jc w:val="center"/>
              <w:rPr>
                <w:rFonts w:ascii="宋体" w:hAnsi="宋体" w:cs="宋体"/>
                <w:b/>
                <w:bCs/>
                <w:sz w:val="21"/>
                <w:szCs w:val="21"/>
              </w:rPr>
            </w:pPr>
            <w:r>
              <w:rPr>
                <w:rFonts w:hint="eastAsia" w:ascii="宋体" w:hAnsi="宋体" w:cs="宋体"/>
                <w:b/>
                <w:bCs/>
                <w:sz w:val="21"/>
                <w:szCs w:val="21"/>
              </w:rPr>
              <w:t>单位</w:t>
            </w:r>
          </w:p>
        </w:tc>
        <w:tc>
          <w:tcPr>
            <w:tcW w:w="762" w:type="dxa"/>
            <w:noWrap/>
            <w:vAlign w:val="center"/>
          </w:tcPr>
          <w:p>
            <w:pPr>
              <w:pStyle w:val="72"/>
              <w:ind w:firstLine="0"/>
              <w:jc w:val="center"/>
              <w:rPr>
                <w:rFonts w:ascii="宋体" w:hAnsi="宋体" w:cs="宋体"/>
                <w:b/>
                <w:bCs/>
                <w:sz w:val="21"/>
                <w:szCs w:val="21"/>
              </w:rPr>
            </w:pPr>
            <w:r>
              <w:rPr>
                <w:rFonts w:hint="eastAsia" w:ascii="宋体" w:hAnsi="宋体" w:cs="宋体"/>
                <w:b/>
                <w:bCs/>
                <w:sz w:val="21"/>
                <w:szCs w:val="21"/>
              </w:rPr>
              <w:t>数量</w:t>
            </w:r>
          </w:p>
        </w:tc>
        <w:tc>
          <w:tcPr>
            <w:tcW w:w="869" w:type="dxa"/>
            <w:noWrap/>
            <w:vAlign w:val="center"/>
          </w:tcPr>
          <w:p>
            <w:pPr>
              <w:pStyle w:val="72"/>
              <w:ind w:firstLine="0"/>
              <w:jc w:val="center"/>
              <w:rPr>
                <w:rFonts w:ascii="宋体" w:hAnsi="宋体" w:cs="宋体"/>
                <w:b/>
                <w:bCs/>
                <w:sz w:val="21"/>
                <w:szCs w:val="21"/>
              </w:rPr>
            </w:pPr>
            <w:r>
              <w:rPr>
                <w:rFonts w:hint="eastAsia" w:ascii="宋体" w:hAnsi="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93" w:type="dxa"/>
            <w:noWrap/>
            <w:vAlign w:val="center"/>
          </w:tcPr>
          <w:p>
            <w:pPr>
              <w:pStyle w:val="72"/>
              <w:ind w:firstLine="0"/>
              <w:jc w:val="center"/>
              <w:rPr>
                <w:rFonts w:ascii="宋体" w:hAnsi="宋体" w:cs="宋体"/>
                <w:sz w:val="21"/>
                <w:szCs w:val="21"/>
              </w:rPr>
            </w:pPr>
            <w:r>
              <w:rPr>
                <w:rFonts w:hint="eastAsia" w:ascii="宋体" w:hAnsi="宋体" w:cs="宋体"/>
                <w:sz w:val="21"/>
                <w:szCs w:val="21"/>
              </w:rPr>
              <w:t>1</w:t>
            </w:r>
          </w:p>
        </w:tc>
        <w:tc>
          <w:tcPr>
            <w:tcW w:w="1263" w:type="dxa"/>
            <w:noWrap/>
            <w:vAlign w:val="top"/>
          </w:tcPr>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r>
              <w:rPr>
                <w:rFonts w:hint="eastAsia" w:ascii="宋体" w:hAnsi="宋体"/>
                <w:bCs/>
                <w:szCs w:val="21"/>
              </w:rPr>
              <w:t>座位体前屈测试仪</w:t>
            </w:r>
          </w:p>
        </w:tc>
        <w:tc>
          <w:tcPr>
            <w:tcW w:w="5600" w:type="dxa"/>
            <w:noWrap/>
            <w:vAlign w:val="top"/>
          </w:tcPr>
          <w:p>
            <w:pPr>
              <w:spacing w:line="360" w:lineRule="auto"/>
              <w:rPr>
                <w:rFonts w:ascii="宋体" w:hAnsi="宋体"/>
                <w:szCs w:val="21"/>
              </w:rPr>
            </w:pPr>
            <w:r>
              <w:rPr>
                <w:rFonts w:hint="eastAsia" w:ascii="宋体" w:hAnsi="宋体"/>
                <w:b/>
                <w:szCs w:val="21"/>
              </w:rPr>
              <w:t>主机功能：</w:t>
            </w:r>
          </w:p>
          <w:p>
            <w:pPr>
              <w:spacing w:line="360" w:lineRule="auto"/>
              <w:rPr>
                <w:rFonts w:ascii="宋体" w:hAnsi="宋体"/>
                <w:szCs w:val="21"/>
              </w:rPr>
            </w:pPr>
            <w:r>
              <w:rPr>
                <w:rFonts w:hint="eastAsia" w:ascii="宋体" w:hAnsi="宋体"/>
                <w:szCs w:val="21"/>
              </w:rPr>
              <w:t>1、主机采用便携式机箱，具有抗振动和抗冲击等特性，带有便携式把手，适合快速搭建测试场地，免安装，开盖即可使用；配有10英寸及以上液晶屏，触摸按键。</w:t>
            </w:r>
          </w:p>
          <w:p>
            <w:pPr>
              <w:spacing w:line="360" w:lineRule="auto"/>
              <w:rPr>
                <w:rFonts w:ascii="宋体" w:hAnsi="宋体"/>
                <w:szCs w:val="21"/>
              </w:rPr>
            </w:pPr>
            <w:r>
              <w:rPr>
                <w:rFonts w:hint="eastAsia" w:ascii="宋体" w:hAnsi="宋体"/>
                <w:szCs w:val="21"/>
              </w:rPr>
              <w:t>2、采用1.2G四核及以上处理器，1G DDR3及以上内存，高性能，低功耗，处理速度快。</w:t>
            </w:r>
          </w:p>
          <w:p>
            <w:pPr>
              <w:spacing w:line="360" w:lineRule="auto"/>
              <w:rPr>
                <w:rFonts w:ascii="宋体" w:hAnsi="宋体"/>
                <w:szCs w:val="21"/>
              </w:rPr>
            </w:pPr>
            <w:r>
              <w:rPr>
                <w:rFonts w:hint="eastAsia" w:ascii="宋体" w:hAnsi="宋体"/>
                <w:szCs w:val="21"/>
              </w:rPr>
              <w:t>3、可实时显示测试者的姓名、学号、照片等各种基本信息和测试结果。</w:t>
            </w:r>
          </w:p>
          <w:p>
            <w:pPr>
              <w:spacing w:line="360" w:lineRule="auto"/>
              <w:rPr>
                <w:rFonts w:ascii="宋体" w:hAnsi="宋体"/>
                <w:szCs w:val="21"/>
              </w:rPr>
            </w:pPr>
            <w:r>
              <w:rPr>
                <w:rFonts w:hint="eastAsia" w:ascii="宋体" w:hAnsi="宋体"/>
                <w:szCs w:val="21"/>
              </w:rPr>
              <w:t>4、支持HDMI全高清接口，可双屏同步显示测试过程和结果，以方便学生实时查看测试过程的相关测试数据。</w:t>
            </w:r>
          </w:p>
          <w:p>
            <w:pPr>
              <w:spacing w:line="360" w:lineRule="auto"/>
              <w:rPr>
                <w:rFonts w:ascii="宋体" w:hAnsi="宋体"/>
                <w:szCs w:val="21"/>
              </w:rPr>
            </w:pPr>
            <w:r>
              <w:rPr>
                <w:rFonts w:hint="eastAsia" w:ascii="宋体" w:hAnsi="宋体"/>
                <w:szCs w:val="21"/>
              </w:rPr>
              <w:t>5、采用安卓系统，图形化的操作界面，系统稳定，人机交互性强；同时USB接口可插接普通的键盘和鼠标。</w:t>
            </w:r>
          </w:p>
          <w:p>
            <w:pPr>
              <w:spacing w:line="360" w:lineRule="auto"/>
              <w:rPr>
                <w:rFonts w:ascii="宋体" w:hAnsi="宋体"/>
                <w:szCs w:val="21"/>
              </w:rPr>
            </w:pPr>
            <w:r>
              <w:rPr>
                <w:rFonts w:hint="eastAsia" w:ascii="宋体" w:hAnsi="宋体"/>
                <w:szCs w:val="21"/>
              </w:rPr>
              <w:t xml:space="preserve">6、采用语音合成技术，具有全程真人发声的语音提示功能；既可使用装置自带的喇叭，也可外接有源音箱。 </w:t>
            </w:r>
          </w:p>
          <w:p>
            <w:pPr>
              <w:spacing w:line="360" w:lineRule="auto"/>
              <w:rPr>
                <w:rFonts w:ascii="宋体" w:hAnsi="宋体"/>
                <w:szCs w:val="21"/>
              </w:rPr>
            </w:pPr>
            <w:r>
              <w:rPr>
                <w:rFonts w:hint="eastAsia" w:ascii="宋体" w:hAnsi="宋体"/>
                <w:szCs w:val="21"/>
              </w:rPr>
              <w:t>7、支持手工输入、提前批量导入学号、IC卡、二维码等多种身份识别方式。</w:t>
            </w:r>
          </w:p>
          <w:p>
            <w:pPr>
              <w:spacing w:line="360" w:lineRule="auto"/>
              <w:rPr>
                <w:rFonts w:ascii="宋体" w:hAnsi="宋体"/>
                <w:szCs w:val="21"/>
              </w:rPr>
            </w:pPr>
            <w:r>
              <w:rPr>
                <w:rFonts w:hint="eastAsia" w:ascii="宋体" w:hAnsi="宋体"/>
                <w:szCs w:val="21"/>
              </w:rPr>
              <w:t>8、可选配微型打印机，每台仪器测试完成后，可实时打印该学生当前项目的测试成绩条。</w:t>
            </w:r>
          </w:p>
          <w:p>
            <w:pPr>
              <w:spacing w:line="360" w:lineRule="auto"/>
              <w:rPr>
                <w:rFonts w:ascii="宋体" w:hAnsi="宋体"/>
                <w:szCs w:val="21"/>
              </w:rPr>
            </w:pPr>
            <w:r>
              <w:rPr>
                <w:rFonts w:hint="eastAsia" w:ascii="宋体" w:hAnsi="宋体"/>
                <w:szCs w:val="21"/>
              </w:rPr>
              <w:t xml:space="preserve"> 9、可选配有实时评分功能，可根据预设的评分标准，对应年级和性别信息，评定正常得分、等级、附加分；同时单台仪器具有统计功能，可实时统计当前仪器内所有学生优秀、良好、及格、不及格各等级所占比例，并以相应饼状图展示；</w:t>
            </w:r>
          </w:p>
          <w:p>
            <w:pPr>
              <w:spacing w:line="360" w:lineRule="auto"/>
              <w:rPr>
                <w:rFonts w:ascii="宋体" w:hAnsi="宋体"/>
                <w:szCs w:val="21"/>
              </w:rPr>
            </w:pPr>
            <w:r>
              <w:rPr>
                <w:rFonts w:hint="eastAsia" w:ascii="宋体" w:hAnsi="宋体"/>
                <w:szCs w:val="21"/>
              </w:rPr>
              <w:t>10、可选配有成绩排名功能，测试完成测试仪系统内部自动将所有测试者按成绩进行排名；</w:t>
            </w:r>
          </w:p>
          <w:p>
            <w:pPr>
              <w:spacing w:line="360" w:lineRule="auto"/>
              <w:rPr>
                <w:rFonts w:ascii="宋体" w:hAnsi="宋体"/>
                <w:szCs w:val="21"/>
              </w:rPr>
            </w:pPr>
            <w:r>
              <w:rPr>
                <w:rFonts w:hint="eastAsia" w:ascii="宋体" w:hAnsi="宋体"/>
                <w:szCs w:val="21"/>
              </w:rPr>
              <w:t>11、内含海量存储芯片，最低32G存储卡，具有双存储介质备份功能，单机测试数据可存储100万条以上，可直接用WIFI、U盘等方式一次性导入计算机。数据上传方便，支持实时上传、增量上传、全量上传多种数据传输方式；</w:t>
            </w:r>
          </w:p>
          <w:p>
            <w:pPr>
              <w:spacing w:line="360" w:lineRule="auto"/>
              <w:ind w:left="420" w:hanging="420" w:hangingChars="200"/>
              <w:rPr>
                <w:rFonts w:ascii="宋体" w:hAnsi="宋体"/>
                <w:szCs w:val="21"/>
              </w:rPr>
            </w:pPr>
            <w:r>
              <w:rPr>
                <w:rFonts w:hint="eastAsia" w:ascii="宋体" w:hAnsi="宋体"/>
                <w:szCs w:val="21"/>
              </w:rPr>
              <w:t>12、系统带有测试数据误删除恢复功能；</w:t>
            </w:r>
          </w:p>
          <w:p>
            <w:pPr>
              <w:spacing w:line="360" w:lineRule="auto"/>
              <w:ind w:left="36" w:leftChars="17"/>
              <w:rPr>
                <w:rFonts w:ascii="宋体" w:hAnsi="宋体"/>
                <w:szCs w:val="21"/>
              </w:rPr>
            </w:pPr>
            <w:r>
              <w:rPr>
                <w:rFonts w:hint="eastAsia" w:ascii="宋体" w:hAnsi="宋体"/>
                <w:szCs w:val="21"/>
              </w:rPr>
              <w:t>13、系统具有备份还原功能，可对仪器内部所有测试数据、设置参数等的信息进行备份和还原操作；</w:t>
            </w:r>
          </w:p>
          <w:p>
            <w:pPr>
              <w:spacing w:line="360" w:lineRule="auto"/>
              <w:rPr>
                <w:rFonts w:ascii="宋体" w:hAnsi="宋体"/>
                <w:szCs w:val="21"/>
              </w:rPr>
            </w:pPr>
            <w:r>
              <w:rPr>
                <w:rFonts w:hint="eastAsia" w:ascii="宋体" w:hAnsi="宋体"/>
                <w:szCs w:val="21"/>
              </w:rPr>
              <w:t>14、系统具有设置犯规功能，当出现测试仪未识别的其它犯规情况下，可人工挑选出该次无效成绩，选定取消即可，提高了测试效率；</w:t>
            </w:r>
          </w:p>
          <w:p>
            <w:pPr>
              <w:spacing w:line="360" w:lineRule="auto"/>
              <w:rPr>
                <w:rFonts w:ascii="宋体" w:hAnsi="宋体"/>
                <w:szCs w:val="21"/>
              </w:rPr>
            </w:pPr>
            <w:r>
              <w:rPr>
                <w:rFonts w:hint="eastAsia" w:ascii="宋体" w:hAnsi="宋体"/>
                <w:szCs w:val="21"/>
              </w:rPr>
              <w:t>15、当选配有摄像机时，支持无线同步起停摄像；摄像系统采用分辨率≥1920×1080@ 25 fps， IP67级防尘防水设计，可靠性高；测试过程视频信息采用多重存储方式，既有自动循环存储的完整视频文件，也有根据主机同步下发的启动和停止摄像指令，对应每个测试者自动分组存档实时视频文件，每台测试仪均带有不少于256G的独立视频存储；测试仪内部可根据测试者编号随意调取该测试者的相应测试视频，以方便查阅；每台测试仪器可根据需要同时控制多个摄像机，可通过多个视角完整监控整个测试过程；</w:t>
            </w:r>
          </w:p>
          <w:p>
            <w:pPr>
              <w:spacing w:line="360" w:lineRule="auto"/>
              <w:rPr>
                <w:rFonts w:ascii="宋体" w:hAnsi="宋体"/>
                <w:szCs w:val="21"/>
              </w:rPr>
            </w:pPr>
            <w:r>
              <w:rPr>
                <w:rFonts w:hint="eastAsia" w:ascii="宋体" w:hAnsi="宋体"/>
                <w:szCs w:val="21"/>
              </w:rPr>
              <w:t>16、内置大功率环保可充电锂电池，具有充放电管理功能，剩余电量可在系统下实时显示并提供低电量报警提示，在无交流电源时可提供至少8小时的持续电能；</w:t>
            </w:r>
          </w:p>
          <w:p>
            <w:pPr>
              <w:spacing w:line="360" w:lineRule="auto"/>
              <w:rPr>
                <w:rFonts w:ascii="宋体" w:hAnsi="宋体"/>
                <w:szCs w:val="21"/>
              </w:rPr>
            </w:pPr>
            <w:r>
              <w:rPr>
                <w:rFonts w:hint="eastAsia" w:ascii="宋体" w:hAnsi="宋体"/>
                <w:szCs w:val="21"/>
              </w:rPr>
              <w:t>17、针对电池回路设计有保护开关，防止仪器长时间不使用时存在的电池过放问题，延长了电池使用寿命；</w:t>
            </w:r>
          </w:p>
          <w:p>
            <w:pPr>
              <w:spacing w:line="360" w:lineRule="auto"/>
              <w:rPr>
                <w:rFonts w:ascii="宋体" w:hAnsi="宋体"/>
                <w:b/>
                <w:szCs w:val="21"/>
              </w:rPr>
            </w:pPr>
            <w:r>
              <w:rPr>
                <w:rFonts w:hint="eastAsia" w:ascii="宋体" w:hAnsi="宋体"/>
                <w:b/>
                <w:szCs w:val="21"/>
              </w:rPr>
              <w:t>附件功能：</w:t>
            </w:r>
          </w:p>
          <w:p>
            <w:pPr>
              <w:spacing w:line="360" w:lineRule="auto"/>
              <w:rPr>
                <w:rFonts w:ascii="宋体" w:hAnsi="宋体"/>
                <w:szCs w:val="21"/>
              </w:rPr>
            </w:pPr>
            <w:r>
              <w:rPr>
                <w:rFonts w:hint="eastAsia" w:ascii="宋体" w:hAnsi="宋体"/>
                <w:szCs w:val="21"/>
              </w:rPr>
              <w:t>1、测试仪采用自动回弹设计，推出后，推板自动回到起点，省时省力；</w:t>
            </w:r>
          </w:p>
          <w:p>
            <w:pPr>
              <w:spacing w:line="360" w:lineRule="auto"/>
              <w:rPr>
                <w:rFonts w:ascii="宋体" w:hAnsi="宋体"/>
                <w:szCs w:val="21"/>
              </w:rPr>
            </w:pPr>
            <w:r>
              <w:rPr>
                <w:rFonts w:hint="eastAsia" w:ascii="宋体" w:hAnsi="宋体"/>
                <w:szCs w:val="21"/>
              </w:rPr>
              <w:t>2、附件带液晶显示，可实时显示测试成绩，方便测试人员查看；附件可单独使用；</w:t>
            </w:r>
          </w:p>
          <w:p>
            <w:pPr>
              <w:spacing w:line="360" w:lineRule="auto"/>
              <w:rPr>
                <w:rFonts w:ascii="宋体" w:hAnsi="宋体"/>
                <w:szCs w:val="21"/>
              </w:rPr>
            </w:pPr>
            <w:r>
              <w:rPr>
                <w:rFonts w:hint="eastAsia" w:ascii="宋体" w:hAnsi="宋体"/>
                <w:szCs w:val="21"/>
              </w:rPr>
              <w:t>3、附件可设置地址、信道；支持一台主机带有多个附件，提高测试效率；</w:t>
            </w:r>
          </w:p>
          <w:p>
            <w:pPr>
              <w:spacing w:line="360" w:lineRule="auto"/>
              <w:rPr>
                <w:rFonts w:hint="eastAsia" w:ascii="宋体" w:hAnsi="宋体"/>
                <w:szCs w:val="21"/>
                <w:lang w:val="zh-CN"/>
              </w:rPr>
            </w:pPr>
            <w:r>
              <w:rPr>
                <w:rFonts w:hint="eastAsia" w:ascii="宋体" w:hAnsi="宋体"/>
                <w:color w:val="000000"/>
                <w:szCs w:val="21"/>
              </w:rPr>
              <w:t>4、</w:t>
            </w:r>
            <w:r>
              <w:rPr>
                <w:rFonts w:hint="eastAsia" w:ascii="宋体" w:hAnsi="宋体"/>
                <w:szCs w:val="21"/>
                <w:lang w:val="zh-CN"/>
              </w:rPr>
              <w:t>测试量程：≥-20—</w:t>
            </w:r>
            <w:r>
              <w:rPr>
                <w:rFonts w:hint="eastAsia" w:ascii="宋体" w:hAnsi="宋体"/>
                <w:szCs w:val="21"/>
              </w:rPr>
              <w:t>35</w:t>
            </w:r>
            <w:r>
              <w:rPr>
                <w:rFonts w:hint="eastAsia" w:ascii="宋体" w:hAnsi="宋体"/>
                <w:szCs w:val="21"/>
                <w:lang w:val="zh-CN"/>
              </w:rPr>
              <w:t>cm，分辨率：≥0.1cm ，测试误差：≤±0.</w:t>
            </w:r>
            <w:r>
              <w:rPr>
                <w:rFonts w:hint="eastAsia" w:ascii="宋体" w:hAnsi="宋体"/>
                <w:szCs w:val="21"/>
              </w:rPr>
              <w:t>2</w:t>
            </w:r>
            <w:r>
              <w:rPr>
                <w:rFonts w:hint="eastAsia" w:ascii="宋体" w:hAnsi="宋体"/>
                <w:szCs w:val="21"/>
                <w:lang w:val="zh-CN"/>
              </w:rPr>
              <w:t>cm（需提供检测报告复印件）</w:t>
            </w:r>
          </w:p>
          <w:p>
            <w:pPr>
              <w:spacing w:line="360" w:lineRule="auto"/>
              <w:rPr>
                <w:rFonts w:hint="eastAsia" w:ascii="宋体" w:hAnsi="宋体"/>
                <w:szCs w:val="21"/>
                <w:lang w:val="zh-CN"/>
              </w:rPr>
            </w:pPr>
            <w:r>
              <w:rPr>
                <w:rFonts w:hint="eastAsia" w:ascii="宋体" w:hAnsi="宋体"/>
                <w:szCs w:val="21"/>
                <w:lang w:val="zh-CN"/>
              </w:rPr>
              <w:t>（为</w:t>
            </w:r>
            <w:r>
              <w:rPr>
                <w:rFonts w:hint="eastAsia" w:ascii="宋体" w:hAnsi="宋体"/>
                <w:bCs/>
                <w:szCs w:val="21"/>
              </w:rPr>
              <w:t>保障项目顺利进行</w:t>
            </w:r>
            <w:r>
              <w:rPr>
                <w:rFonts w:hint="eastAsia" w:ascii="宋体" w:hAnsi="宋体"/>
                <w:szCs w:val="21"/>
                <w:lang w:val="zh-CN"/>
              </w:rPr>
              <w:t>，所投产品</w:t>
            </w:r>
            <w:r>
              <w:rPr>
                <w:rFonts w:hint="eastAsia" w:ascii="宋体" w:hAnsi="宋体"/>
                <w:bCs/>
                <w:szCs w:val="21"/>
              </w:rPr>
              <w:t>需与原有设备对接，与原有中考软件管理系统对接，</w:t>
            </w:r>
            <w:r>
              <w:rPr>
                <w:rFonts w:hint="eastAsia" w:ascii="宋体" w:hAnsi="宋体"/>
                <w:szCs w:val="21"/>
                <w:lang w:val="zh-CN"/>
              </w:rPr>
              <w:t>否则视为无效投标）</w:t>
            </w:r>
          </w:p>
        </w:tc>
        <w:tc>
          <w:tcPr>
            <w:tcW w:w="775" w:type="dxa"/>
            <w:noWrap/>
            <w:vAlign w:val="top"/>
          </w:tcPr>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r>
              <w:rPr>
                <w:rFonts w:hint="eastAsia" w:ascii="宋体" w:hAnsi="宋体"/>
                <w:bCs/>
                <w:szCs w:val="21"/>
              </w:rPr>
              <w:t>套</w:t>
            </w:r>
          </w:p>
        </w:tc>
        <w:tc>
          <w:tcPr>
            <w:tcW w:w="762" w:type="dxa"/>
            <w:noWrap/>
            <w:vAlign w:val="top"/>
          </w:tcPr>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r>
              <w:rPr>
                <w:rFonts w:hint="eastAsia" w:ascii="宋体" w:hAnsi="宋体"/>
                <w:bCs/>
                <w:szCs w:val="21"/>
              </w:rPr>
              <w:t>3</w:t>
            </w:r>
          </w:p>
        </w:tc>
        <w:tc>
          <w:tcPr>
            <w:tcW w:w="869" w:type="dxa"/>
            <w:noWrap/>
            <w:vAlign w:val="center"/>
          </w:tcPr>
          <w:p>
            <w:pPr>
              <w:pStyle w:val="72"/>
              <w:ind w:firstLine="0"/>
              <w:jc w:val="center"/>
              <w:rPr>
                <w:rFonts w:ascii="宋体" w:hAnsi="宋体" w:cs="宋体"/>
                <w:sz w:val="21"/>
                <w:szCs w:val="21"/>
              </w:rPr>
            </w:pPr>
            <w:r>
              <w:rPr>
                <w:rFonts w:hint="eastAsia" w:ascii="宋体" w:hAnsi="宋体" w:cs="宋体"/>
                <w:sz w:val="21"/>
                <w:szCs w:val="21"/>
              </w:rPr>
              <w:t>3人同测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93" w:type="dxa"/>
            <w:noWrap/>
            <w:vAlign w:val="center"/>
          </w:tcPr>
          <w:p>
            <w:pPr>
              <w:pStyle w:val="72"/>
              <w:ind w:firstLine="0"/>
              <w:jc w:val="center"/>
              <w:rPr>
                <w:rFonts w:ascii="宋体" w:hAnsi="宋体" w:cs="宋体"/>
                <w:sz w:val="21"/>
                <w:szCs w:val="21"/>
              </w:rPr>
            </w:pPr>
            <w:r>
              <w:rPr>
                <w:rFonts w:hint="eastAsia" w:ascii="宋体" w:hAnsi="宋体" w:cs="宋体"/>
                <w:sz w:val="21"/>
                <w:szCs w:val="21"/>
              </w:rPr>
              <w:t>2</w:t>
            </w:r>
          </w:p>
        </w:tc>
        <w:tc>
          <w:tcPr>
            <w:tcW w:w="1263" w:type="dxa"/>
            <w:noWrap/>
            <w:vAlign w:val="top"/>
          </w:tcPr>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r>
              <w:rPr>
                <w:rFonts w:hint="eastAsia" w:ascii="宋体" w:hAnsi="宋体"/>
                <w:bCs/>
                <w:szCs w:val="21"/>
              </w:rPr>
              <w:t>篮球运球测试仪</w:t>
            </w:r>
          </w:p>
        </w:tc>
        <w:tc>
          <w:tcPr>
            <w:tcW w:w="5600" w:type="dxa"/>
            <w:noWrap/>
            <w:vAlign w:val="top"/>
          </w:tcPr>
          <w:p>
            <w:pPr>
              <w:spacing w:line="360" w:lineRule="auto"/>
              <w:rPr>
                <w:rFonts w:ascii="宋体" w:hAnsi="宋体"/>
                <w:szCs w:val="21"/>
              </w:rPr>
            </w:pPr>
            <w:r>
              <w:rPr>
                <w:rFonts w:hint="eastAsia" w:ascii="宋体" w:hAnsi="宋体"/>
                <w:b/>
                <w:szCs w:val="21"/>
              </w:rPr>
              <w:t>主机功能：</w:t>
            </w:r>
          </w:p>
          <w:p>
            <w:pPr>
              <w:spacing w:line="360" w:lineRule="auto"/>
              <w:rPr>
                <w:rFonts w:ascii="宋体" w:hAnsi="宋体"/>
                <w:szCs w:val="21"/>
              </w:rPr>
            </w:pPr>
            <w:r>
              <w:rPr>
                <w:rFonts w:hint="eastAsia" w:ascii="宋体" w:hAnsi="宋体"/>
                <w:szCs w:val="21"/>
              </w:rPr>
              <w:t>1、主机采用便携式机箱，具有抗振动和抗冲击等特性，带有便携式把手，适合快速搭建测试场地，免安装，开盖即可使用；配有10英寸及以上液晶屏，触摸按键。</w:t>
            </w:r>
          </w:p>
          <w:p>
            <w:pPr>
              <w:spacing w:line="360" w:lineRule="auto"/>
              <w:rPr>
                <w:rFonts w:ascii="宋体" w:hAnsi="宋体"/>
                <w:szCs w:val="21"/>
              </w:rPr>
            </w:pPr>
            <w:r>
              <w:rPr>
                <w:rFonts w:hint="eastAsia" w:ascii="宋体" w:hAnsi="宋体"/>
                <w:szCs w:val="21"/>
              </w:rPr>
              <w:t>2、采用1.2G四核及以上处理器，1G DDR3及以上内存，高性能，低功耗，处理速度快。</w:t>
            </w:r>
          </w:p>
          <w:p>
            <w:pPr>
              <w:spacing w:line="360" w:lineRule="auto"/>
              <w:rPr>
                <w:rFonts w:ascii="宋体" w:hAnsi="宋体"/>
                <w:szCs w:val="21"/>
              </w:rPr>
            </w:pPr>
            <w:r>
              <w:rPr>
                <w:rFonts w:hint="eastAsia" w:ascii="宋体" w:hAnsi="宋体"/>
                <w:szCs w:val="21"/>
              </w:rPr>
              <w:t>3、可实时显示测试者的姓名、学号、照片等各种基本信息和测试结果。</w:t>
            </w:r>
          </w:p>
          <w:p>
            <w:pPr>
              <w:spacing w:line="360" w:lineRule="auto"/>
              <w:rPr>
                <w:rFonts w:ascii="宋体" w:hAnsi="宋体"/>
                <w:szCs w:val="21"/>
              </w:rPr>
            </w:pPr>
            <w:r>
              <w:rPr>
                <w:rFonts w:hint="eastAsia" w:ascii="宋体" w:hAnsi="宋体"/>
                <w:szCs w:val="21"/>
              </w:rPr>
              <w:t>4、支持HDMI全高清接口，可双屏同步显示测试过程和结果，以方便学生实时查看测试过程的相关测试数据。</w:t>
            </w:r>
          </w:p>
          <w:p>
            <w:pPr>
              <w:spacing w:line="360" w:lineRule="auto"/>
              <w:rPr>
                <w:rFonts w:ascii="宋体" w:hAnsi="宋体"/>
                <w:szCs w:val="21"/>
              </w:rPr>
            </w:pPr>
            <w:r>
              <w:rPr>
                <w:rFonts w:hint="eastAsia" w:ascii="宋体" w:hAnsi="宋体"/>
                <w:szCs w:val="21"/>
              </w:rPr>
              <w:t>5、采用安卓系统，图形化的操作界面，系统稳定，人机交互性强；同时USB接口可插接普通的键盘和鼠标。</w:t>
            </w:r>
          </w:p>
          <w:p>
            <w:pPr>
              <w:spacing w:line="360" w:lineRule="auto"/>
              <w:rPr>
                <w:rFonts w:ascii="宋体" w:hAnsi="宋体"/>
                <w:szCs w:val="21"/>
              </w:rPr>
            </w:pPr>
            <w:r>
              <w:rPr>
                <w:rFonts w:hint="eastAsia" w:ascii="宋体" w:hAnsi="宋体"/>
                <w:szCs w:val="21"/>
              </w:rPr>
              <w:t xml:space="preserve">6、采用语音合成技术，具有全程真人发声的语音提示功能；既可使用装置自带的喇叭，也可外接有源音箱。 </w:t>
            </w:r>
          </w:p>
          <w:p>
            <w:pPr>
              <w:spacing w:line="360" w:lineRule="auto"/>
              <w:rPr>
                <w:rFonts w:ascii="宋体" w:hAnsi="宋体"/>
                <w:szCs w:val="21"/>
              </w:rPr>
            </w:pPr>
            <w:r>
              <w:rPr>
                <w:rFonts w:hint="eastAsia" w:ascii="宋体" w:hAnsi="宋体"/>
                <w:szCs w:val="21"/>
              </w:rPr>
              <w:t>7、支持手工输入、提前批量导入学号、IC卡、二维码等多种身份识别方式。</w:t>
            </w:r>
          </w:p>
          <w:p>
            <w:pPr>
              <w:spacing w:line="360" w:lineRule="auto"/>
              <w:rPr>
                <w:rFonts w:ascii="宋体" w:hAnsi="宋体"/>
                <w:szCs w:val="21"/>
              </w:rPr>
            </w:pPr>
            <w:r>
              <w:rPr>
                <w:rFonts w:hint="eastAsia" w:ascii="宋体" w:hAnsi="宋体"/>
                <w:szCs w:val="21"/>
              </w:rPr>
              <w:t>8、可选配微型打印机，每台仪器测试完成后，可实时打印该学生当前项目的测试成绩条。</w:t>
            </w:r>
          </w:p>
          <w:p>
            <w:pPr>
              <w:spacing w:line="360" w:lineRule="auto"/>
              <w:rPr>
                <w:rFonts w:ascii="宋体" w:hAnsi="宋体"/>
                <w:szCs w:val="21"/>
              </w:rPr>
            </w:pPr>
            <w:r>
              <w:rPr>
                <w:rFonts w:hint="eastAsia" w:ascii="宋体" w:hAnsi="宋体"/>
                <w:szCs w:val="21"/>
              </w:rPr>
              <w:t xml:space="preserve"> 9、可选配有实时评分功能，可根据预设的评分标准，对应年级和性别信息，评定正常得分、等级、附加分；同时单台仪器具有统计功能，可实时统计当前仪器内所有学生优秀、良好、及格、不及格各等级所占比例，并以相应饼状图展示；</w:t>
            </w:r>
          </w:p>
          <w:p>
            <w:pPr>
              <w:spacing w:line="360" w:lineRule="auto"/>
              <w:rPr>
                <w:rFonts w:ascii="宋体" w:hAnsi="宋体"/>
                <w:szCs w:val="21"/>
              </w:rPr>
            </w:pPr>
            <w:r>
              <w:rPr>
                <w:rFonts w:hint="eastAsia" w:ascii="宋体" w:hAnsi="宋体"/>
                <w:szCs w:val="21"/>
              </w:rPr>
              <w:t>10、可选配有成绩排名功能，测试完成测试仪系统内部自动将所有测试者按成绩进行排名；</w:t>
            </w:r>
          </w:p>
          <w:p>
            <w:pPr>
              <w:spacing w:line="360" w:lineRule="auto"/>
              <w:rPr>
                <w:rFonts w:ascii="宋体" w:hAnsi="宋体"/>
                <w:szCs w:val="21"/>
              </w:rPr>
            </w:pPr>
            <w:r>
              <w:rPr>
                <w:rFonts w:hint="eastAsia" w:ascii="宋体" w:hAnsi="宋体"/>
                <w:szCs w:val="21"/>
              </w:rPr>
              <w:t>11、内含海量存储芯片，最低32G存储卡，具有双存储介质备份功能，单机测试数据可存储100万条以上，可直接用WIFI、U盘等方式一次性导入计算机。数据上传方便，支持实时上传、增量上传、全量上传多种数据传输方式；</w:t>
            </w:r>
          </w:p>
          <w:p>
            <w:pPr>
              <w:spacing w:line="360" w:lineRule="auto"/>
              <w:ind w:left="420" w:hanging="420" w:hangingChars="200"/>
              <w:rPr>
                <w:rFonts w:ascii="宋体" w:hAnsi="宋体"/>
                <w:szCs w:val="21"/>
              </w:rPr>
            </w:pPr>
            <w:r>
              <w:rPr>
                <w:rFonts w:hint="eastAsia" w:ascii="宋体" w:hAnsi="宋体"/>
                <w:szCs w:val="21"/>
              </w:rPr>
              <w:t>12、系统带有测试数据误删除恢复功能；</w:t>
            </w:r>
          </w:p>
          <w:p>
            <w:pPr>
              <w:spacing w:line="360" w:lineRule="auto"/>
              <w:ind w:left="36" w:leftChars="17"/>
              <w:rPr>
                <w:rFonts w:ascii="宋体" w:hAnsi="宋体"/>
                <w:szCs w:val="21"/>
              </w:rPr>
            </w:pPr>
            <w:r>
              <w:rPr>
                <w:rFonts w:hint="eastAsia" w:ascii="宋体" w:hAnsi="宋体"/>
                <w:szCs w:val="21"/>
              </w:rPr>
              <w:t>13、系统具有备份还原功能，可对仪器内部所有测试数据、设置参数等的信息进行备份和还原操作；</w:t>
            </w:r>
          </w:p>
          <w:p>
            <w:pPr>
              <w:spacing w:line="360" w:lineRule="auto"/>
              <w:rPr>
                <w:rFonts w:ascii="宋体" w:hAnsi="宋体"/>
                <w:szCs w:val="21"/>
              </w:rPr>
            </w:pPr>
            <w:r>
              <w:rPr>
                <w:rFonts w:hint="eastAsia" w:ascii="宋体" w:hAnsi="宋体"/>
                <w:szCs w:val="21"/>
              </w:rPr>
              <w:t>14、当选配有摄像机时，支持无线同步起停摄像；摄像系统采用分辨率≥1920×1080@ 25 fps， IP67级防尘防水设计，可靠性高；测试过程视频信息采用多重存储方式，既有自动循环存储的完整视频文件，也有根据主机同步下发的启动和停止摄像指令，对应每个测试者自动分组存档实时视频文件，每台测试仪均带有不少于256G的独立视频存储；测试仪内部可根据测试者编号随意调取该测试者的相应测试视频，以方便查阅；每台测试仪器可根据需要同时控制多个摄像机，可通过多个视角完整监控整个测试过程；</w:t>
            </w:r>
          </w:p>
          <w:p>
            <w:pPr>
              <w:spacing w:line="360" w:lineRule="auto"/>
              <w:rPr>
                <w:rFonts w:ascii="宋体" w:hAnsi="宋体"/>
                <w:szCs w:val="21"/>
              </w:rPr>
            </w:pPr>
            <w:r>
              <w:rPr>
                <w:rFonts w:hint="eastAsia" w:ascii="宋体" w:hAnsi="宋体"/>
                <w:szCs w:val="21"/>
              </w:rPr>
              <w:t>15、内置大功率环保可充电锂电池，具有充放电管理功能，剩余电量可在系统下实时显示并提供低电量报警提示，在无交流电源时可提供至少8小时的持续电能；</w:t>
            </w:r>
          </w:p>
          <w:p>
            <w:pPr>
              <w:spacing w:line="360" w:lineRule="auto"/>
              <w:rPr>
                <w:rFonts w:ascii="宋体" w:hAnsi="宋体"/>
                <w:szCs w:val="21"/>
              </w:rPr>
            </w:pPr>
            <w:r>
              <w:rPr>
                <w:rFonts w:hint="eastAsia" w:ascii="宋体" w:hAnsi="宋体"/>
                <w:szCs w:val="21"/>
              </w:rPr>
              <w:t>16、针对电池回路设计有保护开关，防止仪器长时间不使用时存在的电池过放问题，延长了电池使用寿命；</w:t>
            </w:r>
          </w:p>
          <w:p>
            <w:pPr>
              <w:spacing w:line="360" w:lineRule="auto"/>
              <w:rPr>
                <w:rFonts w:ascii="宋体" w:hAnsi="宋体"/>
                <w:b/>
                <w:szCs w:val="21"/>
              </w:rPr>
            </w:pPr>
            <w:r>
              <w:rPr>
                <w:rFonts w:hint="eastAsia" w:ascii="宋体" w:hAnsi="宋体"/>
                <w:b/>
                <w:szCs w:val="21"/>
              </w:rPr>
              <w:t>附件功能：</w:t>
            </w:r>
          </w:p>
          <w:p>
            <w:pPr>
              <w:spacing w:line="360" w:lineRule="auto"/>
              <w:rPr>
                <w:rFonts w:ascii="宋体" w:hAnsi="宋体"/>
                <w:szCs w:val="21"/>
              </w:rPr>
            </w:pPr>
            <w:r>
              <w:rPr>
                <w:rFonts w:hint="eastAsia" w:ascii="宋体" w:hAnsi="宋体"/>
                <w:szCs w:val="21"/>
              </w:rPr>
              <w:t xml:space="preserve">  1 采用红外线非接触测量原理，自动检测测试成绩</w:t>
            </w:r>
          </w:p>
          <w:p>
            <w:pPr>
              <w:spacing w:line="360" w:lineRule="auto"/>
              <w:rPr>
                <w:rFonts w:ascii="宋体" w:hAnsi="宋体"/>
                <w:szCs w:val="21"/>
              </w:rPr>
            </w:pPr>
            <w:r>
              <w:rPr>
                <w:rFonts w:hint="eastAsia" w:ascii="宋体" w:hAnsi="宋体"/>
                <w:szCs w:val="21"/>
              </w:rPr>
              <w:t xml:space="preserve">  2 主机与外设无线连接，起跑线和折返线均有检测</w:t>
            </w:r>
          </w:p>
          <w:p>
            <w:pPr>
              <w:spacing w:line="360" w:lineRule="auto"/>
              <w:rPr>
                <w:rFonts w:ascii="宋体" w:hAnsi="宋体"/>
                <w:szCs w:val="21"/>
              </w:rPr>
            </w:pPr>
            <w:r>
              <w:rPr>
                <w:rFonts w:hint="eastAsia" w:ascii="宋体" w:hAnsi="宋体"/>
                <w:szCs w:val="21"/>
              </w:rPr>
              <w:t xml:space="preserve">  3 可由用户调整单程长度和折返次数，满足其它类型项目的测试</w:t>
            </w:r>
          </w:p>
          <w:p>
            <w:pPr>
              <w:spacing w:line="360" w:lineRule="auto"/>
              <w:rPr>
                <w:rFonts w:ascii="宋体" w:hAnsi="宋体"/>
                <w:szCs w:val="21"/>
              </w:rPr>
            </w:pPr>
            <w:r>
              <w:rPr>
                <w:rFonts w:hint="eastAsia" w:ascii="宋体" w:hAnsi="宋体"/>
                <w:szCs w:val="21"/>
              </w:rPr>
              <w:t xml:space="preserve">  4内置多种起跑模式，既可由主机发令统一起跑，实现统一计时；也可由各测试者自由起跑，独立启动该跑道计时，实现自助计时；</w:t>
            </w:r>
          </w:p>
          <w:p>
            <w:pPr>
              <w:spacing w:line="360" w:lineRule="auto"/>
              <w:rPr>
                <w:rFonts w:ascii="宋体" w:hAnsi="宋体"/>
                <w:szCs w:val="21"/>
              </w:rPr>
            </w:pPr>
            <w:r>
              <w:rPr>
                <w:rFonts w:hint="eastAsia" w:ascii="宋体" w:hAnsi="宋体"/>
                <w:szCs w:val="21"/>
              </w:rPr>
              <w:t xml:space="preserve">  5 附件可设置地址、信道</w:t>
            </w:r>
          </w:p>
          <w:p>
            <w:pPr>
              <w:spacing w:line="360" w:lineRule="auto"/>
              <w:rPr>
                <w:rFonts w:ascii="宋体" w:hAnsi="宋体"/>
                <w:szCs w:val="21"/>
              </w:rPr>
            </w:pPr>
            <w:r>
              <w:rPr>
                <w:rFonts w:hint="eastAsia" w:ascii="宋体" w:hAnsi="宋体"/>
                <w:szCs w:val="21"/>
              </w:rPr>
              <w:t xml:space="preserve">  6 外设具有抗阳光干扰设计</w:t>
            </w:r>
          </w:p>
          <w:p>
            <w:pPr>
              <w:spacing w:line="360" w:lineRule="auto"/>
              <w:rPr>
                <w:rFonts w:ascii="宋体" w:hAnsi="宋体"/>
                <w:szCs w:val="21"/>
              </w:rPr>
            </w:pPr>
            <w:r>
              <w:rPr>
                <w:rFonts w:hint="eastAsia" w:ascii="宋体" w:hAnsi="宋体"/>
                <w:szCs w:val="21"/>
              </w:rPr>
              <w:t xml:space="preserve">  7 可由用户自行设置测试次数，系统自动选取最好测试成绩为最终测试结果</w:t>
            </w:r>
          </w:p>
          <w:p>
            <w:pPr>
              <w:spacing w:line="360" w:lineRule="auto"/>
              <w:rPr>
                <w:rFonts w:ascii="宋体" w:hAnsi="宋体"/>
                <w:szCs w:val="21"/>
              </w:rPr>
            </w:pPr>
            <w:r>
              <w:rPr>
                <w:rFonts w:hint="eastAsia" w:ascii="宋体" w:hAnsi="宋体"/>
                <w:szCs w:val="21"/>
              </w:rPr>
              <w:t xml:space="preserve">  8 测试量程：≥0～60秒  分辨率：≥0.1秒  </w:t>
            </w:r>
          </w:p>
          <w:p>
            <w:pPr>
              <w:spacing w:line="360" w:lineRule="auto"/>
              <w:rPr>
                <w:rFonts w:hint="eastAsia" w:ascii="宋体" w:hAnsi="宋体"/>
                <w:szCs w:val="21"/>
              </w:rPr>
            </w:pPr>
            <w:r>
              <w:rPr>
                <w:rFonts w:hint="eastAsia" w:ascii="宋体" w:hAnsi="宋体"/>
                <w:szCs w:val="21"/>
              </w:rPr>
              <w:t xml:space="preserve">    测试误差：≤±1.5%（需提供检测报告复印件）</w:t>
            </w:r>
          </w:p>
          <w:p>
            <w:pPr>
              <w:spacing w:line="360" w:lineRule="auto"/>
              <w:rPr>
                <w:rFonts w:hint="eastAsia" w:ascii="宋体" w:hAnsi="宋体"/>
                <w:szCs w:val="21"/>
              </w:rPr>
            </w:pPr>
            <w:r>
              <w:rPr>
                <w:rFonts w:hint="eastAsia" w:ascii="宋体" w:hAnsi="宋体"/>
                <w:szCs w:val="21"/>
                <w:lang w:val="zh-CN"/>
              </w:rPr>
              <w:t>（为</w:t>
            </w:r>
            <w:r>
              <w:rPr>
                <w:rFonts w:hint="eastAsia" w:ascii="宋体" w:hAnsi="宋体"/>
                <w:bCs/>
                <w:szCs w:val="21"/>
              </w:rPr>
              <w:t>保障项目顺利进行</w:t>
            </w:r>
            <w:r>
              <w:rPr>
                <w:rFonts w:hint="eastAsia" w:ascii="宋体" w:hAnsi="宋体"/>
                <w:szCs w:val="21"/>
                <w:lang w:val="zh-CN"/>
              </w:rPr>
              <w:t>，所投产品</w:t>
            </w:r>
            <w:r>
              <w:rPr>
                <w:rFonts w:hint="eastAsia" w:ascii="宋体" w:hAnsi="宋体"/>
                <w:bCs/>
                <w:szCs w:val="21"/>
              </w:rPr>
              <w:t>需与原有设备对接，与原有中考软件管理系统对接，</w:t>
            </w:r>
            <w:r>
              <w:rPr>
                <w:rFonts w:hint="eastAsia" w:ascii="宋体" w:hAnsi="宋体"/>
                <w:szCs w:val="21"/>
                <w:lang w:val="zh-CN"/>
              </w:rPr>
              <w:t>否则视为无效投标）</w:t>
            </w:r>
          </w:p>
        </w:tc>
        <w:tc>
          <w:tcPr>
            <w:tcW w:w="775" w:type="dxa"/>
            <w:noWrap/>
            <w:vAlign w:val="top"/>
          </w:tcPr>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r>
              <w:rPr>
                <w:rFonts w:hint="eastAsia" w:ascii="宋体" w:hAnsi="宋体"/>
                <w:bCs/>
                <w:szCs w:val="21"/>
              </w:rPr>
              <w:t>套</w:t>
            </w:r>
          </w:p>
        </w:tc>
        <w:tc>
          <w:tcPr>
            <w:tcW w:w="762" w:type="dxa"/>
            <w:noWrap/>
            <w:vAlign w:val="top"/>
          </w:tcPr>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r>
              <w:rPr>
                <w:rFonts w:hint="eastAsia" w:ascii="宋体" w:hAnsi="宋体"/>
                <w:bCs/>
                <w:szCs w:val="21"/>
              </w:rPr>
              <w:t>3</w:t>
            </w:r>
          </w:p>
        </w:tc>
        <w:tc>
          <w:tcPr>
            <w:tcW w:w="869" w:type="dxa"/>
            <w:noWrap/>
            <w:vAlign w:val="center"/>
          </w:tcPr>
          <w:p>
            <w:pPr>
              <w:pStyle w:val="72"/>
              <w:ind w:firstLine="0"/>
              <w:jc w:val="center"/>
              <w:rPr>
                <w:rFonts w:ascii="宋体" w:hAnsi="宋体" w:cs="宋体"/>
                <w:sz w:val="21"/>
                <w:szCs w:val="21"/>
              </w:rPr>
            </w:pPr>
            <w:r>
              <w:rPr>
                <w:rFonts w:hint="eastAsia" w:ascii="宋体" w:hAnsi="宋体" w:cs="宋体"/>
                <w:sz w:val="21"/>
                <w:szCs w:val="21"/>
              </w:rPr>
              <w:t>2人同测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93" w:type="dxa"/>
            <w:noWrap/>
            <w:vAlign w:val="center"/>
          </w:tcPr>
          <w:p>
            <w:pPr>
              <w:pStyle w:val="72"/>
              <w:ind w:firstLine="0"/>
              <w:jc w:val="center"/>
              <w:rPr>
                <w:rFonts w:ascii="宋体" w:hAnsi="宋体" w:cs="宋体"/>
                <w:sz w:val="21"/>
                <w:szCs w:val="21"/>
              </w:rPr>
            </w:pPr>
            <w:r>
              <w:rPr>
                <w:rFonts w:hint="eastAsia" w:ascii="宋体" w:hAnsi="宋体" w:cs="宋体"/>
                <w:sz w:val="21"/>
                <w:szCs w:val="21"/>
              </w:rPr>
              <w:t>3</w:t>
            </w:r>
          </w:p>
        </w:tc>
        <w:tc>
          <w:tcPr>
            <w:tcW w:w="1263" w:type="dxa"/>
            <w:noWrap/>
            <w:vAlign w:val="center"/>
          </w:tcPr>
          <w:p>
            <w:pPr>
              <w:spacing w:line="360" w:lineRule="auto"/>
              <w:jc w:val="center"/>
              <w:rPr>
                <w:rFonts w:ascii="宋体" w:hAnsi="宋体"/>
                <w:bCs/>
                <w:szCs w:val="21"/>
              </w:rPr>
            </w:pPr>
            <w:r>
              <w:rPr>
                <w:rFonts w:hint="eastAsia" w:ascii="宋体" w:hAnsi="宋体"/>
                <w:bCs/>
                <w:szCs w:val="21"/>
              </w:rPr>
              <w:t>综合管理软件升级</w:t>
            </w:r>
          </w:p>
        </w:tc>
        <w:tc>
          <w:tcPr>
            <w:tcW w:w="5600" w:type="dxa"/>
            <w:noWrap/>
            <w:vAlign w:val="top"/>
          </w:tcPr>
          <w:p>
            <w:pPr>
              <w:spacing w:line="360" w:lineRule="auto"/>
              <w:jc w:val="left"/>
              <w:rPr>
                <w:rFonts w:ascii="宋体" w:hAnsi="宋体"/>
                <w:bCs/>
                <w:szCs w:val="21"/>
              </w:rPr>
            </w:pPr>
            <w:r>
              <w:rPr>
                <w:rFonts w:hint="eastAsia" w:ascii="宋体" w:hAnsi="宋体"/>
                <w:bCs/>
                <w:szCs w:val="21"/>
              </w:rPr>
              <w:t>可实现与原有设备配对，与中考软件管理系统对接，保障项目顺利进行</w:t>
            </w:r>
          </w:p>
        </w:tc>
        <w:tc>
          <w:tcPr>
            <w:tcW w:w="775" w:type="dxa"/>
            <w:noWrap/>
            <w:vAlign w:val="top"/>
          </w:tcPr>
          <w:p>
            <w:pPr>
              <w:spacing w:line="360" w:lineRule="auto"/>
              <w:jc w:val="center"/>
              <w:rPr>
                <w:rFonts w:ascii="宋体" w:hAnsi="宋体"/>
                <w:bCs/>
                <w:szCs w:val="21"/>
              </w:rPr>
            </w:pPr>
            <w:r>
              <w:rPr>
                <w:rFonts w:hint="eastAsia" w:ascii="宋体" w:hAnsi="宋体"/>
                <w:bCs/>
                <w:szCs w:val="21"/>
              </w:rPr>
              <w:t>项</w:t>
            </w:r>
          </w:p>
        </w:tc>
        <w:tc>
          <w:tcPr>
            <w:tcW w:w="762" w:type="dxa"/>
            <w:noWrap/>
            <w:vAlign w:val="top"/>
          </w:tcPr>
          <w:p>
            <w:pPr>
              <w:spacing w:line="360" w:lineRule="auto"/>
              <w:jc w:val="center"/>
              <w:rPr>
                <w:rFonts w:ascii="宋体" w:hAnsi="宋体"/>
                <w:bCs/>
                <w:szCs w:val="21"/>
              </w:rPr>
            </w:pPr>
            <w:r>
              <w:rPr>
                <w:rFonts w:hint="eastAsia" w:ascii="宋体" w:hAnsi="宋体"/>
                <w:bCs/>
                <w:szCs w:val="21"/>
              </w:rPr>
              <w:t>1</w:t>
            </w:r>
          </w:p>
        </w:tc>
        <w:tc>
          <w:tcPr>
            <w:tcW w:w="869" w:type="dxa"/>
            <w:noWrap/>
            <w:vAlign w:val="center"/>
          </w:tcPr>
          <w:p>
            <w:pPr>
              <w:pStyle w:val="72"/>
              <w:ind w:firstLine="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93" w:type="dxa"/>
            <w:noWrap/>
            <w:vAlign w:val="center"/>
          </w:tcPr>
          <w:p>
            <w:pPr>
              <w:pStyle w:val="72"/>
              <w:ind w:firstLine="0"/>
              <w:jc w:val="center"/>
              <w:rPr>
                <w:rFonts w:ascii="宋体" w:hAnsi="宋体" w:cs="宋体"/>
                <w:sz w:val="21"/>
                <w:szCs w:val="21"/>
              </w:rPr>
            </w:pPr>
            <w:r>
              <w:rPr>
                <w:rFonts w:hint="eastAsia" w:ascii="宋体" w:hAnsi="宋体" w:cs="宋体"/>
                <w:sz w:val="21"/>
                <w:szCs w:val="21"/>
              </w:rPr>
              <w:t>4</w:t>
            </w:r>
          </w:p>
        </w:tc>
        <w:tc>
          <w:tcPr>
            <w:tcW w:w="1263" w:type="dxa"/>
            <w:noWrap/>
            <w:vAlign w:val="center"/>
          </w:tcPr>
          <w:p>
            <w:pPr>
              <w:spacing w:line="360" w:lineRule="auto"/>
              <w:jc w:val="center"/>
              <w:rPr>
                <w:rFonts w:ascii="宋体" w:hAnsi="宋体"/>
                <w:bCs/>
                <w:szCs w:val="21"/>
              </w:rPr>
            </w:pPr>
            <w:r>
              <w:rPr>
                <w:rFonts w:hint="eastAsia" w:ascii="宋体" w:hAnsi="宋体"/>
                <w:bCs/>
                <w:szCs w:val="21"/>
              </w:rPr>
              <w:t>扫码枪（需匹配测试设备）</w:t>
            </w:r>
          </w:p>
        </w:tc>
        <w:tc>
          <w:tcPr>
            <w:tcW w:w="5600" w:type="dxa"/>
            <w:noWrap/>
            <w:vAlign w:val="center"/>
          </w:tcPr>
          <w:p>
            <w:pPr>
              <w:spacing w:line="360" w:lineRule="auto"/>
              <w:rPr>
                <w:rFonts w:ascii="宋体" w:hAnsi="宋体"/>
                <w:bCs/>
                <w:szCs w:val="21"/>
              </w:rPr>
            </w:pPr>
            <w:r>
              <w:rPr>
                <w:rFonts w:hint="eastAsia" w:ascii="宋体" w:hAnsi="宋体"/>
                <w:bCs/>
                <w:szCs w:val="21"/>
              </w:rPr>
              <w:t>高速扫描，识别一维码、二维码，与中考仪器自动配对。</w:t>
            </w:r>
          </w:p>
        </w:tc>
        <w:tc>
          <w:tcPr>
            <w:tcW w:w="775" w:type="dxa"/>
            <w:noWrap/>
            <w:vAlign w:val="center"/>
          </w:tcPr>
          <w:p>
            <w:pPr>
              <w:spacing w:line="360" w:lineRule="auto"/>
              <w:rPr>
                <w:rFonts w:hint="eastAsia" w:ascii="宋体" w:hAnsi="宋体"/>
                <w:bCs/>
                <w:szCs w:val="21"/>
              </w:rPr>
            </w:pPr>
            <w:r>
              <w:rPr>
                <w:rFonts w:hint="eastAsia" w:ascii="宋体" w:hAnsi="宋体"/>
                <w:bCs/>
                <w:szCs w:val="21"/>
              </w:rPr>
              <w:t>台</w:t>
            </w:r>
          </w:p>
        </w:tc>
        <w:tc>
          <w:tcPr>
            <w:tcW w:w="762" w:type="dxa"/>
            <w:noWrap/>
            <w:vAlign w:val="center"/>
          </w:tcPr>
          <w:p>
            <w:pPr>
              <w:spacing w:line="360" w:lineRule="auto"/>
              <w:rPr>
                <w:rFonts w:ascii="宋体" w:hAnsi="宋体"/>
                <w:bCs/>
                <w:szCs w:val="21"/>
              </w:rPr>
            </w:pPr>
            <w:r>
              <w:rPr>
                <w:rFonts w:hint="eastAsia" w:ascii="宋体" w:hAnsi="宋体"/>
                <w:bCs/>
                <w:szCs w:val="21"/>
              </w:rPr>
              <w:t>6</w:t>
            </w:r>
          </w:p>
        </w:tc>
        <w:tc>
          <w:tcPr>
            <w:tcW w:w="869" w:type="dxa"/>
            <w:noWrap/>
            <w:vAlign w:val="center"/>
          </w:tcPr>
          <w:p>
            <w:pPr>
              <w:pStyle w:val="72"/>
              <w:ind w:firstLine="0"/>
              <w:jc w:val="center"/>
              <w:rPr>
                <w:rFonts w:ascii="宋体" w:hAnsi="宋体" w:cs="宋体"/>
                <w:sz w:val="21"/>
                <w:szCs w:val="21"/>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93" w:type="dxa"/>
            <w:noWrap/>
            <w:vAlign w:val="center"/>
          </w:tcPr>
          <w:p>
            <w:pPr>
              <w:pStyle w:val="72"/>
              <w:ind w:firstLine="0"/>
              <w:jc w:val="center"/>
              <w:rPr>
                <w:rFonts w:ascii="宋体" w:hAnsi="宋体" w:cs="宋体"/>
                <w:sz w:val="21"/>
                <w:szCs w:val="21"/>
              </w:rPr>
            </w:pPr>
            <w:r>
              <w:rPr>
                <w:rFonts w:hint="eastAsia" w:ascii="宋体" w:hAnsi="宋体" w:cs="宋体"/>
                <w:sz w:val="21"/>
                <w:szCs w:val="21"/>
              </w:rPr>
              <w:t>5</w:t>
            </w:r>
          </w:p>
        </w:tc>
        <w:tc>
          <w:tcPr>
            <w:tcW w:w="1263" w:type="dxa"/>
            <w:noWrap/>
            <w:vAlign w:val="center"/>
          </w:tcPr>
          <w:p>
            <w:pPr>
              <w:spacing w:line="360" w:lineRule="auto"/>
              <w:jc w:val="center"/>
              <w:rPr>
                <w:rFonts w:ascii="宋体" w:hAnsi="宋体"/>
                <w:bCs/>
                <w:szCs w:val="21"/>
              </w:rPr>
            </w:pPr>
            <w:r>
              <w:rPr>
                <w:rFonts w:hint="eastAsia" w:ascii="宋体" w:hAnsi="宋体"/>
                <w:bCs/>
                <w:szCs w:val="21"/>
              </w:rPr>
              <w:t>液晶显示器</w:t>
            </w:r>
          </w:p>
        </w:tc>
        <w:tc>
          <w:tcPr>
            <w:tcW w:w="5600" w:type="dxa"/>
            <w:noWrap/>
            <w:vAlign w:val="center"/>
          </w:tcPr>
          <w:p>
            <w:pPr>
              <w:spacing w:line="360" w:lineRule="auto"/>
              <w:rPr>
                <w:rFonts w:ascii="宋体" w:hAnsi="宋体"/>
                <w:bCs/>
                <w:szCs w:val="21"/>
              </w:rPr>
            </w:pPr>
            <w:r>
              <w:rPr>
                <w:rFonts w:hint="eastAsia" w:ascii="宋体" w:hAnsi="宋体"/>
                <w:bCs/>
                <w:szCs w:val="21"/>
              </w:rPr>
              <w:t>24寸液晶显示器；分辨率≥1920*1080</w:t>
            </w:r>
          </w:p>
        </w:tc>
        <w:tc>
          <w:tcPr>
            <w:tcW w:w="775" w:type="dxa"/>
            <w:noWrap/>
            <w:vAlign w:val="center"/>
          </w:tcPr>
          <w:p>
            <w:pPr>
              <w:spacing w:line="360" w:lineRule="auto"/>
              <w:jc w:val="center"/>
              <w:rPr>
                <w:rFonts w:ascii="宋体" w:hAnsi="宋体"/>
                <w:bCs/>
                <w:szCs w:val="21"/>
              </w:rPr>
            </w:pPr>
            <w:r>
              <w:rPr>
                <w:rFonts w:hint="eastAsia" w:ascii="宋体" w:hAnsi="宋体"/>
                <w:bCs/>
                <w:szCs w:val="21"/>
              </w:rPr>
              <w:t>台</w:t>
            </w:r>
          </w:p>
        </w:tc>
        <w:tc>
          <w:tcPr>
            <w:tcW w:w="762" w:type="dxa"/>
            <w:noWrap/>
            <w:vAlign w:val="center"/>
          </w:tcPr>
          <w:p>
            <w:pPr>
              <w:spacing w:line="360" w:lineRule="auto"/>
              <w:jc w:val="center"/>
              <w:rPr>
                <w:rFonts w:ascii="宋体" w:hAnsi="宋体"/>
                <w:bCs/>
                <w:szCs w:val="21"/>
              </w:rPr>
            </w:pPr>
            <w:r>
              <w:rPr>
                <w:rFonts w:hint="eastAsia" w:ascii="宋体" w:hAnsi="宋体"/>
                <w:bCs/>
                <w:szCs w:val="21"/>
              </w:rPr>
              <w:t>1</w:t>
            </w:r>
          </w:p>
        </w:tc>
        <w:tc>
          <w:tcPr>
            <w:tcW w:w="869" w:type="dxa"/>
            <w:noWrap/>
            <w:vAlign w:val="center"/>
          </w:tcPr>
          <w:p>
            <w:pPr>
              <w:pStyle w:val="72"/>
              <w:jc w:val="center"/>
              <w:rPr>
                <w:rFonts w:ascii="宋体" w:hAnsi="宋体" w:cs="宋体"/>
                <w:sz w:val="21"/>
                <w:szCs w:val="21"/>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93" w:type="dxa"/>
            <w:noWrap/>
            <w:vAlign w:val="center"/>
          </w:tcPr>
          <w:p>
            <w:pPr>
              <w:pStyle w:val="72"/>
              <w:ind w:firstLine="0"/>
              <w:jc w:val="center"/>
              <w:rPr>
                <w:rFonts w:ascii="宋体" w:hAnsi="宋体" w:cs="宋体"/>
                <w:sz w:val="21"/>
                <w:szCs w:val="21"/>
              </w:rPr>
            </w:pPr>
            <w:r>
              <w:rPr>
                <w:rFonts w:hint="eastAsia" w:ascii="宋体" w:hAnsi="宋体" w:cs="宋体"/>
                <w:sz w:val="21"/>
                <w:szCs w:val="21"/>
              </w:rPr>
              <w:t>6</w:t>
            </w:r>
          </w:p>
        </w:tc>
        <w:tc>
          <w:tcPr>
            <w:tcW w:w="1263" w:type="dxa"/>
            <w:noWrap/>
            <w:vAlign w:val="center"/>
          </w:tcPr>
          <w:p>
            <w:pPr>
              <w:pStyle w:val="72"/>
              <w:ind w:firstLine="0"/>
              <w:jc w:val="center"/>
              <w:rPr>
                <w:rFonts w:ascii="宋体" w:hAnsi="宋体" w:cs="宋体"/>
                <w:sz w:val="21"/>
                <w:szCs w:val="21"/>
              </w:rPr>
            </w:pPr>
            <w:r>
              <w:rPr>
                <w:rFonts w:hint="eastAsia" w:ascii="宋体" w:hAnsi="宋体" w:cs="宋体"/>
                <w:sz w:val="21"/>
                <w:szCs w:val="21"/>
              </w:rPr>
              <w:t>高清网络摄像机</w:t>
            </w:r>
          </w:p>
        </w:tc>
        <w:tc>
          <w:tcPr>
            <w:tcW w:w="5600" w:type="dxa"/>
            <w:noWrap/>
            <w:vAlign w:val="center"/>
          </w:tcPr>
          <w:p>
            <w:pPr>
              <w:spacing w:line="360" w:lineRule="auto"/>
              <w:jc w:val="left"/>
              <w:rPr>
                <w:rFonts w:hint="eastAsia"/>
              </w:rPr>
            </w:pPr>
          </w:p>
          <w:p>
            <w:pPr>
              <w:spacing w:line="360" w:lineRule="auto"/>
              <w:jc w:val="left"/>
            </w:pPr>
            <w:r>
              <w:rPr>
                <w:rFonts w:hint="eastAsia"/>
              </w:rPr>
              <w:t>不低于500万像素,POE供电</w:t>
            </w:r>
          </w:p>
          <w:p>
            <w:pPr>
              <w:spacing w:line="360" w:lineRule="auto"/>
              <w:jc w:val="left"/>
            </w:pPr>
            <w:r>
              <w:rPr>
                <w:rFonts w:hint="eastAsia"/>
              </w:rPr>
              <w:t>1/2.7" Progressive Scan CMOS</w:t>
            </w:r>
          </w:p>
          <w:p>
            <w:pPr>
              <w:spacing w:line="360" w:lineRule="auto"/>
              <w:jc w:val="left"/>
              <w:rPr>
                <w:rFonts w:hint="eastAsia"/>
              </w:rPr>
            </w:pPr>
            <w:r>
              <w:rPr>
                <w:rFonts w:hint="eastAsia"/>
              </w:rPr>
              <w:t>智能侦测: 区域入侵侦测, 越界侦测；</w:t>
            </w:r>
          </w:p>
          <w:p>
            <w:pPr>
              <w:pStyle w:val="2"/>
              <w:ind w:firstLine="0" w:firstLineChars="0"/>
            </w:pPr>
            <w:r>
              <w:rPr>
                <w:rFonts w:hint="eastAsia"/>
              </w:rPr>
              <w:t>支持人像识别功能。</w:t>
            </w:r>
          </w:p>
          <w:p>
            <w:pPr>
              <w:spacing w:line="360" w:lineRule="auto"/>
              <w:jc w:val="left"/>
            </w:pPr>
            <w:r>
              <w:rPr>
                <w:rFonts w:hint="eastAsia"/>
              </w:rPr>
              <w:t>H.265, Smart265, H.264, Smart264</w:t>
            </w:r>
          </w:p>
          <w:p>
            <w:pPr>
              <w:spacing w:line="360" w:lineRule="auto"/>
              <w:jc w:val="left"/>
            </w:pPr>
            <w:r>
              <w:rPr>
                <w:rFonts w:hint="eastAsia"/>
              </w:rPr>
              <w:t>数字宽动态, 背光补偿, 透雾, 3D 数字降噪</w:t>
            </w:r>
          </w:p>
          <w:p>
            <w:pPr>
              <w:spacing w:line="360" w:lineRule="auto"/>
              <w:jc w:val="left"/>
            </w:pPr>
            <w:r>
              <w:rPr>
                <w:rFonts w:hint="eastAsia"/>
              </w:rPr>
              <w:t>ROI 编码技术</w:t>
            </w:r>
            <w:r>
              <w:t xml:space="preserve"> </w:t>
            </w:r>
          </w:p>
          <w:p>
            <w:pPr>
              <w:spacing w:line="360" w:lineRule="auto"/>
              <w:jc w:val="left"/>
              <w:rPr>
                <w:rFonts w:hint="eastAsia"/>
              </w:rPr>
            </w:pPr>
            <w:r>
              <w:rPr>
                <w:rFonts w:hint="eastAsia"/>
              </w:rPr>
              <w:t xml:space="preserve">DC12 V 电源输出, </w:t>
            </w:r>
          </w:p>
          <w:p>
            <w:pPr>
              <w:spacing w:line="360" w:lineRule="auto"/>
              <w:jc w:val="left"/>
            </w:pPr>
            <w:r>
              <w:rPr>
                <w:rFonts w:hint="eastAsia"/>
              </w:rPr>
              <w:t>红外灯补光≥50 m</w:t>
            </w:r>
          </w:p>
          <w:p>
            <w:pPr>
              <w:spacing w:line="360" w:lineRule="auto"/>
              <w:jc w:val="left"/>
              <w:rPr>
                <w:rFonts w:hint="eastAsia"/>
              </w:rPr>
            </w:pPr>
            <w:r>
              <w:rPr>
                <w:rFonts w:hint="eastAsia"/>
              </w:rPr>
              <w:t>防护等级不低于：IP66</w:t>
            </w:r>
          </w:p>
          <w:p>
            <w:pPr>
              <w:spacing w:line="360" w:lineRule="auto"/>
              <w:rPr>
                <w:rFonts w:ascii="仿宋" w:hAnsi="仿宋" w:eastAsia="仿宋" w:cs="仿宋"/>
                <w:szCs w:val="21"/>
                <w:lang w:val="zh-CN"/>
              </w:rPr>
            </w:pPr>
            <w:r>
              <w:rPr>
                <w:rFonts w:hint="eastAsia" w:ascii="宋体" w:hAnsi="宋体"/>
                <w:szCs w:val="21"/>
              </w:rPr>
              <w:t>所投产品可实现与中考软件管理系统对接，为保证考生信息安全性，需提供所投产品制造商符合工业和信息化部组织的信息技术服务运行维护标准一级证书；所投产品制造商需具备中国合格评定国家认可委员会实验室认可证书。</w:t>
            </w:r>
          </w:p>
        </w:tc>
        <w:tc>
          <w:tcPr>
            <w:tcW w:w="775" w:type="dxa"/>
            <w:noWrap/>
            <w:vAlign w:val="center"/>
          </w:tcPr>
          <w:p>
            <w:pPr>
              <w:pStyle w:val="72"/>
              <w:ind w:firstLine="0"/>
              <w:jc w:val="center"/>
              <w:rPr>
                <w:rFonts w:ascii="宋体" w:hAnsi="宋体" w:cs="宋体"/>
                <w:sz w:val="21"/>
                <w:szCs w:val="21"/>
              </w:rPr>
            </w:pPr>
            <w:r>
              <w:rPr>
                <w:rFonts w:hint="eastAsia" w:ascii="宋体" w:hAnsi="宋体" w:cs="宋体"/>
                <w:sz w:val="21"/>
                <w:szCs w:val="21"/>
              </w:rPr>
              <w:t>台</w:t>
            </w:r>
          </w:p>
        </w:tc>
        <w:tc>
          <w:tcPr>
            <w:tcW w:w="762" w:type="dxa"/>
            <w:noWrap/>
            <w:vAlign w:val="center"/>
          </w:tcPr>
          <w:p>
            <w:pPr>
              <w:pStyle w:val="72"/>
              <w:ind w:firstLine="0"/>
              <w:jc w:val="center"/>
              <w:rPr>
                <w:rFonts w:ascii="宋体" w:hAnsi="宋体" w:cs="宋体"/>
                <w:sz w:val="21"/>
                <w:szCs w:val="21"/>
              </w:rPr>
            </w:pPr>
            <w:r>
              <w:rPr>
                <w:rFonts w:hint="eastAsia" w:ascii="宋体" w:hAnsi="宋体" w:cs="宋体"/>
                <w:sz w:val="21"/>
                <w:szCs w:val="21"/>
              </w:rPr>
              <w:t>8</w:t>
            </w:r>
          </w:p>
        </w:tc>
        <w:tc>
          <w:tcPr>
            <w:tcW w:w="869" w:type="dxa"/>
            <w:noWrap/>
            <w:vAlign w:val="center"/>
          </w:tcPr>
          <w:p>
            <w:pPr>
              <w:pStyle w:val="72"/>
              <w:jc w:val="center"/>
              <w:rPr>
                <w:rFonts w:ascii="宋体" w:hAnsi="宋体" w:cs="宋体"/>
                <w:sz w:val="21"/>
                <w:szCs w:val="21"/>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93" w:type="dxa"/>
            <w:noWrap/>
            <w:vAlign w:val="center"/>
          </w:tcPr>
          <w:p>
            <w:pPr>
              <w:pStyle w:val="72"/>
              <w:ind w:firstLine="0"/>
              <w:jc w:val="center"/>
              <w:rPr>
                <w:rFonts w:ascii="宋体" w:hAnsi="宋体" w:cs="宋体"/>
                <w:sz w:val="21"/>
                <w:szCs w:val="21"/>
              </w:rPr>
            </w:pPr>
            <w:r>
              <w:rPr>
                <w:rFonts w:hint="eastAsia" w:ascii="宋体" w:hAnsi="宋体" w:cs="宋体"/>
                <w:sz w:val="21"/>
                <w:szCs w:val="21"/>
              </w:rPr>
              <w:t>7</w:t>
            </w:r>
          </w:p>
        </w:tc>
        <w:tc>
          <w:tcPr>
            <w:tcW w:w="1263" w:type="dxa"/>
            <w:noWrap/>
            <w:vAlign w:val="center"/>
          </w:tcPr>
          <w:p>
            <w:pPr>
              <w:rPr>
                <w:rFonts w:ascii="宋体" w:hAnsi="宋体" w:cs="宋体"/>
                <w:szCs w:val="21"/>
              </w:rPr>
            </w:pPr>
            <w:r>
              <w:rPr>
                <w:rFonts w:hint="eastAsia"/>
                <w:szCs w:val="21"/>
              </w:rPr>
              <w:t>16路NVR</w:t>
            </w:r>
          </w:p>
        </w:tc>
        <w:tc>
          <w:tcPr>
            <w:tcW w:w="5600" w:type="dxa"/>
            <w:noWrap/>
            <w:vAlign w:val="center"/>
          </w:tcPr>
          <w:p>
            <w:pPr>
              <w:spacing w:line="360" w:lineRule="auto"/>
              <w:jc w:val="left"/>
              <w:rPr>
                <w:rFonts w:ascii="宋体" w:hAnsi="宋体"/>
                <w:szCs w:val="21"/>
              </w:rPr>
            </w:pPr>
            <w:r>
              <w:rPr>
                <w:rFonts w:hint="eastAsia" w:ascii="宋体" w:hAnsi="宋体"/>
                <w:szCs w:val="21"/>
              </w:rPr>
              <w:t>支持不低于16路500万高清摄像视频接入；</w:t>
            </w:r>
          </w:p>
          <w:p>
            <w:pPr>
              <w:spacing w:line="360" w:lineRule="auto"/>
              <w:jc w:val="left"/>
              <w:rPr>
                <w:rFonts w:ascii="宋体" w:hAnsi="宋体"/>
                <w:szCs w:val="21"/>
              </w:rPr>
            </w:pPr>
            <w:r>
              <w:rPr>
                <w:rFonts w:hint="eastAsia" w:ascii="宋体" w:hAnsi="宋体"/>
                <w:szCs w:val="21"/>
              </w:rPr>
              <w:t>支持机架安装；</w:t>
            </w:r>
            <w:r>
              <w:rPr>
                <w:rFonts w:hint="eastAsia" w:ascii="宋体" w:hAnsi="宋体"/>
                <w:szCs w:val="21"/>
              </w:rPr>
              <w:br w:type="textWrapping"/>
            </w:r>
            <w:r>
              <w:rPr>
                <w:rFonts w:hint="eastAsia" w:ascii="宋体" w:hAnsi="宋体"/>
                <w:szCs w:val="21"/>
              </w:rPr>
              <w:t>2盘位，最大支持8TB硬盘</w:t>
            </w:r>
            <w:r>
              <w:rPr>
                <w:rFonts w:hint="eastAsia" w:ascii="宋体" w:hAnsi="宋体"/>
                <w:szCs w:val="21"/>
              </w:rPr>
              <w:br w:type="textWrapping"/>
            </w:r>
            <w:r>
              <w:rPr>
                <w:rFonts w:hint="eastAsia" w:ascii="宋体" w:hAnsi="宋体"/>
                <w:szCs w:val="21"/>
              </w:rPr>
              <w:t>支持1个HDMI 4K输出 +1个VGA同源高清1080P输出</w:t>
            </w:r>
            <w:r>
              <w:rPr>
                <w:rFonts w:hint="eastAsia" w:ascii="宋体" w:hAnsi="宋体"/>
                <w:szCs w:val="21"/>
              </w:rPr>
              <w:br w:type="textWrapping"/>
            </w:r>
            <w:r>
              <w:rPr>
                <w:rFonts w:hint="eastAsia" w:ascii="宋体" w:hAnsi="宋体"/>
                <w:szCs w:val="21"/>
              </w:rPr>
              <w:t>支持8路1080P解码</w:t>
            </w:r>
            <w:r>
              <w:rPr>
                <w:rFonts w:hint="eastAsia" w:ascii="宋体" w:hAnsi="宋体"/>
                <w:szCs w:val="21"/>
              </w:rPr>
              <w:br w:type="textWrapping"/>
            </w:r>
            <w:r>
              <w:rPr>
                <w:rFonts w:hint="eastAsia" w:ascii="宋体" w:hAnsi="宋体"/>
                <w:szCs w:val="21"/>
              </w:rPr>
              <w:t>支持H.265、H.264混合解码，最大支持接入8MP高清IPC</w:t>
            </w:r>
            <w:r>
              <w:rPr>
                <w:rFonts w:hint="eastAsia" w:ascii="宋体" w:hAnsi="宋体"/>
                <w:szCs w:val="21"/>
              </w:rPr>
              <w:br w:type="textWrapping"/>
            </w:r>
            <w:r>
              <w:rPr>
                <w:rFonts w:hint="eastAsia" w:ascii="宋体" w:hAnsi="宋体"/>
                <w:szCs w:val="21"/>
              </w:rPr>
              <w:t>2个千兆网口</w:t>
            </w:r>
          </w:p>
          <w:p>
            <w:pPr>
              <w:spacing w:line="360" w:lineRule="auto"/>
              <w:jc w:val="left"/>
              <w:rPr>
                <w:rFonts w:ascii="宋体" w:hAnsi="宋体"/>
                <w:szCs w:val="21"/>
              </w:rPr>
            </w:pPr>
            <w:r>
              <w:rPr>
                <w:rFonts w:hint="eastAsia" w:ascii="宋体" w:hAnsi="宋体"/>
                <w:szCs w:val="21"/>
              </w:rPr>
              <w:t>自带16进4出报警口</w:t>
            </w:r>
            <w:r>
              <w:rPr>
                <w:rFonts w:hint="eastAsia" w:ascii="宋体" w:hAnsi="宋体"/>
                <w:szCs w:val="21"/>
              </w:rPr>
              <w:br w:type="textWrapping"/>
            </w:r>
            <w:r>
              <w:rPr>
                <w:rFonts w:hint="eastAsia" w:ascii="宋体" w:hAnsi="宋体"/>
                <w:szCs w:val="21"/>
              </w:rPr>
              <w:t>2个USB2.0接口+1个USB3.0接口</w:t>
            </w:r>
          </w:p>
        </w:tc>
        <w:tc>
          <w:tcPr>
            <w:tcW w:w="775" w:type="dxa"/>
            <w:noWrap/>
            <w:vAlign w:val="center"/>
          </w:tcPr>
          <w:p>
            <w:pPr>
              <w:pStyle w:val="72"/>
              <w:ind w:firstLine="0"/>
              <w:jc w:val="center"/>
              <w:rPr>
                <w:rFonts w:ascii="宋体" w:hAnsi="宋体" w:cs="宋体"/>
                <w:sz w:val="21"/>
                <w:szCs w:val="21"/>
              </w:rPr>
            </w:pPr>
            <w:r>
              <w:rPr>
                <w:rFonts w:hint="eastAsia" w:ascii="宋体" w:hAnsi="宋体" w:cs="宋体"/>
                <w:sz w:val="21"/>
                <w:szCs w:val="21"/>
              </w:rPr>
              <w:t>台</w:t>
            </w:r>
          </w:p>
        </w:tc>
        <w:tc>
          <w:tcPr>
            <w:tcW w:w="762" w:type="dxa"/>
            <w:noWrap/>
            <w:vAlign w:val="center"/>
          </w:tcPr>
          <w:p>
            <w:pPr>
              <w:pStyle w:val="72"/>
              <w:ind w:firstLine="0"/>
              <w:jc w:val="center"/>
              <w:rPr>
                <w:rFonts w:ascii="宋体" w:hAnsi="宋体" w:cs="宋体"/>
                <w:sz w:val="21"/>
                <w:szCs w:val="21"/>
              </w:rPr>
            </w:pPr>
            <w:r>
              <w:rPr>
                <w:rFonts w:ascii="宋体" w:hAnsi="宋体" w:cs="宋体"/>
                <w:sz w:val="21"/>
                <w:szCs w:val="21"/>
              </w:rPr>
              <w:t>1</w:t>
            </w:r>
          </w:p>
        </w:tc>
        <w:tc>
          <w:tcPr>
            <w:tcW w:w="869" w:type="dxa"/>
            <w:noWrap/>
            <w:vAlign w:val="center"/>
          </w:tcPr>
          <w:p>
            <w:pPr>
              <w:pStyle w:val="72"/>
              <w:jc w:val="center"/>
              <w:rPr>
                <w:rFonts w:ascii="宋体" w:hAnsi="宋体" w:cs="宋体"/>
                <w:sz w:val="21"/>
                <w:szCs w:val="21"/>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93" w:type="dxa"/>
            <w:noWrap/>
            <w:vAlign w:val="center"/>
          </w:tcPr>
          <w:p>
            <w:pPr>
              <w:pStyle w:val="72"/>
              <w:ind w:firstLine="0"/>
              <w:jc w:val="center"/>
              <w:rPr>
                <w:rFonts w:ascii="宋体" w:hAnsi="宋体" w:cs="宋体"/>
                <w:sz w:val="21"/>
                <w:szCs w:val="21"/>
              </w:rPr>
            </w:pPr>
            <w:r>
              <w:rPr>
                <w:rFonts w:hint="eastAsia" w:ascii="宋体" w:hAnsi="宋体" w:cs="宋体"/>
                <w:sz w:val="21"/>
                <w:szCs w:val="21"/>
              </w:rPr>
              <w:t>8</w:t>
            </w:r>
          </w:p>
        </w:tc>
        <w:tc>
          <w:tcPr>
            <w:tcW w:w="1263" w:type="dxa"/>
            <w:noWrap/>
            <w:vAlign w:val="center"/>
          </w:tcPr>
          <w:p>
            <w:pPr>
              <w:pStyle w:val="72"/>
              <w:ind w:firstLine="0"/>
              <w:jc w:val="center"/>
              <w:rPr>
                <w:rFonts w:hint="eastAsia"/>
                <w:spacing w:val="0"/>
                <w:kern w:val="2"/>
                <w:sz w:val="21"/>
                <w:szCs w:val="21"/>
              </w:rPr>
            </w:pPr>
            <w:r>
              <w:rPr>
                <w:rFonts w:hint="eastAsia"/>
                <w:spacing w:val="0"/>
                <w:kern w:val="2"/>
                <w:sz w:val="21"/>
                <w:szCs w:val="21"/>
              </w:rPr>
              <w:t>监控级硬盘</w:t>
            </w:r>
          </w:p>
        </w:tc>
        <w:tc>
          <w:tcPr>
            <w:tcW w:w="5600" w:type="dxa"/>
            <w:noWrap/>
            <w:vAlign w:val="center"/>
          </w:tcPr>
          <w:p>
            <w:pPr>
              <w:pStyle w:val="72"/>
              <w:jc w:val="left"/>
              <w:rPr>
                <w:rFonts w:ascii="宋体" w:hAnsi="宋体" w:cs="宋体"/>
                <w:sz w:val="21"/>
                <w:szCs w:val="21"/>
              </w:rPr>
            </w:pPr>
            <w:r>
              <w:rPr>
                <w:rFonts w:hint="eastAsia" w:ascii="宋体" w:hAnsi="宋体" w:cs="宋体"/>
                <w:sz w:val="21"/>
                <w:szCs w:val="21"/>
              </w:rPr>
              <w:t>4T监控专用硬盘</w:t>
            </w:r>
          </w:p>
        </w:tc>
        <w:tc>
          <w:tcPr>
            <w:tcW w:w="775" w:type="dxa"/>
            <w:noWrap/>
            <w:vAlign w:val="center"/>
          </w:tcPr>
          <w:p>
            <w:pPr>
              <w:pStyle w:val="72"/>
              <w:ind w:firstLine="0"/>
              <w:jc w:val="center"/>
              <w:rPr>
                <w:rFonts w:ascii="宋体" w:hAnsi="宋体" w:cs="宋体"/>
                <w:sz w:val="21"/>
                <w:szCs w:val="21"/>
              </w:rPr>
            </w:pPr>
            <w:r>
              <w:rPr>
                <w:rFonts w:hint="eastAsia" w:ascii="宋体" w:hAnsi="宋体" w:cs="宋体"/>
                <w:sz w:val="21"/>
                <w:szCs w:val="21"/>
              </w:rPr>
              <w:t>块</w:t>
            </w:r>
          </w:p>
        </w:tc>
        <w:tc>
          <w:tcPr>
            <w:tcW w:w="762" w:type="dxa"/>
            <w:noWrap/>
            <w:vAlign w:val="center"/>
          </w:tcPr>
          <w:p>
            <w:pPr>
              <w:pStyle w:val="72"/>
              <w:ind w:firstLine="0"/>
              <w:jc w:val="center"/>
              <w:rPr>
                <w:rFonts w:ascii="宋体" w:hAnsi="宋体" w:cs="宋体"/>
                <w:sz w:val="21"/>
                <w:szCs w:val="21"/>
              </w:rPr>
            </w:pPr>
            <w:r>
              <w:rPr>
                <w:rFonts w:hint="eastAsia" w:ascii="宋体" w:hAnsi="宋体" w:cs="宋体"/>
                <w:sz w:val="21"/>
                <w:szCs w:val="21"/>
              </w:rPr>
              <w:t>2</w:t>
            </w:r>
          </w:p>
        </w:tc>
        <w:tc>
          <w:tcPr>
            <w:tcW w:w="869" w:type="dxa"/>
            <w:noWrap/>
            <w:vAlign w:val="center"/>
          </w:tcPr>
          <w:p>
            <w:pPr>
              <w:pStyle w:val="72"/>
              <w:jc w:val="center"/>
              <w:rPr>
                <w:rFonts w:ascii="宋体" w:hAnsi="宋体" w:cs="宋体"/>
                <w:sz w:val="21"/>
                <w:szCs w:val="21"/>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93" w:type="dxa"/>
            <w:noWrap/>
            <w:vAlign w:val="center"/>
          </w:tcPr>
          <w:p>
            <w:pPr>
              <w:pStyle w:val="72"/>
              <w:ind w:firstLine="0"/>
              <w:jc w:val="center"/>
              <w:rPr>
                <w:rFonts w:ascii="宋体" w:hAnsi="宋体" w:cs="宋体"/>
                <w:sz w:val="21"/>
                <w:szCs w:val="21"/>
              </w:rPr>
            </w:pPr>
            <w:r>
              <w:rPr>
                <w:rFonts w:hint="eastAsia" w:ascii="宋体" w:hAnsi="宋体" w:cs="宋体"/>
                <w:sz w:val="21"/>
                <w:szCs w:val="21"/>
              </w:rPr>
              <w:t>9</w:t>
            </w:r>
          </w:p>
        </w:tc>
        <w:tc>
          <w:tcPr>
            <w:tcW w:w="1263" w:type="dxa"/>
            <w:noWrap/>
            <w:vAlign w:val="center"/>
          </w:tcPr>
          <w:p>
            <w:pPr>
              <w:pStyle w:val="72"/>
              <w:ind w:firstLine="0"/>
              <w:jc w:val="center"/>
              <w:rPr>
                <w:rFonts w:hint="eastAsia"/>
                <w:spacing w:val="0"/>
                <w:kern w:val="2"/>
                <w:sz w:val="21"/>
                <w:szCs w:val="21"/>
              </w:rPr>
            </w:pPr>
            <w:r>
              <w:rPr>
                <w:rFonts w:hint="eastAsia"/>
                <w:spacing w:val="0"/>
                <w:kern w:val="2"/>
                <w:sz w:val="21"/>
                <w:szCs w:val="21"/>
              </w:rPr>
              <w:t>POE交换机</w:t>
            </w:r>
          </w:p>
        </w:tc>
        <w:tc>
          <w:tcPr>
            <w:tcW w:w="5600" w:type="dxa"/>
            <w:noWrap/>
            <w:vAlign w:val="center"/>
          </w:tcPr>
          <w:p>
            <w:pPr>
              <w:spacing w:line="360" w:lineRule="auto"/>
              <w:jc w:val="left"/>
              <w:rPr>
                <w:rFonts w:ascii="宋体" w:hAnsi="宋体"/>
                <w:szCs w:val="21"/>
              </w:rPr>
            </w:pPr>
            <w:r>
              <w:rPr>
                <w:rFonts w:ascii="宋体" w:hAnsi="宋体"/>
                <w:szCs w:val="21"/>
              </w:rPr>
              <w:t>8个千兆PoE电口，1个千兆电口，1个千兆光口</w:t>
            </w:r>
          </w:p>
          <w:p>
            <w:pPr>
              <w:pStyle w:val="72"/>
              <w:ind w:firstLine="0"/>
              <w:jc w:val="left"/>
              <w:rPr>
                <w:rFonts w:ascii="宋体" w:hAnsi="宋体" w:cs="宋体"/>
                <w:sz w:val="21"/>
                <w:szCs w:val="21"/>
              </w:rPr>
            </w:pPr>
            <w:r>
              <w:rPr>
                <w:rFonts w:ascii="宋体" w:hAnsi="宋体"/>
                <w:sz w:val="21"/>
                <w:szCs w:val="21"/>
              </w:rPr>
              <w:t>支持IEEE 802.3at/af。</w:t>
            </w:r>
            <w:r>
              <w:rPr>
                <w:rFonts w:hint="eastAsia" w:ascii="宋体" w:hAnsi="宋体"/>
                <w:sz w:val="21"/>
                <w:szCs w:val="21"/>
              </w:rPr>
              <w:br w:type="textWrapping"/>
            </w:r>
            <w:r>
              <w:rPr>
                <w:rFonts w:hint="eastAsia" w:ascii="宋体" w:hAnsi="宋体"/>
                <w:sz w:val="21"/>
                <w:szCs w:val="21"/>
              </w:rPr>
              <w:t>支持IEEE 802.3、IEEE 802.3u、IEEE 802.3x。</w:t>
            </w:r>
            <w:r>
              <w:rPr>
                <w:rFonts w:hint="eastAsia" w:ascii="宋体" w:hAnsi="宋体"/>
                <w:sz w:val="21"/>
                <w:szCs w:val="21"/>
              </w:rPr>
              <w:br w:type="textWrapping"/>
            </w:r>
            <w:r>
              <w:rPr>
                <w:rFonts w:hint="eastAsia" w:ascii="宋体" w:hAnsi="宋体"/>
                <w:sz w:val="21"/>
                <w:szCs w:val="21"/>
              </w:rPr>
              <w:t>支持6 KV防浪涌（PoE口）。</w:t>
            </w:r>
            <w:r>
              <w:rPr>
                <w:rFonts w:hint="eastAsia" w:ascii="宋体" w:hAnsi="宋体"/>
                <w:sz w:val="21"/>
                <w:szCs w:val="21"/>
              </w:rPr>
              <w:br w:type="textWrapping"/>
            </w:r>
            <w:r>
              <w:rPr>
                <w:rFonts w:hint="eastAsia" w:ascii="宋体" w:hAnsi="宋体"/>
                <w:sz w:val="21"/>
                <w:szCs w:val="21"/>
              </w:rPr>
              <w:t>支持PoE输出功率管理。</w:t>
            </w:r>
            <w:r>
              <w:rPr>
                <w:rFonts w:hint="eastAsia" w:ascii="宋体" w:hAnsi="宋体"/>
                <w:sz w:val="21"/>
                <w:szCs w:val="21"/>
              </w:rPr>
              <w:br w:type="textWrapping"/>
            </w:r>
            <w:r>
              <w:rPr>
                <w:rFonts w:hint="eastAsia" w:ascii="宋体" w:hAnsi="宋体"/>
                <w:sz w:val="21"/>
                <w:szCs w:val="21"/>
              </w:rPr>
              <w:t>千兆网络接入设计。</w:t>
            </w:r>
            <w:r>
              <w:rPr>
                <w:rFonts w:hint="eastAsia" w:ascii="宋体" w:hAnsi="宋体"/>
                <w:sz w:val="21"/>
                <w:szCs w:val="21"/>
              </w:rPr>
              <w:br w:type="textWrapping"/>
            </w:r>
            <w:r>
              <w:rPr>
                <w:rFonts w:hint="eastAsia" w:ascii="宋体" w:hAnsi="宋体"/>
                <w:sz w:val="21"/>
                <w:szCs w:val="21"/>
              </w:rPr>
              <w:t>线速转发、无阻塞设计。</w:t>
            </w:r>
            <w:r>
              <w:rPr>
                <w:rFonts w:hint="eastAsia" w:ascii="宋体" w:hAnsi="宋体"/>
                <w:sz w:val="21"/>
                <w:szCs w:val="21"/>
              </w:rPr>
              <w:br w:type="textWrapping"/>
            </w:r>
            <w:r>
              <w:rPr>
                <w:rFonts w:hint="eastAsia" w:ascii="宋体" w:hAnsi="宋体"/>
                <w:sz w:val="21"/>
                <w:szCs w:val="21"/>
              </w:rPr>
              <w:t>存储转发交换方式。</w:t>
            </w:r>
            <w:r>
              <w:rPr>
                <w:rFonts w:hint="eastAsia" w:ascii="宋体" w:hAnsi="宋体"/>
                <w:sz w:val="21"/>
                <w:szCs w:val="21"/>
              </w:rPr>
              <w:br w:type="textWrapping"/>
            </w:r>
            <w:r>
              <w:rPr>
                <w:rFonts w:hint="eastAsia" w:ascii="宋体" w:hAnsi="宋体"/>
                <w:sz w:val="21"/>
                <w:szCs w:val="21"/>
              </w:rPr>
              <w:t>坚固式高强度金属外壳。</w:t>
            </w:r>
          </w:p>
        </w:tc>
        <w:tc>
          <w:tcPr>
            <w:tcW w:w="775" w:type="dxa"/>
            <w:noWrap/>
            <w:vAlign w:val="center"/>
          </w:tcPr>
          <w:p>
            <w:pPr>
              <w:pStyle w:val="72"/>
              <w:ind w:firstLine="0"/>
              <w:jc w:val="center"/>
              <w:rPr>
                <w:rFonts w:ascii="宋体" w:hAnsi="宋体" w:cs="宋体"/>
                <w:sz w:val="21"/>
                <w:szCs w:val="21"/>
              </w:rPr>
            </w:pPr>
            <w:r>
              <w:rPr>
                <w:rFonts w:hint="eastAsia" w:ascii="宋体" w:hAnsi="宋体" w:cs="宋体"/>
                <w:sz w:val="21"/>
                <w:szCs w:val="21"/>
              </w:rPr>
              <w:t>台</w:t>
            </w:r>
          </w:p>
        </w:tc>
        <w:tc>
          <w:tcPr>
            <w:tcW w:w="762" w:type="dxa"/>
            <w:noWrap/>
            <w:vAlign w:val="center"/>
          </w:tcPr>
          <w:p>
            <w:pPr>
              <w:pStyle w:val="72"/>
              <w:ind w:firstLine="0"/>
              <w:jc w:val="center"/>
              <w:rPr>
                <w:rFonts w:ascii="宋体" w:hAnsi="宋体" w:cs="宋体"/>
                <w:sz w:val="21"/>
                <w:szCs w:val="21"/>
              </w:rPr>
            </w:pPr>
            <w:r>
              <w:rPr>
                <w:rFonts w:hint="eastAsia" w:ascii="宋体" w:hAnsi="宋体" w:cs="宋体"/>
                <w:sz w:val="21"/>
                <w:szCs w:val="21"/>
              </w:rPr>
              <w:t>3</w:t>
            </w:r>
          </w:p>
        </w:tc>
        <w:tc>
          <w:tcPr>
            <w:tcW w:w="869" w:type="dxa"/>
            <w:noWrap/>
            <w:vAlign w:val="center"/>
          </w:tcPr>
          <w:p>
            <w:pPr>
              <w:pStyle w:val="72"/>
              <w:jc w:val="center"/>
              <w:rPr>
                <w:rFonts w:ascii="宋体" w:hAnsi="宋体" w:cs="宋体"/>
                <w:sz w:val="21"/>
                <w:szCs w:val="21"/>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93" w:type="dxa"/>
            <w:noWrap/>
            <w:vAlign w:val="center"/>
          </w:tcPr>
          <w:p>
            <w:pPr>
              <w:pStyle w:val="72"/>
              <w:ind w:firstLine="0"/>
              <w:jc w:val="center"/>
              <w:rPr>
                <w:rFonts w:ascii="宋体" w:hAnsi="宋体" w:cs="宋体"/>
                <w:sz w:val="21"/>
                <w:szCs w:val="21"/>
              </w:rPr>
            </w:pPr>
            <w:r>
              <w:rPr>
                <w:rFonts w:hint="eastAsia" w:ascii="宋体" w:hAnsi="宋体" w:cs="宋体"/>
                <w:sz w:val="21"/>
                <w:szCs w:val="21"/>
              </w:rPr>
              <w:t>10</w:t>
            </w:r>
          </w:p>
        </w:tc>
        <w:tc>
          <w:tcPr>
            <w:tcW w:w="1263" w:type="dxa"/>
            <w:noWrap/>
            <w:vAlign w:val="center"/>
          </w:tcPr>
          <w:p>
            <w:pPr>
              <w:pStyle w:val="72"/>
              <w:ind w:firstLine="0"/>
              <w:jc w:val="center"/>
              <w:rPr>
                <w:rFonts w:ascii="宋体" w:hAnsi="宋体" w:cs="宋体"/>
                <w:sz w:val="21"/>
                <w:szCs w:val="21"/>
              </w:rPr>
            </w:pPr>
            <w:r>
              <w:rPr>
                <w:rFonts w:hint="eastAsia" w:ascii="宋体" w:hAnsi="宋体" w:cs="宋体"/>
                <w:sz w:val="21"/>
                <w:szCs w:val="21"/>
              </w:rPr>
              <w:t>落地支架</w:t>
            </w:r>
          </w:p>
        </w:tc>
        <w:tc>
          <w:tcPr>
            <w:tcW w:w="5600" w:type="dxa"/>
            <w:noWrap/>
            <w:vAlign w:val="center"/>
          </w:tcPr>
          <w:p>
            <w:pPr>
              <w:pStyle w:val="72"/>
              <w:jc w:val="center"/>
              <w:rPr>
                <w:rFonts w:ascii="宋体" w:hAnsi="宋体" w:cs="宋体"/>
                <w:sz w:val="21"/>
                <w:szCs w:val="21"/>
              </w:rPr>
            </w:pPr>
            <w:r>
              <w:rPr>
                <w:rFonts w:hint="eastAsia" w:ascii="宋体" w:hAnsi="宋体" w:cs="宋体"/>
                <w:sz w:val="21"/>
                <w:szCs w:val="21"/>
              </w:rPr>
              <w:t>可伸缩1-1.8米落地支架</w:t>
            </w:r>
          </w:p>
        </w:tc>
        <w:tc>
          <w:tcPr>
            <w:tcW w:w="775" w:type="dxa"/>
            <w:noWrap/>
            <w:vAlign w:val="center"/>
          </w:tcPr>
          <w:p>
            <w:pPr>
              <w:pStyle w:val="72"/>
              <w:ind w:firstLine="0"/>
              <w:jc w:val="center"/>
              <w:rPr>
                <w:rFonts w:ascii="宋体" w:hAnsi="宋体" w:cs="宋体"/>
                <w:sz w:val="21"/>
                <w:szCs w:val="21"/>
              </w:rPr>
            </w:pPr>
            <w:r>
              <w:rPr>
                <w:rFonts w:hint="eastAsia" w:ascii="宋体" w:hAnsi="宋体" w:cs="宋体"/>
                <w:sz w:val="21"/>
                <w:szCs w:val="21"/>
              </w:rPr>
              <w:t>个</w:t>
            </w:r>
          </w:p>
        </w:tc>
        <w:tc>
          <w:tcPr>
            <w:tcW w:w="762" w:type="dxa"/>
            <w:noWrap/>
            <w:vAlign w:val="center"/>
          </w:tcPr>
          <w:p>
            <w:pPr>
              <w:pStyle w:val="72"/>
              <w:ind w:firstLine="0"/>
              <w:jc w:val="center"/>
              <w:rPr>
                <w:rFonts w:ascii="宋体" w:hAnsi="宋体" w:cs="宋体"/>
                <w:sz w:val="21"/>
                <w:szCs w:val="21"/>
              </w:rPr>
            </w:pPr>
            <w:r>
              <w:rPr>
                <w:rFonts w:hint="eastAsia" w:ascii="宋体" w:hAnsi="宋体" w:cs="宋体"/>
                <w:sz w:val="21"/>
                <w:szCs w:val="21"/>
              </w:rPr>
              <w:t>8</w:t>
            </w:r>
          </w:p>
        </w:tc>
        <w:tc>
          <w:tcPr>
            <w:tcW w:w="869" w:type="dxa"/>
            <w:noWrap/>
            <w:vAlign w:val="center"/>
          </w:tcPr>
          <w:p>
            <w:pPr>
              <w:pStyle w:val="72"/>
              <w:jc w:val="center"/>
              <w:rPr>
                <w:rFonts w:ascii="宋体" w:hAnsi="宋体" w:cs="宋体"/>
                <w:sz w:val="21"/>
                <w:szCs w:val="21"/>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93" w:type="dxa"/>
            <w:noWrap/>
            <w:vAlign w:val="center"/>
          </w:tcPr>
          <w:p>
            <w:pPr>
              <w:pStyle w:val="72"/>
              <w:ind w:firstLine="0"/>
              <w:jc w:val="center"/>
              <w:rPr>
                <w:rFonts w:ascii="宋体" w:hAnsi="宋体" w:cs="宋体"/>
                <w:sz w:val="21"/>
                <w:szCs w:val="21"/>
              </w:rPr>
            </w:pPr>
            <w:r>
              <w:rPr>
                <w:rFonts w:hint="eastAsia" w:ascii="宋体" w:hAnsi="宋体" w:cs="宋体"/>
                <w:sz w:val="21"/>
                <w:szCs w:val="21"/>
              </w:rPr>
              <w:t>11</w:t>
            </w:r>
          </w:p>
        </w:tc>
        <w:tc>
          <w:tcPr>
            <w:tcW w:w="1263" w:type="dxa"/>
            <w:noWrap/>
            <w:vAlign w:val="center"/>
          </w:tcPr>
          <w:p>
            <w:pPr>
              <w:pStyle w:val="72"/>
              <w:ind w:firstLine="0"/>
              <w:jc w:val="center"/>
              <w:rPr>
                <w:rFonts w:ascii="宋体" w:hAnsi="宋体" w:cs="宋体"/>
                <w:sz w:val="21"/>
                <w:szCs w:val="21"/>
              </w:rPr>
            </w:pPr>
            <w:r>
              <w:rPr>
                <w:rFonts w:hint="eastAsia" w:ascii="宋体" w:hAnsi="宋体" w:cs="宋体"/>
                <w:sz w:val="21"/>
                <w:szCs w:val="21"/>
              </w:rPr>
              <w:t>超五类网线</w:t>
            </w:r>
          </w:p>
        </w:tc>
        <w:tc>
          <w:tcPr>
            <w:tcW w:w="5600" w:type="dxa"/>
            <w:noWrap/>
            <w:vAlign w:val="center"/>
          </w:tcPr>
          <w:p>
            <w:pPr>
              <w:pStyle w:val="72"/>
              <w:jc w:val="center"/>
              <w:rPr>
                <w:rFonts w:ascii="宋体" w:hAnsi="宋体" w:cs="宋体"/>
                <w:sz w:val="21"/>
                <w:szCs w:val="21"/>
              </w:rPr>
            </w:pPr>
            <w:r>
              <w:rPr>
                <w:rFonts w:hint="eastAsia" w:ascii="宋体" w:hAnsi="宋体" w:cs="宋体"/>
                <w:sz w:val="21"/>
                <w:szCs w:val="21"/>
              </w:rPr>
              <w:t>超五类国标网线</w:t>
            </w:r>
          </w:p>
        </w:tc>
        <w:tc>
          <w:tcPr>
            <w:tcW w:w="775" w:type="dxa"/>
            <w:noWrap/>
            <w:vAlign w:val="center"/>
          </w:tcPr>
          <w:p>
            <w:pPr>
              <w:pStyle w:val="72"/>
              <w:ind w:firstLine="0"/>
              <w:jc w:val="center"/>
              <w:rPr>
                <w:rFonts w:ascii="宋体" w:hAnsi="宋体" w:cs="宋体"/>
                <w:sz w:val="21"/>
                <w:szCs w:val="21"/>
              </w:rPr>
            </w:pPr>
            <w:r>
              <w:rPr>
                <w:rFonts w:hint="eastAsia" w:ascii="宋体" w:hAnsi="宋体" w:cs="宋体"/>
                <w:sz w:val="21"/>
                <w:szCs w:val="21"/>
              </w:rPr>
              <w:t>米</w:t>
            </w:r>
          </w:p>
        </w:tc>
        <w:tc>
          <w:tcPr>
            <w:tcW w:w="762" w:type="dxa"/>
            <w:noWrap/>
            <w:vAlign w:val="center"/>
          </w:tcPr>
          <w:p>
            <w:pPr>
              <w:pStyle w:val="72"/>
              <w:ind w:firstLine="0"/>
              <w:jc w:val="center"/>
              <w:rPr>
                <w:rFonts w:ascii="宋体" w:hAnsi="宋体" w:cs="宋体"/>
                <w:sz w:val="21"/>
                <w:szCs w:val="21"/>
              </w:rPr>
            </w:pPr>
            <w:r>
              <w:rPr>
                <w:rFonts w:hint="eastAsia" w:ascii="宋体" w:hAnsi="宋体" w:cs="宋体"/>
                <w:sz w:val="21"/>
                <w:szCs w:val="21"/>
              </w:rPr>
              <w:t>300</w:t>
            </w:r>
          </w:p>
        </w:tc>
        <w:tc>
          <w:tcPr>
            <w:tcW w:w="869" w:type="dxa"/>
            <w:noWrap/>
            <w:vAlign w:val="center"/>
          </w:tcPr>
          <w:p>
            <w:pPr>
              <w:pStyle w:val="72"/>
              <w:jc w:val="center"/>
              <w:rPr>
                <w:rFonts w:ascii="宋体" w:hAnsi="宋体" w:cs="宋体"/>
                <w:sz w:val="21"/>
                <w:szCs w:val="21"/>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93" w:type="dxa"/>
            <w:noWrap/>
            <w:vAlign w:val="center"/>
          </w:tcPr>
          <w:p>
            <w:pPr>
              <w:pStyle w:val="72"/>
              <w:ind w:firstLine="0"/>
              <w:jc w:val="center"/>
              <w:rPr>
                <w:rFonts w:ascii="宋体" w:hAnsi="宋体" w:cs="宋体"/>
                <w:sz w:val="21"/>
                <w:szCs w:val="21"/>
              </w:rPr>
            </w:pPr>
            <w:r>
              <w:rPr>
                <w:rFonts w:hint="eastAsia" w:ascii="宋体" w:hAnsi="宋体" w:cs="宋体"/>
                <w:sz w:val="21"/>
                <w:szCs w:val="21"/>
              </w:rPr>
              <w:t>12</w:t>
            </w:r>
          </w:p>
        </w:tc>
        <w:tc>
          <w:tcPr>
            <w:tcW w:w="1263" w:type="dxa"/>
            <w:noWrap/>
            <w:vAlign w:val="center"/>
          </w:tcPr>
          <w:p>
            <w:pPr>
              <w:pStyle w:val="72"/>
              <w:ind w:firstLine="0"/>
              <w:jc w:val="center"/>
              <w:rPr>
                <w:rFonts w:ascii="宋体" w:hAnsi="宋体" w:cs="宋体"/>
                <w:sz w:val="21"/>
                <w:szCs w:val="21"/>
              </w:rPr>
            </w:pPr>
            <w:r>
              <w:rPr>
                <w:rFonts w:hint="eastAsia" w:ascii="宋体" w:hAnsi="宋体" w:cs="宋体"/>
                <w:sz w:val="21"/>
                <w:szCs w:val="21"/>
              </w:rPr>
              <w:t>电源线</w:t>
            </w:r>
          </w:p>
        </w:tc>
        <w:tc>
          <w:tcPr>
            <w:tcW w:w="5600" w:type="dxa"/>
            <w:noWrap/>
            <w:vAlign w:val="center"/>
          </w:tcPr>
          <w:p>
            <w:pPr>
              <w:pStyle w:val="72"/>
              <w:jc w:val="center"/>
              <w:rPr>
                <w:rFonts w:ascii="宋体" w:hAnsi="宋体" w:cs="宋体"/>
                <w:sz w:val="21"/>
                <w:szCs w:val="21"/>
              </w:rPr>
            </w:pPr>
            <w:r>
              <w:rPr>
                <w:rFonts w:hint="eastAsia" w:ascii="宋体" w:hAnsi="宋体" w:cs="宋体"/>
                <w:sz w:val="21"/>
                <w:szCs w:val="21"/>
              </w:rPr>
              <w:t>RVV*1.0国标纯铜</w:t>
            </w:r>
          </w:p>
        </w:tc>
        <w:tc>
          <w:tcPr>
            <w:tcW w:w="775" w:type="dxa"/>
            <w:noWrap/>
            <w:vAlign w:val="center"/>
          </w:tcPr>
          <w:p>
            <w:pPr>
              <w:pStyle w:val="72"/>
              <w:ind w:firstLine="0"/>
              <w:jc w:val="center"/>
              <w:rPr>
                <w:rFonts w:ascii="宋体" w:hAnsi="宋体" w:cs="宋体"/>
                <w:sz w:val="21"/>
                <w:szCs w:val="21"/>
              </w:rPr>
            </w:pPr>
            <w:r>
              <w:rPr>
                <w:rFonts w:hint="eastAsia" w:ascii="宋体" w:hAnsi="宋体" w:cs="宋体"/>
                <w:sz w:val="21"/>
                <w:szCs w:val="21"/>
              </w:rPr>
              <w:t>米</w:t>
            </w:r>
          </w:p>
        </w:tc>
        <w:tc>
          <w:tcPr>
            <w:tcW w:w="762" w:type="dxa"/>
            <w:noWrap/>
            <w:vAlign w:val="center"/>
          </w:tcPr>
          <w:p>
            <w:pPr>
              <w:pStyle w:val="72"/>
              <w:ind w:firstLine="0"/>
              <w:jc w:val="center"/>
              <w:rPr>
                <w:rFonts w:ascii="宋体" w:hAnsi="宋体" w:cs="宋体"/>
                <w:sz w:val="21"/>
                <w:szCs w:val="21"/>
              </w:rPr>
            </w:pPr>
            <w:r>
              <w:rPr>
                <w:rFonts w:hint="eastAsia" w:ascii="宋体" w:hAnsi="宋体" w:cs="宋体"/>
                <w:sz w:val="21"/>
                <w:szCs w:val="21"/>
              </w:rPr>
              <w:t>200</w:t>
            </w:r>
          </w:p>
        </w:tc>
        <w:tc>
          <w:tcPr>
            <w:tcW w:w="869" w:type="dxa"/>
            <w:noWrap/>
            <w:vAlign w:val="center"/>
          </w:tcPr>
          <w:p>
            <w:pPr>
              <w:pStyle w:val="72"/>
              <w:jc w:val="center"/>
              <w:rPr>
                <w:rFonts w:ascii="宋体" w:hAnsi="宋体" w:cs="宋体"/>
                <w:sz w:val="21"/>
                <w:szCs w:val="21"/>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93" w:type="dxa"/>
            <w:noWrap/>
            <w:vAlign w:val="center"/>
          </w:tcPr>
          <w:p>
            <w:pPr>
              <w:pStyle w:val="72"/>
              <w:ind w:firstLine="0"/>
              <w:jc w:val="center"/>
              <w:rPr>
                <w:rFonts w:ascii="宋体" w:hAnsi="宋体" w:cs="宋体"/>
                <w:sz w:val="21"/>
                <w:szCs w:val="21"/>
              </w:rPr>
            </w:pPr>
            <w:r>
              <w:rPr>
                <w:rFonts w:hint="eastAsia" w:ascii="宋体" w:hAnsi="宋体" w:cs="宋体"/>
                <w:sz w:val="21"/>
                <w:szCs w:val="21"/>
              </w:rPr>
              <w:t>13</w:t>
            </w:r>
          </w:p>
        </w:tc>
        <w:tc>
          <w:tcPr>
            <w:tcW w:w="1263" w:type="dxa"/>
            <w:noWrap/>
            <w:vAlign w:val="center"/>
          </w:tcPr>
          <w:p>
            <w:pPr>
              <w:pStyle w:val="72"/>
              <w:ind w:firstLine="0"/>
              <w:jc w:val="center"/>
              <w:rPr>
                <w:rFonts w:ascii="宋体" w:hAnsi="宋体" w:cs="宋体"/>
                <w:sz w:val="21"/>
                <w:szCs w:val="21"/>
              </w:rPr>
            </w:pPr>
            <w:r>
              <w:rPr>
                <w:rFonts w:hint="eastAsia" w:ascii="宋体" w:hAnsi="宋体" w:cs="宋体"/>
                <w:sz w:val="21"/>
                <w:szCs w:val="21"/>
              </w:rPr>
              <w:t>辅助材料</w:t>
            </w:r>
          </w:p>
        </w:tc>
        <w:tc>
          <w:tcPr>
            <w:tcW w:w="5600" w:type="dxa"/>
            <w:noWrap/>
            <w:vAlign w:val="center"/>
          </w:tcPr>
          <w:p>
            <w:pPr>
              <w:pStyle w:val="72"/>
              <w:jc w:val="center"/>
              <w:rPr>
                <w:rFonts w:ascii="宋体" w:hAnsi="宋体" w:cs="宋体"/>
                <w:sz w:val="21"/>
                <w:szCs w:val="21"/>
              </w:rPr>
            </w:pPr>
            <w:r>
              <w:rPr>
                <w:rFonts w:hint="eastAsia" w:ascii="宋体" w:hAnsi="宋体" w:cs="宋体"/>
                <w:sz w:val="21"/>
                <w:szCs w:val="21"/>
              </w:rPr>
              <w:t>管材、附件等</w:t>
            </w:r>
          </w:p>
        </w:tc>
        <w:tc>
          <w:tcPr>
            <w:tcW w:w="775" w:type="dxa"/>
            <w:noWrap/>
            <w:vAlign w:val="center"/>
          </w:tcPr>
          <w:p>
            <w:pPr>
              <w:pStyle w:val="72"/>
              <w:ind w:firstLine="0"/>
              <w:rPr>
                <w:rFonts w:hint="eastAsia" w:ascii="宋体" w:hAnsi="宋体" w:cs="宋体"/>
                <w:sz w:val="21"/>
                <w:szCs w:val="21"/>
              </w:rPr>
            </w:pPr>
            <w:r>
              <w:rPr>
                <w:rFonts w:hint="eastAsia" w:ascii="宋体" w:hAnsi="宋体" w:cs="宋体"/>
                <w:sz w:val="21"/>
                <w:szCs w:val="21"/>
              </w:rPr>
              <w:t>批</w:t>
            </w:r>
          </w:p>
        </w:tc>
        <w:tc>
          <w:tcPr>
            <w:tcW w:w="762" w:type="dxa"/>
            <w:noWrap/>
            <w:vAlign w:val="center"/>
          </w:tcPr>
          <w:p>
            <w:pPr>
              <w:pStyle w:val="72"/>
              <w:ind w:firstLine="0"/>
              <w:jc w:val="center"/>
              <w:rPr>
                <w:rFonts w:hint="eastAsia" w:ascii="宋体" w:hAnsi="宋体" w:cs="宋体"/>
                <w:sz w:val="21"/>
                <w:szCs w:val="21"/>
              </w:rPr>
            </w:pPr>
            <w:r>
              <w:rPr>
                <w:rFonts w:hint="eastAsia" w:ascii="宋体" w:hAnsi="宋体" w:cs="宋体"/>
                <w:sz w:val="21"/>
                <w:szCs w:val="21"/>
              </w:rPr>
              <w:t>1</w:t>
            </w:r>
          </w:p>
        </w:tc>
        <w:tc>
          <w:tcPr>
            <w:tcW w:w="869" w:type="dxa"/>
            <w:noWrap/>
            <w:vAlign w:val="center"/>
          </w:tcPr>
          <w:p>
            <w:pPr>
              <w:pStyle w:val="72"/>
              <w:jc w:val="center"/>
              <w:rPr>
                <w:rFonts w:ascii="宋体" w:hAnsi="宋体" w:cs="宋体"/>
                <w:sz w:val="21"/>
                <w:szCs w:val="21"/>
                <w:shd w:val="clear" w:color="FFFFFF" w:fill="D9D9D9"/>
              </w:rPr>
            </w:pPr>
          </w:p>
        </w:tc>
      </w:tr>
    </w:tbl>
    <w:p>
      <w:pPr>
        <w:jc w:val="left"/>
        <w:rPr>
          <w:rFonts w:ascii="宋体" w:hAnsi="宋体" w:eastAsia="宋体" w:cs="宋体"/>
          <w:b/>
          <w:bCs/>
          <w:color w:val="000000"/>
          <w:sz w:val="24"/>
          <w:szCs w:val="24"/>
        </w:rPr>
      </w:pPr>
    </w:p>
    <w:p>
      <w:pPr>
        <w:pStyle w:val="2"/>
        <w:ind w:firstLine="0" w:firstLineChars="0"/>
      </w:pPr>
    </w:p>
    <w:p>
      <w:pPr>
        <w:pStyle w:val="72"/>
        <w:ind w:firstLine="0"/>
        <w:jc w:val="left"/>
        <w:rPr>
          <w:rFonts w:hint="eastAsia" w:cs="微软雅黑" w:asciiTheme="minorEastAsia" w:hAnsiTheme="minorEastAsia"/>
          <w:b/>
          <w:color w:val="FF0000"/>
          <w:sz w:val="24"/>
          <w:szCs w:val="24"/>
        </w:rPr>
      </w:pPr>
      <w:r>
        <w:rPr>
          <w:rFonts w:hint="eastAsia" w:cs="微软雅黑" w:asciiTheme="minorEastAsia" w:hAnsiTheme="minorEastAsia"/>
          <w:b/>
          <w:color w:val="FF0000"/>
          <w:sz w:val="24"/>
          <w:szCs w:val="24"/>
        </w:rPr>
        <w:t>注：以上中所列技术规格或主要参数为最低要求，不允许负偏离，否则为无效响应，中标供应商的中标价格包含至少一年的全程护考工作。</w:t>
      </w:r>
    </w:p>
    <w:p>
      <w:pPr>
        <w:spacing w:line="360" w:lineRule="auto"/>
        <w:contextualSpacing/>
      </w:pPr>
    </w:p>
    <w:p>
      <w:pPr>
        <w:spacing w:line="360" w:lineRule="auto"/>
        <w:ind w:firstLine="42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Cs w:val="21"/>
          <w:lang w:val="zh-CN"/>
        </w:rPr>
        <w:t>三、采购标的执行标准</w:t>
      </w:r>
    </w:p>
    <w:p>
      <w:pPr>
        <w:wordWrap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执行国家相关标准。</w:t>
      </w:r>
    </w:p>
    <w:p>
      <w:pPr>
        <w:wordWrap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1、强制性产品认证</w:t>
      </w:r>
    </w:p>
    <w:p>
      <w:pPr>
        <w:wordWrap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2、信息安全产品强制性认证</w:t>
      </w:r>
    </w:p>
    <w:p>
      <w:pPr>
        <w:wordWrap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如投标人所投产品被列入《信息安全产品强制性认证目录》，投标人不能提供出此目录范畴外的替代品并须在投标文件中提供：</w:t>
      </w:r>
    </w:p>
    <w:p>
      <w:pPr>
        <w:wordWrap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（1）中国信息安全认证中心官网(http://www.isccc.gov.cn/index.shtml)产品查询结果截图并加盖投标人公章；</w:t>
      </w:r>
    </w:p>
    <w:p>
      <w:pPr>
        <w:wordWrap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（2）中国信息安全认证中心颁发的《中国国家信息安全产品认证证书》的原件扫描件(或图片)并加盖投标人公章。</w:t>
      </w:r>
    </w:p>
    <w:p>
      <w:pPr>
        <w:wordWrap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注:仅需提供序号（1）~（2）其中之一即可。</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四、采购标的的其他技术、服务等要求</w:t>
      </w:r>
    </w:p>
    <w:p>
      <w:pPr>
        <w:wordWrap w:val="0"/>
        <w:spacing w:line="360" w:lineRule="auto"/>
        <w:ind w:firstLine="420" w:firstLineChars="200"/>
        <w:contextualSpacing/>
        <w:rPr>
          <w:rFonts w:hint="eastAsia" w:cs="仿宋_GB2312" w:asciiTheme="minorEastAsia" w:hAnsiTheme="minorEastAsia"/>
          <w:b/>
          <w:bCs/>
          <w:szCs w:val="21"/>
          <w:lang w:val="zh-CN"/>
        </w:rPr>
      </w:pPr>
      <w:r>
        <w:rPr>
          <w:rFonts w:hint="eastAsia" w:cs="仿宋_GB2312" w:asciiTheme="minorEastAsia" w:hAnsiTheme="minorEastAsia"/>
          <w:szCs w:val="21"/>
          <w:lang w:val="zh-CN"/>
        </w:rPr>
        <w:t>1、投标人须明确投标产品的厂家、产地、品牌、型号、等参数（采购清单序号13除外），</w:t>
      </w:r>
      <w:r>
        <w:rPr>
          <w:rFonts w:hint="eastAsia" w:cs="仿宋_GB2312" w:asciiTheme="minorEastAsia" w:hAnsiTheme="minorEastAsia"/>
          <w:b/>
          <w:bCs/>
          <w:szCs w:val="21"/>
          <w:lang w:val="zh-CN"/>
        </w:rPr>
        <w:t>否则为无效投标;</w:t>
      </w:r>
    </w:p>
    <w:p>
      <w:pPr>
        <w:wordWrap w:val="0"/>
        <w:spacing w:line="360" w:lineRule="auto"/>
        <w:ind w:firstLine="420" w:firstLineChars="200"/>
        <w:contextualSpacing/>
        <w:rPr>
          <w:rFonts w:hint="eastAsia" w:cs="仿宋_GB2312" w:asciiTheme="minorEastAsia" w:hAnsiTheme="minorEastAsia"/>
          <w:b/>
          <w:bCs/>
          <w:szCs w:val="21"/>
          <w:lang w:val="zh-CN"/>
        </w:rPr>
      </w:pPr>
      <w:r>
        <w:rPr>
          <w:rFonts w:hint="eastAsia" w:cs="仿宋_GB2312" w:asciiTheme="minorEastAsia" w:hAnsiTheme="minorEastAsia"/>
          <w:szCs w:val="21"/>
          <w:lang w:val="zh-CN"/>
        </w:rPr>
        <w:t>2、投标人应就本项目完整投标，报价含税费等综合费用，</w:t>
      </w:r>
      <w:r>
        <w:rPr>
          <w:rFonts w:hint="eastAsia" w:cs="仿宋_GB2312" w:asciiTheme="minorEastAsia" w:hAnsiTheme="minorEastAsia"/>
          <w:b/>
          <w:bCs/>
          <w:szCs w:val="21"/>
          <w:lang w:val="zh-CN"/>
        </w:rPr>
        <w:t>否则为无效投标;</w:t>
      </w:r>
    </w:p>
    <w:p>
      <w:pPr>
        <w:wordWrap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3、所投产品必须符合招标文件规定标准的全新正品现货，</w:t>
      </w:r>
      <w:r>
        <w:rPr>
          <w:rFonts w:hint="eastAsia" w:cs="仿宋_GB2312" w:asciiTheme="minorEastAsia" w:hAnsiTheme="minorEastAsia"/>
          <w:b/>
          <w:bCs/>
          <w:szCs w:val="21"/>
          <w:lang w:val="zh-CN"/>
        </w:rPr>
        <w:t>否则为无效投标;</w:t>
      </w:r>
    </w:p>
    <w:p>
      <w:pPr>
        <w:wordWrap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、投标文件中须有详细的实施（技术）方案，</w:t>
      </w:r>
      <w:r>
        <w:rPr>
          <w:rFonts w:hint="eastAsia" w:cs="仿宋_GB2312" w:asciiTheme="minorEastAsia" w:hAnsiTheme="minorEastAsia"/>
          <w:b/>
          <w:bCs/>
          <w:szCs w:val="21"/>
          <w:lang w:val="zh-CN"/>
        </w:rPr>
        <w:t>否则为无效投标。</w:t>
      </w:r>
    </w:p>
    <w:p>
      <w:pPr>
        <w:wordWrap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5</w:t>
      </w:r>
      <w:r>
        <w:rPr>
          <w:rFonts w:hint="eastAsia" w:cs="仿宋_GB2312" w:asciiTheme="minorEastAsia" w:hAnsiTheme="minorEastAsia"/>
          <w:szCs w:val="21"/>
          <w:lang w:val="zh-CN"/>
        </w:rPr>
        <w:t>、质保期内免费维修，质保期内发生故障或质量问题，卖方在接到通知后30分钟内进行响应，1小时到达，6小时内处理问题，否则需提供备用机直至原设备修好为止。</w:t>
      </w:r>
    </w:p>
    <w:p>
      <w:pPr>
        <w:wordWrap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6</w:t>
      </w:r>
      <w:r>
        <w:rPr>
          <w:rFonts w:hint="eastAsia" w:cs="仿宋_GB2312" w:asciiTheme="minorEastAsia" w:hAnsiTheme="minorEastAsia"/>
          <w:szCs w:val="21"/>
          <w:lang w:val="zh-CN"/>
        </w:rPr>
        <w:t>、所投产品可实现与原有设备配对，与中考软件管理系统对接，保障项目顺利进行，中标供应商接到中标通知三日内将中标产品送至甲方指定地点做对接测试，否则视为无效投标，并追究相关法律责任。</w:t>
      </w:r>
    </w:p>
    <w:p>
      <w:pPr>
        <w:wordWrap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7</w:t>
      </w:r>
      <w:r>
        <w:rPr>
          <w:rFonts w:hint="eastAsia" w:cs="仿宋_GB2312" w:asciiTheme="minorEastAsia" w:hAnsiTheme="minorEastAsia"/>
          <w:szCs w:val="21"/>
          <w:lang w:val="zh-CN"/>
        </w:rPr>
        <w:t>、中标企业于中标后第三日提供谈判文件中所有资质原件并按谈判文件的相关要求演示，不符合或不能提供的，取消其中标资格。</w:t>
      </w:r>
    </w:p>
    <w:p>
      <w:pPr>
        <w:wordWrap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8</w:t>
      </w:r>
      <w:r>
        <w:rPr>
          <w:rFonts w:hint="eastAsia" w:cs="仿宋_GB2312" w:asciiTheme="minorEastAsia" w:hAnsiTheme="minorEastAsia"/>
          <w:szCs w:val="21"/>
          <w:lang w:val="zh-CN"/>
        </w:rPr>
        <w:t>、中标人需按谈判文件约定时间供货，工期：签订合同后7日内完成采购、安装、调试全部采购内容（现场宣讲除外），逾期1天扣除合同额的5%，中标人须现场提供技术指导，直至配合完成整个项目的竣工验收等工作。</w:t>
      </w:r>
    </w:p>
    <w:p>
      <w:pPr>
        <w:wordWrap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9</w:t>
      </w:r>
      <w:r>
        <w:rPr>
          <w:rFonts w:hint="eastAsia" w:cs="仿宋_GB2312" w:asciiTheme="minorEastAsia" w:hAnsiTheme="minorEastAsia"/>
          <w:szCs w:val="21"/>
          <w:lang w:val="zh-CN"/>
        </w:rPr>
        <w:t>、中标企业于中标后第三日上午09:00向禹州市教育体育局提供投标文件中所有资质原件，不符合或不能提供的，取消其中标资格并列入不良记录及信用中国。</w:t>
      </w:r>
    </w:p>
    <w:p>
      <w:pPr>
        <w:wordWrap w:val="0"/>
        <w:spacing w:line="360" w:lineRule="auto"/>
        <w:ind w:firstLine="420" w:firstLineChars="200"/>
        <w:contextualSpacing/>
        <w:rPr>
          <w:rFonts w:hint="eastAsia" w:cs="仿宋_GB2312" w:asciiTheme="minorEastAsia" w:hAnsiTheme="minorEastAsia"/>
          <w:szCs w:val="21"/>
          <w:lang w:val="zh-CN"/>
        </w:rPr>
      </w:pPr>
    </w:p>
    <w:p>
      <w:pPr>
        <w:topLinePunct/>
        <w:spacing w:line="360" w:lineRule="auto"/>
        <w:ind w:firstLine="42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Cs w:val="21"/>
          <w:lang w:val="zh-CN"/>
        </w:rPr>
        <w:t>五、验收标准</w:t>
      </w:r>
    </w:p>
    <w:p>
      <w:pPr>
        <w:pStyle w:val="24"/>
        <w:widowControl/>
        <w:shd w:val="clear" w:color="auto" w:fill="FFFFFF"/>
        <w:spacing w:line="360" w:lineRule="auto"/>
        <w:ind w:firstLine="420"/>
        <w:contextualSpacing/>
        <w:jc w:val="left"/>
        <w:rPr>
          <w:rFonts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pStyle w:val="24"/>
        <w:widowControl/>
        <w:shd w:val="clear" w:color="auto" w:fill="FFFFFF"/>
        <w:spacing w:line="360" w:lineRule="auto"/>
        <w:ind w:firstLine="420"/>
        <w:contextualSpacing/>
        <w:jc w:val="left"/>
        <w:rPr>
          <w:rFonts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1、按照国家相关标准、行业标准、地方标准或其他标准、规范验收。</w:t>
      </w:r>
    </w:p>
    <w:p>
      <w:pPr>
        <w:pStyle w:val="24"/>
        <w:widowControl/>
        <w:shd w:val="clear" w:color="auto" w:fill="FFFFFF"/>
        <w:spacing w:line="360" w:lineRule="auto"/>
        <w:ind w:firstLine="420"/>
        <w:contextualSpacing/>
        <w:jc w:val="left"/>
        <w:rPr>
          <w:rFonts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2、按照招标文件要求、投标文件响应和承诺验收。</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六、资金支付</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1、支付方式：按照合同约定，经验收合格后申请支付。</w:t>
      </w:r>
    </w:p>
    <w:p>
      <w:pPr>
        <w:widowControl/>
        <w:shd w:val="clear" w:color="auto" w:fill="FFFFFF"/>
        <w:spacing w:line="600" w:lineRule="exact"/>
        <w:ind w:firstLine="420" w:firstLineChars="200"/>
        <w:jc w:val="left"/>
        <w:rPr>
          <w:szCs w:val="21"/>
        </w:rPr>
      </w:pPr>
      <w:r>
        <w:rPr>
          <w:rFonts w:hint="eastAsia" w:cs="宋体" w:asciiTheme="minorEastAsia" w:hAnsiTheme="minorEastAsia"/>
          <w:color w:val="000000"/>
          <w:kern w:val="0"/>
          <w:szCs w:val="21"/>
          <w:lang w:val="zh-CN"/>
        </w:rPr>
        <w:t>2、支付时间及条件：以签订合同为准。</w:t>
      </w: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ind w:firstLine="2891" w:firstLineChars="900"/>
        <w:rPr>
          <w:rFonts w:cs="宋体" w:asciiTheme="majorEastAsia" w:hAnsiTheme="majorEastAsia" w:eastAsiaTheme="majorEastAsia"/>
          <w:b/>
          <w:kern w:val="0"/>
          <w:sz w:val="32"/>
          <w:szCs w:val="32"/>
        </w:rPr>
      </w:pP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ind w:firstLine="2891" w:firstLineChars="900"/>
        <w:rPr>
          <w:rFonts w:cs="宋体" w:asciiTheme="majorEastAsia" w:hAnsiTheme="majorEastAsia" w:eastAsiaTheme="majorEastAsia"/>
          <w:b/>
          <w:kern w:val="0"/>
          <w:sz w:val="32"/>
          <w:szCs w:val="32"/>
        </w:rPr>
      </w:pPr>
    </w:p>
    <w:p>
      <w:pPr>
        <w:autoSpaceDE w:val="0"/>
        <w:autoSpaceDN w:val="0"/>
        <w:adjustRightInd w:val="0"/>
        <w:ind w:firstLine="2891" w:firstLineChars="900"/>
        <w:rPr>
          <w:rFonts w:cs="宋体" w:asciiTheme="majorEastAsia" w:hAnsiTheme="majorEastAsia" w:eastAsiaTheme="majorEastAsia"/>
          <w:b/>
          <w:kern w:val="0"/>
          <w:sz w:val="32"/>
          <w:szCs w:val="32"/>
        </w:rPr>
      </w:pPr>
    </w:p>
    <w:p>
      <w:pPr>
        <w:autoSpaceDE w:val="0"/>
        <w:autoSpaceDN w:val="0"/>
        <w:adjustRightInd w:val="0"/>
        <w:ind w:firstLine="2891" w:firstLineChars="900"/>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autoSpaceDE w:val="0"/>
        <w:autoSpaceDN w:val="0"/>
        <w:adjustRightInd w:val="0"/>
        <w:ind w:firstLine="2891" w:firstLineChars="900"/>
        <w:rPr>
          <w:rFonts w:cs="宋体" w:asciiTheme="majorEastAsia" w:hAnsiTheme="majorEastAsia" w:eastAsiaTheme="majorEastAsia"/>
          <w:b/>
          <w:kern w:val="0"/>
          <w:sz w:val="32"/>
          <w:szCs w:val="32"/>
        </w:rPr>
      </w:pPr>
    </w:p>
    <w:p>
      <w:pPr>
        <w:autoSpaceDE w:val="0"/>
        <w:autoSpaceDN w:val="0"/>
        <w:adjustRightInd w:val="0"/>
        <w:ind w:firstLine="2891" w:firstLineChars="900"/>
        <w:rPr>
          <w:rFonts w:cs="宋体" w:asciiTheme="majorEastAsia" w:hAnsiTheme="majorEastAsia" w:eastAsiaTheme="majorEastAsia"/>
          <w:b/>
          <w:kern w:val="0"/>
          <w:sz w:val="32"/>
          <w:szCs w:val="32"/>
        </w:rPr>
      </w:pPr>
    </w:p>
    <w:p>
      <w:pPr>
        <w:autoSpaceDE w:val="0"/>
        <w:autoSpaceDN w:val="0"/>
        <w:adjustRightInd w:val="0"/>
        <w:ind w:firstLine="2891" w:firstLineChars="900"/>
        <w:rPr>
          <w:rFonts w:cs="宋体" w:asciiTheme="majorEastAsia" w:hAnsiTheme="majorEastAsia" w:eastAsiaTheme="majorEastAsia"/>
          <w:b/>
          <w:kern w:val="0"/>
          <w:sz w:val="32"/>
          <w:szCs w:val="32"/>
        </w:rPr>
      </w:pP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ind w:firstLine="2891" w:firstLineChars="900"/>
        <w:rPr>
          <w:rFonts w:cs="宋体" w:asciiTheme="majorEastAsia" w:hAnsiTheme="majorEastAsia" w:eastAsiaTheme="majorEastAsia"/>
          <w:b/>
          <w:kern w:val="0"/>
          <w:sz w:val="32"/>
          <w:szCs w:val="32"/>
        </w:rPr>
      </w:pPr>
    </w:p>
    <w:p>
      <w:pPr>
        <w:autoSpaceDE w:val="0"/>
        <w:autoSpaceDN w:val="0"/>
        <w:adjustRightInd w:val="0"/>
        <w:ind w:firstLine="2891" w:firstLineChars="9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条款均为实质性要求条款，响应文件须完全响应，未实质响应的，按照无效响应处理。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spacing w:line="600" w:lineRule="exact"/>
              <w:rPr>
                <w:rFonts w:cs="仿宋_GB2312" w:asciiTheme="minorEastAsia" w:hAnsiTheme="minorEastAsia"/>
                <w:color w:val="000000"/>
                <w:szCs w:val="21"/>
                <w:shd w:val="clear" w:color="auto" w:fill="FFFFFF"/>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w:t>
            </w:r>
            <w:r>
              <w:rPr>
                <w:rFonts w:hint="eastAsia" w:cs="仿宋_GB2312" w:asciiTheme="minorEastAsia" w:hAnsiTheme="minorEastAsia"/>
                <w:color w:val="000000"/>
                <w:szCs w:val="21"/>
                <w:shd w:val="clear" w:color="auto" w:fill="FFFFFF"/>
              </w:rPr>
              <w:t>禹州市教育体育局2021年中招体育考试器材采购项目（不见面开标）</w:t>
            </w:r>
          </w:p>
          <w:p>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采购编号：YZCG-T20210</w:t>
            </w:r>
            <w:r>
              <w:rPr>
                <w:rFonts w:hint="eastAsia" w:cs="仿宋_GB2312" w:asciiTheme="minorEastAsia" w:hAnsiTheme="minorEastAsia"/>
                <w:szCs w:val="21"/>
                <w:lang w:val="en-US" w:eastAsia="zh-CN"/>
              </w:rPr>
              <w:t>12</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交付（服务、完工）时间：签订合同后7日内完成采购、安装、调试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cs="仿宋_GB2312" w:asciiTheme="minorEastAsia" w:hAnsiTheme="minorEastAsia"/>
                <w:szCs w:val="21"/>
              </w:rPr>
            </w:pPr>
            <w:r>
              <w:rPr>
                <w:rFonts w:cs="仿宋_GB2312" w:asciiTheme="minorEastAsia" w:hAnsiTheme="minorEastAsia"/>
                <w:szCs w:val="21"/>
              </w:rPr>
              <w:t>采购单位：</w:t>
            </w:r>
            <w:r>
              <w:rPr>
                <w:rFonts w:hint="eastAsia" w:cs="仿宋_GB2312" w:asciiTheme="minorEastAsia" w:hAnsiTheme="minorEastAsia"/>
                <w:color w:val="000000"/>
                <w:szCs w:val="21"/>
                <w:shd w:val="clear" w:color="auto" w:fill="FFFFFF"/>
              </w:rPr>
              <w:t>禹州市教育体育局</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cs="仿宋_GB2312" w:asciiTheme="minorEastAsia" w:hAnsiTheme="minorEastAsia"/>
                <w:szCs w:val="21"/>
              </w:rPr>
              <w:t>地址：</w:t>
            </w:r>
            <w:r>
              <w:rPr>
                <w:rFonts w:hint="eastAsia" w:cs="仿宋_GB2312" w:asciiTheme="minorEastAsia" w:hAnsiTheme="minorEastAsia"/>
                <w:color w:val="000000"/>
                <w:szCs w:val="21"/>
                <w:shd w:val="clear" w:color="auto" w:fill="FFFFFF"/>
              </w:rPr>
              <w:t>禹州市禹王大道</w:t>
            </w:r>
          </w:p>
          <w:p>
            <w:pPr>
              <w:widowControl/>
              <w:shd w:val="clear" w:color="auto" w:fill="FFFFFF"/>
              <w:spacing w:line="440" w:lineRule="exact"/>
              <w:jc w:val="left"/>
              <w:rPr>
                <w:rFonts w:cs="仿宋_GB2312" w:asciiTheme="minorEastAsia" w:hAnsiTheme="minorEastAsia"/>
                <w:szCs w:val="21"/>
              </w:rPr>
            </w:pPr>
            <w:r>
              <w:rPr>
                <w:rFonts w:cs="仿宋_GB2312" w:asciiTheme="minorEastAsia" w:hAnsiTheme="minorEastAsia"/>
                <w:szCs w:val="21"/>
              </w:rPr>
              <w:t>联系人：</w:t>
            </w:r>
            <w:r>
              <w:rPr>
                <w:rFonts w:hint="eastAsia" w:cs="仿宋_GB2312" w:asciiTheme="minorEastAsia" w:hAnsiTheme="minorEastAsia"/>
                <w:szCs w:val="21"/>
                <w:lang w:eastAsia="zh-CN"/>
              </w:rPr>
              <w:t>代先生</w:t>
            </w:r>
            <w:r>
              <w:rPr>
                <w:rFonts w:hint="eastAsia" w:cs="仿宋_GB2312" w:asciiTheme="minorEastAsia" w:hAnsiTheme="minorEastAsia"/>
                <w:szCs w:val="21"/>
                <w:lang w:val="en-US" w:eastAsia="zh-CN"/>
              </w:rPr>
              <w:t xml:space="preserve">  </w:t>
            </w:r>
            <w:r>
              <w:rPr>
                <w:rFonts w:cs="仿宋_GB2312" w:asciiTheme="minorEastAsia" w:hAnsiTheme="minorEastAsia"/>
                <w:szCs w:val="21"/>
              </w:rPr>
              <w:t xml:space="preserve"> 联系电话：</w:t>
            </w:r>
            <w:r>
              <w:rPr>
                <w:rFonts w:hint="eastAsia" w:cs="仿宋_GB2312" w:asciiTheme="minorEastAsia" w:hAnsiTheme="minorEastAsia"/>
                <w:color w:val="000000"/>
                <w:szCs w:val="21"/>
                <w:shd w:val="clear" w:color="auto" w:fill="FFFFFF"/>
              </w:rPr>
              <w:t>0374-8880023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（1）供应商是法人（法人包括企业法人、机关法人、事业单位法人和社会团体法人），提供本单位：</w:t>
            </w:r>
          </w:p>
          <w:p>
            <w:pPr>
              <w:spacing w:line="360" w:lineRule="auto"/>
            </w:pPr>
            <w:r>
              <w:rPr>
                <w:rFonts w:hint="eastAsia"/>
              </w:rPr>
              <w:t>①2019年度或者2020年度经审计的财务报告，包括资产负债表、利润表、现金流量表、所有者权益变动表及其附注；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①2019年度或者2020年度经审计的财务报告，包括资产负债表、利润表、现金流量表、所有者权益变动表及其附注；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“中国社会组织公共服务平台”网站（</w:t>
            </w:r>
            <w:r>
              <w:t>www.chinanpo.gov.cn</w:t>
            </w:r>
            <w:r>
              <w:rPr>
                <w:rFonts w:hint="eastAsia"/>
              </w:rPr>
              <w:t>）严重违法失信社会组织名单的供应商（联合体形式投标的，联合体成员存在不良信用记录，视同联合体存在不良信用记录）。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pPr>
              <w:autoSpaceDE w:val="0"/>
              <w:autoSpaceDN w:val="0"/>
              <w:spacing w:line="360" w:lineRule="auto"/>
              <w:contextualSpacing/>
            </w:pPr>
            <w:r>
              <w:rPr>
                <w:rFonts w:hint="eastAsia"/>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517" w:firstLineChars="245"/>
              <w:rPr>
                <w:rFonts w:cs="宋体" w:asciiTheme="minorEastAsia" w:hAnsiTheme="minorEastAsia"/>
                <w:bCs/>
                <w:szCs w:val="21"/>
              </w:rPr>
            </w:pPr>
            <w:r>
              <w:rPr>
                <w:rFonts w:hint="eastAsia" w:cs="宋体" w:asciiTheme="minorEastAsia" w:hAnsiTheme="minorEastAsia"/>
                <w:b/>
                <w:bCs/>
                <w:szCs w:val="21"/>
                <w:lang w:val="en-US" w:eastAsia="zh-CN"/>
              </w:rPr>
              <w:t xml:space="preserve">42 </w:t>
            </w:r>
            <w:r>
              <w:rPr>
                <w:rFonts w:hint="eastAsia" w:cs="宋体" w:asciiTheme="minorEastAsia" w:hAnsiTheme="minorEastAsia"/>
                <w:b/>
                <w:bCs/>
                <w:szCs w:val="21"/>
              </w:rPr>
              <w:t>万</w:t>
            </w:r>
            <w:r>
              <w:rPr>
                <w:rFonts w:hint="eastAsia" w:cs="宋体" w:asciiTheme="minorEastAsia" w:hAnsiTheme="minorEastAsia"/>
                <w:b/>
                <w:bCs/>
                <w:szCs w:val="21"/>
                <w:lang w:val="zh-CN"/>
              </w:rPr>
              <w:t>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rPr>
              <w:t>2021</w:t>
            </w:r>
            <w:r>
              <w:rPr>
                <w:rFonts w:hint="eastAsia" w:cs="宋体" w:asciiTheme="minorEastAsia" w:hAnsiTheme="minorEastAsia"/>
                <w:bCs/>
                <w:szCs w:val="21"/>
                <w:lang w:val="zh-CN"/>
              </w:rPr>
              <w:t xml:space="preserve">年 </w:t>
            </w:r>
            <w:r>
              <w:rPr>
                <w:rFonts w:hint="eastAsia" w:cs="宋体" w:asciiTheme="minorEastAsia" w:hAnsiTheme="minorEastAsia"/>
                <w:bCs/>
                <w:szCs w:val="21"/>
              </w:rPr>
              <w:t>4</w:t>
            </w:r>
            <w:r>
              <w:rPr>
                <w:rFonts w:hint="eastAsia" w:cs="宋体" w:asciiTheme="minorEastAsia" w:hAnsiTheme="minorEastAsia"/>
                <w:bCs/>
                <w:szCs w:val="21"/>
                <w:lang w:val="zh-CN"/>
              </w:rPr>
              <w:t>月</w:t>
            </w:r>
            <w:r>
              <w:rPr>
                <w:rFonts w:hint="eastAsia" w:cs="宋体" w:asciiTheme="minorEastAsia" w:hAnsiTheme="minorEastAsia"/>
                <w:bCs/>
                <w:szCs w:val="21"/>
              </w:rPr>
              <w:t xml:space="preserve">2  </w:t>
            </w:r>
            <w:r>
              <w:rPr>
                <w:rFonts w:hint="eastAsia" w:cs="宋体" w:asciiTheme="minorEastAsia" w:hAnsiTheme="minorEastAsia"/>
                <w:bCs/>
                <w:szCs w:val="21"/>
                <w:lang w:val="zh-CN"/>
              </w:rPr>
              <w:t>日</w:t>
            </w:r>
            <w:r>
              <w:rPr>
                <w:rFonts w:hint="eastAsia" w:cs="宋体" w:asciiTheme="minorEastAsia" w:hAnsiTheme="minorEastAsia"/>
                <w:bCs/>
                <w:szCs w:val="21"/>
              </w:rPr>
              <w:t>8</w:t>
            </w:r>
            <w:r>
              <w:rPr>
                <w:rFonts w:hint="eastAsia" w:cs="宋体" w:asciiTheme="minorEastAsia" w:hAnsiTheme="minorEastAsia"/>
                <w:bCs/>
                <w:szCs w:val="21"/>
                <w:lang w:val="zh-CN"/>
              </w:rPr>
              <w:t>：</w:t>
            </w:r>
            <w:r>
              <w:rPr>
                <w:rFonts w:hint="eastAsia" w:cs="宋体" w:asciiTheme="minorEastAsia" w:hAnsiTheme="minorEastAsia"/>
                <w:bCs/>
                <w:szCs w:val="21"/>
              </w:rPr>
              <w:t>30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谈判文件费用</w:t>
            </w:r>
          </w:p>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缴纳方式</w:t>
            </w:r>
          </w:p>
        </w:tc>
        <w:tc>
          <w:tcPr>
            <w:tcW w:w="6813" w:type="dxa"/>
            <w:tcBorders>
              <w:top w:val="single" w:color="auto" w:sz="4" w:space="0"/>
            </w:tcBorders>
            <w:vAlign w:val="center"/>
          </w:tcPr>
          <w:p>
            <w:pPr>
              <w:autoSpaceDE w:val="0"/>
              <w:autoSpaceDN w:val="0"/>
              <w:adjustRightInd w:val="0"/>
              <w:spacing w:line="360" w:lineRule="auto"/>
              <w:rPr>
                <w:sz w:val="22"/>
              </w:rPr>
            </w:pPr>
            <w:r>
              <w:rPr>
                <w:rFonts w:hint="eastAsia"/>
                <w:sz w:val="22"/>
              </w:rPr>
              <w:t>户名：禹州市非税收入中心</w:t>
            </w:r>
          </w:p>
          <w:p>
            <w:pPr>
              <w:pStyle w:val="10"/>
              <w:rPr>
                <w:sz w:val="22"/>
              </w:rPr>
            </w:pPr>
            <w:r>
              <w:rPr>
                <w:rFonts w:hint="eastAsia"/>
                <w:sz w:val="22"/>
              </w:rPr>
              <w:t>开户行及帐号：中原银行禹州支行 0184 0101 8730 0010 0170 001</w:t>
            </w:r>
          </w:p>
          <w:p>
            <w:pPr>
              <w:pStyle w:val="10"/>
              <w:rPr>
                <w:sz w:val="22"/>
              </w:rPr>
            </w:pPr>
            <w:r>
              <w:rPr>
                <w:rFonts w:hint="eastAsia"/>
                <w:sz w:val="22"/>
              </w:rPr>
              <w:t>行号：313503418012</w:t>
            </w:r>
          </w:p>
          <w:p>
            <w:pPr>
              <w:pStyle w:val="10"/>
              <w:rPr>
                <w:sz w:val="22"/>
              </w:rPr>
            </w:pPr>
            <w:r>
              <w:rPr>
                <w:rFonts w:hint="eastAsia"/>
                <w:sz w:val="22"/>
              </w:rPr>
              <w:t>（投标人须从本公司基本帐户转入且须注明：</w:t>
            </w:r>
            <w:r>
              <w:rPr>
                <w:rFonts w:hint="eastAsia"/>
                <w:color w:val="FF0000"/>
                <w:sz w:val="22"/>
              </w:rPr>
              <w:t>禹州市公共资源交易中心收</w:t>
            </w:r>
            <w:r>
              <w:rPr>
                <w:rFonts w:hint="eastAsia"/>
                <w:sz w:val="22"/>
              </w:rPr>
              <w:t xml:space="preserve"> 缴纳回执单复印件附谈判响应文件。）</w:t>
            </w:r>
          </w:p>
          <w:p>
            <w:pPr>
              <w:pStyle w:val="10"/>
              <w:rPr>
                <w:sz w:val="22"/>
              </w:rPr>
            </w:pPr>
            <w:r>
              <w:rPr>
                <w:rFonts w:hint="eastAsia"/>
                <w:sz w:val="22"/>
              </w:rPr>
              <w:t xml:space="preserve">温馨提示： 发票开具联系人  孙女士  15893741177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FF0000"/>
              </w:rPr>
              <w:t>否则不得享受相关中小企业扶持政策。</w:t>
            </w:r>
          </w:p>
          <w:p>
            <w:pPr>
              <w:autoSpaceDE w:val="0"/>
              <w:autoSpaceDN w:val="0"/>
              <w:adjustRightInd w:val="0"/>
              <w:spacing w:line="360" w:lineRule="auto"/>
              <w:contextualSpacing/>
              <w:rPr>
                <w:rFonts w:ascii="ˎ̥" w:hAnsi="ˎ̥"/>
                <w:color w:val="FF0000"/>
              </w:rPr>
            </w:pPr>
            <w:r>
              <w:rPr>
                <w:rFonts w:hint="eastAsia" w:ascii="ˎ̥" w:hAnsi="ˎ̥"/>
                <w:color w:val="FF0000"/>
              </w:rPr>
              <w:t>2、本次</w:t>
            </w:r>
            <w:r>
              <w:rPr>
                <w:color w:val="FF0000"/>
              </w:rPr>
              <w:t>采购标的对应的中小企业划分标准所属行业</w:t>
            </w:r>
            <w:r>
              <w:rPr>
                <w:rFonts w:hint="eastAsia"/>
                <w:color w:val="FF0000"/>
              </w:rPr>
              <w:t>：</w:t>
            </w:r>
          </w:p>
          <w:p>
            <w:pPr>
              <w:autoSpaceDE w:val="0"/>
              <w:autoSpaceDN w:val="0"/>
              <w:adjustRightInd w:val="0"/>
              <w:spacing w:line="360" w:lineRule="auto"/>
              <w:contextualSpacing/>
              <w:rPr>
                <w:rFonts w:ascii="ˎ̥" w:hAnsi="ˎ̥"/>
                <w:color w:val="FF0000"/>
              </w:rPr>
            </w:pPr>
            <w:r>
              <w:rPr>
                <w:rFonts w:hint="eastAsia" w:ascii="ˎ̥" w:hAnsi="ˎ̥"/>
                <w:color w:val="FF0000"/>
              </w:rPr>
              <w:t>3、根据财政部、工业和信息化部发布的《政府采购促进中小企业发展管理办法》（财库〔2020〕46号）规定，对小型和微型企业投标价格给予6 %（6%-10%）的扣除，用扣除后的价格参与评审。</w:t>
            </w:r>
          </w:p>
          <w:p>
            <w:pPr>
              <w:spacing w:line="360" w:lineRule="auto"/>
              <w:contextualSpacing/>
              <w:rPr>
                <w:rFonts w:ascii="ˎ̥" w:hAnsi="ˎ̥"/>
                <w:color w:val="FF0000"/>
              </w:rPr>
            </w:pPr>
            <w:r>
              <w:rPr>
                <w:rFonts w:hint="eastAsia" w:ascii="ˎ̥" w:hAnsi="ˎ̥"/>
                <w:color w:val="FF0000"/>
              </w:rPr>
              <w:t>4、</w:t>
            </w:r>
            <w:r>
              <w:rPr>
                <w:rFonts w:ascii="ˎ̥" w:hAnsi="ˎ̥"/>
                <w:color w:val="FF0000"/>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FF0000"/>
              </w:rPr>
            </w:pPr>
            <w:r>
              <w:rPr>
                <w:rFonts w:hint="eastAsia" w:ascii="ˎ̥" w:hAnsi="ˎ̥"/>
                <w:color w:val="FF0000"/>
              </w:rPr>
              <w:t>5、</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FF0000"/>
              </w:rPr>
            </w:pPr>
            <w:r>
              <w:rPr>
                <w:rFonts w:hint="eastAsia" w:ascii="ˎ̥" w:hAnsi="ˎ̥"/>
                <w:color w:val="FF0000"/>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color w:val="FF0000"/>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 xml:space="preserve">的 </w:t>
            </w:r>
            <w:r>
              <w:rPr>
                <w:rFonts w:hint="eastAsia" w:ascii="新宋体" w:hAnsi="新宋体" w:eastAsia="新宋体"/>
                <w:szCs w:val="21"/>
                <w:lang w:val="en-US" w:eastAsia="zh-CN"/>
              </w:rPr>
              <w:t xml:space="preserve"> </w:t>
            </w:r>
            <w:r>
              <w:rPr>
                <w:rFonts w:hint="eastAsia" w:ascii="新宋体" w:hAnsi="新宋体" w:eastAsia="新宋体"/>
                <w:szCs w:val="21"/>
              </w:rPr>
              <w:t xml:space="preserve"> %</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333333"/>
                <w:szCs w:val="21"/>
                <w:lang w:val="zh-CN"/>
              </w:rPr>
              <w:t>中标人在接到中标通知时，须向代理机构发送投标报价及分项报价一览表（包含主要中标标的的名称、规格型号、数量、单价、服务要求等）电子文档，并同时通知交易见证部，联系电话：0374-</w:t>
            </w:r>
            <w:r>
              <w:rPr>
                <w:rFonts w:hint="eastAsia" w:cs="宋体" w:asciiTheme="minorEastAsia" w:hAnsiTheme="minorEastAsia"/>
                <w:color w:val="333333"/>
                <w:szCs w:val="21"/>
              </w:rPr>
              <w:t>2077772</w:t>
            </w:r>
            <w:r>
              <w:rPr>
                <w:rFonts w:hint="eastAsia" w:cs="宋体" w:asciiTheme="minorEastAsia" w:hAnsiTheme="minorEastAsia"/>
                <w:color w:val="333333"/>
                <w:szCs w:val="21"/>
                <w:lang w:val="zh-CN"/>
              </w:rPr>
              <w:t>，邮箱：</w:t>
            </w:r>
            <w:r>
              <w:rPr>
                <w:rFonts w:hint="eastAsia" w:cs="宋体" w:asciiTheme="minorEastAsia" w:hAnsiTheme="minorEastAsia"/>
                <w:color w:val="333333"/>
                <w:szCs w:val="21"/>
              </w:rPr>
              <w:t>YZGGZY2076770</w:t>
            </w:r>
            <w:r>
              <w:rPr>
                <w:rFonts w:hint="eastAsia" w:cs="宋体" w:asciiTheme="minorEastAsia" w:hAnsiTheme="minorEastAsia"/>
                <w:color w:val="333333"/>
                <w:szCs w:val="21"/>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olor w:val="000000"/>
                <w:sz w:val="24"/>
                <w:szCs w:val="24"/>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olor w:val="000000"/>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1、按照《关于推进全流程电子化交易和在线监管工作有关问题的通知》（许公管办[2019]3号）规定：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ascii="ˎ̥" w:hAnsi="ˎ̥"/>
              </w:rPr>
            </w:pPr>
            <w:r>
              <w:rPr>
                <w:rFonts w:hint="eastAsia" w:ascii="ˎ̥" w:hAnsi="ˎ̥"/>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hint="eastAsia" w:ascii="ˎ̥" w:hAnsi="ˎ̥"/>
              </w:rPr>
            </w:pPr>
            <w:r>
              <w:rPr>
                <w:rFonts w:hint="eastAsia" w:ascii="ˎ̥" w:hAnsi="ˎ̥"/>
              </w:rPr>
              <w:t>2、项目编号以本谈判文件中的采购编号为准。</w:t>
            </w:r>
          </w:p>
          <w:p>
            <w:pPr>
              <w:autoSpaceDE w:val="0"/>
              <w:autoSpaceDN w:val="0"/>
              <w:adjustRightInd w:val="0"/>
              <w:spacing w:line="360" w:lineRule="auto"/>
              <w:contextualSpacing/>
            </w:pPr>
            <w:r>
              <w:rPr>
                <w:rFonts w:hint="eastAsia" w:ascii="ˎ̥" w:hAnsi="ˎ̥"/>
              </w:rPr>
              <w:t>3、谈判文件第八章  响应文件有关格式</w:t>
            </w:r>
            <w:r>
              <w:rPr>
                <w:rFonts w:hint="eastAsia" w:ascii="ˎ̥" w:hAnsi="ˎ̥"/>
                <w:lang w:eastAsia="zh-CN"/>
              </w:rPr>
              <w:t>的</w:t>
            </w:r>
            <w:r>
              <w:rPr>
                <w:rFonts w:hint="eastAsia" w:ascii="ˎ̥" w:hAnsi="ˎ̥"/>
              </w:rPr>
              <w:t>先后顺序不做无效响应。</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1"/>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51"/>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51"/>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51"/>
        <w:autoSpaceDE w:val="0"/>
        <w:autoSpaceDN w:val="0"/>
        <w:spacing w:line="360" w:lineRule="auto"/>
        <w:ind w:left="780" w:firstLine="0" w:firstLineChars="0"/>
        <w:contextualSpacing/>
        <w:rPr>
          <w:rFonts w:cs="宋体" w:asciiTheme="minorEastAsia" w:hAnsiTheme="minorEastAsia"/>
          <w:kern w:val="0"/>
          <w:szCs w:val="21"/>
        </w:rPr>
      </w:pPr>
    </w:p>
    <w:p>
      <w:pPr>
        <w:pStyle w:val="51"/>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51"/>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51"/>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51"/>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51"/>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51"/>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51"/>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51"/>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51"/>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51"/>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51"/>
        <w:numPr>
          <w:ilvl w:val="0"/>
          <w:numId w:val="1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5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5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51"/>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30"/>
          <w:rFonts w:cs="宋体" w:asciiTheme="minorEastAsia" w:hAnsiTheme="minorEastAsia"/>
          <w:kern w:val="0"/>
          <w:szCs w:val="21"/>
        </w:rPr>
        <w:t>www.chinanpo.gov.cn</w:t>
      </w:r>
      <w:r>
        <w:rPr>
          <w:rStyle w:val="30"/>
          <w:rFonts w:cs="宋体" w:asciiTheme="minorEastAsia" w:hAnsiTheme="minorEastAsia"/>
          <w:kern w:val="0"/>
          <w:szCs w:val="21"/>
        </w:rPr>
        <w:fldChar w:fldCharType="end"/>
      </w:r>
      <w:r>
        <w:rPr>
          <w:rFonts w:hint="eastAsia" w:cs="宋体" w:asciiTheme="minorEastAsia" w:hAnsiTheme="minorEastAsia"/>
          <w:kern w:val="0"/>
          <w:szCs w:val="21"/>
        </w:rPr>
        <w:t>）；</w:t>
      </w:r>
    </w:p>
    <w:p>
      <w:pPr>
        <w:pStyle w:val="51"/>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51"/>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51"/>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51"/>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51"/>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51"/>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51"/>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51"/>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51"/>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51"/>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51"/>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51"/>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51"/>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51"/>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1"/>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51"/>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1"/>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1"/>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5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5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51"/>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除标书费用外，不收取费用</w:t>
      </w:r>
      <w:r>
        <w:rPr>
          <w:rFonts w:hint="eastAsia" w:cs="宋体" w:asciiTheme="minorEastAsia" w:hAnsiTheme="minorEastAsia"/>
          <w:kern w:val="0"/>
          <w:szCs w:val="21"/>
        </w:rPr>
        <w:t>。</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5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51"/>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51"/>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1"/>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51"/>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51"/>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1"/>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51"/>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5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51"/>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51"/>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51"/>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51"/>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51"/>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51"/>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1"/>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51"/>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51"/>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5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51"/>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1"/>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1"/>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51"/>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51"/>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51"/>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51"/>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1"/>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51"/>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供应商名称等字样。</w:t>
      </w:r>
    </w:p>
    <w:p>
      <w:pPr>
        <w:pStyle w:val="51"/>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5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51"/>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51"/>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51"/>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51"/>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5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51"/>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color w:val="000000"/>
          <w:szCs w:val="21"/>
        </w:rPr>
        <w:t>加密电子响应文件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r>
        <w:rPr>
          <w:rFonts w:hint="eastAsia" w:cs="宋体" w:asciiTheme="minorEastAsia" w:hAnsiTheme="minorEastAsia"/>
          <w:kern w:val="0"/>
          <w:szCs w:val="21"/>
        </w:rPr>
        <w:t>。</w:t>
      </w:r>
      <w:r>
        <w:rPr>
          <w:rFonts w:hint="eastAsia" w:cs="微软雅黑"/>
          <w:color w:val="000000"/>
        </w:rPr>
        <w:t>在提交截止时间以后上传的响应文件，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51"/>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5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51"/>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51"/>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51"/>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供应商不得在响应有效期内撤销响应文件，否则供应商将承担违背响应承诺函的责任追究。</w:t>
      </w:r>
    </w:p>
    <w:p>
      <w:pPr>
        <w:autoSpaceDE w:val="0"/>
        <w:autoSpaceDN w:val="0"/>
        <w:spacing w:line="360" w:lineRule="auto"/>
        <w:ind w:left="420"/>
        <w:contextualSpacing/>
        <w:rPr>
          <w:rFonts w:cs="宋体" w:asciiTheme="minorEastAsia" w:hAnsiTheme="minorEastAsia"/>
          <w:kern w:val="0"/>
          <w:szCs w:val="21"/>
        </w:rPr>
      </w:pPr>
    </w:p>
    <w:p>
      <w:pPr>
        <w:pStyle w:val="51"/>
        <w:numPr>
          <w:ilvl w:val="0"/>
          <w:numId w:val="13"/>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5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51"/>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51"/>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color w:val="000000"/>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51"/>
        <w:numPr>
          <w:ilvl w:val="0"/>
          <w:numId w:val="3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51"/>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51"/>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51"/>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color w:val="000000"/>
          <w:szCs w:val="21"/>
        </w:rPr>
        <w:t>供应商未在规定时间内解密或</w:t>
      </w:r>
      <w:r>
        <w:rPr>
          <w:rFonts w:hint="eastAsia" w:cs="宋体" w:asciiTheme="minorEastAsia" w:hAnsiTheme="minorEastAsia"/>
          <w:kern w:val="0"/>
          <w:szCs w:val="21"/>
        </w:rPr>
        <w:t>因供应商原因解密失败的，其响应文件将被拒绝。</w:t>
      </w:r>
    </w:p>
    <w:p>
      <w:pPr>
        <w:pStyle w:val="51"/>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pStyle w:val="51"/>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51"/>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51"/>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color w:val="000000"/>
          <w:szCs w:val="21"/>
        </w:rPr>
        <w:t>响应文件</w:t>
      </w:r>
      <w:r>
        <w:rPr>
          <w:rFonts w:hint="eastAsia" w:hAnsi="宋体"/>
          <w:color w:val="000000"/>
          <w:szCs w:val="21"/>
        </w:rPr>
        <w:t>解密活动结束时，供应商应在《开标记录表》上进行电子签章。供应商未签章的，视同认可解密结果。</w:t>
      </w:r>
    </w:p>
    <w:p>
      <w:pPr>
        <w:pStyle w:val="51"/>
        <w:autoSpaceDE w:val="0"/>
        <w:autoSpaceDN w:val="0"/>
        <w:spacing w:line="360" w:lineRule="auto"/>
        <w:ind w:left="420" w:firstLine="0" w:firstLineChars="0"/>
        <w:contextualSpacing/>
        <w:rPr>
          <w:rFonts w:cs="宋体" w:asciiTheme="minorEastAsia" w:hAnsiTheme="minorEastAsia"/>
          <w:kern w:val="0"/>
          <w:szCs w:val="21"/>
        </w:rPr>
      </w:pP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3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51"/>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51"/>
        <w:numPr>
          <w:ilvl w:val="0"/>
          <w:numId w:val="35"/>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51"/>
        <w:numPr>
          <w:ilvl w:val="0"/>
          <w:numId w:val="35"/>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51"/>
        <w:numPr>
          <w:ilvl w:val="1"/>
          <w:numId w:val="33"/>
        </w:numPr>
        <w:autoSpaceDE w:val="0"/>
        <w:autoSpaceDN w:val="0"/>
        <w:spacing w:line="360" w:lineRule="auto"/>
        <w:ind w:firstLineChars="0"/>
        <w:contextualSpacing/>
        <w:rPr>
          <w:rFonts w:ascii="ˎ̥" w:hAnsi="ˎ̥"/>
          <w:vanish/>
        </w:rPr>
      </w:pPr>
    </w:p>
    <w:p>
      <w:pPr>
        <w:pStyle w:val="51"/>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51"/>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51"/>
        <w:numPr>
          <w:ilvl w:val="0"/>
          <w:numId w:val="36"/>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51"/>
        <w:numPr>
          <w:ilvl w:val="0"/>
          <w:numId w:val="36"/>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51"/>
        <w:numPr>
          <w:ilvl w:val="0"/>
          <w:numId w:val="36"/>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51"/>
        <w:numPr>
          <w:ilvl w:val="0"/>
          <w:numId w:val="37"/>
        </w:numPr>
        <w:autoSpaceDE w:val="0"/>
        <w:autoSpaceDN w:val="0"/>
        <w:spacing w:line="360" w:lineRule="auto"/>
        <w:ind w:firstLineChars="0"/>
        <w:contextualSpacing/>
        <w:rPr>
          <w:rFonts w:cs="宋体" w:asciiTheme="minorEastAsia" w:hAnsiTheme="minorEastAsia"/>
          <w:vanish/>
          <w:kern w:val="0"/>
          <w:szCs w:val="21"/>
        </w:rPr>
      </w:pPr>
    </w:p>
    <w:p>
      <w:pPr>
        <w:pStyle w:val="51"/>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51"/>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51"/>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51"/>
        <w:numPr>
          <w:ilvl w:val="0"/>
          <w:numId w:val="3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51"/>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51"/>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51"/>
        <w:numPr>
          <w:ilvl w:val="0"/>
          <w:numId w:val="13"/>
        </w:numPr>
        <w:autoSpaceDE w:val="0"/>
        <w:autoSpaceDN w:val="0"/>
        <w:spacing w:line="360" w:lineRule="auto"/>
        <w:ind w:firstLineChars="0"/>
        <w:contextualSpacing/>
        <w:rPr>
          <w:rFonts w:cs="宋体" w:asciiTheme="minorEastAsia" w:hAnsiTheme="minorEastAsia"/>
          <w:vanish/>
          <w:kern w:val="0"/>
          <w:szCs w:val="21"/>
        </w:rPr>
      </w:pPr>
    </w:p>
    <w:p>
      <w:pPr>
        <w:pStyle w:val="51"/>
        <w:numPr>
          <w:ilvl w:val="0"/>
          <w:numId w:val="13"/>
        </w:numPr>
        <w:autoSpaceDE w:val="0"/>
        <w:autoSpaceDN w:val="0"/>
        <w:spacing w:line="360" w:lineRule="auto"/>
        <w:ind w:firstLineChars="0"/>
        <w:contextualSpacing/>
        <w:rPr>
          <w:rFonts w:cs="宋体" w:asciiTheme="minorEastAsia" w:hAnsiTheme="minorEastAsia"/>
          <w:vanish/>
          <w:kern w:val="0"/>
          <w:szCs w:val="21"/>
        </w:rPr>
      </w:pPr>
    </w:p>
    <w:p>
      <w:pPr>
        <w:pStyle w:val="51"/>
        <w:numPr>
          <w:ilvl w:val="1"/>
          <w:numId w:val="13"/>
        </w:numPr>
        <w:autoSpaceDE w:val="0"/>
        <w:autoSpaceDN w:val="0"/>
        <w:spacing w:line="360" w:lineRule="auto"/>
        <w:ind w:firstLineChars="0"/>
        <w:contextualSpacing/>
        <w:rPr>
          <w:rFonts w:cs="宋体" w:asciiTheme="minorEastAsia" w:hAnsiTheme="minorEastAsia"/>
          <w:vanish/>
          <w:kern w:val="0"/>
          <w:szCs w:val="21"/>
        </w:rPr>
      </w:pPr>
    </w:p>
    <w:p>
      <w:pPr>
        <w:pStyle w:val="51"/>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3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51"/>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51"/>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51"/>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3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51"/>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51"/>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51"/>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51"/>
        <w:numPr>
          <w:ilvl w:val="0"/>
          <w:numId w:val="4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51"/>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51"/>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pPr>
        <w:pStyle w:val="51"/>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51"/>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不具备谈判文件中规定的资格要求的；</w:t>
      </w:r>
    </w:p>
    <w:p>
      <w:pPr>
        <w:pStyle w:val="51"/>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51"/>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51"/>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51"/>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51"/>
        <w:numPr>
          <w:ilvl w:val="0"/>
          <w:numId w:val="4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51"/>
        <w:numPr>
          <w:ilvl w:val="0"/>
          <w:numId w:val="4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51"/>
        <w:numPr>
          <w:ilvl w:val="0"/>
          <w:numId w:val="4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51"/>
        <w:numPr>
          <w:ilvl w:val="0"/>
          <w:numId w:val="4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51"/>
        <w:numPr>
          <w:ilvl w:val="0"/>
          <w:numId w:val="4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51"/>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’，其谈判响应无效。</w:t>
      </w:r>
    </w:p>
    <w:p>
      <w:pPr>
        <w:pStyle w:val="51"/>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4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51"/>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51"/>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color w:val="000000"/>
        </w:rPr>
        <w:t>在谈判中，谈判的任何一方不得透露与谈判有关的其他供应商的技术资料、价格和其他信息。</w:t>
      </w:r>
    </w:p>
    <w:p>
      <w:pPr>
        <w:pStyle w:val="51"/>
        <w:numPr>
          <w:ilvl w:val="0"/>
          <w:numId w:val="45"/>
        </w:numPr>
        <w:autoSpaceDE w:val="0"/>
        <w:autoSpaceDN w:val="0"/>
        <w:spacing w:line="360" w:lineRule="auto"/>
        <w:ind w:left="993" w:hanging="993" w:firstLineChars="0"/>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color w:val="000000"/>
        </w:rPr>
        <w:t>。</w:t>
      </w:r>
      <w:r>
        <w:rPr>
          <w:rFonts w:cs="微软雅黑"/>
          <w:color w:val="000000"/>
        </w:rPr>
        <w:t>对谈判文件作出的实质性变动是谈判文件的有效组成部分，谈判小组应当及时以书面形式同时通知所有参加谈判的供应商</w:t>
      </w:r>
      <w:r>
        <w:rPr>
          <w:rFonts w:hint="eastAsia" w:cs="微软雅黑"/>
          <w:color w:val="000000"/>
        </w:rPr>
        <w:t>。</w:t>
      </w:r>
    </w:p>
    <w:p>
      <w:pPr>
        <w:pStyle w:val="51"/>
        <w:numPr>
          <w:ilvl w:val="0"/>
          <w:numId w:val="45"/>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51"/>
        <w:numPr>
          <w:ilvl w:val="0"/>
          <w:numId w:val="45"/>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51"/>
        <w:numPr>
          <w:ilvl w:val="0"/>
          <w:numId w:val="45"/>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51"/>
        <w:numPr>
          <w:ilvl w:val="0"/>
          <w:numId w:val="45"/>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51"/>
        <w:numPr>
          <w:ilvl w:val="0"/>
          <w:numId w:val="45"/>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51"/>
        <w:autoSpaceDE w:val="0"/>
        <w:autoSpaceDN w:val="0"/>
        <w:spacing w:line="360" w:lineRule="auto"/>
        <w:ind w:left="964" w:firstLine="0" w:firstLineChars="0"/>
        <w:contextualSpacing/>
        <w:rPr>
          <w:rFonts w:ascii="ˎ̥" w:hAnsi="ˎ̥"/>
        </w:rPr>
      </w:pPr>
    </w:p>
    <w:p>
      <w:pPr>
        <w:pStyle w:val="51"/>
        <w:numPr>
          <w:ilvl w:val="0"/>
          <w:numId w:val="4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51"/>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51"/>
        <w:numPr>
          <w:ilvl w:val="0"/>
          <w:numId w:val="4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51"/>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51"/>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4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51"/>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51"/>
        <w:numPr>
          <w:ilvl w:val="0"/>
          <w:numId w:val="40"/>
        </w:numPr>
        <w:autoSpaceDE w:val="0"/>
        <w:autoSpaceDN w:val="0"/>
        <w:spacing w:line="360" w:lineRule="auto"/>
        <w:ind w:firstLineChars="0"/>
        <w:contextualSpacing/>
        <w:rPr>
          <w:rFonts w:cs="宋体" w:asciiTheme="minorEastAsia" w:hAnsiTheme="minorEastAsia"/>
          <w:vanish/>
          <w:kern w:val="0"/>
          <w:szCs w:val="21"/>
        </w:rPr>
      </w:pPr>
    </w:p>
    <w:p>
      <w:pPr>
        <w:pStyle w:val="51"/>
        <w:numPr>
          <w:ilvl w:val="0"/>
          <w:numId w:val="47"/>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51"/>
        <w:numPr>
          <w:ilvl w:val="0"/>
          <w:numId w:val="47"/>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51"/>
        <w:numPr>
          <w:ilvl w:val="0"/>
          <w:numId w:val="47"/>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51"/>
        <w:autoSpaceDE w:val="0"/>
        <w:autoSpaceDN w:val="0"/>
        <w:spacing w:line="360" w:lineRule="auto"/>
        <w:ind w:left="964" w:firstLine="0" w:firstLineChars="0"/>
        <w:contextualSpacing/>
        <w:rPr>
          <w:rFonts w:ascii="ˎ̥" w:hAnsi="ˎ̥"/>
        </w:rPr>
      </w:pPr>
    </w:p>
    <w:p>
      <w:pPr>
        <w:pStyle w:val="51"/>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51"/>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51"/>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51"/>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51"/>
        <w:numPr>
          <w:ilvl w:val="0"/>
          <w:numId w:val="5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51"/>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1"/>
        <w:numPr>
          <w:ilvl w:val="0"/>
          <w:numId w:val="53"/>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51"/>
        <w:numPr>
          <w:ilvl w:val="0"/>
          <w:numId w:val="53"/>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对成交结果提出质疑的，为成交结果公告期限届满之日起七个工作日内，以书面形式向采购人和采购代理机构一次性提出。</w:t>
      </w:r>
    </w:p>
    <w:p>
      <w:pPr>
        <w:pStyle w:val="51"/>
        <w:numPr>
          <w:ilvl w:val="0"/>
          <w:numId w:val="51"/>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51"/>
        <w:numPr>
          <w:ilvl w:val="0"/>
          <w:numId w:val="54"/>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51"/>
        <w:numPr>
          <w:ilvl w:val="0"/>
          <w:numId w:val="54"/>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1"/>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51"/>
        <w:numPr>
          <w:ilvl w:val="0"/>
          <w:numId w:val="55"/>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51"/>
        <w:numPr>
          <w:ilvl w:val="0"/>
          <w:numId w:val="55"/>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hint="eastAsia"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2"/>
        <w:rPr>
          <w:rFonts w:hint="eastAsia"/>
        </w:rPr>
      </w:pPr>
    </w:p>
    <w:p>
      <w:pPr>
        <w:pStyle w:val="51"/>
        <w:numPr>
          <w:ilvl w:val="0"/>
          <w:numId w:val="50"/>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 xml:space="preserve"> 政府采购合同融资</w:t>
      </w:r>
    </w:p>
    <w:p>
      <w:pPr>
        <w:pStyle w:val="51"/>
        <w:numPr>
          <w:ilvl w:val="1"/>
          <w:numId w:val="56"/>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pStyle w:val="2"/>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color w:val="FF0000"/>
        </w:rPr>
        <w:t>1、本</w:t>
      </w:r>
      <w:r>
        <w:rPr>
          <w:rFonts w:hint="eastAsia" w:cs="仿宋_GB2312" w:asciiTheme="minorEastAsia" w:hAnsiTheme="minor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pPr>
        <w:spacing w:line="360" w:lineRule="auto"/>
        <w:ind w:firstLine="420" w:firstLineChars="200"/>
        <w:contextualSpacing/>
        <w:rPr>
          <w:rFonts w:ascii="ˎ̥" w:hAnsi="ˎ̥"/>
          <w:color w:val="FF0000"/>
        </w:rPr>
      </w:pPr>
      <w:r>
        <w:rPr>
          <w:rFonts w:hint="eastAsia" w:ascii="ˎ̥" w:hAnsi="ˎ̥"/>
          <w:color w:val="FF0000"/>
        </w:rPr>
        <w:t>2、</w:t>
      </w:r>
      <w:r>
        <w:rPr>
          <w:rFonts w:ascii="ˎ̥" w:hAnsi="ˎ̥"/>
          <w:color w:val="FF0000"/>
        </w:rPr>
        <w:t>在货物采购项目中，供应商提供的货物既有中小企业制造货物，也有大型企业制造货物的，不享受</w:t>
      </w:r>
      <w:r>
        <w:rPr>
          <w:rFonts w:hint="eastAsia" w:cs="仿宋_GB2312" w:asciiTheme="minorEastAsia" w:hAnsiTheme="minorEastAsia"/>
          <w:color w:val="FF0000"/>
          <w:szCs w:val="21"/>
          <w:lang w:val="zh-CN"/>
        </w:rPr>
        <w:t>《政府采购促进中小企业发展管理办法》（财库[2020]46号）</w:t>
      </w:r>
      <w:r>
        <w:rPr>
          <w:rFonts w:ascii="ˎ̥" w:hAnsi="ˎ̥"/>
          <w:color w:val="FF0000"/>
        </w:rPr>
        <w:t>规定的中小企业扶持政策。</w:t>
      </w:r>
    </w:p>
    <w:p>
      <w:pPr>
        <w:spacing w:line="360" w:lineRule="auto"/>
        <w:ind w:firstLine="420" w:firstLineChars="200"/>
        <w:contextualSpacing/>
        <w:rPr>
          <w:rFonts w:ascii="ˎ̥" w:hAnsi="ˎ̥"/>
          <w:color w:val="FF0000"/>
        </w:rPr>
      </w:pPr>
      <w:r>
        <w:rPr>
          <w:rFonts w:hint="eastAsia" w:ascii="ˎ̥" w:hAnsi="ˎ̥"/>
          <w:color w:val="FF0000"/>
        </w:rPr>
        <w:t>3、</w:t>
      </w:r>
      <w:r>
        <w:rPr>
          <w:rFonts w:ascii="ˎ̥" w:hAnsi="ˎ̥"/>
          <w:color w:val="FF0000"/>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FF0000"/>
        </w:rPr>
      </w:pPr>
      <w:r>
        <w:rPr>
          <w:rFonts w:hint="eastAsia" w:ascii="ˎ̥" w:hAnsi="ˎ̥"/>
          <w:color w:val="FF0000"/>
        </w:rPr>
        <w:t>4、</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FF0000"/>
        </w:rPr>
      </w:pPr>
      <w:r>
        <w:rPr>
          <w:rFonts w:hint="eastAsia" w:ascii="ˎ̥" w:hAnsi="ˎ̥"/>
          <w:color w:val="FF0000"/>
        </w:rPr>
        <w:t>5、按照本次采购标的所属行业的划型标准，符合条件的中小企业应按照招标文件格式要求提供《中小企业声明函》，</w:t>
      </w:r>
      <w:r>
        <w:rPr>
          <w:rFonts w:ascii="ˎ̥" w:hAnsi="ˎ̥"/>
          <w:color w:val="FF0000"/>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17"/>
        <w:spacing w:line="360" w:lineRule="auto"/>
        <w:contextualSpacing/>
        <w:rPr>
          <w:rFonts w:cs="仿宋_GB2312" w:asciiTheme="minorEastAsia" w:hAnsiTheme="minorEastAsia"/>
          <w:lang w:val="zh-CN"/>
        </w:rPr>
      </w:pPr>
    </w:p>
    <w:p>
      <w:pPr>
        <w:pStyle w:val="17"/>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①与本项目响应相关设备的购置发票、专业技术人员职称证书、用工合同等；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wordWrap w:val="0"/>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0"/>
                <w:rFonts w:hint="eastAsia" w:asciiTheme="minorEastAsia" w:hAnsiTheme="minorEastAsia"/>
                <w:szCs w:val="21"/>
              </w:rPr>
              <w:t>www.creditchina.gov.cn</w:t>
            </w:r>
            <w:r>
              <w:rPr>
                <w:rStyle w:val="30"/>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响应承诺函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7"/>
        <w:spacing w:line="360" w:lineRule="auto"/>
        <w:ind w:firstLine="482" w:firstLineChars="200"/>
        <w:contextualSpacing/>
        <w:rPr>
          <w:rFonts w:cs="仿宋_GB2312" w:asciiTheme="minorEastAsia" w:hAnsiTheme="minorEastAsia" w:eastAsiaTheme="minorEastAsia"/>
          <w:b/>
          <w:szCs w:val="24"/>
          <w:lang w:val="zh-CN"/>
        </w:rPr>
      </w:pP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7"/>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7"/>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7"/>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7"/>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7"/>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7"/>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（三）</w:t>
      </w:r>
      <w:r>
        <w:rPr>
          <w:rFonts w:cs="仿宋_GB2312" w:asciiTheme="minorEastAsia" w:hAnsiTheme="minorEastAsia" w:eastAsiaTheme="minorEastAsia"/>
          <w:b/>
          <w:sz w:val="21"/>
          <w:szCs w:val="21"/>
          <w:lang w:val="zh-CN"/>
        </w:rPr>
        <w:t>因落实政府采购政策进行价格调整的，以调整后的价格计算报价。</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pStyle w:val="17"/>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540"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693"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977"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693" w:type="dxa"/>
            <w:vAlign w:val="center"/>
          </w:tcPr>
          <w:p>
            <w:pPr>
              <w:jc w:val="center"/>
              <w:rPr>
                <w:rFonts w:ascii="ˎ̥" w:hAnsi="ˎ̥" w:eastAsia="宋体"/>
                <w:color w:val="FF0000"/>
                <w:szCs w:val="21"/>
              </w:rPr>
            </w:pPr>
            <w:r>
              <w:rPr>
                <w:rFonts w:hint="eastAsia" w:ascii="ˎ̥" w:hAnsi="ˎ̥" w:eastAsia="宋体"/>
                <w:color w:val="FF0000"/>
                <w:szCs w:val="21"/>
              </w:rPr>
              <w:t>对小型和微型企业报价</w:t>
            </w:r>
          </w:p>
          <w:p>
            <w:pPr>
              <w:jc w:val="center"/>
              <w:rPr>
                <w:rFonts w:ascii="宋体" w:hAnsi="宋体"/>
                <w:b/>
                <w:szCs w:val="21"/>
                <w:lang w:val="en-GB"/>
              </w:rPr>
            </w:pPr>
            <w:r>
              <w:rPr>
                <w:rFonts w:hint="eastAsia" w:ascii="ˎ̥" w:hAnsi="ˎ̥" w:eastAsia="宋体"/>
                <w:color w:val="FF0000"/>
                <w:szCs w:val="21"/>
              </w:rPr>
              <w:t>扣除6%</w:t>
            </w:r>
          </w:p>
        </w:tc>
        <w:tc>
          <w:tcPr>
            <w:tcW w:w="2977" w:type="dxa"/>
            <w:vMerge w:val="restart"/>
            <w:shd w:val="clear" w:color="auto" w:fill="auto"/>
            <w:vAlign w:val="center"/>
          </w:tcPr>
          <w:p>
            <w:pPr>
              <w:jc w:val="center"/>
              <w:rPr>
                <w:color w:val="000000"/>
                <w:szCs w:val="21"/>
                <w:lang w:val="en-GB"/>
              </w:rPr>
            </w:pPr>
            <w:r>
              <w:rPr>
                <w:rFonts w:hint="eastAsia"/>
                <w:color w:val="000000"/>
                <w:szCs w:val="21"/>
                <w:lang w:val="en-GB"/>
              </w:rPr>
              <w:t>评标价格＝</w:t>
            </w:r>
            <w:r>
              <w:rPr>
                <w:rFonts w:hint="eastAsia" w:ascii="ˎ̥" w:hAnsi="ˎ̥" w:eastAsia="宋体"/>
                <w:color w:val="FF0000"/>
                <w:szCs w:val="21"/>
              </w:rPr>
              <w:t>小型和微型企业报价</w:t>
            </w:r>
            <w:r>
              <w:rPr>
                <w:rFonts w:hint="eastAsia" w:ascii="宋体" w:hAnsi="宋体"/>
                <w:color w:val="000000"/>
                <w:szCs w:val="21"/>
                <w:lang w:val="en-GB"/>
              </w:rPr>
              <w:t>×（1-</w:t>
            </w:r>
            <w:r>
              <w:rPr>
                <w:rFonts w:hint="eastAsia"/>
                <w:color w:val="000000"/>
                <w:szCs w:val="21"/>
                <w:lang w:val="en-GB"/>
              </w:rPr>
              <w:t>6%</w:t>
            </w:r>
            <w:r>
              <w:rPr>
                <w:rFonts w:hint="eastAsia" w:ascii="宋体" w:hAnsi="宋体"/>
                <w:color w:val="000000"/>
                <w:szCs w:val="21"/>
                <w:lang w:val="en-GB"/>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联合体各方均为</w:t>
            </w:r>
          </w:p>
          <w:p>
            <w:pPr>
              <w:jc w:val="center"/>
              <w:rPr>
                <w:rFonts w:ascii="宋体" w:hAnsi="宋体"/>
                <w:b/>
                <w:color w:val="000000"/>
                <w:szCs w:val="21"/>
              </w:rPr>
            </w:pPr>
            <w:r>
              <w:rPr>
                <w:rFonts w:hint="eastAsia" w:ascii="宋体" w:hAnsi="宋体"/>
                <w:color w:val="000000"/>
                <w:szCs w:val="21"/>
                <w:lang w:val="en-GB"/>
              </w:rPr>
              <w:t>小型、微型企业</w:t>
            </w:r>
          </w:p>
        </w:tc>
        <w:tc>
          <w:tcPr>
            <w:tcW w:w="2693" w:type="dxa"/>
            <w:vAlign w:val="center"/>
          </w:tcPr>
          <w:p>
            <w:pPr>
              <w:jc w:val="center"/>
              <w:rPr>
                <w:rFonts w:ascii="宋体" w:hAnsi="宋体"/>
                <w:color w:val="000000"/>
                <w:szCs w:val="21"/>
              </w:rPr>
            </w:pPr>
            <w:r>
              <w:rPr>
                <w:rFonts w:hint="eastAsia" w:ascii="ˎ̥" w:hAnsi="ˎ̥" w:eastAsia="宋体"/>
                <w:color w:val="FF0000"/>
                <w:szCs w:val="21"/>
              </w:rPr>
              <w:t>对小型和微型企业报价</w:t>
            </w:r>
          </w:p>
          <w:p>
            <w:pPr>
              <w:jc w:val="center"/>
              <w:rPr>
                <w:rFonts w:ascii="宋体" w:hAnsi="宋体"/>
                <w:szCs w:val="21"/>
              </w:rPr>
            </w:pPr>
            <w:r>
              <w:rPr>
                <w:rFonts w:hint="eastAsia" w:ascii="宋体" w:hAnsi="宋体"/>
                <w:color w:val="000000"/>
                <w:szCs w:val="21"/>
              </w:rPr>
              <w:t>扣除</w:t>
            </w:r>
            <w:r>
              <w:rPr>
                <w:rFonts w:hint="eastAsia" w:ascii="宋体" w:hAnsi="宋体"/>
                <w:szCs w:val="21"/>
              </w:rPr>
              <w:t>6%</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540" w:type="dxa"/>
            <w:vAlign w:val="center"/>
          </w:tcPr>
          <w:p>
            <w:pPr>
              <w:jc w:val="center"/>
              <w:rPr>
                <w:rFonts w:ascii="宋体" w:hAnsi="宋体"/>
                <w:b/>
                <w:color w:val="000000"/>
                <w:szCs w:val="21"/>
                <w:lang w:val="en-GB"/>
              </w:rPr>
            </w:pPr>
            <w:r>
              <w:rPr>
                <w:rFonts w:ascii="ˎ̥" w:hAnsi="ˎ̥" w:eastAsia="宋体"/>
                <w:color w:val="FF0000"/>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jc w:val="center"/>
              <w:rPr>
                <w:rFonts w:ascii="宋体" w:hAnsi="宋体"/>
                <w:b/>
                <w:szCs w:val="21"/>
                <w:lang w:val="en-GB"/>
              </w:rPr>
            </w:pPr>
            <w:r>
              <w:rPr>
                <w:rFonts w:ascii="ˎ̥" w:hAnsi="ˎ̥" w:eastAsia="宋体"/>
                <w:color w:val="FF0000"/>
                <w:szCs w:val="21"/>
              </w:rPr>
              <w:t>对联合体或者大中型企业的报价</w:t>
            </w:r>
            <w:r>
              <w:rPr>
                <w:rFonts w:hint="eastAsia" w:ascii="宋体" w:hAnsi="宋体"/>
                <w:color w:val="000000"/>
                <w:szCs w:val="21"/>
                <w:lang w:val="en-GB"/>
              </w:rPr>
              <w:t>扣除</w:t>
            </w:r>
            <w:r>
              <w:rPr>
                <w:rFonts w:ascii="宋体" w:hAnsi="宋体"/>
                <w:szCs w:val="21"/>
              </w:rPr>
              <w:t>2</w:t>
            </w:r>
            <w:r>
              <w:rPr>
                <w:rFonts w:hint="eastAsia" w:ascii="宋体" w:hAnsi="宋体"/>
                <w:szCs w:val="21"/>
              </w:rPr>
              <w:t>%</w:t>
            </w:r>
          </w:p>
        </w:tc>
        <w:tc>
          <w:tcPr>
            <w:tcW w:w="2977"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7"/>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FF0000"/>
          <w:kern w:val="0"/>
          <w:sz w:val="32"/>
          <w:szCs w:val="32"/>
        </w:rPr>
      </w:pPr>
      <w:r>
        <w:rPr>
          <w:rFonts w:hint="eastAsia" w:cs="宋体" w:asciiTheme="majorEastAsia" w:hAnsiTheme="majorEastAsia" w:eastAsiaTheme="majorEastAsia"/>
          <w:b/>
          <w:color w:val="FF0000"/>
          <w:kern w:val="0"/>
          <w:sz w:val="32"/>
          <w:szCs w:val="32"/>
        </w:rPr>
        <w:t>第七章 拟签订的合同文本</w:t>
      </w:r>
    </w:p>
    <w:p>
      <w:pPr>
        <w:pStyle w:val="17"/>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24"/>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4"/>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ind w:firstLine="723"/>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pStyle w:val="6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7"/>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7"/>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058" w:type="dxa"/>
            <w:gridSpan w:val="2"/>
            <w:tcBorders>
              <w:right w:val="sing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058" w:type="dxa"/>
            <w:gridSpan w:val="2"/>
            <w:vMerge w:val="restart"/>
            <w:tcBorders>
              <w:right w:val="single" w:color="auto" w:sz="4" w:space="0"/>
            </w:tcBorders>
            <w:vAlign w:val="center"/>
          </w:tcPr>
          <w:p>
            <w:pPr>
              <w:pStyle w:val="17"/>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7"/>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三、资格审查相关材料</w:t>
      </w: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7"/>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4"/>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7"/>
        <w:adjustRightInd w:val="0"/>
        <w:snapToGrid w:val="0"/>
        <w:spacing w:line="360" w:lineRule="auto"/>
        <w:rPr>
          <w:rFonts w:asciiTheme="minorEastAsia" w:hAnsiTheme="minorEastAsia" w:eastAsiaTheme="minorEastAsia"/>
          <w:sz w:val="21"/>
          <w:szCs w:val="21"/>
        </w:rPr>
      </w:pPr>
    </w:p>
    <w:p>
      <w:pPr>
        <w:pStyle w:val="17"/>
        <w:adjustRightInd w:val="0"/>
        <w:snapToGrid w:val="0"/>
        <w:spacing w:line="360" w:lineRule="auto"/>
        <w:rPr>
          <w:rFonts w:asciiTheme="minorEastAsia" w:hAnsiTheme="minorEastAsia" w:eastAsiaTheme="minorEastAsia"/>
          <w:sz w:val="21"/>
          <w:szCs w:val="21"/>
        </w:rPr>
      </w:pPr>
    </w:p>
    <w:p>
      <w:pPr>
        <w:pStyle w:val="17"/>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5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5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5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5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5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5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53"/>
        <w:spacing w:line="480" w:lineRule="auto"/>
        <w:ind w:firstLine="472" w:firstLineChars="225"/>
        <w:jc w:val="left"/>
        <w:rPr>
          <w:rFonts w:asciiTheme="minorEastAsia" w:hAnsiTheme="minorEastAsia"/>
          <w:color w:val="000000"/>
          <w:sz w:val="21"/>
          <w:szCs w:val="21"/>
        </w:rPr>
      </w:pPr>
    </w:p>
    <w:p>
      <w:pPr>
        <w:pStyle w:val="53"/>
        <w:spacing w:line="480" w:lineRule="auto"/>
        <w:ind w:firstLine="472" w:firstLineChars="225"/>
        <w:jc w:val="left"/>
        <w:rPr>
          <w:rFonts w:asciiTheme="minorEastAsia" w:hAnsiTheme="minorEastAsia"/>
          <w:color w:val="000000"/>
          <w:sz w:val="21"/>
          <w:szCs w:val="21"/>
        </w:rPr>
      </w:pPr>
    </w:p>
    <w:p>
      <w:pPr>
        <w:pStyle w:val="5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5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p>
    <w:p>
      <w:pPr>
        <w:pStyle w:val="5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320" w:lineRule="exact"/>
        <w:ind w:firstLine="420" w:firstLineChars="200"/>
        <w:rPr>
          <w:rFonts w:asciiTheme="minorEastAsia" w:hAnsiTheme="minorEastAsia"/>
          <w:bCs/>
          <w:color w:val="000000"/>
          <w:kern w:val="12"/>
          <w:szCs w:val="21"/>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u w:val="single"/>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Arial" w:asciiTheme="minorEastAsia" w:hAnsiTheme="minorEastAsia"/>
          <w:color w:val="000000"/>
          <w:szCs w:val="21"/>
        </w:rPr>
        <w:t>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pStyle w:val="10"/>
        <w:rPr>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cs="宋体" w:asciiTheme="minorEastAsia" w:hAnsiTheme="minorEastAsia"/>
          <w:sz w:val="24"/>
          <w:szCs w:val="24"/>
        </w:rPr>
      </w:pPr>
      <w:r>
        <w:rPr>
          <w:rFonts w:hint="eastAsia" w:ascii="宋体" w:hAnsi="宋体"/>
          <w:b/>
          <w:bCs/>
          <w:color w:val="000000"/>
          <w:sz w:val="24"/>
          <w:szCs w:val="24"/>
        </w:rPr>
        <w:t>3.6  谈判文件费用缴纳回执单</w:t>
      </w: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3.7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生产厂家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谈判文件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响应文件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w:t>
      </w:r>
      <w:r>
        <w:rPr>
          <w:rFonts w:ascii="宋体" w:hAnsi="宋体"/>
          <w:b/>
          <w:bCs/>
          <w:color w:val="000000"/>
          <w:sz w:val="24"/>
          <w:szCs w:val="24"/>
        </w:rPr>
        <w:t>中小企业声明函（货物）</w:t>
      </w:r>
    </w:p>
    <w:p>
      <w:pPr>
        <w:spacing w:line="360" w:lineRule="auto"/>
        <w:jc w:val="center"/>
        <w:rPr>
          <w:rFonts w:ascii="宋体" w:hAnsi="宋体"/>
          <w:b/>
          <w:bCs/>
          <w:color w:val="000000"/>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jc w:val="left"/>
      </w:pPr>
      <w:r>
        <w:t>企业名称（盖章）：</w:t>
      </w:r>
    </w:p>
    <w:p>
      <w:pPr>
        <w:spacing w:line="480" w:lineRule="auto"/>
        <w:jc w:val="left"/>
        <w:rPr>
          <w:rFonts w:cs="Arial" w:asciiTheme="minorEastAsia" w:hAnsiTheme="minorEastAsia"/>
          <w:color w:val="000000"/>
          <w:szCs w:val="21"/>
        </w:rPr>
      </w:pPr>
      <w:r>
        <w:t>日期：</w:t>
      </w: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pStyle w:val="2"/>
        <w:rPr>
          <w:rFonts w:hint="eastAsia"/>
        </w:rPr>
      </w:pPr>
    </w:p>
    <w:p>
      <w:pPr>
        <w:pStyle w:val="2"/>
        <w:rPr>
          <w:rFonts w:hint="eastAsia"/>
        </w:rPr>
      </w:pPr>
    </w:p>
    <w:p>
      <w:pPr>
        <w:pStyle w:val="2"/>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contextualSpacing/>
        <w:rPr>
          <w:rFonts w:ascii="宋体" w:hAnsi="宋体"/>
          <w:szCs w:val="21"/>
        </w:rPr>
      </w:pPr>
      <w:r>
        <w:rPr>
          <w:rFonts w:hint="eastAsia" w:cs="宋体" w:asciiTheme="minorEastAsia" w:hAnsiTheme="minorEastAsia"/>
          <w:szCs w:val="21"/>
          <w:lang w:val="zh-CN"/>
        </w:rPr>
        <w:t>单位名称（盖章）：：</w:t>
      </w:r>
    </w:p>
    <w:p>
      <w:pPr>
        <w:spacing w:line="360" w:lineRule="auto"/>
        <w:contextualSpacing/>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华文隶书">
    <w:altName w:val="微软雅黑"/>
    <w:panose1 w:val="02010800040101010101"/>
    <w:charset w:val="86"/>
    <w:family w:val="auto"/>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23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BFF5830"/>
    <w:multiLevelType w:val="multilevel"/>
    <w:tmpl w:val="0BFF5830"/>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2">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3">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4">
    <w:nsid w:val="1AAB54CA"/>
    <w:multiLevelType w:val="multilevel"/>
    <w:tmpl w:val="1AAB54CA"/>
    <w:lvl w:ilvl="0" w:tentative="0">
      <w:start w:val="1"/>
      <w:numFmt w:val="decimal"/>
      <w:lvlText w:val="2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7">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1">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3">
    <w:nsid w:val="2C7A7622"/>
    <w:multiLevelType w:val="singleLevel"/>
    <w:tmpl w:val="2C7A7622"/>
    <w:lvl w:ilvl="0" w:tentative="0">
      <w:start w:val="1"/>
      <w:numFmt w:val="chineseCounting"/>
      <w:suff w:val="space"/>
      <w:lvlText w:val="第%1章"/>
      <w:lvlJc w:val="left"/>
      <w:rPr>
        <w:rFonts w:hint="eastAsia"/>
      </w:rPr>
    </w:lvl>
  </w:abstractNum>
  <w:abstractNum w:abstractNumId="24">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8">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9">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0">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3">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4">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37">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8">
    <w:nsid w:val="59F817E8"/>
    <w:multiLevelType w:val="singleLevel"/>
    <w:tmpl w:val="59F817E8"/>
    <w:lvl w:ilvl="0" w:tentative="0">
      <w:start w:val="1"/>
      <w:numFmt w:val="chineseCounting"/>
      <w:pStyle w:val="61"/>
      <w:suff w:val="nothing"/>
      <w:lvlText w:val="%1、"/>
      <w:lvlJc w:val="left"/>
    </w:lvl>
  </w:abstractNum>
  <w:abstractNum w:abstractNumId="39">
    <w:nsid w:val="5A051E9E"/>
    <w:multiLevelType w:val="singleLevel"/>
    <w:tmpl w:val="5A051E9E"/>
    <w:lvl w:ilvl="0" w:tentative="0">
      <w:start w:val="1"/>
      <w:numFmt w:val="chineseCounting"/>
      <w:suff w:val="nothing"/>
      <w:lvlText w:val="%1、"/>
      <w:lvlJc w:val="left"/>
    </w:lvl>
  </w:abstractNum>
  <w:abstractNum w:abstractNumId="40">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1">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54E26F6"/>
    <w:multiLevelType w:val="singleLevel"/>
    <w:tmpl w:val="654E26F6"/>
    <w:lvl w:ilvl="0" w:tentative="0">
      <w:start w:val="1"/>
      <w:numFmt w:val="decimal"/>
      <w:suff w:val="nothing"/>
      <w:lvlText w:val="%1、"/>
      <w:lvlJc w:val="left"/>
    </w:lvl>
  </w:abstractNum>
  <w:abstractNum w:abstractNumId="43">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4">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5">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8">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9">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0">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52">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4">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5">
    <w:nsid w:val="7AF02339"/>
    <w:multiLevelType w:val="multilevel"/>
    <w:tmpl w:val="7AF02339"/>
    <w:lvl w:ilvl="0" w:tentative="0">
      <w:start w:val="1"/>
      <w:numFmt w:val="decimal"/>
      <w:lvlText w:val="27.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2"/>
  </w:num>
  <w:num w:numId="3">
    <w:abstractNumId w:val="38"/>
  </w:num>
  <w:num w:numId="4">
    <w:abstractNumId w:val="23"/>
  </w:num>
  <w:num w:numId="5">
    <w:abstractNumId w:val="39"/>
  </w:num>
  <w:num w:numId="6">
    <w:abstractNumId w:val="42"/>
  </w:num>
  <w:num w:numId="7">
    <w:abstractNumId w:val="0"/>
  </w:num>
  <w:num w:numId="8">
    <w:abstractNumId w:val="15"/>
  </w:num>
  <w:num w:numId="9">
    <w:abstractNumId w:val="16"/>
  </w:num>
  <w:num w:numId="10">
    <w:abstractNumId w:val="45"/>
  </w:num>
  <w:num w:numId="11">
    <w:abstractNumId w:val="54"/>
  </w:num>
  <w:num w:numId="12">
    <w:abstractNumId w:val="53"/>
  </w:num>
  <w:num w:numId="13">
    <w:abstractNumId w:val="44"/>
  </w:num>
  <w:num w:numId="14">
    <w:abstractNumId w:val="22"/>
  </w:num>
  <w:num w:numId="15">
    <w:abstractNumId w:val="17"/>
  </w:num>
  <w:num w:numId="16">
    <w:abstractNumId w:val="47"/>
  </w:num>
  <w:num w:numId="17">
    <w:abstractNumId w:val="41"/>
  </w:num>
  <w:num w:numId="18">
    <w:abstractNumId w:val="52"/>
  </w:num>
  <w:num w:numId="19">
    <w:abstractNumId w:val="34"/>
  </w:num>
  <w:num w:numId="20">
    <w:abstractNumId w:val="12"/>
  </w:num>
  <w:num w:numId="21">
    <w:abstractNumId w:val="37"/>
  </w:num>
  <w:num w:numId="22">
    <w:abstractNumId w:val="5"/>
  </w:num>
  <w:num w:numId="23">
    <w:abstractNumId w:val="21"/>
  </w:num>
  <w:num w:numId="24">
    <w:abstractNumId w:val="35"/>
  </w:num>
  <w:num w:numId="25">
    <w:abstractNumId w:val="4"/>
  </w:num>
  <w:num w:numId="26">
    <w:abstractNumId w:val="49"/>
  </w:num>
  <w:num w:numId="27">
    <w:abstractNumId w:val="11"/>
  </w:num>
  <w:num w:numId="28">
    <w:abstractNumId w:val="26"/>
  </w:num>
  <w:num w:numId="29">
    <w:abstractNumId w:val="30"/>
  </w:num>
  <w:num w:numId="30">
    <w:abstractNumId w:val="18"/>
  </w:num>
  <w:num w:numId="31">
    <w:abstractNumId w:val="40"/>
  </w:num>
  <w:num w:numId="32">
    <w:abstractNumId w:val="24"/>
  </w:num>
  <w:num w:numId="33">
    <w:abstractNumId w:val="48"/>
  </w:num>
  <w:num w:numId="34">
    <w:abstractNumId w:val="31"/>
  </w:num>
  <w:num w:numId="35">
    <w:abstractNumId w:val="51"/>
  </w:num>
  <w:num w:numId="36">
    <w:abstractNumId w:val="13"/>
  </w:num>
  <w:num w:numId="37">
    <w:abstractNumId w:val="3"/>
  </w:num>
  <w:num w:numId="38">
    <w:abstractNumId w:val="9"/>
  </w:num>
  <w:num w:numId="39">
    <w:abstractNumId w:val="6"/>
  </w:num>
  <w:num w:numId="40">
    <w:abstractNumId w:val="28"/>
  </w:num>
  <w:num w:numId="41">
    <w:abstractNumId w:val="14"/>
  </w:num>
  <w:num w:numId="42">
    <w:abstractNumId w:val="46"/>
  </w:num>
  <w:num w:numId="43">
    <w:abstractNumId w:val="29"/>
  </w:num>
  <w:num w:numId="44">
    <w:abstractNumId w:val="55"/>
  </w:num>
  <w:num w:numId="45">
    <w:abstractNumId w:val="27"/>
  </w:num>
  <w:num w:numId="46">
    <w:abstractNumId w:val="50"/>
  </w:num>
  <w:num w:numId="47">
    <w:abstractNumId w:val="36"/>
  </w:num>
  <w:num w:numId="48">
    <w:abstractNumId w:val="19"/>
  </w:num>
  <w:num w:numId="49">
    <w:abstractNumId w:val="25"/>
  </w:num>
  <w:num w:numId="50">
    <w:abstractNumId w:val="32"/>
  </w:num>
  <w:num w:numId="51">
    <w:abstractNumId w:val="43"/>
  </w:num>
  <w:num w:numId="52">
    <w:abstractNumId w:val="56"/>
  </w:num>
  <w:num w:numId="53">
    <w:abstractNumId w:val="10"/>
  </w:num>
  <w:num w:numId="54">
    <w:abstractNumId w:val="33"/>
  </w:num>
  <w:num w:numId="55">
    <w:abstractNumId w:val="7"/>
  </w:num>
  <w:num w:numId="56">
    <w:abstractNumId w:val="20"/>
  </w:num>
  <w:num w:numId="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51569"/>
    <w:rsid w:val="000069EC"/>
    <w:rsid w:val="00007470"/>
    <w:rsid w:val="000112AC"/>
    <w:rsid w:val="0001195E"/>
    <w:rsid w:val="0001598A"/>
    <w:rsid w:val="000173D4"/>
    <w:rsid w:val="000227BF"/>
    <w:rsid w:val="00030B34"/>
    <w:rsid w:val="00031CF4"/>
    <w:rsid w:val="000418F9"/>
    <w:rsid w:val="00046E42"/>
    <w:rsid w:val="0005454B"/>
    <w:rsid w:val="0007027E"/>
    <w:rsid w:val="00072339"/>
    <w:rsid w:val="00074D05"/>
    <w:rsid w:val="000800D2"/>
    <w:rsid w:val="00080389"/>
    <w:rsid w:val="00083387"/>
    <w:rsid w:val="0008414A"/>
    <w:rsid w:val="00091C9C"/>
    <w:rsid w:val="00095387"/>
    <w:rsid w:val="00096224"/>
    <w:rsid w:val="0009640F"/>
    <w:rsid w:val="000A02BB"/>
    <w:rsid w:val="000A73BC"/>
    <w:rsid w:val="000B3383"/>
    <w:rsid w:val="000B36D7"/>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25A07"/>
    <w:rsid w:val="00134A7E"/>
    <w:rsid w:val="001415B4"/>
    <w:rsid w:val="00147BC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B0E59"/>
    <w:rsid w:val="001C04D2"/>
    <w:rsid w:val="001C0A13"/>
    <w:rsid w:val="001C26CD"/>
    <w:rsid w:val="001C2B6A"/>
    <w:rsid w:val="001C761E"/>
    <w:rsid w:val="001D06FF"/>
    <w:rsid w:val="001D1CBB"/>
    <w:rsid w:val="001D33AD"/>
    <w:rsid w:val="001D33DA"/>
    <w:rsid w:val="001D4C00"/>
    <w:rsid w:val="001E25D9"/>
    <w:rsid w:val="001E592F"/>
    <w:rsid w:val="001E76C9"/>
    <w:rsid w:val="001F7199"/>
    <w:rsid w:val="00206982"/>
    <w:rsid w:val="002078AE"/>
    <w:rsid w:val="00210B90"/>
    <w:rsid w:val="00213F11"/>
    <w:rsid w:val="00214892"/>
    <w:rsid w:val="00224D01"/>
    <w:rsid w:val="00231307"/>
    <w:rsid w:val="00234627"/>
    <w:rsid w:val="002426C4"/>
    <w:rsid w:val="002436B4"/>
    <w:rsid w:val="00246A17"/>
    <w:rsid w:val="00252623"/>
    <w:rsid w:val="00255732"/>
    <w:rsid w:val="00257206"/>
    <w:rsid w:val="002615C0"/>
    <w:rsid w:val="00262B6F"/>
    <w:rsid w:val="00264014"/>
    <w:rsid w:val="002659C7"/>
    <w:rsid w:val="00266F45"/>
    <w:rsid w:val="00267EE6"/>
    <w:rsid w:val="002709BD"/>
    <w:rsid w:val="002732E0"/>
    <w:rsid w:val="0027615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D7C23"/>
    <w:rsid w:val="002E0D3B"/>
    <w:rsid w:val="002E18BD"/>
    <w:rsid w:val="002E3D0E"/>
    <w:rsid w:val="002E4CED"/>
    <w:rsid w:val="002E58B7"/>
    <w:rsid w:val="002E6378"/>
    <w:rsid w:val="002F11CE"/>
    <w:rsid w:val="002F23BC"/>
    <w:rsid w:val="002F2D13"/>
    <w:rsid w:val="002F3BDA"/>
    <w:rsid w:val="002F4580"/>
    <w:rsid w:val="003011BE"/>
    <w:rsid w:val="00303972"/>
    <w:rsid w:val="00303F10"/>
    <w:rsid w:val="0030443F"/>
    <w:rsid w:val="00307D84"/>
    <w:rsid w:val="0031002E"/>
    <w:rsid w:val="003155E9"/>
    <w:rsid w:val="003158D3"/>
    <w:rsid w:val="003169BF"/>
    <w:rsid w:val="00320D6C"/>
    <w:rsid w:val="00324B7E"/>
    <w:rsid w:val="0032784A"/>
    <w:rsid w:val="00330D3D"/>
    <w:rsid w:val="0033421C"/>
    <w:rsid w:val="003347F9"/>
    <w:rsid w:val="00336F5A"/>
    <w:rsid w:val="00337A0F"/>
    <w:rsid w:val="003509A7"/>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3F4D82"/>
    <w:rsid w:val="003F6A90"/>
    <w:rsid w:val="00410B19"/>
    <w:rsid w:val="00416591"/>
    <w:rsid w:val="00421F3E"/>
    <w:rsid w:val="00425386"/>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2FF5"/>
    <w:rsid w:val="00496BD4"/>
    <w:rsid w:val="0049794D"/>
    <w:rsid w:val="004A4441"/>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1114C"/>
    <w:rsid w:val="00513C0A"/>
    <w:rsid w:val="00520164"/>
    <w:rsid w:val="005222C3"/>
    <w:rsid w:val="005254AD"/>
    <w:rsid w:val="00527604"/>
    <w:rsid w:val="00532D1B"/>
    <w:rsid w:val="00535B8D"/>
    <w:rsid w:val="00536DD2"/>
    <w:rsid w:val="005411DE"/>
    <w:rsid w:val="00546251"/>
    <w:rsid w:val="005462AC"/>
    <w:rsid w:val="0055332A"/>
    <w:rsid w:val="00555EDE"/>
    <w:rsid w:val="0056657E"/>
    <w:rsid w:val="005701A3"/>
    <w:rsid w:val="005711DE"/>
    <w:rsid w:val="00573241"/>
    <w:rsid w:val="00575C9D"/>
    <w:rsid w:val="005779B2"/>
    <w:rsid w:val="00581F58"/>
    <w:rsid w:val="00586CD2"/>
    <w:rsid w:val="00592785"/>
    <w:rsid w:val="005940FF"/>
    <w:rsid w:val="00596914"/>
    <w:rsid w:val="005A0C27"/>
    <w:rsid w:val="005A33DA"/>
    <w:rsid w:val="005A49BE"/>
    <w:rsid w:val="005A7E7E"/>
    <w:rsid w:val="005B1144"/>
    <w:rsid w:val="005B14F6"/>
    <w:rsid w:val="005B180E"/>
    <w:rsid w:val="005B4048"/>
    <w:rsid w:val="005B7E03"/>
    <w:rsid w:val="005C09F8"/>
    <w:rsid w:val="005C21AE"/>
    <w:rsid w:val="005D1597"/>
    <w:rsid w:val="005D4EBE"/>
    <w:rsid w:val="005D51C3"/>
    <w:rsid w:val="005D6674"/>
    <w:rsid w:val="005F4274"/>
    <w:rsid w:val="00600324"/>
    <w:rsid w:val="00605FD5"/>
    <w:rsid w:val="00612130"/>
    <w:rsid w:val="00614C74"/>
    <w:rsid w:val="00622142"/>
    <w:rsid w:val="00630932"/>
    <w:rsid w:val="00631795"/>
    <w:rsid w:val="0063252A"/>
    <w:rsid w:val="00636AAD"/>
    <w:rsid w:val="00637A19"/>
    <w:rsid w:val="0064175E"/>
    <w:rsid w:val="00650176"/>
    <w:rsid w:val="00651710"/>
    <w:rsid w:val="00652F79"/>
    <w:rsid w:val="0065322E"/>
    <w:rsid w:val="006533B0"/>
    <w:rsid w:val="00654154"/>
    <w:rsid w:val="006560E7"/>
    <w:rsid w:val="0065614C"/>
    <w:rsid w:val="006616D3"/>
    <w:rsid w:val="0066238D"/>
    <w:rsid w:val="0066706E"/>
    <w:rsid w:val="00667D06"/>
    <w:rsid w:val="0067327E"/>
    <w:rsid w:val="00675A3C"/>
    <w:rsid w:val="006778F4"/>
    <w:rsid w:val="00690150"/>
    <w:rsid w:val="0069574E"/>
    <w:rsid w:val="00695B12"/>
    <w:rsid w:val="006A1483"/>
    <w:rsid w:val="006A3953"/>
    <w:rsid w:val="006A4956"/>
    <w:rsid w:val="006A6187"/>
    <w:rsid w:val="006A6E3E"/>
    <w:rsid w:val="006B1138"/>
    <w:rsid w:val="006B25F5"/>
    <w:rsid w:val="006B34C4"/>
    <w:rsid w:val="006C4E06"/>
    <w:rsid w:val="006C6F1B"/>
    <w:rsid w:val="006D0369"/>
    <w:rsid w:val="006D2CF0"/>
    <w:rsid w:val="006D2D95"/>
    <w:rsid w:val="006D71B0"/>
    <w:rsid w:val="006D71DF"/>
    <w:rsid w:val="006E21C6"/>
    <w:rsid w:val="006F1019"/>
    <w:rsid w:val="006F15D2"/>
    <w:rsid w:val="006F7C4F"/>
    <w:rsid w:val="007050C8"/>
    <w:rsid w:val="00714D78"/>
    <w:rsid w:val="00724498"/>
    <w:rsid w:val="007303E5"/>
    <w:rsid w:val="00733E11"/>
    <w:rsid w:val="00736C7C"/>
    <w:rsid w:val="0075258E"/>
    <w:rsid w:val="00752DA3"/>
    <w:rsid w:val="00763CD2"/>
    <w:rsid w:val="0076522A"/>
    <w:rsid w:val="007707E3"/>
    <w:rsid w:val="00772353"/>
    <w:rsid w:val="0077399E"/>
    <w:rsid w:val="00775E81"/>
    <w:rsid w:val="0078097A"/>
    <w:rsid w:val="00783715"/>
    <w:rsid w:val="007873DE"/>
    <w:rsid w:val="0078798E"/>
    <w:rsid w:val="00791B7A"/>
    <w:rsid w:val="007A1051"/>
    <w:rsid w:val="007A5A56"/>
    <w:rsid w:val="007A7C26"/>
    <w:rsid w:val="007B7FCE"/>
    <w:rsid w:val="007C0625"/>
    <w:rsid w:val="007C1E03"/>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26F27"/>
    <w:rsid w:val="008305FE"/>
    <w:rsid w:val="00833A9C"/>
    <w:rsid w:val="008358AC"/>
    <w:rsid w:val="00841FEE"/>
    <w:rsid w:val="00845294"/>
    <w:rsid w:val="00845E76"/>
    <w:rsid w:val="00846366"/>
    <w:rsid w:val="00847EB4"/>
    <w:rsid w:val="0085561E"/>
    <w:rsid w:val="0085589E"/>
    <w:rsid w:val="00867743"/>
    <w:rsid w:val="0087084F"/>
    <w:rsid w:val="0087132C"/>
    <w:rsid w:val="00874EE6"/>
    <w:rsid w:val="008814AB"/>
    <w:rsid w:val="00883016"/>
    <w:rsid w:val="00887377"/>
    <w:rsid w:val="00890942"/>
    <w:rsid w:val="008953C5"/>
    <w:rsid w:val="008A6416"/>
    <w:rsid w:val="008B110D"/>
    <w:rsid w:val="008B4548"/>
    <w:rsid w:val="008B618F"/>
    <w:rsid w:val="008C64CC"/>
    <w:rsid w:val="008D05C1"/>
    <w:rsid w:val="008D2E1A"/>
    <w:rsid w:val="008E16F1"/>
    <w:rsid w:val="008E5B73"/>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786"/>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135A"/>
    <w:rsid w:val="009E2327"/>
    <w:rsid w:val="009E2A41"/>
    <w:rsid w:val="009E3AD6"/>
    <w:rsid w:val="009E53E2"/>
    <w:rsid w:val="009F2898"/>
    <w:rsid w:val="009F3688"/>
    <w:rsid w:val="00A02881"/>
    <w:rsid w:val="00A04DD5"/>
    <w:rsid w:val="00A10F0B"/>
    <w:rsid w:val="00A1438F"/>
    <w:rsid w:val="00A153DA"/>
    <w:rsid w:val="00A2333F"/>
    <w:rsid w:val="00A256F1"/>
    <w:rsid w:val="00A306ED"/>
    <w:rsid w:val="00A31F71"/>
    <w:rsid w:val="00A33A18"/>
    <w:rsid w:val="00A37751"/>
    <w:rsid w:val="00A46EDA"/>
    <w:rsid w:val="00A52E66"/>
    <w:rsid w:val="00A541CC"/>
    <w:rsid w:val="00A54462"/>
    <w:rsid w:val="00A60670"/>
    <w:rsid w:val="00A62928"/>
    <w:rsid w:val="00A641CD"/>
    <w:rsid w:val="00A6586D"/>
    <w:rsid w:val="00A706A0"/>
    <w:rsid w:val="00A74B92"/>
    <w:rsid w:val="00A74F81"/>
    <w:rsid w:val="00A80516"/>
    <w:rsid w:val="00A84578"/>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E585D"/>
    <w:rsid w:val="00AF6E1F"/>
    <w:rsid w:val="00B007A9"/>
    <w:rsid w:val="00B010D9"/>
    <w:rsid w:val="00B01786"/>
    <w:rsid w:val="00B02D99"/>
    <w:rsid w:val="00B03A96"/>
    <w:rsid w:val="00B03AE3"/>
    <w:rsid w:val="00B05B6E"/>
    <w:rsid w:val="00B060ED"/>
    <w:rsid w:val="00B06B6D"/>
    <w:rsid w:val="00B12972"/>
    <w:rsid w:val="00B17A0C"/>
    <w:rsid w:val="00B22360"/>
    <w:rsid w:val="00B22DAC"/>
    <w:rsid w:val="00B2470B"/>
    <w:rsid w:val="00B26927"/>
    <w:rsid w:val="00B3585D"/>
    <w:rsid w:val="00B35F15"/>
    <w:rsid w:val="00B3774D"/>
    <w:rsid w:val="00B44C64"/>
    <w:rsid w:val="00B44FF5"/>
    <w:rsid w:val="00B51CBD"/>
    <w:rsid w:val="00B52793"/>
    <w:rsid w:val="00B5412E"/>
    <w:rsid w:val="00B6230B"/>
    <w:rsid w:val="00B62649"/>
    <w:rsid w:val="00B62715"/>
    <w:rsid w:val="00B72ABF"/>
    <w:rsid w:val="00B734DD"/>
    <w:rsid w:val="00B7472A"/>
    <w:rsid w:val="00B80BDE"/>
    <w:rsid w:val="00B81DDB"/>
    <w:rsid w:val="00B87403"/>
    <w:rsid w:val="00B94DFB"/>
    <w:rsid w:val="00BA59A5"/>
    <w:rsid w:val="00BA6F2D"/>
    <w:rsid w:val="00BA703E"/>
    <w:rsid w:val="00BB0837"/>
    <w:rsid w:val="00BB0BAC"/>
    <w:rsid w:val="00BB1626"/>
    <w:rsid w:val="00BB60EF"/>
    <w:rsid w:val="00BB6478"/>
    <w:rsid w:val="00BB6D0A"/>
    <w:rsid w:val="00BC4519"/>
    <w:rsid w:val="00BC6C68"/>
    <w:rsid w:val="00BD35E0"/>
    <w:rsid w:val="00BE0803"/>
    <w:rsid w:val="00BF6206"/>
    <w:rsid w:val="00BF6B3B"/>
    <w:rsid w:val="00C02173"/>
    <w:rsid w:val="00C0537F"/>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2D91"/>
    <w:rsid w:val="00C53C71"/>
    <w:rsid w:val="00C54034"/>
    <w:rsid w:val="00C54556"/>
    <w:rsid w:val="00C56D2B"/>
    <w:rsid w:val="00C57617"/>
    <w:rsid w:val="00C60B8E"/>
    <w:rsid w:val="00C67918"/>
    <w:rsid w:val="00C73C00"/>
    <w:rsid w:val="00C73DB4"/>
    <w:rsid w:val="00C75839"/>
    <w:rsid w:val="00C80C5C"/>
    <w:rsid w:val="00C81686"/>
    <w:rsid w:val="00C83353"/>
    <w:rsid w:val="00C8359A"/>
    <w:rsid w:val="00C84321"/>
    <w:rsid w:val="00C87D15"/>
    <w:rsid w:val="00C968BF"/>
    <w:rsid w:val="00CA3DC9"/>
    <w:rsid w:val="00CB1679"/>
    <w:rsid w:val="00CC1F2F"/>
    <w:rsid w:val="00CD4B44"/>
    <w:rsid w:val="00CE47BA"/>
    <w:rsid w:val="00CE67CF"/>
    <w:rsid w:val="00CF1B6F"/>
    <w:rsid w:val="00CF35E8"/>
    <w:rsid w:val="00D02114"/>
    <w:rsid w:val="00D03A94"/>
    <w:rsid w:val="00D16DEC"/>
    <w:rsid w:val="00D17F85"/>
    <w:rsid w:val="00D2175A"/>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96B66"/>
    <w:rsid w:val="00DA2DBB"/>
    <w:rsid w:val="00DB0E94"/>
    <w:rsid w:val="00DB3D3C"/>
    <w:rsid w:val="00DB6873"/>
    <w:rsid w:val="00DC1A17"/>
    <w:rsid w:val="00DC2D6F"/>
    <w:rsid w:val="00DD192C"/>
    <w:rsid w:val="00DD2316"/>
    <w:rsid w:val="00DD3761"/>
    <w:rsid w:val="00DD3EB1"/>
    <w:rsid w:val="00DD4CFA"/>
    <w:rsid w:val="00DD5E68"/>
    <w:rsid w:val="00DE3D5A"/>
    <w:rsid w:val="00DE4081"/>
    <w:rsid w:val="00DE518C"/>
    <w:rsid w:val="00DE5717"/>
    <w:rsid w:val="00DE7EB2"/>
    <w:rsid w:val="00DF0659"/>
    <w:rsid w:val="00E07755"/>
    <w:rsid w:val="00E13097"/>
    <w:rsid w:val="00E218F5"/>
    <w:rsid w:val="00E225D8"/>
    <w:rsid w:val="00E33652"/>
    <w:rsid w:val="00E34CB3"/>
    <w:rsid w:val="00E410FF"/>
    <w:rsid w:val="00E47083"/>
    <w:rsid w:val="00E52555"/>
    <w:rsid w:val="00E52CC2"/>
    <w:rsid w:val="00E5529D"/>
    <w:rsid w:val="00E635CF"/>
    <w:rsid w:val="00E7064E"/>
    <w:rsid w:val="00E7195A"/>
    <w:rsid w:val="00E722B7"/>
    <w:rsid w:val="00E73C1D"/>
    <w:rsid w:val="00E77ABE"/>
    <w:rsid w:val="00E909DB"/>
    <w:rsid w:val="00E923D8"/>
    <w:rsid w:val="00E971A0"/>
    <w:rsid w:val="00EA0AC6"/>
    <w:rsid w:val="00EA2482"/>
    <w:rsid w:val="00EA2C50"/>
    <w:rsid w:val="00EA7A5F"/>
    <w:rsid w:val="00EB129D"/>
    <w:rsid w:val="00EB28B0"/>
    <w:rsid w:val="00EC484B"/>
    <w:rsid w:val="00EC4B87"/>
    <w:rsid w:val="00EC5194"/>
    <w:rsid w:val="00EC600B"/>
    <w:rsid w:val="00ED5C44"/>
    <w:rsid w:val="00ED72AF"/>
    <w:rsid w:val="00ED7B22"/>
    <w:rsid w:val="00EE03C4"/>
    <w:rsid w:val="00EE07D8"/>
    <w:rsid w:val="00EE2C71"/>
    <w:rsid w:val="00EE74E8"/>
    <w:rsid w:val="00EF7F8C"/>
    <w:rsid w:val="00F02D15"/>
    <w:rsid w:val="00F03E1C"/>
    <w:rsid w:val="00F16292"/>
    <w:rsid w:val="00F25F89"/>
    <w:rsid w:val="00F262A0"/>
    <w:rsid w:val="00F266A9"/>
    <w:rsid w:val="00F2770F"/>
    <w:rsid w:val="00F363B0"/>
    <w:rsid w:val="00F37ED1"/>
    <w:rsid w:val="00F42763"/>
    <w:rsid w:val="00F445E6"/>
    <w:rsid w:val="00F44C16"/>
    <w:rsid w:val="00F44CDC"/>
    <w:rsid w:val="00F45E08"/>
    <w:rsid w:val="00F509A1"/>
    <w:rsid w:val="00F544D0"/>
    <w:rsid w:val="00F546D3"/>
    <w:rsid w:val="00F55770"/>
    <w:rsid w:val="00F64A3F"/>
    <w:rsid w:val="00F66AF5"/>
    <w:rsid w:val="00F67C47"/>
    <w:rsid w:val="00F77BE2"/>
    <w:rsid w:val="00F80181"/>
    <w:rsid w:val="00F80C67"/>
    <w:rsid w:val="00F82BA2"/>
    <w:rsid w:val="00F9441A"/>
    <w:rsid w:val="00FA44E8"/>
    <w:rsid w:val="00FA6EDD"/>
    <w:rsid w:val="00FB2E22"/>
    <w:rsid w:val="00FB5348"/>
    <w:rsid w:val="00FB5796"/>
    <w:rsid w:val="00FB6F1A"/>
    <w:rsid w:val="00FC04EC"/>
    <w:rsid w:val="00FC302B"/>
    <w:rsid w:val="00FC5DCD"/>
    <w:rsid w:val="00FD37A3"/>
    <w:rsid w:val="00FE5AD6"/>
    <w:rsid w:val="00FF04A6"/>
    <w:rsid w:val="015E675E"/>
    <w:rsid w:val="01CD2E9D"/>
    <w:rsid w:val="02257485"/>
    <w:rsid w:val="03642F3A"/>
    <w:rsid w:val="0652201E"/>
    <w:rsid w:val="07733ED3"/>
    <w:rsid w:val="079A26F9"/>
    <w:rsid w:val="0804293C"/>
    <w:rsid w:val="09C37472"/>
    <w:rsid w:val="0AFF60DE"/>
    <w:rsid w:val="0C981A08"/>
    <w:rsid w:val="0EE97B8E"/>
    <w:rsid w:val="0EED42F1"/>
    <w:rsid w:val="0F0F0F63"/>
    <w:rsid w:val="0FDD7B3F"/>
    <w:rsid w:val="109630D4"/>
    <w:rsid w:val="11A93813"/>
    <w:rsid w:val="12F9459F"/>
    <w:rsid w:val="13706DBD"/>
    <w:rsid w:val="144362BE"/>
    <w:rsid w:val="14737324"/>
    <w:rsid w:val="148D6DCE"/>
    <w:rsid w:val="14A37090"/>
    <w:rsid w:val="176C0575"/>
    <w:rsid w:val="17B30CC5"/>
    <w:rsid w:val="17CD65DD"/>
    <w:rsid w:val="1A464258"/>
    <w:rsid w:val="1BFD3750"/>
    <w:rsid w:val="1C0D0E22"/>
    <w:rsid w:val="1CA75985"/>
    <w:rsid w:val="1D3D2567"/>
    <w:rsid w:val="1DD64980"/>
    <w:rsid w:val="1DE978C4"/>
    <w:rsid w:val="1ED878F4"/>
    <w:rsid w:val="24B72FF5"/>
    <w:rsid w:val="24E915BF"/>
    <w:rsid w:val="27821D05"/>
    <w:rsid w:val="27FE437C"/>
    <w:rsid w:val="284941DC"/>
    <w:rsid w:val="2A9B65A1"/>
    <w:rsid w:val="2AA71F8F"/>
    <w:rsid w:val="2E5C09FD"/>
    <w:rsid w:val="2EC8588E"/>
    <w:rsid w:val="2F0F4330"/>
    <w:rsid w:val="2F9D4845"/>
    <w:rsid w:val="30033BF1"/>
    <w:rsid w:val="301A7EDF"/>
    <w:rsid w:val="32493792"/>
    <w:rsid w:val="34AE374B"/>
    <w:rsid w:val="35AD3EF5"/>
    <w:rsid w:val="35B07A97"/>
    <w:rsid w:val="35B53B02"/>
    <w:rsid w:val="36DC44A4"/>
    <w:rsid w:val="371619FA"/>
    <w:rsid w:val="398F18A7"/>
    <w:rsid w:val="3AB0548E"/>
    <w:rsid w:val="3C99413F"/>
    <w:rsid w:val="3E0D4F54"/>
    <w:rsid w:val="3FB66E29"/>
    <w:rsid w:val="40E9662B"/>
    <w:rsid w:val="417325FA"/>
    <w:rsid w:val="41E424CB"/>
    <w:rsid w:val="42745016"/>
    <w:rsid w:val="42747AC2"/>
    <w:rsid w:val="454D157F"/>
    <w:rsid w:val="483327C3"/>
    <w:rsid w:val="484A2A04"/>
    <w:rsid w:val="4918629F"/>
    <w:rsid w:val="4B4635F5"/>
    <w:rsid w:val="4D6F2CBC"/>
    <w:rsid w:val="4E6F2656"/>
    <w:rsid w:val="4EC04089"/>
    <w:rsid w:val="50C40376"/>
    <w:rsid w:val="552C60AE"/>
    <w:rsid w:val="55765394"/>
    <w:rsid w:val="559346D9"/>
    <w:rsid w:val="55CD5ACF"/>
    <w:rsid w:val="5927426C"/>
    <w:rsid w:val="59B06C06"/>
    <w:rsid w:val="5BAB69DB"/>
    <w:rsid w:val="5C727A2A"/>
    <w:rsid w:val="5CD379FF"/>
    <w:rsid w:val="5D520EA4"/>
    <w:rsid w:val="5DB53F06"/>
    <w:rsid w:val="5DFB2CE6"/>
    <w:rsid w:val="5FCA2E7D"/>
    <w:rsid w:val="60755A9B"/>
    <w:rsid w:val="614A4B79"/>
    <w:rsid w:val="62256567"/>
    <w:rsid w:val="6292525E"/>
    <w:rsid w:val="62CD7249"/>
    <w:rsid w:val="640038EE"/>
    <w:rsid w:val="656D5A41"/>
    <w:rsid w:val="66A36C22"/>
    <w:rsid w:val="69DB7ED9"/>
    <w:rsid w:val="6B1322D3"/>
    <w:rsid w:val="6BC54C0A"/>
    <w:rsid w:val="6DA76189"/>
    <w:rsid w:val="708E3211"/>
    <w:rsid w:val="70A46938"/>
    <w:rsid w:val="71570483"/>
    <w:rsid w:val="725310CC"/>
    <w:rsid w:val="72827E86"/>
    <w:rsid w:val="755440B2"/>
    <w:rsid w:val="75BC2C57"/>
    <w:rsid w:val="776E4D1A"/>
    <w:rsid w:val="7A3A3C5D"/>
    <w:rsid w:val="7A5423D9"/>
    <w:rsid w:val="7B40242B"/>
    <w:rsid w:val="7C433F8A"/>
    <w:rsid w:val="7C9A726F"/>
    <w:rsid w:val="7E76666C"/>
    <w:rsid w:val="7F0755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6"/>
    <w:qFormat/>
    <w:uiPriority w:val="0"/>
    <w:rPr>
      <w:rFonts w:ascii="Times New Roman" w:hAnsi="Times New Roman" w:eastAsia="宋体" w:cs="Times New Roman"/>
      <w:color w:val="FF0000"/>
      <w:sz w:val="24"/>
      <w:szCs w:val="24"/>
    </w:rPr>
  </w:style>
  <w:style w:type="paragraph" w:styleId="10">
    <w:name w:val="Body Text"/>
    <w:basedOn w:val="1"/>
    <w:next w:val="11"/>
    <w:link w:val="37"/>
    <w:semiHidden/>
    <w:unhideWhenUsed/>
    <w:qFormat/>
    <w:uiPriority w:val="99"/>
    <w:pPr>
      <w:spacing w:after="120"/>
    </w:pPr>
  </w:style>
  <w:style w:type="paragraph" w:customStyle="1" w:styleId="11">
    <w:name w:val="style4"/>
    <w:basedOn w:val="1"/>
    <w:next w:val="12"/>
    <w:qFormat/>
    <w:uiPriority w:val="0"/>
    <w:pPr>
      <w:widowControl/>
      <w:spacing w:before="280" w:after="280"/>
    </w:pPr>
    <w:rPr>
      <w:rFonts w:ascii="宋体" w:hAnsi="Times New Roman" w:eastAsia="宋体" w:cs="Times New Roman"/>
      <w:sz w:val="18"/>
    </w:rPr>
  </w:style>
  <w:style w:type="paragraph" w:customStyle="1" w:styleId="12">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3">
    <w:name w:val="Body Text Indent"/>
    <w:basedOn w:val="1"/>
    <w:next w:val="14"/>
    <w:link w:val="39"/>
    <w:qFormat/>
    <w:uiPriority w:val="0"/>
    <w:pPr>
      <w:adjustRightInd w:val="0"/>
      <w:spacing w:after="120" w:line="360" w:lineRule="atLeast"/>
      <w:ind w:left="420" w:leftChars="200"/>
      <w:jc w:val="left"/>
      <w:textAlignment w:val="baseline"/>
    </w:pPr>
    <w:rPr>
      <w:kern w:val="0"/>
      <w:sz w:val="24"/>
      <w:szCs w:val="20"/>
    </w:rPr>
  </w:style>
  <w:style w:type="paragraph" w:styleId="14">
    <w:name w:val="Body Text First Indent 2"/>
    <w:basedOn w:val="13"/>
    <w:next w:val="1"/>
    <w:link w:val="62"/>
    <w:semiHidden/>
    <w:unhideWhenUsed/>
    <w:qFormat/>
    <w:uiPriority w:val="99"/>
    <w:pPr>
      <w:adjustRightInd/>
      <w:spacing w:line="240" w:lineRule="auto"/>
      <w:ind w:firstLine="420" w:firstLineChars="200"/>
      <w:jc w:val="both"/>
      <w:textAlignment w:val="auto"/>
    </w:pPr>
    <w:rPr>
      <w:kern w:val="2"/>
      <w:sz w:val="21"/>
      <w:szCs w:val="22"/>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0"/>
    <w:qFormat/>
    <w:uiPriority w:val="0"/>
    <w:rPr>
      <w:rFonts w:eastAsia="宋体"/>
      <w:sz w:val="24"/>
    </w:rPr>
  </w:style>
  <w:style w:type="paragraph" w:styleId="18">
    <w:name w:val="Date"/>
    <w:basedOn w:val="1"/>
    <w:next w:val="1"/>
    <w:link w:val="41"/>
    <w:unhideWhenUsed/>
    <w:qFormat/>
    <w:uiPriority w:val="99"/>
    <w:pPr>
      <w:ind w:left="100" w:leftChars="2500"/>
    </w:pPr>
  </w:style>
  <w:style w:type="paragraph" w:styleId="19">
    <w:name w:val="Balloon Text"/>
    <w:basedOn w:val="1"/>
    <w:link w:val="43"/>
    <w:semiHidden/>
    <w:unhideWhenUsed/>
    <w:qFormat/>
    <w:uiPriority w:val="99"/>
    <w:rPr>
      <w:sz w:val="18"/>
      <w:szCs w:val="18"/>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4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paragraph" w:styleId="25">
    <w:name w:val="Body Text First Indent"/>
    <w:basedOn w:val="10"/>
    <w:next w:val="1"/>
    <w:link w:val="48"/>
    <w:qFormat/>
    <w:uiPriority w:val="0"/>
    <w:pPr>
      <w:ind w:firstLine="420" w:firstLineChars="100"/>
    </w:pPr>
    <w:rPr>
      <w:rFonts w:ascii="宋体" w:hAnsi="Times New Roman" w:eastAsia="宋体" w:cs="Times New Roman"/>
      <w:kern w:val="0"/>
      <w:sz w:val="34"/>
      <w:szCs w:val="20"/>
    </w:rPr>
  </w:style>
  <w:style w:type="character" w:styleId="28">
    <w:name w:val="Strong"/>
    <w:basedOn w:val="27"/>
    <w:qFormat/>
    <w:uiPriority w:val="22"/>
    <w:rPr>
      <w:b/>
      <w:bCs/>
    </w:rPr>
  </w:style>
  <w:style w:type="character" w:styleId="29">
    <w:name w:val="Emphasis"/>
    <w:basedOn w:val="27"/>
    <w:qFormat/>
    <w:uiPriority w:val="20"/>
    <w:rPr>
      <w:i/>
      <w:iCs/>
    </w:rPr>
  </w:style>
  <w:style w:type="character" w:styleId="30">
    <w:name w:val="Hyperlink"/>
    <w:basedOn w:val="27"/>
    <w:unhideWhenUsed/>
    <w:qFormat/>
    <w:uiPriority w:val="0"/>
    <w:rPr>
      <w:color w:val="0000FF"/>
      <w:u w:val="single"/>
    </w:rPr>
  </w:style>
  <w:style w:type="paragraph" w:customStyle="1" w:styleId="31">
    <w:name w:val="*正文"/>
    <w:basedOn w:val="1"/>
    <w:qFormat/>
    <w:uiPriority w:val="0"/>
    <w:pPr>
      <w:keepNext/>
      <w:keepLines/>
      <w:spacing w:line="360" w:lineRule="auto"/>
      <w:ind w:firstLine="200" w:firstLineChars="200"/>
    </w:pPr>
    <w:rPr>
      <w:rFonts w:ascii="宋体" w:hAnsi="宋体"/>
    </w:rPr>
  </w:style>
  <w:style w:type="character" w:customStyle="1" w:styleId="32">
    <w:name w:val="标题 1 Char"/>
    <w:basedOn w:val="27"/>
    <w:link w:val="3"/>
    <w:qFormat/>
    <w:uiPriority w:val="0"/>
    <w:rPr>
      <w:rFonts w:ascii="Calibri" w:hAnsi="Calibri" w:eastAsia="宋体" w:cs="Times New Roman"/>
      <w:b/>
      <w:bCs/>
      <w:kern w:val="44"/>
      <w:sz w:val="44"/>
      <w:szCs w:val="44"/>
    </w:rPr>
  </w:style>
  <w:style w:type="character" w:customStyle="1" w:styleId="33">
    <w:name w:val="标题 2 Char"/>
    <w:basedOn w:val="27"/>
    <w:link w:val="4"/>
    <w:qFormat/>
    <w:uiPriority w:val="0"/>
    <w:rPr>
      <w:rFonts w:ascii="Arial" w:hAnsi="Arial" w:eastAsia="黑体" w:cs="Times New Roman"/>
      <w:b/>
      <w:bCs/>
      <w:kern w:val="0"/>
      <w:sz w:val="32"/>
      <w:szCs w:val="32"/>
    </w:rPr>
  </w:style>
  <w:style w:type="character" w:customStyle="1" w:styleId="34">
    <w:name w:val="标题 3 Char"/>
    <w:basedOn w:val="27"/>
    <w:link w:val="5"/>
    <w:qFormat/>
    <w:uiPriority w:val="0"/>
    <w:rPr>
      <w:rFonts w:ascii="宋体" w:hAnsi="宋体" w:eastAsia="宋体" w:cs="Times New Roman"/>
      <w:b/>
      <w:color w:val="000000"/>
      <w:kern w:val="0"/>
      <w:sz w:val="24"/>
      <w:szCs w:val="20"/>
      <w:lang w:val="en-GB"/>
    </w:rPr>
  </w:style>
  <w:style w:type="character" w:customStyle="1" w:styleId="35">
    <w:name w:val="标题 4 Char"/>
    <w:basedOn w:val="27"/>
    <w:link w:val="6"/>
    <w:qFormat/>
    <w:uiPriority w:val="0"/>
    <w:rPr>
      <w:rFonts w:ascii="Arial" w:hAnsi="Arial" w:eastAsia="黑体" w:cs="Times New Roman"/>
      <w:b/>
      <w:bCs/>
      <w:kern w:val="0"/>
      <w:sz w:val="28"/>
      <w:szCs w:val="28"/>
    </w:rPr>
  </w:style>
  <w:style w:type="character" w:customStyle="1" w:styleId="36">
    <w:name w:val="正文文本 3 Char"/>
    <w:basedOn w:val="27"/>
    <w:link w:val="9"/>
    <w:qFormat/>
    <w:uiPriority w:val="0"/>
    <w:rPr>
      <w:rFonts w:ascii="Times New Roman" w:hAnsi="Times New Roman" w:eastAsia="宋体" w:cs="Times New Roman"/>
      <w:color w:val="FF0000"/>
      <w:sz w:val="24"/>
      <w:szCs w:val="24"/>
    </w:rPr>
  </w:style>
  <w:style w:type="character" w:customStyle="1" w:styleId="37">
    <w:name w:val="正文文本 Char"/>
    <w:basedOn w:val="27"/>
    <w:link w:val="10"/>
    <w:semiHidden/>
    <w:qFormat/>
    <w:uiPriority w:val="99"/>
  </w:style>
  <w:style w:type="character" w:customStyle="1" w:styleId="38">
    <w:name w:val="正文文本缩进 Char"/>
    <w:basedOn w:val="27"/>
    <w:link w:val="13"/>
    <w:qFormat/>
    <w:uiPriority w:val="0"/>
  </w:style>
  <w:style w:type="character" w:customStyle="1" w:styleId="39">
    <w:name w:val="正文文本缩进 Char1"/>
    <w:basedOn w:val="27"/>
    <w:link w:val="13"/>
    <w:qFormat/>
    <w:uiPriority w:val="0"/>
    <w:rPr>
      <w:kern w:val="0"/>
      <w:sz w:val="24"/>
      <w:szCs w:val="20"/>
    </w:rPr>
  </w:style>
  <w:style w:type="character" w:customStyle="1" w:styleId="40">
    <w:name w:val="纯文本 Char"/>
    <w:basedOn w:val="27"/>
    <w:link w:val="17"/>
    <w:qFormat/>
    <w:uiPriority w:val="0"/>
    <w:rPr>
      <w:rFonts w:eastAsia="宋体"/>
      <w:sz w:val="24"/>
    </w:rPr>
  </w:style>
  <w:style w:type="character" w:customStyle="1" w:styleId="41">
    <w:name w:val="日期 Char"/>
    <w:basedOn w:val="27"/>
    <w:link w:val="18"/>
    <w:qFormat/>
    <w:uiPriority w:val="99"/>
  </w:style>
  <w:style w:type="character" w:customStyle="1" w:styleId="42">
    <w:name w:val="批注框文本 Char"/>
    <w:basedOn w:val="27"/>
    <w:link w:val="19"/>
    <w:semiHidden/>
    <w:qFormat/>
    <w:uiPriority w:val="99"/>
    <w:rPr>
      <w:sz w:val="18"/>
      <w:szCs w:val="18"/>
    </w:rPr>
  </w:style>
  <w:style w:type="character" w:customStyle="1" w:styleId="43">
    <w:name w:val="批注框文本 Char1"/>
    <w:basedOn w:val="27"/>
    <w:link w:val="19"/>
    <w:semiHidden/>
    <w:qFormat/>
    <w:uiPriority w:val="99"/>
    <w:rPr>
      <w:sz w:val="18"/>
      <w:szCs w:val="18"/>
    </w:rPr>
  </w:style>
  <w:style w:type="character" w:customStyle="1" w:styleId="44">
    <w:name w:val="页脚 Char"/>
    <w:basedOn w:val="27"/>
    <w:link w:val="20"/>
    <w:qFormat/>
    <w:uiPriority w:val="99"/>
    <w:rPr>
      <w:sz w:val="18"/>
      <w:szCs w:val="18"/>
    </w:rPr>
  </w:style>
  <w:style w:type="character" w:customStyle="1" w:styleId="45">
    <w:name w:val="页眉 Char"/>
    <w:basedOn w:val="27"/>
    <w:link w:val="21"/>
    <w:qFormat/>
    <w:uiPriority w:val="99"/>
    <w:rPr>
      <w:sz w:val="18"/>
      <w:szCs w:val="18"/>
    </w:rPr>
  </w:style>
  <w:style w:type="character" w:customStyle="1" w:styleId="46">
    <w:name w:val="HTML 预设格式 Char"/>
    <w:basedOn w:val="27"/>
    <w:link w:val="23"/>
    <w:semiHidden/>
    <w:qFormat/>
    <w:uiPriority w:val="99"/>
    <w:rPr>
      <w:rFonts w:ascii="宋体" w:hAnsi="宋体" w:eastAsia="宋体" w:cs="宋体"/>
      <w:kern w:val="0"/>
      <w:sz w:val="24"/>
      <w:szCs w:val="24"/>
    </w:rPr>
  </w:style>
  <w:style w:type="character" w:customStyle="1" w:styleId="47">
    <w:name w:val="HTML 预设格式 Char1"/>
    <w:basedOn w:val="27"/>
    <w:link w:val="23"/>
    <w:semiHidden/>
    <w:qFormat/>
    <w:uiPriority w:val="99"/>
    <w:rPr>
      <w:rFonts w:ascii="Courier New" w:hAnsi="Courier New" w:cs="Courier New"/>
      <w:sz w:val="20"/>
      <w:szCs w:val="20"/>
    </w:rPr>
  </w:style>
  <w:style w:type="character" w:customStyle="1" w:styleId="48">
    <w:name w:val="正文首行缩进 Char"/>
    <w:basedOn w:val="37"/>
    <w:link w:val="25"/>
    <w:qFormat/>
    <w:uiPriority w:val="0"/>
    <w:rPr>
      <w:rFonts w:ascii="宋体" w:hAnsi="Times New Roman" w:eastAsia="宋体" w:cs="Times New Roman"/>
      <w:kern w:val="0"/>
      <w:sz w:val="34"/>
      <w:szCs w:val="20"/>
    </w:rPr>
  </w:style>
  <w:style w:type="character" w:customStyle="1" w:styleId="49">
    <w:name w:val="纯文本 Char1"/>
    <w:qFormat/>
    <w:uiPriority w:val="0"/>
    <w:rPr>
      <w:rFonts w:eastAsia="宋体"/>
      <w:sz w:val="24"/>
    </w:rPr>
  </w:style>
  <w:style w:type="paragraph" w:customStyle="1" w:styleId="5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1">
    <w:name w:val="List Paragraph"/>
    <w:basedOn w:val="1"/>
    <w:unhideWhenUsed/>
    <w:qFormat/>
    <w:uiPriority w:val="99"/>
    <w:pPr>
      <w:ind w:firstLine="420" w:firstLineChars="200"/>
    </w:pPr>
  </w:style>
  <w:style w:type="character" w:customStyle="1" w:styleId="52">
    <w:name w:val="正文文本缩进 Char Char"/>
    <w:link w:val="53"/>
    <w:qFormat/>
    <w:uiPriority w:val="0"/>
    <w:rPr>
      <w:rFonts w:ascii="宋体"/>
      <w:sz w:val="24"/>
    </w:rPr>
  </w:style>
  <w:style w:type="paragraph" w:customStyle="1" w:styleId="53">
    <w:name w:val="正文文本缩进1"/>
    <w:basedOn w:val="1"/>
    <w:link w:val="52"/>
    <w:qFormat/>
    <w:uiPriority w:val="0"/>
    <w:pPr>
      <w:spacing w:line="360" w:lineRule="auto"/>
      <w:ind w:firstLine="480" w:firstLineChars="200"/>
    </w:pPr>
    <w:rPr>
      <w:rFonts w:ascii="宋体"/>
      <w:sz w:val="24"/>
    </w:rPr>
  </w:style>
  <w:style w:type="character" w:customStyle="1" w:styleId="54">
    <w:name w:val="日期 Char Char"/>
    <w:link w:val="55"/>
    <w:qFormat/>
    <w:uiPriority w:val="0"/>
    <w:rPr>
      <w:sz w:val="24"/>
    </w:rPr>
  </w:style>
  <w:style w:type="paragraph" w:customStyle="1" w:styleId="55">
    <w:name w:val="日期1"/>
    <w:basedOn w:val="1"/>
    <w:next w:val="1"/>
    <w:link w:val="54"/>
    <w:qFormat/>
    <w:uiPriority w:val="0"/>
    <w:rPr>
      <w:sz w:val="24"/>
    </w:rPr>
  </w:style>
  <w:style w:type="paragraph" w:customStyle="1" w:styleId="5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9">
    <w:name w:val="edittexttarea"/>
    <w:basedOn w:val="27"/>
    <w:qFormat/>
    <w:uiPriority w:val="0"/>
  </w:style>
  <w:style w:type="paragraph" w:customStyle="1" w:styleId="60">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2">
    <w:name w:val="正文首行缩进 2 Char"/>
    <w:basedOn w:val="39"/>
    <w:link w:val="14"/>
    <w:semiHidden/>
    <w:qFormat/>
    <w:uiPriority w:val="99"/>
    <w:rPr>
      <w:kern w:val="2"/>
      <w:sz w:val="21"/>
      <w:szCs w:val="22"/>
    </w:rPr>
  </w:style>
  <w:style w:type="paragraph" w:customStyle="1" w:styleId="63">
    <w:name w:val="List Paragraph1"/>
    <w:basedOn w:val="1"/>
    <w:qFormat/>
    <w:uiPriority w:val="0"/>
    <w:pPr>
      <w:ind w:firstLine="420" w:firstLineChars="200"/>
    </w:pPr>
    <w:rPr>
      <w:rFonts w:ascii="Calibri" w:hAnsi="Calibri" w:cs="宋体"/>
    </w:rPr>
  </w:style>
  <w:style w:type="character" w:customStyle="1" w:styleId="64">
    <w:name w:val="font01"/>
    <w:basedOn w:val="27"/>
    <w:qFormat/>
    <w:uiPriority w:val="0"/>
    <w:rPr>
      <w:rFonts w:hint="eastAsia" w:ascii="宋体" w:hAnsi="宋体" w:eastAsia="宋体" w:cs="宋体"/>
      <w:color w:val="000000"/>
      <w:sz w:val="22"/>
      <w:szCs w:val="22"/>
      <w:u w:val="none"/>
    </w:rPr>
  </w:style>
  <w:style w:type="character" w:customStyle="1" w:styleId="65">
    <w:name w:val="font31"/>
    <w:basedOn w:val="27"/>
    <w:qFormat/>
    <w:uiPriority w:val="0"/>
    <w:rPr>
      <w:rFonts w:ascii="Calibri" w:hAnsi="Calibri" w:cs="Calibri"/>
      <w:b/>
      <w:color w:val="000000"/>
      <w:sz w:val="18"/>
      <w:szCs w:val="18"/>
      <w:u w:val="none"/>
    </w:rPr>
  </w:style>
  <w:style w:type="character" w:customStyle="1" w:styleId="66">
    <w:name w:val="font121"/>
    <w:basedOn w:val="27"/>
    <w:qFormat/>
    <w:uiPriority w:val="0"/>
    <w:rPr>
      <w:rFonts w:hint="eastAsia" w:ascii="宋体" w:hAnsi="宋体" w:eastAsia="宋体" w:cs="宋体"/>
      <w:color w:val="000000"/>
      <w:sz w:val="18"/>
      <w:szCs w:val="18"/>
      <w:u w:val="none"/>
    </w:rPr>
  </w:style>
  <w:style w:type="character" w:customStyle="1" w:styleId="67">
    <w:name w:val="font91"/>
    <w:basedOn w:val="27"/>
    <w:qFormat/>
    <w:uiPriority w:val="0"/>
    <w:rPr>
      <w:rFonts w:hint="eastAsia" w:ascii="宋体" w:hAnsi="宋体" w:eastAsia="宋体" w:cs="宋体"/>
      <w:color w:val="000000"/>
      <w:sz w:val="18"/>
      <w:szCs w:val="18"/>
      <w:u w:val="none"/>
    </w:rPr>
  </w:style>
  <w:style w:type="character" w:customStyle="1" w:styleId="68">
    <w:name w:val="font112"/>
    <w:basedOn w:val="27"/>
    <w:qFormat/>
    <w:uiPriority w:val="0"/>
    <w:rPr>
      <w:rFonts w:hint="eastAsia" w:ascii="宋体" w:hAnsi="宋体" w:eastAsia="宋体" w:cs="宋体"/>
      <w:color w:val="FF0000"/>
      <w:sz w:val="18"/>
      <w:szCs w:val="18"/>
      <w:u w:val="none"/>
    </w:rPr>
  </w:style>
  <w:style w:type="character" w:customStyle="1" w:styleId="69">
    <w:name w:val="NormalCharacter"/>
    <w:semiHidden/>
    <w:qFormat/>
    <w:uiPriority w:val="0"/>
    <w:rPr>
      <w:rFonts w:asciiTheme="minorHAnsi" w:hAnsiTheme="minorHAnsi" w:eastAsiaTheme="minorEastAsia" w:cstheme="minorBidi"/>
      <w:kern w:val="2"/>
      <w:sz w:val="21"/>
      <w:szCs w:val="22"/>
      <w:lang w:val="en-US" w:eastAsia="zh-CN" w:bidi="ar-SA"/>
    </w:rPr>
  </w:style>
  <w:style w:type="character" w:customStyle="1" w:styleId="70">
    <w:name w:val="UserStyle_1"/>
    <w:basedOn w:val="69"/>
    <w:qFormat/>
    <w:uiPriority w:val="0"/>
    <w:rPr>
      <w:rFonts w:ascii="宋体" w:hAnsi="宋体" w:eastAsia="宋体"/>
      <w:color w:val="000000"/>
      <w:sz w:val="24"/>
      <w:szCs w:val="24"/>
    </w:rPr>
  </w:style>
  <w:style w:type="character" w:customStyle="1" w:styleId="71">
    <w:name w:val="UserStyle_0"/>
    <w:basedOn w:val="69"/>
    <w:qFormat/>
    <w:uiPriority w:val="0"/>
    <w:rPr>
      <w:rFonts w:ascii="MS Gothic" w:hAnsi="MS Gothic" w:eastAsia="MS Gothic"/>
      <w:color w:val="000000"/>
      <w:sz w:val="24"/>
      <w:szCs w:val="24"/>
    </w:rPr>
  </w:style>
  <w:style w:type="paragraph" w:customStyle="1" w:styleId="72">
    <w:name w:val="1.正文"/>
    <w:qFormat/>
    <w:uiPriority w:val="0"/>
    <w:pPr>
      <w:widowControl w:val="0"/>
      <w:adjustRightInd w:val="0"/>
      <w:spacing w:line="360" w:lineRule="auto"/>
      <w:ind w:firstLine="397"/>
      <w:jc w:val="both"/>
      <w:textAlignment w:val="baseline"/>
    </w:pPr>
    <w:rPr>
      <w:rFonts w:ascii="Times New Roman" w:hAnsi="Times New Roman" w:eastAsia="宋体" w:cs="Times New Roman"/>
      <w:spacing w:val="2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69</Pages>
  <Words>5368</Words>
  <Characters>30598</Characters>
  <Lines>254</Lines>
  <Paragraphs>71</Paragraphs>
  <TotalTime>0</TotalTime>
  <ScaleCrop>false</ScaleCrop>
  <LinksUpToDate>false</LinksUpToDate>
  <CharactersWithSpaces>35895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2021-03-25T01:14:00Z</dcterms:created>
  <dc:creator>许昌市公共资源交易中心:孟莉</dc:creator>
  <cp:lastModifiedBy>Administrator</cp:lastModifiedBy>
  <dcterms:modified xsi:type="dcterms:W3CDTF">2021-03-26T01:32:34Z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051091EB99A4474ABD99145219203627</vt:lpwstr>
  </property>
</Properties>
</file>