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0" w:leftChars="0" w:firstLine="0" w:firstLineChars="0"/>
        <w:jc w:val="lef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附件1：</w:t>
      </w:r>
    </w:p>
    <w:p>
      <w:pPr>
        <w:ind w:firstLine="0" w:firstLineChars="0"/>
        <w:jc w:val="left"/>
        <w:rPr>
          <w:rFonts w:hint="eastAsia"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政府采购项目采购需求</w:t>
      </w:r>
    </w:p>
    <w:p>
      <w:pPr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指导</w:t>
      </w:r>
      <w:r>
        <w:rPr>
          <w:rFonts w:hint="eastAsia" w:ascii="方正小标宋简体" w:eastAsia="方正小标宋简体"/>
          <w:sz w:val="44"/>
          <w:szCs w:val="44"/>
        </w:rPr>
        <w:t>范本）</w:t>
      </w: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采购人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>
      <w:pPr>
        <w:ind w:firstLine="640"/>
        <w:jc w:val="left"/>
        <w:rPr>
          <w:rFonts w:hint="eastAsia" w:ascii="仿宋_GB2312" w:eastAsia="仿宋_GB2312"/>
          <w:sz w:val="32"/>
          <w:szCs w:val="32"/>
          <w:u w:val="single"/>
        </w:rPr>
      </w:pPr>
    </w:p>
    <w:p>
      <w:pPr>
        <w:ind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ind w:firstLine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一、采购项目实施的必要性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二、开展需求调查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（一）需求编制单位</w:t>
      </w:r>
      <w:r>
        <w:rPr>
          <w:rFonts w:hint="eastAsia" w:ascii="仿宋_GB2312" w:eastAsia="仿宋_GB2312"/>
          <w:sz w:val="32"/>
          <w:szCs w:val="32"/>
        </w:rPr>
        <w:t xml:space="preserve">（《需求管理办法》第二十八条） </w:t>
      </w:r>
    </w:p>
    <w:p>
      <w:pPr>
        <w:ind w:firstLine="64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编制单位：</w:t>
      </w:r>
    </w:p>
    <w:p>
      <w:pPr>
        <w:ind w:firstLine="64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编制时间：</w:t>
      </w:r>
    </w:p>
    <w:p>
      <w:pPr>
        <w:ind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（二）需求调查情况</w:t>
      </w:r>
    </w:p>
    <w:p>
      <w:pPr>
        <w:ind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 需求调查类别</w:t>
      </w:r>
      <w:r>
        <w:rPr>
          <w:rFonts w:hint="eastAsia" w:ascii="仿宋_GB2312" w:eastAsia="仿宋_GB2312"/>
          <w:sz w:val="32"/>
          <w:szCs w:val="32"/>
        </w:rPr>
        <w:t>（《需求管理办法》第十一条）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□应当开展调查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□不重复开展调查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□不需要开展调查</w:t>
      </w:r>
    </w:p>
    <w:p>
      <w:pPr>
        <w:ind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2.需求调查方式</w:t>
      </w:r>
      <w:r>
        <w:rPr>
          <w:rFonts w:hint="eastAsia" w:ascii="仿宋_GB2312" w:eastAsia="仿宋_GB2312"/>
          <w:sz w:val="32"/>
          <w:szCs w:val="32"/>
        </w:rPr>
        <w:t>（《需求管理办法》第十条）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□咨询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□论证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□问卷调查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□其他</w:t>
      </w:r>
    </w:p>
    <w:p>
      <w:pPr>
        <w:ind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3.需求调查结果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（1）相关产业发展情况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（2）市场供给情况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（3）同类采购项目历史成交情况</w:t>
      </w:r>
    </w:p>
    <w:p>
      <w:pPr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可能涉及的运行维护、 升级更新、备品备件、耗材等</w:t>
      </w:r>
      <w:r>
        <w:rPr>
          <w:rFonts w:hint="eastAsia" w:ascii="仿宋_GB2312" w:eastAsia="仿宋_GB2312"/>
          <w:color w:val="000000"/>
          <w:sz w:val="32"/>
          <w:szCs w:val="32"/>
        </w:rPr>
        <w:t>后续采购情况</w:t>
      </w:r>
    </w:p>
    <w:p>
      <w:pPr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（5）其他情况</w:t>
      </w:r>
    </w:p>
    <w:p>
      <w:pPr>
        <w:ind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（三）需求清单</w:t>
      </w:r>
    </w:p>
    <w:p>
      <w:pPr>
        <w:ind w:firstLine="643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1.项目概况及预算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《需求管理办法》第七条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ind w:firstLine="643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2.技术要求和商务要求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《需求管理办法》第六条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（1）技术要求：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技术要求是指对采购标的的功能和质量要求，包括性能、材料、结构、外观、安全，或者服务内容和标准等。</w:t>
      </w:r>
    </w:p>
    <w:p>
      <w:pPr>
        <w:widowControl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（2）商务要求：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商务要求是指取得采购标的的时间、地点、财务和服务要求，包括交付（实施）的时间（期限）和地点（范围），付款条件（进度和方式），包装和运输，售后服务，保险等。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br w:type="page"/>
      </w:r>
    </w:p>
    <w:p>
      <w:pPr>
        <w:ind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政府采购项目实施计划</w:t>
      </w:r>
    </w:p>
    <w:p>
      <w:pPr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指导</w:t>
      </w:r>
      <w:r>
        <w:rPr>
          <w:rFonts w:hint="eastAsia" w:ascii="方正小标宋简体" w:eastAsia="方正小标宋简体"/>
          <w:sz w:val="44"/>
          <w:szCs w:val="44"/>
        </w:rPr>
        <w:t>范本）</w:t>
      </w: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采购人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</w:p>
    <w:p>
      <w:pPr>
        <w:widowControl/>
        <w:ind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一、编制单位（《需求管理办法》</w:t>
      </w:r>
      <w:r>
        <w:rPr>
          <w:rFonts w:hint="eastAsia" w:ascii="仿宋_GB2312" w:eastAsia="仿宋_GB2312"/>
          <w:sz w:val="32"/>
          <w:szCs w:val="32"/>
        </w:rPr>
        <w:t>第二十八条）</w:t>
      </w:r>
    </w:p>
    <w:p>
      <w:pPr>
        <w:ind w:firstLine="64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编制单位：</w:t>
      </w:r>
    </w:p>
    <w:p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编制时间：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二、明确合同订立事项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（一）时间：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（《需求管理办法》第十五条）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（二）采购组织形式和代理机构</w:t>
      </w:r>
      <w:r>
        <w:rPr>
          <w:rFonts w:hint="eastAsia" w:ascii="仿宋_GB2312" w:eastAsia="仿宋_GB2312"/>
          <w:sz w:val="32"/>
          <w:szCs w:val="32"/>
        </w:rPr>
        <w:t>（《需求管理办法》第十六条）</w:t>
      </w:r>
    </w:p>
    <w:p>
      <w:pPr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1.采购组织形式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□集中采购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□分散采购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□自行采购</w:t>
      </w:r>
    </w:p>
    <w:p>
      <w:pPr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2.选择代理机构方式及结果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□集采机构（集中采购目录）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□社会代理机构（项目特点、代理机构专业领域或综合信用评价结果）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（三）采购项目预（概）算及最高限价</w:t>
      </w:r>
      <w:r>
        <w:rPr>
          <w:rFonts w:hint="eastAsia" w:ascii="仿宋_GB2312" w:eastAsia="仿宋_GB2312"/>
          <w:sz w:val="32"/>
          <w:szCs w:val="32"/>
        </w:rPr>
        <w:t>（参考依据）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（四）采购方式</w:t>
      </w:r>
      <w:r>
        <w:rPr>
          <w:rFonts w:hint="eastAsia" w:ascii="仿宋_GB2312" w:eastAsia="仿宋_GB2312"/>
          <w:sz w:val="32"/>
          <w:szCs w:val="32"/>
        </w:rPr>
        <w:t>（《需求管理办法》第十五条）</w:t>
      </w:r>
    </w:p>
    <w:p>
      <w:pPr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1.采购方式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□公开招标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□邀请招标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□竞争性谈判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□竞争性磋商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□询价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□单一来源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选择采购方式的理由：</w:t>
      </w:r>
    </w:p>
    <w:p>
      <w:pPr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2.采购方式是否需要财政部门批准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□不需要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□需要，报批安排：</w:t>
      </w:r>
    </w:p>
    <w:p>
      <w:pPr>
        <w:ind w:firstLine="64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（五）项目竞争范围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□公开方式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□邀请方式，依据：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（六）采购包或合同分包要求</w:t>
      </w:r>
      <w:r>
        <w:rPr>
          <w:rFonts w:hint="eastAsia" w:ascii="仿宋_GB2312" w:eastAsia="仿宋_GB2312"/>
          <w:sz w:val="32"/>
          <w:szCs w:val="32"/>
        </w:rPr>
        <w:t>（《需求管理办法》第十七条）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1.标的名称：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2.品目分类编码：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3.计划单位：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4.数量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5.是否进口产品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6.分包要求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注：采购进口产品报财政部门核准安排：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（七）供应商资格条件</w:t>
      </w:r>
      <w:r>
        <w:rPr>
          <w:rFonts w:hint="eastAsia" w:ascii="仿宋_GB2312" w:eastAsia="仿宋_GB2312"/>
          <w:sz w:val="32"/>
          <w:szCs w:val="32"/>
        </w:rPr>
        <w:t>（《需求管理办法》第十四条、第十八条）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（八）评审方式和评审因素</w:t>
      </w:r>
      <w:r>
        <w:rPr>
          <w:rFonts w:hint="eastAsia" w:ascii="仿宋_GB2312" w:eastAsia="仿宋_GB2312"/>
          <w:sz w:val="32"/>
          <w:szCs w:val="32"/>
        </w:rPr>
        <w:t>（《需求管理办法》第十九条、第二十一条）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□最低价评标法，理由：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□综合评分法，理由：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评审项目：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评审分值：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评审方法描述：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三、合同安排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（一）合同类型</w:t>
      </w:r>
      <w:r>
        <w:rPr>
          <w:rFonts w:hint="eastAsia" w:ascii="仿宋_GB2312" w:eastAsia="仿宋_GB2312"/>
          <w:sz w:val="32"/>
          <w:szCs w:val="32"/>
        </w:rPr>
        <w:t>（《需求管理办法》第二十二条）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□买卖合同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□建设工作合同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□技术合同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□物业服务合同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□委托合同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□其他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选择合同类型的理由：</w:t>
      </w:r>
    </w:p>
    <w:p>
      <w:pPr>
        <w:ind w:firstLine="64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（二）定价方式及说明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□固定总价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□固定单价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□成本补偿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□绩效激励</w:t>
      </w:r>
    </w:p>
    <w:p>
      <w:pPr>
        <w:ind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选择定价方式的理由：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（三）合同文本的主要条款</w:t>
      </w:r>
      <w:r>
        <w:rPr>
          <w:rFonts w:hint="eastAsia" w:ascii="仿宋_GB2312" w:eastAsia="仿宋_GB2312"/>
          <w:sz w:val="32"/>
          <w:szCs w:val="32"/>
        </w:rPr>
        <w:t>（《需求管理办法》第二十三条）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注：《需求管理办法》第十一条范围的采购项目，合同文本需经法律顾问审定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（四）履约验收方案</w:t>
      </w:r>
      <w:r>
        <w:rPr>
          <w:rFonts w:hint="eastAsia" w:ascii="仿宋_GB2312" w:eastAsia="仿宋_GB2312"/>
          <w:sz w:val="32"/>
          <w:szCs w:val="32"/>
        </w:rPr>
        <w:t>（《需求管理办法》第二十四条）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1.履约验收主体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□采购人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□采购代理机构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□其他供应商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□第三方专业机构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□专家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□服务对象及其他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2.履约验收时间：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3.履约验收方式：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4.履约验收程序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5.履约验收内容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6.履约验收标准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7.履约验收其他事项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（五）风险管控措施</w:t>
      </w:r>
      <w:r>
        <w:rPr>
          <w:rFonts w:hint="eastAsia" w:ascii="仿宋_GB2312" w:eastAsia="仿宋_GB2312"/>
          <w:sz w:val="32"/>
          <w:szCs w:val="32"/>
        </w:rPr>
        <w:t>（《需求管理办法》第二十五条）</w:t>
      </w:r>
    </w:p>
    <w:p>
      <w:pPr>
        <w:widowControl/>
        <w:spacing w:line="240" w:lineRule="auto"/>
        <w:ind w:firstLine="64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1.国家政策变化应对措施：</w:t>
      </w:r>
    </w:p>
    <w:p>
      <w:pPr>
        <w:widowControl/>
        <w:spacing w:line="240" w:lineRule="auto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2.实施环境变化应对措施：</w:t>
      </w:r>
    </w:p>
    <w:p>
      <w:pPr>
        <w:widowControl/>
        <w:spacing w:line="240" w:lineRule="auto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3.重大技术变化应对措施：</w:t>
      </w:r>
    </w:p>
    <w:p>
      <w:pPr>
        <w:widowControl/>
        <w:spacing w:line="240" w:lineRule="auto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4.预算项目调整应对措施：</w:t>
      </w:r>
    </w:p>
    <w:p>
      <w:pPr>
        <w:widowControl/>
        <w:spacing w:line="240" w:lineRule="auto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5.因质疑投诉影响采购进度应对措施：</w:t>
      </w:r>
    </w:p>
    <w:p>
      <w:pPr>
        <w:widowControl/>
        <w:spacing w:line="240" w:lineRule="auto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6.采购失败应对措施：</w:t>
      </w:r>
    </w:p>
    <w:p>
      <w:pPr>
        <w:widowControl/>
        <w:spacing w:line="240" w:lineRule="auto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7.不按规定签订或者履行合同应对措施：</w:t>
      </w:r>
    </w:p>
    <w:p>
      <w:pPr>
        <w:widowControl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8.出现损害国家利益和社会公共利益情形应对措施：</w:t>
      </w:r>
    </w:p>
    <w:p>
      <w:pPr>
        <w:ind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政府采购项目审查意见</w:t>
      </w:r>
    </w:p>
    <w:p>
      <w:pPr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指导</w:t>
      </w:r>
      <w:r>
        <w:rPr>
          <w:rFonts w:hint="eastAsia" w:ascii="方正小标宋简体" w:eastAsia="方正小标宋简体"/>
          <w:sz w:val="44"/>
          <w:szCs w:val="44"/>
        </w:rPr>
        <w:t>范本）</w:t>
      </w:r>
    </w:p>
    <w:p>
      <w:pPr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</w:rPr>
      </w:pP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采购人：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widowControl/>
        <w:ind w:firstLine="64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widowControl/>
        <w:spacing w:line="240" w:lineRule="auto"/>
        <w:ind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  <w:r>
        <w:rPr>
          <w:rFonts w:ascii="仿宋_GB2312" w:eastAsia="仿宋_GB2312"/>
          <w:sz w:val="32"/>
          <w:szCs w:val="32"/>
        </w:rPr>
        <w:br w:type="page"/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一、审查时间及地点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widowControl/>
        <w:spacing w:line="240" w:lineRule="auto"/>
        <w:ind w:firstLine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二、审查对象</w:t>
      </w:r>
    </w:p>
    <w:p>
      <w:pPr>
        <w:widowControl/>
        <w:spacing w:line="240" w:lineRule="auto"/>
        <w:ind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（一）采购需求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1.参与确定采购需求的专家、第三方机构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2.采购需求版次：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年  月  日（第  版） </w:t>
      </w:r>
    </w:p>
    <w:p>
      <w:pPr>
        <w:widowControl/>
        <w:spacing w:line="240" w:lineRule="auto"/>
        <w:ind w:firstLine="64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（二）采购实施计划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1.参与确定采购实施计划的专家、第三方机构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2.采购实施计划版次：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年  月  日（第  版）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三、审查人员</w:t>
      </w:r>
      <w:r>
        <w:rPr>
          <w:rFonts w:hint="eastAsia" w:ascii="仿宋_GB2312" w:eastAsia="仿宋_GB2312"/>
          <w:sz w:val="32"/>
          <w:szCs w:val="32"/>
        </w:rPr>
        <w:t>（《需求管理办法》第三十二条）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1417"/>
        <w:gridCol w:w="1418"/>
        <w:gridCol w:w="1417"/>
        <w:gridCol w:w="1472"/>
        <w:gridCol w:w="10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1134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</w:t>
            </w:r>
          </w:p>
        </w:tc>
        <w:tc>
          <w:tcPr>
            <w:tcW w:w="1418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内部机构</w:t>
            </w: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职务/职称</w:t>
            </w:r>
          </w:p>
        </w:tc>
        <w:tc>
          <w:tcPr>
            <w:tcW w:w="1472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  <w:tc>
          <w:tcPr>
            <w:tcW w:w="108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93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2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240" w:lineRule="auto"/>
              <w:ind w:firstLine="0" w:firstLineChars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2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93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2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993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2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widowControl/>
        <w:spacing w:line="240" w:lineRule="auto"/>
        <w:ind w:firstLine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四、审查内容与结果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（一）一般性审查</w:t>
      </w:r>
      <w:r>
        <w:rPr>
          <w:rFonts w:hint="eastAsia" w:ascii="仿宋_GB2312" w:eastAsia="仿宋_GB2312"/>
          <w:sz w:val="32"/>
          <w:szCs w:val="32"/>
        </w:rPr>
        <w:t>（《需求管理办法》第三十条）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1546"/>
        <w:gridCol w:w="256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审查内容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审查结果</w:t>
            </w: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审查不通过原因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如需开展调查，是否按规定开展需求调查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采购需求是否符合预算管理制度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采购需求是否符合资产管理制度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采购需求是否符合财务管理制度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采购方式选择理由是否充分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评审规则选择是否适用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合同类型选择是否适用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需报监督部门批准、核准事项，是否作出相应安排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采购计划中否完整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审查结论</w:t>
            </w:r>
          </w:p>
        </w:tc>
        <w:tc>
          <w:tcPr>
            <w:tcW w:w="154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65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审查人员（签字）：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（二）重点审查</w:t>
      </w:r>
      <w:r>
        <w:rPr>
          <w:rFonts w:hint="eastAsia" w:ascii="仿宋_GB2312" w:eastAsia="仿宋_GB2312"/>
          <w:sz w:val="32"/>
          <w:szCs w:val="32"/>
        </w:rPr>
        <w:t>（《需求管理办法》第三十三条）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544"/>
        <w:gridCol w:w="1611"/>
        <w:gridCol w:w="232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审查内容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审查结果</w:t>
            </w: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审查不通过原因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非歧视性审查（主要审查是否指向特定供应商或者特定产品）</w:t>
            </w: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资格条件设置是否合理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要求供应商提供超过2个同类业务合同的，是否合理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技术要求是否指向特定的专利、商标、品牌、技术路线等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评审因素设置是否具有倾向性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将有关履约能力作为评审因素是否适当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竞争性审查（主要审查是否确保充分竞争）</w:t>
            </w: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应</w:t>
            </w:r>
            <w:r>
              <w:rPr>
                <w:rFonts w:hint="eastAsia" w:ascii="仿宋_GB2312" w:eastAsia="仿宋_GB2312"/>
                <w:sz w:val="24"/>
                <w:szCs w:val="24"/>
              </w:rPr>
              <w:t>当以公开方式采购，是否依法采用公开竞争方式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采用单一来源采购方式的，是否符合法定情形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采购需求的内容是否完整、明确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采购需求的内容是否考虑后续采购竞争性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评审方法、评审因素、价格权重等评审规则是否适当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政府采购政策审查</w:t>
            </w: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进口产品采购是否必要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是否落实支持创新政策采购政策要求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是否落实绿色发展、节能环保政府采购政策要求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是否落实中小企业发展政府采购政策要求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tcBorders>
              <w:top w:val="nil"/>
            </w:tcBorders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是否落实支持监狱发展政府采购政策要求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tcBorders>
              <w:top w:val="nil"/>
            </w:tcBorders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是否落实促进残疾人就业政府采购政策要求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履约风险审查</w:t>
            </w: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</w:t>
            </w:r>
            <w:r>
              <w:rPr>
                <w:rFonts w:hint="eastAsia" w:ascii="仿宋_GB2312" w:eastAsia="仿宋_GB2312"/>
                <w:sz w:val="24"/>
                <w:szCs w:val="24"/>
              </w:rPr>
              <w:t>同文本是否按规定由法律顾问审定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合同文本运用是否适当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是否围绕采购需求和合同履行设置权利义务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是否明确知识产权等方面的要求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履约验收方案是否完整、标准是否明确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风险处置措施和替代方案是否可行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采购人或者主管预算单位认为应当审查的其他内容</w:t>
            </w:r>
          </w:p>
        </w:tc>
        <w:tc>
          <w:tcPr>
            <w:tcW w:w="3544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（应列明审查的具体内容）</w:t>
            </w:r>
          </w:p>
        </w:tc>
        <w:tc>
          <w:tcPr>
            <w:tcW w:w="1611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809" w:type="dxa"/>
            <w:tcBorders>
              <w:bottom w:val="single" w:color="auto" w:sz="6" w:space="0"/>
            </w:tcBorders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color="auto" w:sz="6" w:space="0"/>
            </w:tcBorders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审查结论</w:t>
            </w:r>
          </w:p>
        </w:tc>
        <w:tc>
          <w:tcPr>
            <w:tcW w:w="1611" w:type="dxa"/>
            <w:tcBorders>
              <w:bottom w:val="single" w:color="auto" w:sz="6" w:space="0"/>
            </w:tcBorders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tcBorders>
              <w:bottom w:val="single" w:color="auto" w:sz="6" w:space="0"/>
            </w:tcBorders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widowControl/>
        <w:spacing w:line="240" w:lineRule="auto"/>
        <w:ind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审查人员（签字）：</w:t>
      </w:r>
    </w:p>
    <w:p>
      <w:pPr>
        <w:widowControl/>
        <w:spacing w:line="240" w:lineRule="auto"/>
        <w:ind w:firstLine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五、审查结论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审查结果全部为“通过”的，则审查结论为“通过”。审查结果有一项为“不通过”的，则审查结论为“不通过”。对于审查不通过的，应当修改采购需求和采购实施计划的内容并重新进行审查。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□通过</w:t>
      </w:r>
    </w:p>
    <w:p>
      <w:pPr>
        <w:widowControl/>
        <w:spacing w:line="240" w:lineRule="auto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□不通过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01" w:right="1418" w:bottom="1701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921303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ind w:right="360" w:firstLine="360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hint="eastAsia" w:asciiTheme="minorEastAsia" w:hAnsiTheme="minorEastAsia"/>
            <w:sz w:val="28"/>
            <w:szCs w:val="28"/>
          </w:rPr>
          <w:t>-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-</w:t>
        </w:r>
      </w:p>
    </w:sdtContent>
  </w:sdt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921304"/>
      <w:docPartObj>
        <w:docPartGallery w:val="autotext"/>
      </w:docPartObj>
    </w:sdtPr>
    <w:sdtContent>
      <w:p>
        <w:pPr>
          <w:pStyle w:val="2"/>
          <w:ind w:firstLine="360"/>
        </w:pPr>
        <w:r>
          <w:rPr>
            <w:rFonts w:hint="eastAsia" w:asciiTheme="minorEastAsia" w:hAnsiTheme="minorEastAsia"/>
            <w:sz w:val="28"/>
            <w:szCs w:val="28"/>
          </w:rPr>
          <w:t>-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-</w:t>
        </w:r>
      </w:p>
    </w:sdtContent>
  </w:sdt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Q2YWVkYWM2MmZhMmJkNmY1OTMzZWRiMDJiNjFhNmMifQ=="/>
  </w:docVars>
  <w:rsids>
    <w:rsidRoot w:val="005F7F29"/>
    <w:rsid w:val="00037C70"/>
    <w:rsid w:val="00070034"/>
    <w:rsid w:val="000D4473"/>
    <w:rsid w:val="000E4995"/>
    <w:rsid w:val="000F4ABB"/>
    <w:rsid w:val="00115114"/>
    <w:rsid w:val="0027491C"/>
    <w:rsid w:val="002A7BFE"/>
    <w:rsid w:val="002C29D5"/>
    <w:rsid w:val="002F2062"/>
    <w:rsid w:val="00340787"/>
    <w:rsid w:val="00344E47"/>
    <w:rsid w:val="003962CF"/>
    <w:rsid w:val="003B549C"/>
    <w:rsid w:val="003C0BFB"/>
    <w:rsid w:val="0048631C"/>
    <w:rsid w:val="00487EBB"/>
    <w:rsid w:val="004B1EED"/>
    <w:rsid w:val="004E318D"/>
    <w:rsid w:val="00506C08"/>
    <w:rsid w:val="00557DFD"/>
    <w:rsid w:val="005873C2"/>
    <w:rsid w:val="005C2551"/>
    <w:rsid w:val="005E08D0"/>
    <w:rsid w:val="005F46D3"/>
    <w:rsid w:val="005F7F29"/>
    <w:rsid w:val="006C4BE3"/>
    <w:rsid w:val="006F735B"/>
    <w:rsid w:val="007306C8"/>
    <w:rsid w:val="007B0927"/>
    <w:rsid w:val="007F1BAB"/>
    <w:rsid w:val="008142D6"/>
    <w:rsid w:val="008E4D0E"/>
    <w:rsid w:val="008F6C18"/>
    <w:rsid w:val="00A57016"/>
    <w:rsid w:val="00A6528B"/>
    <w:rsid w:val="00B24C30"/>
    <w:rsid w:val="00B3323C"/>
    <w:rsid w:val="00B83EE6"/>
    <w:rsid w:val="00BB2CC5"/>
    <w:rsid w:val="00BD1A50"/>
    <w:rsid w:val="00BD5AE6"/>
    <w:rsid w:val="00BF745E"/>
    <w:rsid w:val="00CE759D"/>
    <w:rsid w:val="00CF58F9"/>
    <w:rsid w:val="00D0063A"/>
    <w:rsid w:val="00D26B29"/>
    <w:rsid w:val="00DA206C"/>
    <w:rsid w:val="00E40930"/>
    <w:rsid w:val="00E60299"/>
    <w:rsid w:val="00E64D26"/>
    <w:rsid w:val="00E90D98"/>
    <w:rsid w:val="00EB6732"/>
    <w:rsid w:val="00FB40EA"/>
    <w:rsid w:val="00FD0BE9"/>
    <w:rsid w:val="014324AF"/>
    <w:rsid w:val="02BE0A08"/>
    <w:rsid w:val="05F17CC7"/>
    <w:rsid w:val="08986B20"/>
    <w:rsid w:val="09366A61"/>
    <w:rsid w:val="0A932B49"/>
    <w:rsid w:val="0CA27F6D"/>
    <w:rsid w:val="0EB6675E"/>
    <w:rsid w:val="13141499"/>
    <w:rsid w:val="15775423"/>
    <w:rsid w:val="199C7AF2"/>
    <w:rsid w:val="1BBB0703"/>
    <w:rsid w:val="1F8654CC"/>
    <w:rsid w:val="251175E6"/>
    <w:rsid w:val="2A264090"/>
    <w:rsid w:val="2F7B222C"/>
    <w:rsid w:val="31A41DB5"/>
    <w:rsid w:val="38EF77E6"/>
    <w:rsid w:val="393C086A"/>
    <w:rsid w:val="3BB6283D"/>
    <w:rsid w:val="3E265A58"/>
    <w:rsid w:val="3F8C2233"/>
    <w:rsid w:val="413D380E"/>
    <w:rsid w:val="4486676E"/>
    <w:rsid w:val="44E2484F"/>
    <w:rsid w:val="47013507"/>
    <w:rsid w:val="470A0C21"/>
    <w:rsid w:val="4BDF36EB"/>
    <w:rsid w:val="5A8570CB"/>
    <w:rsid w:val="5F105200"/>
    <w:rsid w:val="66D94689"/>
    <w:rsid w:val="735E5441"/>
    <w:rsid w:val="78A70F68"/>
    <w:rsid w:val="7B696B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Light Shading"/>
    <w:basedOn w:val="4"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character" w:customStyle="1" w:styleId="8">
    <w:name w:val="页眉 Char"/>
    <w:basedOn w:val="7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D50D8-6173-4D0C-AEB3-16ED1309D9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505</Words>
  <Characters>2883</Characters>
  <Lines>24</Lines>
  <Paragraphs>6</Paragraphs>
  <TotalTime>12</TotalTime>
  <ScaleCrop>false</ScaleCrop>
  <LinksUpToDate>false</LinksUpToDate>
  <CharactersWithSpaces>3382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2021-11-03T13:26:00Z</dcterms:created>
  <dc:creator>wxk</dc:creator>
  <cp:lastModifiedBy>忘性大</cp:lastModifiedBy>
  <dcterms:modified xsi:type="dcterms:W3CDTF">2024-04-16T01:59:25Z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FEB62D7E49CE4A099FF50E97E8E081FE</vt:lpwstr>
  </property>
</Properties>
</file>