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180" w:rsidRPr="00273BD2" w:rsidRDefault="00273BD2" w:rsidP="00273BD2">
      <w:pPr>
        <w:adjustRightInd w:val="0"/>
        <w:snapToGrid w:val="0"/>
        <w:spacing w:line="560" w:lineRule="exact"/>
        <w:ind w:firstLineChars="200" w:firstLine="880"/>
        <w:jc w:val="center"/>
        <w:rPr>
          <w:rFonts w:ascii="彩虹黑体" w:eastAsia="彩虹黑体" w:hAnsi="Calibri"/>
          <w:snapToGrid w:val="0"/>
          <w:kern w:val="0"/>
          <w:sz w:val="44"/>
          <w:szCs w:val="44"/>
          <w:lang w:val="zh-CN"/>
        </w:rPr>
      </w:pPr>
      <w:r w:rsidRPr="00273BD2">
        <w:rPr>
          <w:rFonts w:ascii="彩虹黑体" w:eastAsia="彩虹黑体" w:hint="eastAsia"/>
          <w:snapToGrid w:val="0"/>
          <w:kern w:val="0"/>
          <w:sz w:val="44"/>
          <w:szCs w:val="44"/>
          <w:lang w:val="zh-CN"/>
        </w:rPr>
        <w:t>建设银行</w:t>
      </w:r>
      <w:r w:rsidR="006C1180" w:rsidRPr="00273BD2">
        <w:rPr>
          <w:rFonts w:ascii="彩虹黑体" w:eastAsia="彩虹黑体" w:hint="eastAsia"/>
          <w:snapToGrid w:val="0"/>
          <w:kern w:val="0"/>
          <w:sz w:val="44"/>
          <w:szCs w:val="44"/>
          <w:lang w:val="zh-CN"/>
        </w:rPr>
        <w:t>“政</w:t>
      </w:r>
      <w:proofErr w:type="gramStart"/>
      <w:r w:rsidR="006C1180" w:rsidRPr="00273BD2">
        <w:rPr>
          <w:rFonts w:ascii="彩虹黑体" w:eastAsia="彩虹黑体" w:hint="eastAsia"/>
          <w:snapToGrid w:val="0"/>
          <w:kern w:val="0"/>
          <w:sz w:val="44"/>
          <w:szCs w:val="44"/>
          <w:lang w:val="zh-CN"/>
        </w:rPr>
        <w:t>采云</w:t>
      </w:r>
      <w:proofErr w:type="gramEnd"/>
      <w:r w:rsidR="006C1180" w:rsidRPr="00273BD2">
        <w:rPr>
          <w:rFonts w:ascii="彩虹黑体" w:eastAsia="彩虹黑体" w:hint="eastAsia"/>
          <w:snapToGrid w:val="0"/>
          <w:kern w:val="0"/>
          <w:sz w:val="44"/>
          <w:szCs w:val="44"/>
          <w:lang w:val="zh-CN"/>
        </w:rPr>
        <w:t>贷”业务特点</w:t>
      </w:r>
    </w:p>
    <w:p w:rsidR="00D02961" w:rsidRDefault="00D02961" w:rsidP="006C1180">
      <w:pPr>
        <w:spacing w:line="560" w:lineRule="exact"/>
        <w:jc w:val="center"/>
        <w:rPr>
          <w:rFonts w:ascii="彩虹楷体" w:eastAsia="彩虹楷体"/>
          <w:b/>
          <w:snapToGrid w:val="0"/>
          <w:kern w:val="0"/>
          <w:sz w:val="32"/>
          <w:szCs w:val="32"/>
        </w:rPr>
      </w:pPr>
    </w:p>
    <w:p w:rsidR="006C1180" w:rsidRPr="00601A3B" w:rsidRDefault="006C1180" w:rsidP="006C1180">
      <w:pPr>
        <w:spacing w:line="560" w:lineRule="exact"/>
        <w:ind w:firstLineChars="200" w:firstLine="643"/>
        <w:rPr>
          <w:rFonts w:ascii="彩虹粗仿宋" w:eastAsia="彩虹粗仿宋" w:hAnsi="宋体" w:cs="宋体"/>
          <w:b/>
          <w:bCs/>
          <w:snapToGrid w:val="0"/>
          <w:kern w:val="0"/>
          <w:sz w:val="32"/>
          <w:szCs w:val="32"/>
        </w:rPr>
      </w:pPr>
      <w:r w:rsidRPr="00601A3B">
        <w:rPr>
          <w:rFonts w:ascii="彩虹粗仿宋" w:eastAsia="彩虹粗仿宋" w:hAnsi="宋体" w:cs="宋体" w:hint="eastAsia"/>
          <w:b/>
          <w:bCs/>
          <w:snapToGrid w:val="0"/>
          <w:kern w:val="0"/>
          <w:sz w:val="32"/>
          <w:szCs w:val="32"/>
        </w:rPr>
        <w:t>第一条  [目的依据]</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int="eastAsia"/>
          <w:snapToGrid w:val="0"/>
          <w:kern w:val="0"/>
          <w:sz w:val="32"/>
          <w:szCs w:val="32"/>
        </w:rPr>
        <w:t>为促进中国建设银行小</w:t>
      </w:r>
      <w:proofErr w:type="gramStart"/>
      <w:r w:rsidRPr="00601A3B">
        <w:rPr>
          <w:rFonts w:ascii="彩虹粗仿宋" w:eastAsia="彩虹粗仿宋" w:hint="eastAsia"/>
          <w:snapToGrid w:val="0"/>
          <w:kern w:val="0"/>
          <w:sz w:val="32"/>
          <w:szCs w:val="32"/>
        </w:rPr>
        <w:t>微企业</w:t>
      </w:r>
      <w:proofErr w:type="gramEnd"/>
      <w:r w:rsidRPr="00601A3B">
        <w:rPr>
          <w:rFonts w:ascii="彩虹粗仿宋" w:eastAsia="彩虹粗仿宋" w:hint="eastAsia"/>
          <w:snapToGrid w:val="0"/>
          <w:kern w:val="0"/>
          <w:sz w:val="32"/>
          <w:szCs w:val="32"/>
        </w:rPr>
        <w:t>信贷业务发展，进一步满足政府采购供应</w:t>
      </w:r>
      <w:proofErr w:type="gramStart"/>
      <w:r w:rsidRPr="00601A3B">
        <w:rPr>
          <w:rFonts w:ascii="彩虹粗仿宋" w:eastAsia="彩虹粗仿宋" w:hint="eastAsia"/>
          <w:snapToGrid w:val="0"/>
          <w:kern w:val="0"/>
          <w:sz w:val="32"/>
          <w:szCs w:val="32"/>
        </w:rPr>
        <w:t>商小微企业</w:t>
      </w:r>
      <w:proofErr w:type="gramEnd"/>
      <w:r w:rsidRPr="00601A3B">
        <w:rPr>
          <w:rFonts w:ascii="彩虹粗仿宋" w:eastAsia="彩虹粗仿宋" w:hint="eastAsia"/>
          <w:snapToGrid w:val="0"/>
          <w:kern w:val="0"/>
          <w:sz w:val="32"/>
          <w:szCs w:val="32"/>
        </w:rPr>
        <w:t>的客户融资需求，根据《中华人民共和国政府采购法》、《中华人民共和国政府采购法实施条例》、《应收账款质押登记管理办法》、《中国建设银行小微企业“政</w:t>
      </w:r>
      <w:proofErr w:type="gramStart"/>
      <w:r w:rsidRPr="00601A3B">
        <w:rPr>
          <w:rFonts w:ascii="彩虹粗仿宋" w:eastAsia="彩虹粗仿宋" w:hint="eastAsia"/>
          <w:snapToGrid w:val="0"/>
          <w:kern w:val="0"/>
          <w:sz w:val="32"/>
          <w:szCs w:val="32"/>
        </w:rPr>
        <w:t>采云</w:t>
      </w:r>
      <w:proofErr w:type="gramEnd"/>
      <w:r w:rsidRPr="00601A3B">
        <w:rPr>
          <w:rFonts w:ascii="彩虹粗仿宋" w:eastAsia="彩虹粗仿宋" w:hint="eastAsia"/>
          <w:snapToGrid w:val="0"/>
          <w:kern w:val="0"/>
          <w:sz w:val="32"/>
          <w:szCs w:val="32"/>
        </w:rPr>
        <w:t>贷”业务管理办法（2018年版）》</w:t>
      </w:r>
      <w:r w:rsidRPr="00601A3B">
        <w:rPr>
          <w:rFonts w:ascii="彩虹粗仿宋" w:eastAsia="彩虹粗仿宋" w:hAnsi="宋体" w:cs="宋体" w:hint="eastAsia"/>
          <w:bCs/>
          <w:snapToGrid w:val="0"/>
          <w:kern w:val="0"/>
          <w:sz w:val="32"/>
          <w:szCs w:val="32"/>
        </w:rPr>
        <w:t>等法律法规以及建设银行信贷管理的有关规定，制定本办法。</w:t>
      </w:r>
    </w:p>
    <w:p w:rsidR="006C1180" w:rsidRPr="00E7123B" w:rsidRDefault="006C1180" w:rsidP="00E7123B">
      <w:pPr>
        <w:tabs>
          <w:tab w:val="left" w:pos="3828"/>
        </w:tabs>
        <w:spacing w:line="560" w:lineRule="exact"/>
        <w:ind w:firstLineChars="200" w:firstLine="643"/>
        <w:rPr>
          <w:rFonts w:ascii="彩虹粗仿宋" w:eastAsia="彩虹粗仿宋" w:hAnsi="宋体" w:cs="宋体"/>
          <w:bCs/>
          <w:snapToGrid w:val="0"/>
          <w:kern w:val="0"/>
          <w:sz w:val="32"/>
          <w:szCs w:val="32"/>
        </w:rPr>
      </w:pPr>
      <w:r w:rsidRPr="00601A3B">
        <w:rPr>
          <w:rFonts w:ascii="彩虹粗仿宋" w:eastAsia="彩虹粗仿宋" w:hAnsi="宋体" w:cs="宋体" w:hint="eastAsia"/>
          <w:b/>
          <w:bCs/>
          <w:snapToGrid w:val="0"/>
          <w:kern w:val="0"/>
          <w:sz w:val="32"/>
          <w:szCs w:val="32"/>
        </w:rPr>
        <w:t>第二条  [业务释义]</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t>（一）本办法所称采购，是指以合同方式有偿取得货物和服务的行为，包括购买、租赁、委托、雇用等。其中，货物是指各种形态和种类的物品，包括原材料、燃料、设备、产品等；服务是指除货物和工程以外的其他政府采购对象，包括各类专业服务、信息网络开发服务、金融保险服务、运输服务，以及维修与维护服务等；</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t>（二）本办法所称政府采购，是指各级国家机关、事业单位和团体组织依据《</w:t>
      </w:r>
      <w:r w:rsidRPr="00601A3B">
        <w:rPr>
          <w:rFonts w:ascii="彩虹粗仿宋" w:eastAsia="彩虹粗仿宋" w:hint="eastAsia"/>
          <w:sz w:val="32"/>
          <w:szCs w:val="32"/>
        </w:rPr>
        <w:t>中华人民共和国政府采购法</w:t>
      </w:r>
      <w:r w:rsidRPr="00601A3B">
        <w:rPr>
          <w:rFonts w:ascii="彩虹粗仿宋" w:eastAsia="彩虹粗仿宋" w:hAnsi="宋体" w:cs="宋体" w:hint="eastAsia"/>
          <w:bCs/>
          <w:snapToGrid w:val="0"/>
          <w:kern w:val="0"/>
          <w:sz w:val="32"/>
          <w:szCs w:val="32"/>
        </w:rPr>
        <w:t>》，向符合相关条件的供应商，按照相关采购程序，使用财政性资金采购依法制定的集中采购目录以内的或者采购限额标准以上的货物和服务的行为；</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t>（三）本办法所称集中采购机构，是指地方政府依法设置的，负责组织实施本级政府所需货物和服务集中采购事项的机构；</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lastRenderedPageBreak/>
        <w:t>（四）本办法所称采购代理机构，是指经省级以上政府财政部门认定资格的，行使集中采购机构同等职能的，从事政府采购货物和服务采购代理业务的社会中介机构，应获得政府采购代理机构资格证书；</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t>（五）本办法所称采购人，是指依法进行政府采购的国家机关、事业单位、团体组织；</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t>（六）本办法所称付款人，是指地方财政机构或依法授权的其下属职能部门、集中采购机构、采购代理机构或采购人作为最终付款人；</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t>（七）本办法所称供应商，是指向采购人提供货物或者服务的法人、其他组织或者自然人；</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t>（八）本办法所称财政性资金，包括依法纳入的财政预算资金和纳入财政管理的其他资金。</w:t>
      </w:r>
    </w:p>
    <w:p w:rsidR="006C1180" w:rsidRPr="00601A3B" w:rsidRDefault="006C1180" w:rsidP="006C1180">
      <w:pPr>
        <w:spacing w:line="560" w:lineRule="exact"/>
        <w:ind w:firstLineChars="200" w:firstLine="643"/>
        <w:rPr>
          <w:rFonts w:ascii="彩虹粗仿宋" w:eastAsia="彩虹粗仿宋" w:hAnsi="宋体" w:cs="宋体"/>
          <w:b/>
          <w:bCs/>
          <w:snapToGrid w:val="0"/>
          <w:kern w:val="0"/>
          <w:sz w:val="32"/>
          <w:szCs w:val="32"/>
        </w:rPr>
      </w:pPr>
      <w:r w:rsidRPr="00601A3B">
        <w:rPr>
          <w:rFonts w:ascii="彩虹粗仿宋" w:eastAsia="彩虹粗仿宋" w:hAnsi="宋体" w:cs="宋体" w:hint="eastAsia"/>
          <w:b/>
          <w:bCs/>
          <w:snapToGrid w:val="0"/>
          <w:kern w:val="0"/>
          <w:sz w:val="32"/>
          <w:szCs w:val="32"/>
        </w:rPr>
        <w:t>第五条  [贷款对象]</w:t>
      </w:r>
    </w:p>
    <w:p w:rsidR="006C1180" w:rsidRPr="00601A3B" w:rsidRDefault="006C1180" w:rsidP="006C1180">
      <w:pPr>
        <w:adjustRightInd w:val="0"/>
        <w:snapToGrid w:val="0"/>
        <w:spacing w:line="560" w:lineRule="atLeast"/>
        <w:ind w:firstLineChars="200" w:firstLine="640"/>
        <w:rPr>
          <w:rFonts w:ascii="彩虹粗仿宋" w:eastAsia="彩虹粗仿宋"/>
          <w:snapToGrid w:val="0"/>
          <w:kern w:val="0"/>
          <w:sz w:val="32"/>
          <w:szCs w:val="32"/>
        </w:rPr>
      </w:pPr>
      <w:r w:rsidRPr="00601A3B">
        <w:rPr>
          <w:rFonts w:ascii="彩虹粗仿宋" w:eastAsia="彩虹粗仿宋" w:hint="eastAsia"/>
          <w:snapToGrid w:val="0"/>
          <w:kern w:val="0"/>
          <w:sz w:val="32"/>
          <w:szCs w:val="32"/>
        </w:rPr>
        <w:t>“政</w:t>
      </w:r>
      <w:proofErr w:type="gramStart"/>
      <w:r w:rsidRPr="00601A3B">
        <w:rPr>
          <w:rFonts w:ascii="彩虹粗仿宋" w:eastAsia="彩虹粗仿宋" w:hint="eastAsia"/>
          <w:snapToGrid w:val="0"/>
          <w:kern w:val="0"/>
          <w:sz w:val="32"/>
          <w:szCs w:val="32"/>
        </w:rPr>
        <w:t>采云</w:t>
      </w:r>
      <w:proofErr w:type="gramEnd"/>
      <w:r w:rsidRPr="00601A3B">
        <w:rPr>
          <w:rFonts w:ascii="彩虹粗仿宋" w:eastAsia="彩虹粗仿宋" w:hint="eastAsia"/>
          <w:snapToGrid w:val="0"/>
          <w:kern w:val="0"/>
          <w:sz w:val="32"/>
          <w:szCs w:val="32"/>
        </w:rPr>
        <w:t>贷”实行共同借款人，即由借款企业和企业主作为共同借款人。</w:t>
      </w:r>
    </w:p>
    <w:p w:rsidR="006C1180" w:rsidRPr="00601A3B" w:rsidRDefault="006C1180" w:rsidP="006C1180">
      <w:pPr>
        <w:adjustRightInd w:val="0"/>
        <w:snapToGrid w:val="0"/>
        <w:spacing w:line="560" w:lineRule="atLeast"/>
        <w:ind w:firstLineChars="200" w:firstLine="643"/>
        <w:rPr>
          <w:rFonts w:ascii="彩虹粗仿宋" w:eastAsia="彩虹粗仿宋" w:hAnsi="宋体" w:cs="宋体"/>
          <w:b/>
          <w:bCs/>
          <w:snapToGrid w:val="0"/>
          <w:kern w:val="0"/>
          <w:sz w:val="32"/>
          <w:szCs w:val="32"/>
        </w:rPr>
      </w:pPr>
      <w:r w:rsidRPr="00601A3B">
        <w:rPr>
          <w:rFonts w:ascii="彩虹粗仿宋" w:eastAsia="彩虹粗仿宋" w:hAnsi="宋体" w:cs="宋体" w:hint="eastAsia"/>
          <w:b/>
          <w:bCs/>
          <w:snapToGrid w:val="0"/>
          <w:kern w:val="0"/>
          <w:sz w:val="32"/>
          <w:szCs w:val="32"/>
        </w:rPr>
        <w:t>第六条  [政府采购相关当事人准入条件]</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t>政府采购的相关当事人应满足以下条件：</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t>（一）采购人为地市级（含）以上、副省级市及省会城市区级</w:t>
      </w:r>
      <w:r w:rsidRPr="00601A3B">
        <w:rPr>
          <w:rFonts w:ascii="Calibri" w:eastAsia="彩虹粗仿宋" w:hAnsi="Calibri" w:cs="宋体" w:hint="eastAsia"/>
          <w:bCs/>
          <w:snapToGrid w:val="0"/>
          <w:kern w:val="0"/>
          <w:sz w:val="32"/>
          <w:szCs w:val="32"/>
        </w:rPr>
        <w:t>、</w:t>
      </w:r>
      <w:r w:rsidRPr="00601A3B">
        <w:rPr>
          <w:rFonts w:ascii="彩虹粗仿宋" w:eastAsia="彩虹粗仿宋" w:hAnsi="宋体" w:cs="宋体" w:hint="eastAsia"/>
          <w:bCs/>
          <w:snapToGrid w:val="0"/>
          <w:kern w:val="0"/>
          <w:sz w:val="32"/>
          <w:szCs w:val="32"/>
        </w:rPr>
        <w:t>经济百强县或上一年公共财政收入30亿元（含）以上县级国家机关、事业单位、团体组织。例外情况由一级分行负责核准，例外核准底线为上一年公共财政收入10亿元（含）以上县级国家机关、事业单位、团体组织;</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lastRenderedPageBreak/>
        <w:t>（二）</w:t>
      </w:r>
      <w:r w:rsidRPr="00601A3B">
        <w:rPr>
          <w:rFonts w:ascii="彩虹粗仿宋" w:eastAsia="彩虹粗仿宋" w:hint="eastAsia"/>
          <w:sz w:val="32"/>
          <w:szCs w:val="32"/>
        </w:rPr>
        <w:t>地方政府应具有较强的财政实力和合理的负债水平，上一年地方政府债务率</w:t>
      </w:r>
      <w:r w:rsidRPr="00601A3B">
        <w:rPr>
          <w:rFonts w:ascii="彩虹粗仿宋" w:eastAsia="彩虹粗仿宋"/>
          <w:sz w:val="32"/>
          <w:szCs w:val="32"/>
          <w:vertAlign w:val="superscript"/>
        </w:rPr>
        <w:footnoteReference w:id="1"/>
      </w:r>
      <w:r w:rsidRPr="00601A3B">
        <w:rPr>
          <w:rFonts w:ascii="彩虹粗仿宋" w:eastAsia="彩虹粗仿宋" w:hint="eastAsia"/>
          <w:sz w:val="32"/>
          <w:szCs w:val="32"/>
        </w:rPr>
        <w:t>原则上不得超过100%；直辖市、省会城市、计划单列市债务率可放宽到150%，除此以外的其他中心城市</w:t>
      </w:r>
      <w:proofErr w:type="gramStart"/>
      <w:r w:rsidRPr="00601A3B">
        <w:rPr>
          <w:rFonts w:ascii="彩虹粗仿宋" w:eastAsia="彩虹粗仿宋" w:hint="eastAsia"/>
          <w:sz w:val="32"/>
          <w:szCs w:val="32"/>
        </w:rPr>
        <w:t>行所在</w:t>
      </w:r>
      <w:proofErr w:type="gramEnd"/>
      <w:r w:rsidRPr="00601A3B">
        <w:rPr>
          <w:rFonts w:ascii="彩虹粗仿宋" w:eastAsia="彩虹粗仿宋" w:hint="eastAsia"/>
          <w:sz w:val="32"/>
          <w:szCs w:val="32"/>
        </w:rPr>
        <w:t>地市级政府债务率可放宽到120%;</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t>（三）政府采购资金为财政性资金，付款人已获得相应授权支配政府采购资金并代表采购人支付采购价款，付款能力有充分保证，资信良好、在政府采购活动中无债务拖欠行为;</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t>（四）付款人愿意与建设银行合作，能够按照采购合同的结算期限约定，支付采购款项到建设银行指定的回款专户;</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t>（五）采购代理机构原则上应与政府合作2年（含）以上，</w:t>
      </w:r>
      <w:r w:rsidR="004E14D6">
        <w:rPr>
          <w:rFonts w:ascii="彩虹粗仿宋" w:eastAsia="彩虹粗仿宋" w:hAnsi="宋体" w:cs="宋体" w:hint="eastAsia"/>
          <w:bCs/>
          <w:snapToGrid w:val="0"/>
          <w:kern w:val="0"/>
          <w:sz w:val="32"/>
          <w:szCs w:val="32"/>
        </w:rPr>
        <w:t>合作情况良好</w:t>
      </w:r>
      <w:r w:rsidRPr="00601A3B">
        <w:rPr>
          <w:rFonts w:ascii="彩虹粗仿宋" w:eastAsia="彩虹粗仿宋" w:hAnsi="宋体" w:cs="宋体" w:hint="eastAsia"/>
          <w:bCs/>
          <w:snapToGrid w:val="0"/>
          <w:kern w:val="0"/>
          <w:sz w:val="32"/>
          <w:szCs w:val="32"/>
        </w:rPr>
        <w:t>。</w:t>
      </w:r>
    </w:p>
    <w:p w:rsidR="006C1180" w:rsidRPr="00601A3B" w:rsidRDefault="006C1180" w:rsidP="006C1180">
      <w:pPr>
        <w:adjustRightInd w:val="0"/>
        <w:snapToGrid w:val="0"/>
        <w:spacing w:line="560" w:lineRule="atLeast"/>
        <w:ind w:firstLineChars="200" w:firstLine="643"/>
        <w:rPr>
          <w:rFonts w:ascii="彩虹粗仿宋" w:eastAsia="彩虹粗仿宋" w:hAnsi="宋体" w:cs="宋体"/>
          <w:b/>
          <w:bCs/>
          <w:snapToGrid w:val="0"/>
          <w:kern w:val="0"/>
          <w:sz w:val="32"/>
          <w:szCs w:val="32"/>
        </w:rPr>
      </w:pPr>
      <w:r w:rsidRPr="00601A3B">
        <w:rPr>
          <w:rFonts w:ascii="彩虹粗仿宋" w:eastAsia="彩虹粗仿宋" w:hAnsi="宋体" w:cs="宋体" w:hint="eastAsia"/>
          <w:b/>
          <w:bCs/>
          <w:snapToGrid w:val="0"/>
          <w:kern w:val="0"/>
          <w:sz w:val="32"/>
          <w:szCs w:val="32"/>
        </w:rPr>
        <w:t>第七条  [借款企业基本条件]</w:t>
      </w:r>
    </w:p>
    <w:p w:rsidR="006C1180" w:rsidRPr="00601A3B" w:rsidRDefault="006C1180" w:rsidP="006C1180">
      <w:pPr>
        <w:adjustRightInd w:val="0"/>
        <w:snapToGrid w:val="0"/>
        <w:spacing w:line="560" w:lineRule="atLeast"/>
        <w:ind w:firstLine="645"/>
        <w:rPr>
          <w:rFonts w:ascii="彩虹粗仿宋" w:eastAsia="彩虹粗仿宋" w:hAnsi="Calibri"/>
          <w:sz w:val="32"/>
          <w:szCs w:val="32"/>
        </w:rPr>
      </w:pPr>
      <w:r w:rsidRPr="00601A3B">
        <w:rPr>
          <w:rFonts w:ascii="彩虹粗仿宋" w:eastAsia="彩虹粗仿宋" w:hAnsi="Calibri" w:hint="eastAsia"/>
          <w:sz w:val="32"/>
          <w:szCs w:val="32"/>
        </w:rPr>
        <w:t>（一）经工商行政管理机关核准登记的企业法人及个体工商户；</w:t>
      </w:r>
    </w:p>
    <w:p w:rsidR="006C1180" w:rsidRPr="00601A3B" w:rsidRDefault="006C1180" w:rsidP="006C1180">
      <w:pPr>
        <w:adjustRightInd w:val="0"/>
        <w:snapToGrid w:val="0"/>
        <w:spacing w:line="560" w:lineRule="atLeast"/>
        <w:ind w:firstLine="645"/>
        <w:rPr>
          <w:rFonts w:ascii="彩虹粗仿宋" w:eastAsia="彩虹粗仿宋" w:hAnsi="Calibri"/>
          <w:sz w:val="32"/>
          <w:szCs w:val="32"/>
        </w:rPr>
      </w:pPr>
      <w:r w:rsidRPr="00601A3B">
        <w:rPr>
          <w:rFonts w:ascii="彩虹粗仿宋" w:eastAsia="彩虹粗仿宋" w:hAnsi="Calibri" w:hint="eastAsia"/>
          <w:sz w:val="32"/>
          <w:szCs w:val="32"/>
        </w:rPr>
        <w:t xml:space="preserve">（二）企业符合国家产业政策和建设银行信贷政策； </w:t>
      </w:r>
    </w:p>
    <w:p w:rsidR="006C1180" w:rsidRPr="00601A3B" w:rsidRDefault="006C1180" w:rsidP="006C1180">
      <w:pPr>
        <w:adjustRightInd w:val="0"/>
        <w:snapToGrid w:val="0"/>
        <w:spacing w:line="560" w:lineRule="atLeast"/>
        <w:ind w:firstLine="645"/>
        <w:rPr>
          <w:rFonts w:ascii="彩虹粗仿宋" w:eastAsia="彩虹粗仿宋" w:hAnsi="Calibri"/>
          <w:sz w:val="32"/>
          <w:szCs w:val="32"/>
        </w:rPr>
      </w:pPr>
      <w:r w:rsidRPr="00601A3B">
        <w:rPr>
          <w:rFonts w:ascii="彩虹粗仿宋" w:eastAsia="彩虹粗仿宋" w:hAnsi="Calibri" w:hint="eastAsia"/>
          <w:sz w:val="32"/>
          <w:szCs w:val="32"/>
        </w:rPr>
        <w:t>（三）在建设银行开立结算账户；</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t>（四）</w:t>
      </w:r>
      <w:r w:rsidRPr="00601A3B">
        <w:rPr>
          <w:rFonts w:ascii="彩虹粗仿宋" w:eastAsia="彩虹粗仿宋" w:hAnsi="华文楷体" w:hint="eastAsia"/>
          <w:snapToGrid w:val="0"/>
          <w:kern w:val="0"/>
          <w:sz w:val="32"/>
          <w:szCs w:val="32"/>
        </w:rPr>
        <w:t>企业已获得</w:t>
      </w:r>
      <w:r w:rsidRPr="00601A3B">
        <w:rPr>
          <w:rFonts w:ascii="彩虹粗仿宋" w:eastAsia="彩虹粗仿宋" w:hAnsi="宋体" w:cs="宋体" w:hint="eastAsia"/>
          <w:bCs/>
          <w:snapToGrid w:val="0"/>
          <w:kern w:val="0"/>
          <w:sz w:val="32"/>
          <w:szCs w:val="32"/>
        </w:rPr>
        <w:t>政府采购中标通知，</w:t>
      </w:r>
      <w:r w:rsidRPr="00601A3B">
        <w:rPr>
          <w:rFonts w:ascii="彩虹粗仿宋" w:eastAsia="彩虹粗仿宋" w:hint="eastAsia"/>
          <w:snapToGrid w:val="0"/>
          <w:kern w:val="0"/>
          <w:sz w:val="32"/>
          <w:szCs w:val="32"/>
        </w:rPr>
        <w:t>政府采购履约期限和付款期限</w:t>
      </w:r>
      <w:proofErr w:type="gramStart"/>
      <w:r w:rsidRPr="00601A3B">
        <w:rPr>
          <w:rFonts w:ascii="彩虹粗仿宋" w:eastAsia="彩虹粗仿宋" w:hint="eastAsia"/>
          <w:snapToGrid w:val="0"/>
          <w:kern w:val="0"/>
          <w:sz w:val="32"/>
          <w:szCs w:val="32"/>
        </w:rPr>
        <w:t>距贷款</w:t>
      </w:r>
      <w:proofErr w:type="gramEnd"/>
      <w:r w:rsidRPr="00601A3B">
        <w:rPr>
          <w:rFonts w:ascii="彩虹粗仿宋" w:eastAsia="彩虹粗仿宋" w:hint="eastAsia"/>
          <w:snapToGrid w:val="0"/>
          <w:kern w:val="0"/>
          <w:sz w:val="32"/>
          <w:szCs w:val="32"/>
        </w:rPr>
        <w:t>申请日均在1年（含）以内</w:t>
      </w:r>
      <w:r w:rsidRPr="00601A3B">
        <w:rPr>
          <w:rFonts w:ascii="彩虹粗仿宋" w:eastAsia="彩虹粗仿宋" w:hAnsi="华文楷体" w:hint="eastAsia"/>
          <w:snapToGrid w:val="0"/>
          <w:kern w:val="0"/>
          <w:sz w:val="32"/>
          <w:szCs w:val="32"/>
        </w:rPr>
        <w:t>；</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t>（五）企业在政府采购活动中与政府成功合作2年（含）以上，且近2年政府采购供应量或服务量每年均不低于100万元（含）；</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宋体" w:cs="宋体" w:hint="eastAsia"/>
          <w:bCs/>
          <w:snapToGrid w:val="0"/>
          <w:kern w:val="0"/>
          <w:sz w:val="32"/>
          <w:szCs w:val="32"/>
        </w:rPr>
        <w:lastRenderedPageBreak/>
        <w:t>（六）企业向政府提供的货物或服务质量稳定，与政府合作历史中未产生纠纷，与上、下游客户未发生重大债权、债务纠纷，近3年未被政府采购部门列入不良记录名单；</w:t>
      </w:r>
    </w:p>
    <w:p w:rsidR="006C1180" w:rsidRPr="00601A3B" w:rsidRDefault="006C1180" w:rsidP="006C1180">
      <w:pPr>
        <w:adjustRightInd w:val="0"/>
        <w:snapToGrid w:val="0"/>
        <w:spacing w:line="560" w:lineRule="atLeast"/>
        <w:ind w:firstLineChars="200" w:firstLine="640"/>
        <w:rPr>
          <w:rFonts w:ascii="彩虹粗仿宋" w:eastAsia="彩虹粗仿宋" w:hAnsi="Calibri"/>
          <w:snapToGrid w:val="0"/>
          <w:kern w:val="0"/>
          <w:sz w:val="32"/>
          <w:szCs w:val="32"/>
        </w:rPr>
      </w:pPr>
      <w:r w:rsidRPr="00601A3B">
        <w:rPr>
          <w:rFonts w:ascii="彩虹粗仿宋" w:eastAsia="彩虹粗仿宋" w:hAnsi="Calibri" w:hint="eastAsia"/>
          <w:snapToGrid w:val="0"/>
          <w:kern w:val="0"/>
          <w:sz w:val="32"/>
          <w:szCs w:val="32"/>
        </w:rPr>
        <w:t>（七）</w:t>
      </w:r>
      <w:r w:rsidRPr="00601A3B">
        <w:rPr>
          <w:rFonts w:ascii="彩虹粗仿宋" w:eastAsia="彩虹粗仿宋" w:hint="eastAsia"/>
          <w:snapToGrid w:val="0"/>
          <w:kern w:val="0"/>
          <w:sz w:val="32"/>
          <w:szCs w:val="32"/>
        </w:rPr>
        <w:t>企业在建设银行无有效评级和</w:t>
      </w:r>
      <w:proofErr w:type="gramStart"/>
      <w:r w:rsidRPr="00601A3B">
        <w:rPr>
          <w:rFonts w:ascii="彩虹粗仿宋" w:eastAsia="彩虹粗仿宋" w:hint="eastAsia"/>
          <w:snapToGrid w:val="0"/>
          <w:kern w:val="0"/>
          <w:sz w:val="32"/>
          <w:szCs w:val="32"/>
        </w:rPr>
        <w:t>授信</w:t>
      </w:r>
      <w:proofErr w:type="gramEnd"/>
      <w:r w:rsidRPr="00601A3B">
        <w:rPr>
          <w:rFonts w:ascii="彩虹粗仿宋" w:eastAsia="彩虹粗仿宋" w:hint="eastAsia"/>
          <w:snapToGrid w:val="0"/>
          <w:kern w:val="0"/>
          <w:sz w:val="32"/>
          <w:szCs w:val="32"/>
        </w:rPr>
        <w:t>额度（低信用风险业务除外）；</w:t>
      </w:r>
    </w:p>
    <w:p w:rsidR="006C1180" w:rsidRPr="00601A3B" w:rsidRDefault="006C1180" w:rsidP="006C1180">
      <w:pPr>
        <w:adjustRightInd w:val="0"/>
        <w:snapToGrid w:val="0"/>
        <w:spacing w:line="560" w:lineRule="atLeast"/>
        <w:ind w:firstLineChars="200" w:firstLine="640"/>
        <w:rPr>
          <w:rFonts w:ascii="彩虹粗仿宋" w:eastAsia="彩虹粗仿宋" w:hAnsi="Calibri"/>
          <w:snapToGrid w:val="0"/>
          <w:kern w:val="0"/>
          <w:sz w:val="32"/>
          <w:szCs w:val="32"/>
        </w:rPr>
      </w:pPr>
      <w:r w:rsidRPr="00601A3B">
        <w:rPr>
          <w:rFonts w:ascii="彩虹粗仿宋" w:eastAsia="彩虹粗仿宋" w:hint="eastAsia"/>
          <w:snapToGrid w:val="0"/>
          <w:kern w:val="0"/>
          <w:sz w:val="32"/>
          <w:szCs w:val="32"/>
        </w:rPr>
        <w:t>（八）企业已结清债项的历史风险分类均为正常类;无已核销业务；</w:t>
      </w:r>
    </w:p>
    <w:p w:rsidR="006C1180" w:rsidRPr="00601A3B" w:rsidRDefault="006C1180" w:rsidP="006C1180">
      <w:pPr>
        <w:pStyle w:val="a7"/>
        <w:adjustRightInd w:val="0"/>
        <w:snapToGrid w:val="0"/>
        <w:spacing w:line="560" w:lineRule="atLeast"/>
        <w:ind w:firstLineChars="200" w:firstLine="640"/>
        <w:jc w:val="both"/>
      </w:pPr>
      <w:r w:rsidRPr="00601A3B">
        <w:rPr>
          <w:rFonts w:ascii="彩虹粗仿宋" w:eastAsia="彩虹粗仿宋" w:hint="eastAsia"/>
          <w:snapToGrid w:val="0"/>
          <w:kern w:val="0"/>
          <w:sz w:val="32"/>
          <w:szCs w:val="32"/>
        </w:rPr>
        <w:t>（</w:t>
      </w:r>
      <w:r w:rsidRPr="00601A3B">
        <w:rPr>
          <w:rFonts w:ascii="彩虹粗仿宋" w:eastAsia="彩虹粗仿宋" w:hAnsi="宋体" w:cs="Arial" w:hint="eastAsia"/>
          <w:snapToGrid w:val="0"/>
          <w:kern w:val="0"/>
          <w:sz w:val="32"/>
          <w:szCs w:val="32"/>
        </w:rPr>
        <w:t>九</w:t>
      </w:r>
      <w:r w:rsidRPr="00601A3B">
        <w:rPr>
          <w:rFonts w:ascii="彩虹粗仿宋" w:eastAsia="彩虹粗仿宋" w:hint="eastAsia"/>
          <w:snapToGrid w:val="0"/>
          <w:kern w:val="0"/>
          <w:sz w:val="32"/>
          <w:szCs w:val="32"/>
        </w:rPr>
        <w:t>）企业在其他银行授信不超过2家，且未结清债项为正常和关注类；企业及企业主在其他银行信贷余额不超过500万元；</w:t>
      </w:r>
    </w:p>
    <w:p w:rsidR="006C1180" w:rsidRPr="00601A3B" w:rsidRDefault="006C1180" w:rsidP="006C1180">
      <w:pPr>
        <w:adjustRightInd w:val="0"/>
        <w:snapToGrid w:val="0"/>
        <w:spacing w:line="560" w:lineRule="atLeast"/>
        <w:ind w:firstLineChars="200" w:firstLine="640"/>
        <w:rPr>
          <w:rFonts w:ascii="彩虹粗仿宋" w:eastAsia="彩虹粗仿宋" w:hAnsi="Calibri"/>
          <w:snapToGrid w:val="0"/>
          <w:kern w:val="0"/>
          <w:sz w:val="32"/>
          <w:szCs w:val="32"/>
        </w:rPr>
      </w:pPr>
      <w:r w:rsidRPr="00601A3B">
        <w:rPr>
          <w:rFonts w:ascii="彩虹粗仿宋" w:eastAsia="彩虹粗仿宋" w:hAnsi="宋体" w:cs="Arial" w:hint="eastAsia"/>
          <w:snapToGrid w:val="0"/>
          <w:kern w:val="0"/>
          <w:sz w:val="32"/>
          <w:szCs w:val="32"/>
        </w:rPr>
        <w:t>（十）</w:t>
      </w:r>
      <w:r w:rsidRPr="00601A3B">
        <w:rPr>
          <w:rFonts w:ascii="彩虹粗仿宋" w:eastAsia="彩虹粗仿宋" w:hint="eastAsia"/>
          <w:snapToGrid w:val="0"/>
          <w:kern w:val="0"/>
          <w:sz w:val="32"/>
          <w:szCs w:val="32"/>
        </w:rPr>
        <w:t>未列入人民法院失信被执行人名单、严重违法失信企业名单以及建设银行信用客户内控名单；</w:t>
      </w:r>
    </w:p>
    <w:p w:rsidR="006C1180" w:rsidRPr="00601A3B" w:rsidRDefault="006C1180" w:rsidP="006C1180">
      <w:pPr>
        <w:adjustRightInd w:val="0"/>
        <w:snapToGrid w:val="0"/>
        <w:spacing w:line="560" w:lineRule="atLeast"/>
        <w:ind w:firstLineChars="200" w:firstLine="643"/>
        <w:rPr>
          <w:rFonts w:ascii="彩虹粗仿宋" w:eastAsia="彩虹粗仿宋" w:hAnsi="Calibri"/>
          <w:b/>
          <w:snapToGrid w:val="0"/>
          <w:kern w:val="0"/>
          <w:sz w:val="32"/>
          <w:szCs w:val="32"/>
        </w:rPr>
      </w:pPr>
      <w:bookmarkStart w:id="0" w:name="_GoBack"/>
      <w:bookmarkEnd w:id="0"/>
      <w:r w:rsidRPr="00601A3B">
        <w:rPr>
          <w:rFonts w:ascii="彩虹粗仿宋" w:eastAsia="彩虹粗仿宋" w:hAnsi="Calibri" w:cs="Arial" w:hint="eastAsia"/>
          <w:b/>
          <w:snapToGrid w:val="0"/>
          <w:kern w:val="0"/>
          <w:sz w:val="32"/>
          <w:szCs w:val="32"/>
        </w:rPr>
        <w:t>第八条  [共同借款人基本条件]</w:t>
      </w:r>
    </w:p>
    <w:p w:rsidR="006C1180" w:rsidRPr="00601A3B" w:rsidRDefault="006C1180" w:rsidP="006C1180">
      <w:pPr>
        <w:adjustRightInd w:val="0"/>
        <w:snapToGrid w:val="0"/>
        <w:spacing w:line="560" w:lineRule="atLeast"/>
        <w:ind w:firstLineChars="200" w:firstLine="640"/>
        <w:rPr>
          <w:rFonts w:ascii="彩虹粗仿宋" w:eastAsia="彩虹粗仿宋" w:hAnsi="宋体" w:cs="Arial"/>
          <w:snapToGrid w:val="0"/>
          <w:kern w:val="0"/>
          <w:sz w:val="32"/>
          <w:szCs w:val="32"/>
        </w:rPr>
      </w:pPr>
      <w:r w:rsidRPr="00601A3B">
        <w:rPr>
          <w:rFonts w:ascii="彩虹粗仿宋" w:eastAsia="彩虹粗仿宋" w:hAnsi="宋体" w:cs="Arial" w:hint="eastAsia"/>
          <w:snapToGrid w:val="0"/>
          <w:kern w:val="0"/>
          <w:sz w:val="32"/>
          <w:szCs w:val="32"/>
        </w:rPr>
        <w:t>（一）企业主年满18周岁且不超过60周岁，非港、澳、台及外籍人士</w:t>
      </w:r>
      <w:r w:rsidRPr="00601A3B">
        <w:rPr>
          <w:rFonts w:ascii="彩虹粗仿宋" w:eastAsia="彩虹粗仿宋" w:hAnsi="宋体" w:hint="eastAsia"/>
          <w:sz w:val="32"/>
          <w:szCs w:val="32"/>
          <w:lang w:val="zh-CN"/>
        </w:rPr>
        <w:t>；</w:t>
      </w:r>
    </w:p>
    <w:p w:rsidR="006C1180" w:rsidRPr="00601A3B" w:rsidRDefault="006C1180" w:rsidP="006C1180">
      <w:pPr>
        <w:adjustRightInd w:val="0"/>
        <w:snapToGrid w:val="0"/>
        <w:spacing w:line="560" w:lineRule="atLeast"/>
        <w:ind w:firstLineChars="200" w:firstLine="640"/>
        <w:rPr>
          <w:rFonts w:ascii="彩虹粗仿宋" w:eastAsia="彩虹粗仿宋" w:hAnsi="宋体" w:cs="Arial"/>
          <w:snapToGrid w:val="0"/>
          <w:kern w:val="0"/>
          <w:sz w:val="32"/>
          <w:szCs w:val="32"/>
        </w:rPr>
      </w:pPr>
      <w:r w:rsidRPr="00601A3B">
        <w:rPr>
          <w:rFonts w:ascii="彩虹粗仿宋" w:eastAsia="彩虹粗仿宋" w:hAnsi="宋体" w:cs="Arial" w:hint="eastAsia"/>
          <w:snapToGrid w:val="0"/>
          <w:kern w:val="0"/>
          <w:sz w:val="32"/>
          <w:szCs w:val="32"/>
        </w:rPr>
        <w:t>（二）企业主</w:t>
      </w:r>
      <w:r w:rsidRPr="00601A3B">
        <w:rPr>
          <w:rFonts w:ascii="彩虹粗仿宋" w:eastAsia="彩虹粗仿宋" w:hAnsi="Calibri" w:hint="eastAsia"/>
          <w:snapToGrid w:val="0"/>
          <w:kern w:val="0"/>
          <w:sz w:val="32"/>
          <w:szCs w:val="32"/>
        </w:rPr>
        <w:t>当前无逾期贷款，</w:t>
      </w:r>
      <w:r w:rsidR="000543A6">
        <w:rPr>
          <w:rFonts w:ascii="彩虹粗仿宋" w:eastAsia="彩虹粗仿宋" w:hAnsi="Calibri" w:hint="eastAsia"/>
          <w:snapToGrid w:val="0"/>
          <w:kern w:val="0"/>
          <w:sz w:val="32"/>
          <w:szCs w:val="32"/>
        </w:rPr>
        <w:t>信用记录良好，</w:t>
      </w:r>
      <w:r w:rsidRPr="00601A3B">
        <w:rPr>
          <w:rFonts w:ascii="彩虹粗仿宋" w:eastAsia="彩虹粗仿宋" w:hAnsi="Calibri" w:hint="eastAsia"/>
          <w:snapToGrid w:val="0"/>
          <w:kern w:val="0"/>
          <w:sz w:val="32"/>
          <w:szCs w:val="32"/>
        </w:rPr>
        <w:t>近2年在建设银行不存在贷款风险分类为次级及以下的记录</w:t>
      </w:r>
      <w:r w:rsidRPr="00601A3B">
        <w:rPr>
          <w:rFonts w:ascii="彩虹粗仿宋" w:eastAsia="彩虹粗仿宋" w:hAnsi="宋体" w:cs="Arial" w:hint="eastAsia"/>
          <w:snapToGrid w:val="0"/>
          <w:kern w:val="0"/>
          <w:sz w:val="32"/>
          <w:szCs w:val="32"/>
        </w:rPr>
        <w:t>；</w:t>
      </w:r>
    </w:p>
    <w:p w:rsidR="006C1180" w:rsidRPr="00601A3B" w:rsidRDefault="006C1180" w:rsidP="006C1180">
      <w:pPr>
        <w:adjustRightInd w:val="0"/>
        <w:snapToGrid w:val="0"/>
        <w:spacing w:line="560" w:lineRule="atLeast"/>
        <w:ind w:firstLineChars="200" w:firstLine="640"/>
        <w:rPr>
          <w:rFonts w:ascii="彩虹粗仿宋" w:eastAsia="彩虹粗仿宋" w:hAnsi="宋体" w:cs="Arial"/>
          <w:snapToGrid w:val="0"/>
          <w:kern w:val="0"/>
          <w:sz w:val="32"/>
          <w:szCs w:val="32"/>
        </w:rPr>
      </w:pPr>
      <w:r w:rsidRPr="00601A3B">
        <w:rPr>
          <w:rFonts w:ascii="彩虹粗仿宋" w:eastAsia="彩虹粗仿宋" w:hAnsi="宋体" w:cs="Arial" w:hint="eastAsia"/>
          <w:snapToGrid w:val="0"/>
          <w:kern w:val="0"/>
          <w:sz w:val="32"/>
          <w:szCs w:val="32"/>
        </w:rPr>
        <w:t>（三）企业主其他企业在建设银行无授信额度</w:t>
      </w:r>
      <w:r w:rsidRPr="00601A3B">
        <w:rPr>
          <w:rFonts w:ascii="彩虹粗仿宋" w:eastAsia="彩虹粗仿宋" w:hAnsi="Calibri" w:hint="eastAsia"/>
          <w:snapToGrid w:val="0"/>
          <w:kern w:val="0"/>
          <w:sz w:val="32"/>
          <w:szCs w:val="32"/>
        </w:rPr>
        <w:t>（仅办理低信用风险业务除外）</w:t>
      </w:r>
      <w:r w:rsidRPr="00601A3B">
        <w:rPr>
          <w:rFonts w:ascii="彩虹粗仿宋" w:eastAsia="彩虹粗仿宋" w:hAnsi="宋体" w:cs="Arial" w:hint="eastAsia"/>
          <w:snapToGrid w:val="0"/>
          <w:kern w:val="0"/>
          <w:sz w:val="32"/>
          <w:szCs w:val="32"/>
        </w:rPr>
        <w:t>；</w:t>
      </w:r>
    </w:p>
    <w:p w:rsidR="006C1180" w:rsidRPr="00601A3B" w:rsidRDefault="006C1180" w:rsidP="006C1180">
      <w:pPr>
        <w:adjustRightInd w:val="0"/>
        <w:snapToGrid w:val="0"/>
        <w:spacing w:line="560" w:lineRule="atLeast"/>
        <w:ind w:firstLineChars="200" w:firstLine="640"/>
        <w:rPr>
          <w:rFonts w:ascii="Calibri" w:eastAsia="彩虹粗仿宋" w:hAnsi="Calibri" w:cs="Arial"/>
          <w:snapToGrid w:val="0"/>
          <w:kern w:val="0"/>
          <w:sz w:val="32"/>
          <w:szCs w:val="32"/>
        </w:rPr>
      </w:pPr>
      <w:r w:rsidRPr="00601A3B">
        <w:rPr>
          <w:rFonts w:ascii="Calibri" w:eastAsia="彩虹粗仿宋" w:hAnsi="Calibri" w:cs="Arial" w:hint="eastAsia"/>
          <w:snapToGrid w:val="0"/>
          <w:kern w:val="0"/>
          <w:sz w:val="32"/>
          <w:szCs w:val="32"/>
        </w:rPr>
        <w:t>（四）未列入人民法院失信被执行人名单及建设银行不良信用客户内控名单及零售业务、信用卡等业务核销名单；</w:t>
      </w:r>
    </w:p>
    <w:p w:rsidR="006C1180" w:rsidRPr="00601A3B" w:rsidRDefault="006C1180" w:rsidP="006C1180">
      <w:pPr>
        <w:adjustRightInd w:val="0"/>
        <w:snapToGrid w:val="0"/>
        <w:spacing w:line="560" w:lineRule="atLeast"/>
        <w:ind w:firstLineChars="200" w:firstLine="640"/>
        <w:rPr>
          <w:rFonts w:ascii="彩虹粗仿宋" w:eastAsia="彩虹粗仿宋" w:hAnsi="宋体" w:cs="宋体"/>
          <w:bCs/>
          <w:snapToGrid w:val="0"/>
          <w:kern w:val="0"/>
          <w:sz w:val="32"/>
          <w:szCs w:val="32"/>
        </w:rPr>
      </w:pPr>
      <w:r w:rsidRPr="00601A3B">
        <w:rPr>
          <w:rFonts w:ascii="彩虹粗仿宋" w:eastAsia="彩虹粗仿宋" w:hAnsi="Calibri" w:cs="Arial" w:hint="eastAsia"/>
          <w:snapToGrid w:val="0"/>
          <w:kern w:val="0"/>
          <w:sz w:val="32"/>
          <w:szCs w:val="32"/>
        </w:rPr>
        <w:t>（五）</w:t>
      </w:r>
      <w:r w:rsidRPr="00601A3B">
        <w:rPr>
          <w:rFonts w:ascii="彩虹粗仿宋" w:eastAsia="彩虹粗仿宋" w:hAnsi="彩虹粗仿宋" w:cs="彩虹粗仿宋" w:hint="eastAsia"/>
          <w:sz w:val="32"/>
          <w:szCs w:val="32"/>
        </w:rPr>
        <w:t>按照建设银行反洗</w:t>
      </w:r>
      <w:proofErr w:type="gramStart"/>
      <w:r w:rsidRPr="00601A3B">
        <w:rPr>
          <w:rFonts w:ascii="彩虹粗仿宋" w:eastAsia="彩虹粗仿宋" w:hAnsi="彩虹粗仿宋" w:cs="彩虹粗仿宋" w:hint="eastAsia"/>
          <w:sz w:val="32"/>
          <w:szCs w:val="32"/>
        </w:rPr>
        <w:t>钱客户</w:t>
      </w:r>
      <w:proofErr w:type="gramEnd"/>
      <w:r w:rsidRPr="00601A3B">
        <w:rPr>
          <w:rFonts w:ascii="彩虹粗仿宋" w:eastAsia="彩虹粗仿宋" w:hAnsi="彩虹粗仿宋" w:cs="彩虹粗仿宋" w:hint="eastAsia"/>
          <w:sz w:val="32"/>
          <w:szCs w:val="32"/>
        </w:rPr>
        <w:t>身份识别管理的要求对企业主进行有效的客户身份识别，完整登记、录入并保存客户身份基本信息。对于企业主为建设银行洗钱高风险或中高风险等级客户</w:t>
      </w:r>
      <w:r w:rsidRPr="00601A3B">
        <w:rPr>
          <w:rFonts w:ascii="彩虹粗仿宋" w:eastAsia="彩虹粗仿宋" w:hAnsi="彩虹粗仿宋" w:cs="彩虹粗仿宋" w:hint="eastAsia"/>
          <w:sz w:val="32"/>
          <w:szCs w:val="32"/>
        </w:rPr>
        <w:lastRenderedPageBreak/>
        <w:t>的应根据建设银行反洗</w:t>
      </w:r>
      <w:proofErr w:type="gramStart"/>
      <w:r w:rsidRPr="00601A3B">
        <w:rPr>
          <w:rFonts w:ascii="彩虹粗仿宋" w:eastAsia="彩虹粗仿宋" w:hAnsi="彩虹粗仿宋" w:cs="彩虹粗仿宋" w:hint="eastAsia"/>
          <w:sz w:val="32"/>
          <w:szCs w:val="32"/>
        </w:rPr>
        <w:t>钱客户</w:t>
      </w:r>
      <w:proofErr w:type="gramEnd"/>
      <w:r w:rsidRPr="00601A3B">
        <w:rPr>
          <w:rFonts w:ascii="彩虹粗仿宋" w:eastAsia="彩虹粗仿宋" w:hAnsi="彩虹粗仿宋" w:cs="彩虹粗仿宋" w:hint="eastAsia"/>
          <w:sz w:val="32"/>
          <w:szCs w:val="32"/>
        </w:rPr>
        <w:t>身份识别管理的要求开展相应的客户身份识别。</w:t>
      </w:r>
    </w:p>
    <w:p w:rsidR="006C1180" w:rsidRPr="00601A3B" w:rsidRDefault="006C1180" w:rsidP="006C1180">
      <w:pPr>
        <w:adjustRightInd w:val="0"/>
        <w:snapToGrid w:val="0"/>
        <w:spacing w:line="560" w:lineRule="atLeast"/>
        <w:ind w:firstLineChars="200" w:firstLine="643"/>
        <w:rPr>
          <w:rFonts w:ascii="彩虹粗仿宋" w:eastAsia="彩虹粗仿宋" w:hAnsi="宋体" w:cs="宋体"/>
          <w:b/>
          <w:bCs/>
          <w:snapToGrid w:val="0"/>
          <w:kern w:val="0"/>
          <w:sz w:val="32"/>
          <w:szCs w:val="32"/>
        </w:rPr>
      </w:pPr>
      <w:r w:rsidRPr="00601A3B">
        <w:rPr>
          <w:rFonts w:ascii="彩虹粗仿宋" w:eastAsia="彩虹粗仿宋" w:hAnsi="宋体" w:cs="宋体" w:hint="eastAsia"/>
          <w:b/>
          <w:bCs/>
          <w:snapToGrid w:val="0"/>
          <w:kern w:val="0"/>
          <w:sz w:val="32"/>
          <w:szCs w:val="32"/>
        </w:rPr>
        <w:t>第九条  [贷款用途]</w:t>
      </w:r>
    </w:p>
    <w:p w:rsidR="006C1180" w:rsidRPr="00601A3B" w:rsidRDefault="006C1180" w:rsidP="006C1180">
      <w:pPr>
        <w:adjustRightInd w:val="0"/>
        <w:snapToGrid w:val="0"/>
        <w:spacing w:line="560" w:lineRule="atLeast"/>
        <w:ind w:firstLineChars="200" w:firstLine="640"/>
        <w:rPr>
          <w:rFonts w:ascii="彩虹粗仿宋" w:eastAsia="彩虹粗仿宋" w:hAnsi="Calibri"/>
          <w:snapToGrid w:val="0"/>
          <w:kern w:val="0"/>
          <w:sz w:val="32"/>
          <w:szCs w:val="32"/>
        </w:rPr>
      </w:pPr>
      <w:r w:rsidRPr="00601A3B">
        <w:rPr>
          <w:rFonts w:ascii="彩虹粗仿宋" w:eastAsia="彩虹粗仿宋" w:hAnsi="宋体" w:cs="宋体" w:hint="eastAsia"/>
          <w:bCs/>
          <w:snapToGrid w:val="0"/>
          <w:kern w:val="0"/>
          <w:sz w:val="32"/>
          <w:szCs w:val="32"/>
        </w:rPr>
        <w:t>信贷资金仅用于借款企业在政府采购履约过程中的日常经营周转需要，</w:t>
      </w:r>
      <w:r w:rsidRPr="00601A3B">
        <w:rPr>
          <w:rFonts w:ascii="彩虹粗仿宋" w:eastAsia="彩虹粗仿宋" w:hint="eastAsia"/>
          <w:snapToGrid w:val="0"/>
          <w:kern w:val="0"/>
          <w:sz w:val="32"/>
          <w:szCs w:val="32"/>
        </w:rPr>
        <w:t>不得用于股市和证券投资以及其他权益性投资或国家有关法律、法规和规章禁止的其他投资行为（包括但不限于民间高息借贷、非法集资等）。</w:t>
      </w:r>
    </w:p>
    <w:p w:rsidR="006C1180" w:rsidRPr="00601A3B" w:rsidRDefault="006C1180" w:rsidP="006C1180">
      <w:pPr>
        <w:adjustRightInd w:val="0"/>
        <w:snapToGrid w:val="0"/>
        <w:spacing w:line="560" w:lineRule="atLeast"/>
        <w:ind w:firstLineChars="200" w:firstLine="643"/>
        <w:rPr>
          <w:rFonts w:ascii="彩虹粗仿宋" w:eastAsia="彩虹粗仿宋" w:hAnsi="宋体" w:cs="宋体"/>
          <w:b/>
          <w:bCs/>
          <w:snapToGrid w:val="0"/>
          <w:kern w:val="0"/>
          <w:sz w:val="32"/>
          <w:szCs w:val="32"/>
        </w:rPr>
      </w:pPr>
      <w:r w:rsidRPr="00601A3B">
        <w:rPr>
          <w:rFonts w:ascii="彩虹粗仿宋" w:eastAsia="彩虹粗仿宋" w:hAnsi="宋体" w:cs="宋体" w:hint="eastAsia"/>
          <w:b/>
          <w:bCs/>
          <w:snapToGrid w:val="0"/>
          <w:kern w:val="0"/>
          <w:sz w:val="32"/>
          <w:szCs w:val="32"/>
        </w:rPr>
        <w:t>第十条  [贷款额度]</w:t>
      </w:r>
    </w:p>
    <w:p w:rsidR="006C1180" w:rsidRPr="00601A3B" w:rsidRDefault="006C1180" w:rsidP="006C1180">
      <w:pPr>
        <w:adjustRightInd w:val="0"/>
        <w:snapToGrid w:val="0"/>
        <w:spacing w:line="560" w:lineRule="atLeast"/>
        <w:ind w:firstLineChars="200" w:firstLine="640"/>
        <w:rPr>
          <w:rFonts w:ascii="彩虹粗仿宋" w:eastAsia="彩虹粗仿宋" w:hAnsi="彩虹粗仿宋"/>
          <w:snapToGrid w:val="0"/>
          <w:kern w:val="0"/>
          <w:sz w:val="32"/>
          <w:szCs w:val="32"/>
        </w:rPr>
      </w:pPr>
      <w:r w:rsidRPr="00601A3B">
        <w:rPr>
          <w:rFonts w:ascii="彩虹粗仿宋" w:eastAsia="彩虹粗仿宋" w:hint="eastAsia"/>
          <w:snapToGrid w:val="0"/>
          <w:kern w:val="0"/>
          <w:sz w:val="32"/>
          <w:szCs w:val="32"/>
        </w:rPr>
        <w:t>根据小</w:t>
      </w:r>
      <w:proofErr w:type="gramStart"/>
      <w:r w:rsidRPr="00601A3B">
        <w:rPr>
          <w:rFonts w:ascii="彩虹粗仿宋" w:eastAsia="彩虹粗仿宋" w:hint="eastAsia"/>
          <w:snapToGrid w:val="0"/>
          <w:kern w:val="0"/>
          <w:sz w:val="32"/>
          <w:szCs w:val="32"/>
        </w:rPr>
        <w:t>微企业</w:t>
      </w:r>
      <w:proofErr w:type="gramEnd"/>
      <w:r w:rsidRPr="00601A3B">
        <w:rPr>
          <w:rFonts w:ascii="彩虹粗仿宋" w:eastAsia="彩虹粗仿宋" w:hint="eastAsia"/>
          <w:snapToGrid w:val="0"/>
          <w:kern w:val="0"/>
          <w:sz w:val="32"/>
          <w:szCs w:val="32"/>
        </w:rPr>
        <w:t>经营状况</w:t>
      </w:r>
      <w:r w:rsidRPr="00601A3B">
        <w:rPr>
          <w:rFonts w:ascii="彩虹粗仿宋" w:eastAsia="彩虹粗仿宋" w:hAnsi="宋体" w:cs="Arial" w:hint="eastAsia"/>
          <w:snapToGrid w:val="0"/>
          <w:kern w:val="0"/>
          <w:sz w:val="32"/>
          <w:szCs w:val="32"/>
        </w:rPr>
        <w:t>、近年采购中标及履约情况</w:t>
      </w:r>
      <w:r w:rsidRPr="00601A3B">
        <w:rPr>
          <w:rFonts w:ascii="彩虹粗仿宋" w:eastAsia="彩虹粗仿宋" w:hint="eastAsia"/>
          <w:snapToGrid w:val="0"/>
          <w:kern w:val="0"/>
          <w:sz w:val="32"/>
          <w:szCs w:val="32"/>
        </w:rPr>
        <w:t>、资金需求特点、用款周期等情况合理确定单户贷款额度。通过</w:t>
      </w:r>
      <w:r w:rsidRPr="00601A3B">
        <w:rPr>
          <w:rFonts w:ascii="彩虹粗仿宋" w:eastAsia="彩虹粗仿宋" w:hint="eastAsia"/>
          <w:sz w:val="32"/>
          <w:szCs w:val="32"/>
        </w:rPr>
        <w:t>政府采购网上公开信息系统</w:t>
      </w:r>
      <w:r w:rsidRPr="00601A3B">
        <w:rPr>
          <w:rFonts w:ascii="彩虹粗仿宋" w:eastAsia="彩虹粗仿宋" w:hint="eastAsia"/>
          <w:snapToGrid w:val="0"/>
          <w:kern w:val="0"/>
          <w:sz w:val="32"/>
          <w:szCs w:val="32"/>
        </w:rPr>
        <w:t>获取合同要素信息，贷款金额需同时满足以下要求</w:t>
      </w:r>
      <w:r w:rsidRPr="00601A3B">
        <w:rPr>
          <w:rFonts w:ascii="彩虹粗仿宋" w:eastAsia="彩虹粗仿宋" w:hAnsi="彩虹粗仿宋" w:hint="eastAsia"/>
          <w:snapToGrid w:val="0"/>
          <w:kern w:val="0"/>
          <w:sz w:val="32"/>
          <w:szCs w:val="32"/>
        </w:rPr>
        <w:t>：</w:t>
      </w:r>
    </w:p>
    <w:p w:rsidR="006C1180" w:rsidRPr="00601A3B" w:rsidRDefault="006C1180" w:rsidP="006C1180">
      <w:pPr>
        <w:adjustRightInd w:val="0"/>
        <w:snapToGrid w:val="0"/>
        <w:spacing w:line="560" w:lineRule="atLeast"/>
        <w:ind w:firstLineChars="200" w:firstLine="640"/>
        <w:rPr>
          <w:rFonts w:ascii="彩虹粗仿宋" w:eastAsia="彩虹粗仿宋" w:hAnsi="Calibri"/>
          <w:snapToGrid w:val="0"/>
          <w:kern w:val="0"/>
          <w:sz w:val="32"/>
          <w:szCs w:val="32"/>
        </w:rPr>
      </w:pPr>
      <w:r w:rsidRPr="00601A3B">
        <w:rPr>
          <w:rFonts w:ascii="彩虹粗仿宋" w:eastAsia="彩虹粗仿宋" w:hint="eastAsia"/>
          <w:snapToGrid w:val="0"/>
          <w:kern w:val="0"/>
          <w:sz w:val="32"/>
          <w:szCs w:val="32"/>
        </w:rPr>
        <w:t>（一）单户贷款额度最高不超过200万元；</w:t>
      </w:r>
    </w:p>
    <w:p w:rsidR="006C1180" w:rsidRPr="00601A3B" w:rsidRDefault="006C1180" w:rsidP="006C1180">
      <w:pPr>
        <w:adjustRightInd w:val="0"/>
        <w:snapToGrid w:val="0"/>
        <w:spacing w:line="560" w:lineRule="atLeast"/>
        <w:ind w:firstLineChars="200" w:firstLine="640"/>
        <w:rPr>
          <w:rFonts w:ascii="彩虹粗仿宋" w:eastAsia="彩虹粗仿宋"/>
          <w:snapToGrid w:val="0"/>
          <w:kern w:val="0"/>
          <w:sz w:val="32"/>
          <w:szCs w:val="32"/>
        </w:rPr>
      </w:pPr>
      <w:r w:rsidRPr="00601A3B">
        <w:rPr>
          <w:rFonts w:ascii="彩虹粗仿宋" w:eastAsia="彩虹粗仿宋" w:hint="eastAsia"/>
          <w:snapToGrid w:val="0"/>
          <w:kern w:val="0"/>
          <w:sz w:val="32"/>
          <w:szCs w:val="32"/>
        </w:rPr>
        <w:t>（二）贷款本金不超过借款人与政府签订采购合同金额（须扣除相应的预付款、质保金、其他已付款）的50%，对于地市级（含）以上的，最高不超过70%；</w:t>
      </w:r>
    </w:p>
    <w:p w:rsidR="006C1180" w:rsidRPr="00601A3B" w:rsidRDefault="006C1180" w:rsidP="006C1180">
      <w:pPr>
        <w:adjustRightInd w:val="0"/>
        <w:snapToGrid w:val="0"/>
        <w:spacing w:line="560" w:lineRule="atLeast"/>
        <w:ind w:firstLineChars="200" w:firstLine="643"/>
        <w:rPr>
          <w:rFonts w:ascii="彩虹粗仿宋" w:eastAsia="彩虹粗仿宋" w:hAnsi="宋体" w:cs="宋体"/>
          <w:b/>
          <w:bCs/>
          <w:snapToGrid w:val="0"/>
          <w:kern w:val="0"/>
          <w:sz w:val="32"/>
          <w:szCs w:val="32"/>
        </w:rPr>
      </w:pPr>
      <w:r w:rsidRPr="00601A3B">
        <w:rPr>
          <w:rFonts w:ascii="彩虹粗仿宋" w:eastAsia="彩虹粗仿宋" w:hAnsi="宋体" w:cs="宋体" w:hint="eastAsia"/>
          <w:b/>
          <w:bCs/>
          <w:snapToGrid w:val="0"/>
          <w:kern w:val="0"/>
          <w:sz w:val="32"/>
          <w:szCs w:val="32"/>
        </w:rPr>
        <w:t>第十一条  [贷款期限]</w:t>
      </w:r>
    </w:p>
    <w:p w:rsidR="00E7498F" w:rsidRPr="008429DE" w:rsidRDefault="006C1180" w:rsidP="008429DE">
      <w:pPr>
        <w:adjustRightInd w:val="0"/>
        <w:snapToGrid w:val="0"/>
        <w:spacing w:line="560" w:lineRule="atLeast"/>
        <w:ind w:firstLineChars="200" w:firstLine="640"/>
        <w:rPr>
          <w:rFonts w:ascii="彩虹粗仿宋" w:eastAsia="彩虹粗仿宋" w:hAnsi="Calibri"/>
          <w:snapToGrid w:val="0"/>
          <w:kern w:val="0"/>
          <w:sz w:val="32"/>
          <w:szCs w:val="32"/>
        </w:rPr>
      </w:pPr>
      <w:r w:rsidRPr="00601A3B">
        <w:rPr>
          <w:rFonts w:ascii="彩虹粗仿宋" w:eastAsia="彩虹粗仿宋" w:hint="eastAsia"/>
          <w:snapToGrid w:val="0"/>
          <w:kern w:val="0"/>
          <w:sz w:val="32"/>
          <w:szCs w:val="32"/>
        </w:rPr>
        <w:t>单笔贷款与政府采购项目逐一对应，贷款期限根据采购项目合理确定，最长不超过1年。</w:t>
      </w:r>
    </w:p>
    <w:sectPr w:rsidR="00E7498F" w:rsidRPr="008429DE">
      <w:footerReference w:type="even" r:id="rId7"/>
      <w:footerReference w:type="default" r:id="rId8"/>
      <w:pgSz w:w="11906" w:h="16838" w:code="9"/>
      <w:pgMar w:top="1871" w:right="1531" w:bottom="1871" w:left="1531" w:header="0" w:footer="147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966" w:rsidRDefault="00691966" w:rsidP="006C1180">
      <w:r>
        <w:separator/>
      </w:r>
    </w:p>
  </w:endnote>
  <w:endnote w:type="continuationSeparator" w:id="0">
    <w:p w:rsidR="00691966" w:rsidRDefault="00691966" w:rsidP="006C1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BIAODIAN">
    <w:altName w:val="Times New Roman"/>
    <w:charset w:val="00"/>
    <w:family w:val="roman"/>
    <w:pitch w:val="variable"/>
    <w:sig w:usb0="00000003" w:usb1="00000000" w:usb2="00000000" w:usb3="00000000" w:csb0="00000001" w:csb1="00000000"/>
  </w:font>
  <w:font w:name="彩虹粗仿宋">
    <w:panose1 w:val="03000509000000000000"/>
    <w:charset w:val="86"/>
    <w:family w:val="script"/>
    <w:pitch w:val="fixed"/>
    <w:sig w:usb0="00000001" w:usb1="080E0000" w:usb2="00000010" w:usb3="00000000" w:csb0="00040000" w:csb1="00000000"/>
  </w:font>
  <w:font w:name="彩虹黑体">
    <w:panose1 w:val="03000509000000000000"/>
    <w:charset w:val="86"/>
    <w:family w:val="script"/>
    <w:pitch w:val="fixed"/>
    <w:sig w:usb0="00000001" w:usb1="080E0000" w:usb2="00000010" w:usb3="00000000" w:csb0="00040000" w:csb1="00000000"/>
  </w:font>
  <w:font w:name="彩虹楷体">
    <w:panose1 w:val="03000509000000000000"/>
    <w:charset w:val="86"/>
    <w:family w:val="script"/>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9D7" w:rsidRDefault="007D6E17">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F969D7" w:rsidRDefault="00691966">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9D7" w:rsidRDefault="007D6E17">
    <w:pPr>
      <w:pStyle w:val="a4"/>
      <w:framePr w:w="1701" w:wrap="around" w:vAnchor="text" w:hAnchor="margin" w:xAlign="outside" w:y="1"/>
      <w:jc w:val="center"/>
      <w:rPr>
        <w:rStyle w:val="a5"/>
        <w:rFonts w:ascii="宋体" w:hAnsi="宋体"/>
        <w:sz w:val="28"/>
      </w:rPr>
    </w:pPr>
    <w:r>
      <w:rPr>
        <w:rStyle w:val="a5"/>
        <w:rFonts w:ascii="宋体" w:hAnsi="宋体" w:hint="eastAsia"/>
        <w:sz w:val="28"/>
      </w:rPr>
      <w:t xml:space="preserve">— </w:t>
    </w:r>
    <w:r>
      <w:rPr>
        <w:rStyle w:val="a5"/>
        <w:rFonts w:ascii="宋体" w:hAnsi="宋体"/>
        <w:sz w:val="28"/>
      </w:rPr>
      <w:fldChar w:fldCharType="begin"/>
    </w:r>
    <w:r>
      <w:rPr>
        <w:rStyle w:val="a5"/>
        <w:rFonts w:ascii="宋体" w:hAnsi="宋体"/>
        <w:sz w:val="28"/>
      </w:rPr>
      <w:instrText xml:space="preserve">PAGE  </w:instrText>
    </w:r>
    <w:r>
      <w:rPr>
        <w:rStyle w:val="a5"/>
        <w:rFonts w:ascii="宋体" w:hAnsi="宋体"/>
        <w:sz w:val="28"/>
      </w:rPr>
      <w:fldChar w:fldCharType="separate"/>
    </w:r>
    <w:r w:rsidR="00EB3014">
      <w:rPr>
        <w:rStyle w:val="a5"/>
        <w:rFonts w:ascii="宋体" w:hAnsi="宋体"/>
        <w:noProof/>
        <w:sz w:val="28"/>
      </w:rPr>
      <w:t>5</w:t>
    </w:r>
    <w:r>
      <w:rPr>
        <w:rStyle w:val="a5"/>
        <w:rFonts w:ascii="宋体" w:hAnsi="宋体"/>
        <w:sz w:val="28"/>
      </w:rPr>
      <w:fldChar w:fldCharType="end"/>
    </w:r>
    <w:r>
      <w:rPr>
        <w:rStyle w:val="a5"/>
        <w:rFonts w:ascii="宋体" w:hAnsi="宋体" w:hint="eastAsia"/>
        <w:sz w:val="28"/>
      </w:rPr>
      <w:t xml:space="preserve"> —</w:t>
    </w:r>
  </w:p>
  <w:p w:rsidR="00F969D7" w:rsidRDefault="00691966">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966" w:rsidRDefault="00691966" w:rsidP="006C1180">
      <w:r>
        <w:separator/>
      </w:r>
    </w:p>
  </w:footnote>
  <w:footnote w:type="continuationSeparator" w:id="0">
    <w:p w:rsidR="00691966" w:rsidRDefault="00691966" w:rsidP="006C1180">
      <w:r>
        <w:continuationSeparator/>
      </w:r>
    </w:p>
  </w:footnote>
  <w:footnote w:id="1">
    <w:p w:rsidR="006C1180" w:rsidRDefault="006C1180" w:rsidP="006C1180">
      <w:pPr>
        <w:pStyle w:val="a6"/>
        <w:rPr>
          <w:rFonts w:ascii="宋体" w:hAnsi="宋体"/>
        </w:rPr>
      </w:pPr>
      <w:r>
        <w:rPr>
          <w:rStyle w:val="a8"/>
        </w:rPr>
        <w:footnoteRef/>
      </w:r>
      <w:r>
        <w:rPr>
          <w:rFonts w:ascii="宋体" w:hAnsi="宋体" w:hint="eastAsia"/>
        </w:rPr>
        <w:t>政府债务率=（年末一类债务余额/当年政府综合财力）×100%；</w:t>
      </w:r>
    </w:p>
    <w:p w:rsidR="006C1180" w:rsidRDefault="006C1180" w:rsidP="006C1180">
      <w:pPr>
        <w:pStyle w:val="a6"/>
      </w:pPr>
      <w:r>
        <w:rPr>
          <w:rFonts w:ascii="宋体" w:hAnsi="宋体" w:hint="eastAsia"/>
        </w:rPr>
        <w:t>地方政府综合财力=地方公共预算收入+基金预算收入+转移支付和税收返还+地方国有资本经营收入-专项转移支付；各级公共财政预算收入包括地方本级收入、上级政府对本级政府的税收返还和转移支付、下级政府的上解收入。</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D00"/>
    <w:rsid w:val="0001384B"/>
    <w:rsid w:val="00014ECF"/>
    <w:rsid w:val="00015F83"/>
    <w:rsid w:val="000335D5"/>
    <w:rsid w:val="000543A6"/>
    <w:rsid w:val="000567F0"/>
    <w:rsid w:val="00064733"/>
    <w:rsid w:val="0006476E"/>
    <w:rsid w:val="000A20D4"/>
    <w:rsid w:val="00112CED"/>
    <w:rsid w:val="00113F74"/>
    <w:rsid w:val="001406BD"/>
    <w:rsid w:val="001532BD"/>
    <w:rsid w:val="00155D0E"/>
    <w:rsid w:val="00166AA6"/>
    <w:rsid w:val="00195D23"/>
    <w:rsid w:val="001B099A"/>
    <w:rsid w:val="001B0A2D"/>
    <w:rsid w:val="001B292C"/>
    <w:rsid w:val="0021265E"/>
    <w:rsid w:val="00273BD2"/>
    <w:rsid w:val="00283C08"/>
    <w:rsid w:val="002B46CD"/>
    <w:rsid w:val="002E4924"/>
    <w:rsid w:val="00315F6E"/>
    <w:rsid w:val="0033524D"/>
    <w:rsid w:val="0039728E"/>
    <w:rsid w:val="003B7C90"/>
    <w:rsid w:val="003C6884"/>
    <w:rsid w:val="0040507A"/>
    <w:rsid w:val="00412DCB"/>
    <w:rsid w:val="00413B3D"/>
    <w:rsid w:val="004148DE"/>
    <w:rsid w:val="00426D25"/>
    <w:rsid w:val="0044325F"/>
    <w:rsid w:val="00455861"/>
    <w:rsid w:val="00463BDC"/>
    <w:rsid w:val="004B45FF"/>
    <w:rsid w:val="004E14D6"/>
    <w:rsid w:val="005132E3"/>
    <w:rsid w:val="00540DF5"/>
    <w:rsid w:val="005A0F28"/>
    <w:rsid w:val="005E17B8"/>
    <w:rsid w:val="00601A3B"/>
    <w:rsid w:val="00610E48"/>
    <w:rsid w:val="00617010"/>
    <w:rsid w:val="00631F33"/>
    <w:rsid w:val="00636F65"/>
    <w:rsid w:val="00642ABC"/>
    <w:rsid w:val="00654102"/>
    <w:rsid w:val="00663F6A"/>
    <w:rsid w:val="00675A5A"/>
    <w:rsid w:val="00691966"/>
    <w:rsid w:val="006933F9"/>
    <w:rsid w:val="006A243D"/>
    <w:rsid w:val="006C1180"/>
    <w:rsid w:val="006E0E32"/>
    <w:rsid w:val="006E4ADD"/>
    <w:rsid w:val="00717592"/>
    <w:rsid w:val="00731CCA"/>
    <w:rsid w:val="00786AC2"/>
    <w:rsid w:val="007D6E17"/>
    <w:rsid w:val="007E31B7"/>
    <w:rsid w:val="00815050"/>
    <w:rsid w:val="00815828"/>
    <w:rsid w:val="008429DE"/>
    <w:rsid w:val="0086117D"/>
    <w:rsid w:val="00886F44"/>
    <w:rsid w:val="008939EA"/>
    <w:rsid w:val="008D49C7"/>
    <w:rsid w:val="00952B6A"/>
    <w:rsid w:val="00955C65"/>
    <w:rsid w:val="009927F5"/>
    <w:rsid w:val="0099507D"/>
    <w:rsid w:val="00997E63"/>
    <w:rsid w:val="009C0EE7"/>
    <w:rsid w:val="00A44D00"/>
    <w:rsid w:val="00A846FD"/>
    <w:rsid w:val="00AA2216"/>
    <w:rsid w:val="00AA757D"/>
    <w:rsid w:val="00AC32A3"/>
    <w:rsid w:val="00B1507E"/>
    <w:rsid w:val="00B2252B"/>
    <w:rsid w:val="00B23A97"/>
    <w:rsid w:val="00B40AF7"/>
    <w:rsid w:val="00B55830"/>
    <w:rsid w:val="00B90EC4"/>
    <w:rsid w:val="00BE3A0E"/>
    <w:rsid w:val="00BE4E35"/>
    <w:rsid w:val="00BF1FBB"/>
    <w:rsid w:val="00C02BDF"/>
    <w:rsid w:val="00C10826"/>
    <w:rsid w:val="00C22930"/>
    <w:rsid w:val="00C96306"/>
    <w:rsid w:val="00CA4F97"/>
    <w:rsid w:val="00D02961"/>
    <w:rsid w:val="00D05608"/>
    <w:rsid w:val="00D338C1"/>
    <w:rsid w:val="00D36B3A"/>
    <w:rsid w:val="00D74225"/>
    <w:rsid w:val="00D75740"/>
    <w:rsid w:val="00DA5109"/>
    <w:rsid w:val="00E01698"/>
    <w:rsid w:val="00E0546F"/>
    <w:rsid w:val="00E2595C"/>
    <w:rsid w:val="00E2748A"/>
    <w:rsid w:val="00E417AB"/>
    <w:rsid w:val="00E7123B"/>
    <w:rsid w:val="00E7498F"/>
    <w:rsid w:val="00E820B1"/>
    <w:rsid w:val="00E91AF4"/>
    <w:rsid w:val="00EA4BAD"/>
    <w:rsid w:val="00EB3014"/>
    <w:rsid w:val="00EC2116"/>
    <w:rsid w:val="00EF66D4"/>
    <w:rsid w:val="00F0178B"/>
    <w:rsid w:val="00F17DC6"/>
    <w:rsid w:val="00F241D4"/>
    <w:rsid w:val="00F531A5"/>
    <w:rsid w:val="00F56D0D"/>
    <w:rsid w:val="00F645FB"/>
    <w:rsid w:val="00F80F53"/>
    <w:rsid w:val="00F92F82"/>
    <w:rsid w:val="00FA3963"/>
    <w:rsid w:val="00FD0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18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118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C1180"/>
    <w:rPr>
      <w:sz w:val="18"/>
      <w:szCs w:val="18"/>
    </w:rPr>
  </w:style>
  <w:style w:type="paragraph" w:styleId="a4">
    <w:name w:val="footer"/>
    <w:basedOn w:val="a"/>
    <w:link w:val="Char0"/>
    <w:unhideWhenUsed/>
    <w:rsid w:val="006C118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C1180"/>
    <w:rPr>
      <w:sz w:val="18"/>
      <w:szCs w:val="18"/>
    </w:rPr>
  </w:style>
  <w:style w:type="character" w:styleId="a5">
    <w:name w:val="page number"/>
    <w:basedOn w:val="a0"/>
    <w:semiHidden/>
    <w:rsid w:val="006C1180"/>
  </w:style>
  <w:style w:type="paragraph" w:styleId="a6">
    <w:name w:val="footnote text"/>
    <w:basedOn w:val="a"/>
    <w:link w:val="Char1"/>
    <w:uiPriority w:val="99"/>
    <w:semiHidden/>
    <w:unhideWhenUsed/>
    <w:qFormat/>
    <w:rsid w:val="006C1180"/>
    <w:pPr>
      <w:snapToGrid w:val="0"/>
      <w:jc w:val="left"/>
    </w:pPr>
    <w:rPr>
      <w:sz w:val="18"/>
      <w:szCs w:val="18"/>
      <w:lang w:val="zh-CN"/>
    </w:rPr>
  </w:style>
  <w:style w:type="character" w:customStyle="1" w:styleId="Char1">
    <w:name w:val="脚注文本 Char"/>
    <w:basedOn w:val="a0"/>
    <w:link w:val="a6"/>
    <w:uiPriority w:val="99"/>
    <w:semiHidden/>
    <w:qFormat/>
    <w:rsid w:val="006C1180"/>
    <w:rPr>
      <w:rFonts w:ascii="Times New Roman" w:eastAsia="宋体" w:hAnsi="Times New Roman" w:cs="Times New Roman"/>
      <w:sz w:val="18"/>
      <w:szCs w:val="18"/>
      <w:lang w:val="zh-CN"/>
    </w:rPr>
  </w:style>
  <w:style w:type="paragraph" w:styleId="a7">
    <w:name w:val="annotation text"/>
    <w:basedOn w:val="a"/>
    <w:link w:val="Char2"/>
    <w:uiPriority w:val="99"/>
    <w:semiHidden/>
    <w:unhideWhenUsed/>
    <w:rsid w:val="006C1180"/>
    <w:pPr>
      <w:jc w:val="left"/>
    </w:pPr>
  </w:style>
  <w:style w:type="character" w:customStyle="1" w:styleId="Char2">
    <w:name w:val="批注文字 Char"/>
    <w:basedOn w:val="a0"/>
    <w:link w:val="a7"/>
    <w:uiPriority w:val="99"/>
    <w:semiHidden/>
    <w:rsid w:val="006C1180"/>
    <w:rPr>
      <w:rFonts w:ascii="Times New Roman" w:eastAsia="宋体" w:hAnsi="Times New Roman" w:cs="Times New Roman"/>
      <w:szCs w:val="24"/>
    </w:rPr>
  </w:style>
  <w:style w:type="character" w:styleId="a8">
    <w:name w:val="footnote reference"/>
    <w:uiPriority w:val="99"/>
    <w:semiHidden/>
    <w:unhideWhenUsed/>
    <w:qFormat/>
    <w:rsid w:val="006C1180"/>
    <w:rPr>
      <w:vertAlign w:val="superscript"/>
    </w:rPr>
  </w:style>
  <w:style w:type="paragraph" w:styleId="1">
    <w:name w:val="toc 1"/>
    <w:basedOn w:val="a"/>
    <w:next w:val="a"/>
    <w:autoRedefine/>
    <w:semiHidden/>
    <w:unhideWhenUsed/>
    <w:rsid w:val="006C1180"/>
    <w:pPr>
      <w:overflowPunct w:val="0"/>
      <w:snapToGrid w:val="0"/>
      <w:spacing w:line="400" w:lineRule="atLeast"/>
    </w:pPr>
    <w:rPr>
      <w:rFonts w:ascii="BIAODIAN" w:eastAsia="彩虹粗仿宋" w:hAnsi="BIAODIAN"/>
      <w:color w:val="808080"/>
      <w:kern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18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118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C1180"/>
    <w:rPr>
      <w:sz w:val="18"/>
      <w:szCs w:val="18"/>
    </w:rPr>
  </w:style>
  <w:style w:type="paragraph" w:styleId="a4">
    <w:name w:val="footer"/>
    <w:basedOn w:val="a"/>
    <w:link w:val="Char0"/>
    <w:unhideWhenUsed/>
    <w:rsid w:val="006C118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C1180"/>
    <w:rPr>
      <w:sz w:val="18"/>
      <w:szCs w:val="18"/>
    </w:rPr>
  </w:style>
  <w:style w:type="character" w:styleId="a5">
    <w:name w:val="page number"/>
    <w:basedOn w:val="a0"/>
    <w:semiHidden/>
    <w:rsid w:val="006C1180"/>
  </w:style>
  <w:style w:type="paragraph" w:styleId="a6">
    <w:name w:val="footnote text"/>
    <w:basedOn w:val="a"/>
    <w:link w:val="Char1"/>
    <w:uiPriority w:val="99"/>
    <w:semiHidden/>
    <w:unhideWhenUsed/>
    <w:qFormat/>
    <w:rsid w:val="006C1180"/>
    <w:pPr>
      <w:snapToGrid w:val="0"/>
      <w:jc w:val="left"/>
    </w:pPr>
    <w:rPr>
      <w:sz w:val="18"/>
      <w:szCs w:val="18"/>
      <w:lang w:val="zh-CN"/>
    </w:rPr>
  </w:style>
  <w:style w:type="character" w:customStyle="1" w:styleId="Char1">
    <w:name w:val="脚注文本 Char"/>
    <w:basedOn w:val="a0"/>
    <w:link w:val="a6"/>
    <w:uiPriority w:val="99"/>
    <w:semiHidden/>
    <w:qFormat/>
    <w:rsid w:val="006C1180"/>
    <w:rPr>
      <w:rFonts w:ascii="Times New Roman" w:eastAsia="宋体" w:hAnsi="Times New Roman" w:cs="Times New Roman"/>
      <w:sz w:val="18"/>
      <w:szCs w:val="18"/>
      <w:lang w:val="zh-CN"/>
    </w:rPr>
  </w:style>
  <w:style w:type="paragraph" w:styleId="a7">
    <w:name w:val="annotation text"/>
    <w:basedOn w:val="a"/>
    <w:link w:val="Char2"/>
    <w:uiPriority w:val="99"/>
    <w:semiHidden/>
    <w:unhideWhenUsed/>
    <w:rsid w:val="006C1180"/>
    <w:pPr>
      <w:jc w:val="left"/>
    </w:pPr>
  </w:style>
  <w:style w:type="character" w:customStyle="1" w:styleId="Char2">
    <w:name w:val="批注文字 Char"/>
    <w:basedOn w:val="a0"/>
    <w:link w:val="a7"/>
    <w:uiPriority w:val="99"/>
    <w:semiHidden/>
    <w:rsid w:val="006C1180"/>
    <w:rPr>
      <w:rFonts w:ascii="Times New Roman" w:eastAsia="宋体" w:hAnsi="Times New Roman" w:cs="Times New Roman"/>
      <w:szCs w:val="24"/>
    </w:rPr>
  </w:style>
  <w:style w:type="character" w:styleId="a8">
    <w:name w:val="footnote reference"/>
    <w:uiPriority w:val="99"/>
    <w:semiHidden/>
    <w:unhideWhenUsed/>
    <w:qFormat/>
    <w:rsid w:val="006C1180"/>
    <w:rPr>
      <w:vertAlign w:val="superscript"/>
    </w:rPr>
  </w:style>
  <w:style w:type="paragraph" w:styleId="1">
    <w:name w:val="toc 1"/>
    <w:basedOn w:val="a"/>
    <w:next w:val="a"/>
    <w:autoRedefine/>
    <w:semiHidden/>
    <w:unhideWhenUsed/>
    <w:rsid w:val="006C1180"/>
    <w:pPr>
      <w:overflowPunct w:val="0"/>
      <w:snapToGrid w:val="0"/>
      <w:spacing w:line="400" w:lineRule="atLeast"/>
    </w:pPr>
    <w:rPr>
      <w:rFonts w:ascii="BIAODIAN" w:eastAsia="彩虹粗仿宋" w:hAnsi="BIAODIAN"/>
      <w:color w:val="808080"/>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350</Words>
  <Characters>2000</Characters>
  <Application>Microsoft Office Word</Application>
  <DocSecurity>0</DocSecurity>
  <Lines>16</Lines>
  <Paragraphs>4</Paragraphs>
  <ScaleCrop>false</ScaleCrop>
  <Company>中国建设银行股份有限公司河南省分行</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普惠金融事业部（小企业业务部）</dc:creator>
  <cp:keywords/>
  <dc:description/>
  <cp:lastModifiedBy>普惠金融事业部（小企业业务部）</cp:lastModifiedBy>
  <cp:revision>18</cp:revision>
  <dcterms:created xsi:type="dcterms:W3CDTF">2020-03-03T07:47:00Z</dcterms:created>
  <dcterms:modified xsi:type="dcterms:W3CDTF">2020-03-03T09:33:00Z</dcterms:modified>
</cp:coreProperties>
</file>