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spacing w:before="156" w:beforeLines="50" w:line="360" w:lineRule="auto"/>
        <w:jc w:val="center"/>
        <w:outlineLvl w:val="0"/>
        <w:rPr>
          <w:rStyle w:val="7"/>
          <w:rFonts w:hint="eastAsia" w:ascii="宋体" w:hAnsi="宋体" w:cs="宋体"/>
          <w:color w:val="auto"/>
          <w:sz w:val="36"/>
        </w:rPr>
      </w:pPr>
      <w:bookmarkStart w:id="1" w:name="_GoBack"/>
      <w:bookmarkEnd w:id="1"/>
      <w:bookmarkStart w:id="0" w:name="_Toc13070"/>
      <w:r>
        <w:rPr>
          <w:rStyle w:val="7"/>
          <w:rFonts w:hint="eastAsia" w:ascii="宋体" w:hAnsi="宋体" w:cs="宋体"/>
          <w:color w:val="auto"/>
          <w:sz w:val="36"/>
        </w:rPr>
        <w:t>采购需求</w:t>
      </w:r>
      <w:bookmarkEnd w:id="0"/>
    </w:p>
    <w:p>
      <w:pPr>
        <w:pStyle w:val="4"/>
        <w:ind w:firstLine="3385" w:firstLineChars="1405"/>
        <w:jc w:val="both"/>
        <w:rPr>
          <w:color w:val="auto"/>
        </w:rPr>
      </w:pPr>
      <w:r>
        <w:rPr>
          <w:color w:val="auto"/>
        </w:rPr>
        <w:t>详细技术参数</w:t>
      </w:r>
    </w:p>
    <w:tbl>
      <w:tblPr>
        <w:tblStyle w:val="5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38"/>
        <w:gridCol w:w="691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参数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高效蛋白层析系统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1.系统泵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1.1整机双泵四泵头柱塞泵，PEEK材质，能最大保持生物分子活性，系统应自带泵后冲洗设计。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1.2最大流速：100ml/min(单泵)；200ml/min(双泵)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1.3压力范围：0–10Mpa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流速重复性：流速准确度：±1.2%，流速精度：RSD≤0.8%；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*1.</w:t>
            </w: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梯度准确度:±0.8%；梯度流速运行范围：0.01-100ml/min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2.检测器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2.1紫外可见光检测器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2.1.1紫外可见光检测器：1个；波长范围：可同时检测两个波长</w:t>
            </w:r>
            <w:r>
              <w:rPr>
                <w:rFonts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60nm和280nm；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2.1.2外置流动池设计；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2.1.3流通池：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auto"/>
                <w:szCs w:val="21"/>
              </w:rPr>
              <w:t>2mm光程；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2.1.4 波长精度：±1nm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2.1.5 波长重复性：±0.5nm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*2.1.6</w:t>
            </w:r>
            <w:r>
              <w:rPr>
                <w:rFonts w:hAnsi="宋体"/>
                <w:color w:val="auto"/>
                <w:szCs w:val="21"/>
              </w:rPr>
              <w:t>基线噪声：</w:t>
            </w:r>
            <w:r>
              <w:rPr>
                <w:rFonts w:hAnsi="宋体"/>
                <w:color w:val="auto"/>
                <w:szCs w:val="21"/>
              </w:rPr>
              <w:sym w:font="Symbol" w:char="F0A3"/>
            </w:r>
            <w:r>
              <w:rPr>
                <w:color w:val="auto"/>
                <w:szCs w:val="21"/>
              </w:rPr>
              <w:t>4*10</w:t>
            </w:r>
            <w:r>
              <w:rPr>
                <w:color w:val="auto"/>
                <w:szCs w:val="21"/>
                <w:vertAlign w:val="superscript"/>
              </w:rPr>
              <w:t>-4</w:t>
            </w:r>
            <w:r>
              <w:rPr>
                <w:color w:val="auto"/>
                <w:szCs w:val="21"/>
              </w:rPr>
              <w:t>AU</w:t>
            </w:r>
            <w:r>
              <w:rPr>
                <w:rFonts w:hAnsi="宋体"/>
                <w:color w:val="auto"/>
                <w:szCs w:val="21"/>
              </w:rPr>
              <w:t>；基线漂移：</w:t>
            </w:r>
            <w:r>
              <w:rPr>
                <w:rFonts w:hAnsi="宋体"/>
                <w:color w:val="auto"/>
                <w:szCs w:val="21"/>
              </w:rPr>
              <w:sym w:font="Symbol" w:char="F0A3"/>
            </w:r>
            <w:r>
              <w:rPr>
                <w:color w:val="auto"/>
                <w:szCs w:val="21"/>
              </w:rPr>
              <w:t>1.00*10</w:t>
            </w:r>
            <w:r>
              <w:rPr>
                <w:color w:val="auto"/>
                <w:szCs w:val="21"/>
                <w:vertAlign w:val="superscript"/>
              </w:rPr>
              <w:t>-3</w:t>
            </w:r>
            <w:r>
              <w:rPr>
                <w:color w:val="auto"/>
                <w:szCs w:val="21"/>
              </w:rPr>
              <w:t>AU /h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*2.1.7紫外检测需有系统开关控制设置，可选择开启或关闭。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 电导检测器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2.2.1 数量：1个；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*2.2.2检测范围：0.001mS/cm－999.9mS/cm；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</w:t>
            </w:r>
            <w:r>
              <w:rPr>
                <w:rFonts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电导精确度：±3%或</w:t>
            </w:r>
            <w:r>
              <w:rPr>
                <w:rFonts w:ascii="宋体" w:hAnsi="宋体" w:cs="宋体"/>
                <w:color w:val="auto"/>
                <w:szCs w:val="21"/>
              </w:rPr>
              <w:t>0.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5mS/cm，实时自动检测，系统含温度检测器，电脑自动校正；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</w:t>
            </w:r>
            <w:r>
              <w:rPr>
                <w:rFonts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接触液体部分为PEEK材质，具有温度自动补偿功能。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 温度检测器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2.3.1数量：1个；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2.3.2温度范围：4-</w:t>
            </w:r>
            <w:r>
              <w:rPr>
                <w:rFonts w:ascii="宋体" w:hAnsi="宋体" w:cs="宋体"/>
                <w:color w:val="auto"/>
                <w:szCs w:val="21"/>
              </w:rPr>
              <w:t>99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℃；接触液体部分PEEK材质。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2.4压力传感器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2.4.1数目：1个；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2.4.2在线检测，超压停机保护及自动报警功能。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.5</w:t>
            </w:r>
            <w:r>
              <w:rPr>
                <w:rFonts w:hint="eastAsia"/>
                <w:color w:val="auto"/>
              </w:rPr>
              <w:t xml:space="preserve"> p</w:t>
            </w:r>
            <w:r>
              <w:rPr>
                <w:color w:val="auto"/>
              </w:rPr>
              <w:t>H</w:t>
            </w:r>
            <w:r>
              <w:rPr>
                <w:rFonts w:hint="eastAsia"/>
                <w:color w:val="auto"/>
              </w:rPr>
              <w:t>检测器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.1数目：1个；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.2在线检测，检测范围0</w:t>
            </w:r>
            <w:r>
              <w:rPr>
                <w:color w:val="auto"/>
              </w:rPr>
              <w:t>-14</w:t>
            </w:r>
            <w:r>
              <w:rPr>
                <w:rFonts w:hint="eastAsia"/>
                <w:color w:val="auto"/>
              </w:rPr>
              <w:t>，精度±</w:t>
            </w:r>
            <w:r>
              <w:rPr>
                <w:color w:val="auto"/>
              </w:rPr>
              <w:t>0.1</w:t>
            </w:r>
            <w:r>
              <w:rPr>
                <w:rFonts w:hint="eastAsia"/>
                <w:color w:val="auto"/>
              </w:rPr>
              <w:t>（有效使用范围p</w:t>
            </w:r>
            <w:r>
              <w:rPr>
                <w:color w:val="auto"/>
              </w:rPr>
              <w:t>H2-12</w:t>
            </w:r>
            <w:r>
              <w:rPr>
                <w:rFonts w:hint="eastAsia"/>
                <w:color w:val="auto"/>
              </w:rPr>
              <w:t>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3.阀门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3.1入口缓冲液切换阀：支持A1，A2、B1，B2四个流动相入口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3.2自动进样阀：1个；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3.3单出口阀组件：1个，可接收集器；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4.其它部件：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4.1 混合器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4.1.1混合腔体积：≤2ml；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*4.1.2电动混合器，PEEK材质；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*4.1.3在线过滤器，PEEK材质；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4.2柱夹1个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4.3限压器：使系统保持一定压力；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*4.4背压阀：配备20psi反压阀，保证系统稳定性。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5.组分收集器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5.1组分收集器：1个；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5.2可根据体积或峰自动收集：带自动感应，收集架</w:t>
            </w:r>
            <w:r>
              <w:rPr>
                <w:color w:val="auto"/>
              </w:rPr>
              <w:t>容量</w:t>
            </w:r>
            <w:r>
              <w:rPr>
                <w:color w:val="auto"/>
              </w:rPr>
              <w:sym w:font="Symbol" w:char="F0B3"/>
            </w:r>
            <w:r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；兼容多种规格的收集管；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5.4流路：PEEK惰性材料；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5.5耐受有机溶剂；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6.控制软件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*6.1系统软件提供全中文版本，操作日志必须为中文记录以便使用，控制平台可随时加减控制元件，支持模块升级；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6.2各模块间可自由转换，即系统运行时，可同时进行方法编辑和结果处理；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6.3流路实时在线，实时监控和控制；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6.4在同一个操作界面上，同时可显示运行曲线，流路图，Logbook等；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6.5具有断电数据防丢失功能；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6.6软件应具有用户权限控制，操作记录跟踪，数字签名等功能；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6.7应能通过程序编辑，控制所有硬件操作，支持Scouting功能(即探索功能)及可设置多个方法，实现无人值守的层析工作；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*6.8系统运行中可手动添加Mark标记，且标记结果需和数据一起保存；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6.9可通过检测压力、紫外吸收光谱值、电导、pH等参数，进行报警设计，一旦达到警戒线，仪器可自行报警并暂停或进入设定的下一阶段；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6.10软件截图：提供软件截图，截图包括：手动操作命令界面、实时流路图显示界面、模块化的方法编辑界面、scouting设置界面、结果分析界面、用户权限控制界面、操作记录跟踪界面、数字签名界面等。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7.产品基本配置要求：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1）快速蛋白纯化工艺优化工作站：1台，包括两个柱塞泵，可变双波长紫外检测器，电导检测器，温度检测器，pH检测器,入口缓冲液切换阀，自动进样阀，混合器，柱位阀，组分收集器，控制软件一套；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保证仪器设备的正常运行和常规保养所需的附件、专用工具和消耗品；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品牌电脑一台（CPU: i</w:t>
            </w:r>
            <w:r>
              <w:rPr>
                <w:rFonts w:ascii="宋体" w:hAnsi="宋体" w:cs="宋体"/>
                <w:color w:val="auto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以上，内存：16G，硬盘：256G以上，显卡：4G独显，光驱：DVDRW，显示器：23'）；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配套试剂耗材：</w:t>
            </w:r>
            <w:r>
              <w:rPr>
                <w:rFonts w:ascii="宋体" w:hAnsi="宋体" w:cs="宋体"/>
                <w:color w:val="auto"/>
              </w:rPr>
              <w:t>GE阴离子交换柱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</w:rPr>
              <w:t>Resource Q，1 ml</w:t>
            </w:r>
            <w:r>
              <w:rPr>
                <w:rFonts w:hint="eastAsia" w:ascii="宋体" w:hAnsi="宋体" w:cs="宋体"/>
                <w:color w:val="auto"/>
              </w:rPr>
              <w:t>）3个；</w:t>
            </w:r>
            <w:r>
              <w:rPr>
                <w:rFonts w:ascii="宋体" w:hAnsi="宋体" w:cs="宋体"/>
                <w:color w:val="auto"/>
              </w:rPr>
              <w:t xml:space="preserve"> GE阳离子交换柱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</w:rPr>
              <w:t>Resource S，1 ml</w:t>
            </w:r>
            <w:r>
              <w:rPr>
                <w:rFonts w:hint="eastAsia" w:ascii="宋体" w:hAnsi="宋体" w:cs="宋体"/>
                <w:color w:val="auto"/>
              </w:rPr>
              <w:t>）3个；</w:t>
            </w:r>
            <w:r>
              <w:rPr>
                <w:rFonts w:ascii="宋体" w:hAnsi="宋体" w:cs="宋体"/>
                <w:color w:val="auto"/>
              </w:rPr>
              <w:t>Ni-Sepharose HP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</w:rPr>
              <w:t>100ml/瓶</w:t>
            </w:r>
            <w:r>
              <w:rPr>
                <w:rFonts w:hint="eastAsia" w:ascii="宋体" w:hAnsi="宋体" w:cs="宋体"/>
                <w:color w:val="auto"/>
              </w:rPr>
              <w:t>）1瓶；</w:t>
            </w:r>
            <w:r>
              <w:rPr>
                <w:rFonts w:ascii="宋体" w:hAnsi="宋体" w:cs="宋体"/>
                <w:color w:val="auto"/>
              </w:rPr>
              <w:t>Q Sepharose fast flow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</w:rPr>
              <w:t>300ml/瓶</w:t>
            </w:r>
            <w:r>
              <w:rPr>
                <w:rFonts w:hint="eastAsia" w:ascii="宋体" w:hAnsi="宋体" w:cs="宋体"/>
                <w:color w:val="auto"/>
              </w:rPr>
              <w:t>）1瓶；</w:t>
            </w:r>
            <w:r>
              <w:rPr>
                <w:rFonts w:ascii="宋体" w:hAnsi="宋体" w:cs="宋体"/>
                <w:color w:val="auto"/>
              </w:rPr>
              <w:t>GE凝胶过滤预装柱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</w:rPr>
              <w:t>Superdex 200 Increase 10/300 GL</w:t>
            </w:r>
            <w:r>
              <w:rPr>
                <w:rFonts w:hint="eastAsia" w:ascii="宋体" w:hAnsi="宋体" w:cs="宋体"/>
                <w:color w:val="auto"/>
              </w:rPr>
              <w:t>）2个。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高效蛋白纯化系统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1.系统泵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1.1整机双泵四泵头柱塞泵，PEEK材质，能最大保持生物分子活性，系统应自带泵后冲洗设计。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1.2最大流速：36ml/min(单泵)；72ml/min(双泵)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1.3具备恒压调速功能；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1.4压力范围：0–10Mpa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1.5流速重复性：流速准确度：±1.2%，流速精度：RSD≤0.8%；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*1.6梯度准确度:±0.8%；梯度流速运行范围：0.01-36ml/min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2.检测器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2.1紫外可见检测器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2.1.1紫外可见检测器：1个；波长范围：可同时检测两个波长260nm和280nm；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2.1.2外置流动池设计；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2.1.3流通池：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auto"/>
                <w:szCs w:val="21"/>
              </w:rPr>
              <w:t>2mm光程；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2.1.3 波长精度：±1nm；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2.1.4 波长重复性：±0.5nm；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*2.1.5</w:t>
            </w:r>
            <w:r>
              <w:rPr>
                <w:rFonts w:hAnsi="宋体"/>
                <w:color w:val="auto"/>
                <w:szCs w:val="21"/>
              </w:rPr>
              <w:t>基线噪声：</w:t>
            </w:r>
            <w:r>
              <w:rPr>
                <w:rFonts w:hAnsi="宋体"/>
                <w:color w:val="auto"/>
                <w:szCs w:val="21"/>
              </w:rPr>
              <w:sym w:font="Symbol" w:char="F0A3"/>
            </w:r>
            <w:r>
              <w:rPr>
                <w:color w:val="auto"/>
                <w:szCs w:val="21"/>
              </w:rPr>
              <w:t>4*10</w:t>
            </w:r>
            <w:r>
              <w:rPr>
                <w:color w:val="auto"/>
                <w:szCs w:val="21"/>
                <w:vertAlign w:val="superscript"/>
              </w:rPr>
              <w:t>-4</w:t>
            </w:r>
            <w:r>
              <w:rPr>
                <w:color w:val="auto"/>
                <w:szCs w:val="21"/>
              </w:rPr>
              <w:t>AU</w:t>
            </w:r>
            <w:r>
              <w:rPr>
                <w:rFonts w:hAnsi="宋体"/>
                <w:color w:val="auto"/>
                <w:szCs w:val="21"/>
              </w:rPr>
              <w:t>；基线漂移：</w:t>
            </w:r>
            <w:r>
              <w:rPr>
                <w:rFonts w:hAnsi="宋体"/>
                <w:color w:val="auto"/>
                <w:szCs w:val="21"/>
              </w:rPr>
              <w:sym w:font="Symbol" w:char="F0A3"/>
            </w:r>
            <w:r>
              <w:rPr>
                <w:color w:val="auto"/>
                <w:szCs w:val="21"/>
              </w:rPr>
              <w:t>1.00*10</w:t>
            </w:r>
            <w:r>
              <w:rPr>
                <w:color w:val="auto"/>
                <w:szCs w:val="21"/>
                <w:vertAlign w:val="superscript"/>
              </w:rPr>
              <w:t>-3</w:t>
            </w:r>
            <w:r>
              <w:rPr>
                <w:color w:val="auto"/>
                <w:szCs w:val="21"/>
              </w:rPr>
              <w:t xml:space="preserve"> AU /h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*2.1.6紫外检测有系统开关控制设置，可选择开启或关闭；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 电导检测器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2.2.1 数量：1个；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*2.2.2</w:t>
            </w:r>
            <w:r>
              <w:rPr>
                <w:rFonts w:hAnsi="宋体"/>
                <w:color w:val="auto"/>
                <w:szCs w:val="21"/>
              </w:rPr>
              <w:t>检测范围：</w:t>
            </w:r>
            <w:r>
              <w:rPr>
                <w:color w:val="auto"/>
                <w:szCs w:val="21"/>
              </w:rPr>
              <w:t>0.01mS/cm</w:t>
            </w:r>
            <w:r>
              <w:rPr>
                <w:rFonts w:hAnsi="宋体"/>
                <w:color w:val="auto"/>
                <w:szCs w:val="21"/>
              </w:rPr>
              <w:t>－</w:t>
            </w:r>
            <w:r>
              <w:rPr>
                <w:color w:val="auto"/>
                <w:szCs w:val="21"/>
              </w:rPr>
              <w:t>999.9mS/cm</w:t>
            </w:r>
            <w:r>
              <w:rPr>
                <w:rFonts w:hAnsi="宋体"/>
                <w:color w:val="auto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</w:t>
            </w:r>
            <w:r>
              <w:rPr>
                <w:rFonts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电导精确度：±3%或0.5mS/cm，实时自动检测，系统含温度检测器，电脑自动校正；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2.2.</w:t>
            </w:r>
            <w:r>
              <w:rPr>
                <w:rFonts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接触液体部分为PEEK材质，具有温度自动补偿功能；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 温度检测器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2.3.1数量：1个；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2.3.2温度范围：4-</w:t>
            </w:r>
            <w:r>
              <w:rPr>
                <w:rFonts w:ascii="宋体" w:hAnsi="宋体" w:cs="宋体"/>
                <w:color w:val="auto"/>
                <w:szCs w:val="21"/>
              </w:rPr>
              <w:t>99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℃；接触液体部分PEEK材质；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2.4压力传感器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2.4.1数目：1个；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2.4.2在线检测，超压停机保护及自动报警功能；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p</w:t>
            </w:r>
            <w:r>
              <w:rPr>
                <w:rFonts w:ascii="宋体" w:hAnsi="宋体" w:cs="宋体"/>
                <w:color w:val="auto"/>
                <w:szCs w:val="21"/>
              </w:rPr>
              <w:t>H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检测器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.1数目：1个；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.2在线检测，检测范围0</w:t>
            </w:r>
            <w:r>
              <w:rPr>
                <w:rFonts w:ascii="宋体" w:hAnsi="宋体" w:cs="宋体"/>
                <w:color w:val="auto"/>
                <w:szCs w:val="21"/>
              </w:rPr>
              <w:t>-14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，精度±</w:t>
            </w:r>
            <w:r>
              <w:rPr>
                <w:rFonts w:ascii="宋体" w:hAnsi="宋体" w:cs="宋体"/>
                <w:color w:val="auto"/>
                <w:szCs w:val="21"/>
              </w:rPr>
              <w:t>0.1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（p</w:t>
            </w:r>
            <w:r>
              <w:rPr>
                <w:rFonts w:ascii="宋体" w:hAnsi="宋体" w:cs="宋体"/>
                <w:color w:val="auto"/>
                <w:szCs w:val="21"/>
              </w:rPr>
              <w:t>H2-12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范围内）。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3.阀门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3.1入口缓冲液切换阀：支持A1，A2、B1，B2四个流动相入口,可实现2个A缓冲液入口和2个B缓冲液入口的选择；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3.2自动进样阀：1个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VICI</w:t>
            </w:r>
            <w:r>
              <w:rPr>
                <w:rFonts w:hint="eastAsia"/>
                <w:color w:val="auto"/>
              </w:rPr>
              <w:t>进口；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3.3单出口阀组件：1个，可接收集器。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4.其它部件：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4.1 混合器；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4.1.1混合腔体积：≤2ml；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*4.1.2电动混合器，PEEK材质；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*4.1.3在线过滤器，PEEK材质；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4.2柱夹1个；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4.3限压器：使系统保持一定压力；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*4.4背压阀：配备20psi反压阀，保证系统稳定性。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5.组分收集器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5.1组分收集器：1个；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5.2可根据体积或峰自动收集：带自动感应，收集架</w:t>
            </w:r>
            <w:r>
              <w:rPr>
                <w:color w:val="auto"/>
              </w:rPr>
              <w:t>容量</w:t>
            </w:r>
            <w:r>
              <w:rPr>
                <w:color w:val="auto"/>
              </w:rPr>
              <w:sym w:font="Symbol" w:char="F0B3"/>
            </w:r>
            <w:r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；兼容多种规格的收集管、96孔板；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</w:t>
            </w:r>
            <w:r>
              <w:rPr>
                <w:rFonts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流路：PEEK惰性材料；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</w:t>
            </w:r>
            <w:r>
              <w:rPr>
                <w:rFonts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耐受有机溶剂。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6.控制软件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*6.1系统软件</w:t>
            </w:r>
            <w:r>
              <w:rPr>
                <w:rFonts w:hint="eastAsia"/>
                <w:color w:val="auto"/>
              </w:rPr>
              <w:t>提供全中文版本，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可随时加减控制元件，支持模块升级；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6.2各种模块之间可自由转换，即系统在运行时，可以同时进行方法编辑和结果处理；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6.3流路实时在线，实时监控和控制；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6.4在同一个操作界面上，同时可显示运行曲线，流路图，Logbook等；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6.5应具有断电数据防丢失功能；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6.6软件应具有用户权限控制，操作记录跟踪，数字签名等功能；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6.7应能通过程序编辑，控制所有硬件，支持Scouting探索功能及方法序列探索功能，实现无人值守的层析工作；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*6.8系统运行中可手动添加Mark标记，且标记结果需和数据一起保存；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6.9可通过检测压力、紫外吸收光谱值、电导等参数，进行报警设计，一旦达到警戒线，仪器可自行报警并暂停或进入设定的下一阶段；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6.10软件截图：提供软件截图，截图应包括：手动操作命令界面、实时流路图显示界面、模块化的方法编辑界面、scouting设置界面、结果分析界面、用户权限控制界面、操作记录跟踪界面、数字签名界面等。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7.产品基本配置要求：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1）快速蛋白纯化工艺优化工作站：1台，包括两个柱塞泵，可变双波长紫外检测器，电导检测器，温度检测器，pH检测器,入口缓冲液切换阀，自动进样阀，混合器，柱位阀，组分收集器，控制软件一套；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2) </w:t>
            </w:r>
            <w:r>
              <w:rPr>
                <w:rFonts w:hint="eastAsia" w:ascii="宋体" w:hAnsi="宋体" w:cs="宋体"/>
                <w:color w:val="auto"/>
              </w:rPr>
              <w:t>保证仪器设备的正常运行和常规保养所需的附件、专用工具和消耗品；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品牌电脑一台（CPU: i</w:t>
            </w:r>
            <w:r>
              <w:rPr>
                <w:rFonts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以上，内存：16G，硬盘：256G以上，显卡：4G独显，光驱：DVDRW，显示器：23'）；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3) </w:t>
            </w:r>
            <w:r>
              <w:rPr>
                <w:rFonts w:hint="eastAsia" w:ascii="宋体" w:hAnsi="宋体" w:cs="宋体"/>
                <w:color w:val="auto"/>
              </w:rPr>
              <w:t>配套试剂耗材：</w:t>
            </w:r>
            <w:r>
              <w:rPr>
                <w:color w:val="auto"/>
                <w:kern w:val="0"/>
                <w:szCs w:val="21"/>
              </w:rPr>
              <w:t>GE</w:t>
            </w:r>
            <w:r>
              <w:rPr>
                <w:rFonts w:hAnsi="宋体"/>
                <w:color w:val="auto"/>
                <w:kern w:val="0"/>
                <w:szCs w:val="21"/>
              </w:rPr>
              <w:t>阴离子交换柱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Resource Q，1 ml</w:t>
            </w:r>
            <w:r>
              <w:rPr>
                <w:rFonts w:hint="eastAsia" w:ascii="宋体" w:hAnsi="宋体" w:cs="宋体"/>
                <w:color w:val="auto"/>
              </w:rPr>
              <w:t>）2个；</w:t>
            </w:r>
            <w:r>
              <w:rPr>
                <w:rFonts w:ascii="宋体" w:hAnsi="宋体" w:cs="宋体"/>
                <w:color w:val="auto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>GE阳离子交换柱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Resource S，1 ml</w:t>
            </w:r>
            <w:r>
              <w:rPr>
                <w:rFonts w:hint="eastAsia" w:ascii="宋体" w:hAnsi="宋体" w:cs="宋体"/>
                <w:color w:val="auto"/>
              </w:rPr>
              <w:t>）2个；</w:t>
            </w:r>
            <w:r>
              <w:rPr>
                <w:rFonts w:ascii="宋体" w:hAnsi="宋体" w:cs="宋体"/>
                <w:color w:val="auto"/>
                <w:szCs w:val="21"/>
              </w:rPr>
              <w:t>Ni-Sepharose HP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100ml/瓶</w:t>
            </w:r>
            <w:r>
              <w:rPr>
                <w:rFonts w:hint="eastAsia" w:ascii="宋体" w:hAnsi="宋体" w:cs="宋体"/>
                <w:color w:val="auto"/>
              </w:rPr>
              <w:t>）1瓶；</w:t>
            </w:r>
            <w:r>
              <w:rPr>
                <w:rFonts w:ascii="宋体" w:hAnsi="宋体" w:cs="宋体"/>
                <w:color w:val="auto"/>
                <w:szCs w:val="21"/>
              </w:rPr>
              <w:t>Q Sepharose fast flow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300ml/瓶</w:t>
            </w:r>
            <w:r>
              <w:rPr>
                <w:rFonts w:hint="eastAsia" w:ascii="宋体" w:hAnsi="宋体" w:cs="宋体"/>
                <w:color w:val="auto"/>
              </w:rPr>
              <w:t>）1瓶；</w:t>
            </w:r>
            <w:r>
              <w:rPr>
                <w:color w:val="auto"/>
                <w:kern w:val="0"/>
                <w:szCs w:val="21"/>
              </w:rPr>
              <w:t>GE</w:t>
            </w:r>
            <w:r>
              <w:rPr>
                <w:rFonts w:hAnsi="宋体"/>
                <w:color w:val="auto"/>
                <w:kern w:val="0"/>
                <w:szCs w:val="21"/>
              </w:rPr>
              <w:t>凝胶过滤预装柱</w:t>
            </w:r>
            <w:r>
              <w:rPr>
                <w:rFonts w:hint="eastAsia" w:hAnsi="宋体"/>
                <w:color w:val="auto"/>
                <w:kern w:val="0"/>
              </w:rPr>
              <w:t>（</w:t>
            </w:r>
            <w:r>
              <w:rPr>
                <w:color w:val="auto"/>
                <w:kern w:val="0"/>
                <w:szCs w:val="21"/>
              </w:rPr>
              <w:t>Superdex 75 10/300 GL</w:t>
            </w:r>
            <w:r>
              <w:rPr>
                <w:rFonts w:hint="eastAsia" w:hAnsi="宋体"/>
                <w:color w:val="auto"/>
                <w:kern w:val="0"/>
              </w:rPr>
              <w:t>）2个。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低温高压细胞破碎机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1.基本参数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</w:t>
            </w:r>
            <w:r>
              <w:rPr>
                <w:rFonts w:hint="eastAsia" w:ascii="宋体" w:hAnsi="宋体" w:cs="宋体"/>
                <w:szCs w:val="21"/>
              </w:rPr>
              <w:t>马达功率3.0 KW；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*1.2电压及频率：380V AC，50Hz或者220V AC，50Hz可选；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1.3转速：700转/分；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*1.4最大工作压力：1200bar/120Mpa/17400psi；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*1.5最大设计压力：1500bar/150Mpa/21750psi；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*1.6最大处理量：12L/H或者6L/H可选；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1.7最小处理量：≤30ml；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*1.8冷却：内置式冷却器；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1.9每分钟抽吸次数：可调节，</w:t>
            </w:r>
            <w:r>
              <w:rPr>
                <w:rFonts w:hint="eastAsia"/>
              </w:rPr>
              <w:t>最大值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140；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1.10噪声等级：≤70分贝；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1.11样品最大黏度：2000cP；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2.标配低温冷却泵指标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2.1容量（L)：7；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2.2温度范围(℃) ：-5℃——室温；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*2.3制冷功率（W）：1020；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2.4控温精度(℃) ：±2；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*2.5最大流量（L/min)：20；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*2.6泵压力(Bar):1.5；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*2.7显示方式：7英寸液晶显示；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2.8排水口：一个，内径10mm。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3.技术特点: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3.1在设计上易于操作和维护；可以用蒸馏水、纯水和清洁剂进行循环清洗，或拆卸泵头进行人工清洗。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*3.2机器的启动/停止控制位于机器的侧面，易于操作，可用于紧急开关，并包括对主电机的热磁保护。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3.3装有抛光的全不锈钢外壳，可拆卸，便于检查和维护。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*3.4通过自重自吸力进料，并不需要任何进料泵。只需电力供应而不需其它设施（如水或压缩空气）。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*3.5泵头由双向不锈钢制造，易于拆卸和安装。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4.配置：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4.1三相交流电机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4.2过载切断保护开关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4.3不锈钢外壳、底座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4.4专用双向不锈钢泵头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4.5陶瓷球形吸入和输送阀装置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4.6硬合金可移动吸入阀座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4.7实心陶瓷柱塞棒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4.8均质阀门及手轮调节器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4.9电子数字压力表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4.10低温冷却循环泵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4.11常用维护专用工具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4.12全套密封件更换工具包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4.13特制密封件取换器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4.14需提供维护说明手册和备用件清单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大容量冷冻离心机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1.技术参数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最高转速：角转子6000r/min；水平转子4200r/min；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最大相对离心力：角转子6680g；水平转子5100g；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最大容量：角转子6×500ml；水平转子6×1000ml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转速精度：±10r/min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转速范围：100 r/min ~最高转速、步进100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定时范围：1min～23h 59min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定时模式：到设定转速开始计时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加/减速曲线：9档升速、10档减速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温度设置范围：-20℃～+40℃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预冷：否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温控精度：±1℃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压缩机组：高性能压缩机组、无氟制冷剂R404a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驱动系统：大力矩无碳刷电机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整机噪声：&lt; 65dB(A)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总机功率：3.0KW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电源：AC220V±22V 50Hz 30A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2.设备配置：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主机1台，配水平转子体6×1000ml及配套离心瓶 1套；6×300ml适配器1套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高速台式冷冻离心机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1.技术参数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最高转速：</w:t>
            </w:r>
            <w:r>
              <w:rPr>
                <w:rFonts w:hint="eastAsia" w:ascii="宋体" w:hAnsi="宋体" w:cs="宋体"/>
                <w:color w:val="FF0000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</w:rPr>
              <w:t>17500r/min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最大相对离心力：</w:t>
            </w:r>
            <w:r>
              <w:rPr>
                <w:rFonts w:hint="eastAsia" w:ascii="宋体" w:hAnsi="宋体" w:cs="宋体"/>
                <w:color w:val="FF0000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</w:rPr>
              <w:t>29302g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最大容量：</w:t>
            </w:r>
            <w:r>
              <w:rPr>
                <w:rFonts w:hint="eastAsia" w:ascii="宋体" w:hAnsi="宋体" w:cs="宋体"/>
                <w:color w:val="FF0000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</w:rPr>
              <w:t>4×100ml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转速精度：±10r/min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定时范围：1min～99h59min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温度设置范围：-20℃～+40℃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温控精度：±1℃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压缩机组：高性能压缩机组、无氟制冷剂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整机噪声：&lt; 62dB(A)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总机功率：1000W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电源：AC220V±22V 50/60Hz</w:t>
            </w: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2.设备配置：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主机1台，配置角转子24×1.5ml/2ml；角转子6×50ml；水平转子+水平挂架+4×50ml（尖底）+4×15ml（尖底）+4×10ml 采血管各1套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荧光定量PCR仪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1.技术指标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*1）装机指标：成功区分起始模板为1000和2000个拷贝的2倍浓度差，置信度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  <w:szCs w:val="21"/>
              </w:rPr>
              <w:t>99%；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2）样品通量：配置96孔样品模块,模块并结合新技术保证温度均一性；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3）样品管规格：0</w:t>
            </w:r>
            <w:r>
              <w:rPr>
                <w:rFonts w:ascii="宋体" w:hAnsi="宋体" w:cs="宋体"/>
                <w:color w:val="000000"/>
                <w:szCs w:val="21"/>
              </w:rPr>
              <w:t>.2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ml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PCR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单孔管、八联管、96孔板；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4）试剂耗材：开放；设备须为实时采集检测的实时荧光PCR仪，可实现8个梯度功能；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5）采用高强度单个固态光源，非滤光片光源，非彩色光源；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6）荧光检测系统：一体化设计，CCD检测系统，非光敏二极管，无移动检测部件，保证能实时进行检测，无需ROX等被动染料进行校正，具有自动颜色补偿功能，光源寿命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  <w:szCs w:val="21"/>
              </w:rPr>
              <w:t>10000小时；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*7）仪器无需ROX进行校正，免维护；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8）温度均一性：任意时间点±0.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℃，保证每个样品反应条件一致性；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*9）温度精确性：±0.25℃,可实现梯度功能；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10）样本最大升温速度：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  <w:szCs w:val="21"/>
              </w:rPr>
              <w:t>4.0℃/s，模块最大升温速度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Symbol" w:char="F0B3"/>
            </w:r>
            <w:r>
              <w:rPr>
                <w:rFonts w:hint="eastAsia" w:ascii="宋体" w:hAnsi="宋体" w:cs="宋体"/>
                <w:color w:val="000000"/>
                <w:szCs w:val="21"/>
              </w:rPr>
              <w:t>4.8℃/s；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11）反应时间：≤60分钟（40个循环）（无需特殊试剂特殊耗材情况下）,试剂开放；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）动力学线性范围：≥10个数量级；适用于FRET技术，高分辨率熔解曲线反应时间：&lt;10分钟（65-95℃，整板每℃采集25次数据时，可提供实际软件截图证明），熔解曲线反应时间：&lt;5分钟（65-95℃，整板每℃采集25次数据时，可提供实际软件截图证明）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*13）高分辨率熔解曲线功能：提供高分辨率熔解曲线的检测功能与数据分析能力：温度分辨率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Symbol" w:char="F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0.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℃,分析软件能够根据熔解曲线峰形直接分析样品基因型，可以从事SNP 预筛查，甲基化分析，DNA 遗传作图等；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14）仪器分析应具有功能：绝对定量、相对定量、高分辨率熔解曲线分析(HRM)、多重定量、基因型分析方法应用等功能；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15）需提供不低于4重荧光PCR检测试剂盒，支持多病原检测；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*16）可拓展不低于6重荧光PCR检测功能；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）软件应用要求：具有定性定量（绝对定量、相对定量）、自动报告熔解曲线、自动报告基因分型分析、高分辨率熔解曲线分析、阴阳性判读等功能，配套的运行和结果分析软件，能够针对观察到的扩增情况随时增加循环数目，实时动态监测运行，扩增和检测同时进行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2.设备配置：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</w:t>
            </w:r>
            <w:r>
              <w:rPr>
                <w:rFonts w:hint="eastAsia" w:ascii="宋体" w:hAnsi="宋体" w:cs="宋体"/>
                <w:kern w:val="0"/>
                <w:szCs w:val="21"/>
              </w:rPr>
              <w:t>荧光定量PCR仪</w:t>
            </w:r>
            <w:r>
              <w:rPr>
                <w:rFonts w:hint="eastAsia"/>
              </w:rPr>
              <w:t>主机：1台；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2）品牌电脑一台</w:t>
            </w:r>
            <w:r>
              <w:rPr>
                <w:rFonts w:hint="eastAsia" w:ascii="宋体" w:hAnsi="宋体" w:cs="宋体"/>
                <w:szCs w:val="21"/>
              </w:rPr>
              <w:t>（CPU: i5以上处理器，内存：8G，硬盘：256SSD固态+1T机械，显卡：2G以上独显，光驱：DVDRW，显示器：23'）；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3）配套试剂耗材：荧光定量试剂盒UltraSYBR Mixture(Low ROX)（5</w:t>
            </w:r>
            <w:r>
              <w:t xml:space="preserve"> ml</w:t>
            </w:r>
            <w:r>
              <w:rPr>
                <w:rFonts w:hint="eastAsia"/>
              </w:rPr>
              <w:t>）2</w:t>
            </w:r>
            <w:r>
              <w:t>0</w:t>
            </w:r>
            <w:r>
              <w:rPr>
                <w:rFonts w:hint="eastAsia"/>
              </w:rPr>
              <w:t>盒；</w:t>
            </w:r>
            <w:r>
              <w:t>荧光定量PCR 8联管</w:t>
            </w:r>
            <w:r>
              <w:rPr>
                <w:rFonts w:hint="eastAsia"/>
              </w:rPr>
              <w:t>/</w:t>
            </w:r>
            <w:r>
              <w:t>盖</w:t>
            </w:r>
            <w:r>
              <w:rPr>
                <w:rFonts w:hint="eastAsia"/>
              </w:rPr>
              <w:t>（</w:t>
            </w:r>
            <w:r>
              <w:t>100 μl，PP</w:t>
            </w:r>
            <w:r>
              <w:rPr>
                <w:rFonts w:hint="eastAsia"/>
              </w:rPr>
              <w:t>材质</w:t>
            </w:r>
            <w:r>
              <w:t>，125条</w:t>
            </w:r>
            <w:r>
              <w:rPr>
                <w:rFonts w:hint="eastAsia"/>
              </w:rPr>
              <w:t>/</w:t>
            </w:r>
            <w:r>
              <w:t>盒</w:t>
            </w:r>
            <w:r>
              <w:rPr>
                <w:rFonts w:hint="eastAsia"/>
              </w:rPr>
              <w:t>）2</w:t>
            </w:r>
            <w:r>
              <w:t>0</w:t>
            </w:r>
            <w:r>
              <w:rPr>
                <w:rFonts w:hint="eastAsia"/>
              </w:rPr>
              <w:t>盒；</w:t>
            </w:r>
            <w:r>
              <w:t>荧光定量PCR板</w:t>
            </w:r>
            <w:r>
              <w:rPr>
                <w:rFonts w:hint="eastAsia"/>
              </w:rPr>
              <w:t>（</w:t>
            </w:r>
            <w:r>
              <w:t>96孔，灭菌</w:t>
            </w:r>
            <w:r>
              <w:rPr>
                <w:rFonts w:hint="eastAsia"/>
              </w:rPr>
              <w:t>，</w:t>
            </w:r>
            <w:r>
              <w:t>15 块/</w:t>
            </w:r>
            <w:r>
              <w:rPr>
                <w:rFonts w:hint="eastAsia"/>
              </w:rPr>
              <w:t>盒）5</w:t>
            </w:r>
            <w:r>
              <w:t>0</w:t>
            </w:r>
            <w:r>
              <w:rPr>
                <w:rFonts w:hint="eastAsia"/>
              </w:rPr>
              <w:t>盒；</w:t>
            </w:r>
            <w:r>
              <w:t>封膜，荧光定量型</w:t>
            </w:r>
            <w:r>
              <w:rPr>
                <w:rFonts w:hint="eastAsia"/>
              </w:rPr>
              <w:t>（</w:t>
            </w:r>
            <w:r>
              <w:t>10张</w:t>
            </w:r>
            <w:r>
              <w:rPr>
                <w:rFonts w:hint="eastAsia"/>
              </w:rPr>
              <w:t>/盒）5</w:t>
            </w:r>
            <w:r>
              <w:t>0</w:t>
            </w:r>
            <w:r>
              <w:rPr>
                <w:rFonts w:hint="eastAsia"/>
              </w:rPr>
              <w:t>盒。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14CDE"/>
    <w:multiLevelType w:val="multilevel"/>
    <w:tmpl w:val="3D214CD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6E353B"/>
    <w:multiLevelType w:val="multilevel"/>
    <w:tmpl w:val="496E353B"/>
    <w:lvl w:ilvl="0" w:tentative="0">
      <w:start w:val="2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D349D8"/>
    <w:multiLevelType w:val="multilevel"/>
    <w:tmpl w:val="55D349D8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6C87"/>
    <w:rsid w:val="1AB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character" w:customStyle="1" w:styleId="7">
    <w:name w:val="标题 1 Char1"/>
    <w:link w:val="3"/>
    <w:qFormat/>
    <w:uiPriority w:val="0"/>
    <w:rPr>
      <w:b/>
      <w:bCs/>
      <w:sz w:val="24"/>
      <w:szCs w:val="20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2021-12-01T08:34:00Z</dcterms:created>
  <dc:creator>王皓</dc:creator>
  <cp:lastModifiedBy>王皓</cp:lastModifiedBy>
  <dcterms:modified xsi:type="dcterms:W3CDTF">2021-12-01T08:34:49Z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583226FE9848437E8CE339FBAD875209</vt:lpwstr>
  </property>
</Properties>
</file>