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48F23F">
      <w:pPr>
        <w:pageBreakBefore/>
        <w:widowControl/>
        <w:numPr>
          <w:ilvl w:val="0"/>
          <w:numId w:val="0"/>
        </w:numPr>
        <w:shd w:val="clear" w:color="auto" w:fill="FFFFFF"/>
        <w:spacing w:line="360" w:lineRule="auto"/>
        <w:ind w:left="0" w:leftChars="0" w:firstLine="0" w:firstLineChars="0"/>
        <w:jc w:val="center"/>
        <w:outlineLvl w:val="0"/>
        <w:rPr>
          <w:rFonts w:hint="eastAsia" w:ascii="黑体" w:hAnsi="宋体" w:eastAsia="黑体" w:cs="宋体"/>
          <w:b/>
          <w:bCs/>
          <w:color w:val="000000"/>
          <w:kern w:val="0"/>
          <w:sz w:val="32"/>
          <w:szCs w:val="32"/>
        </w:rPr>
      </w:pPr>
      <w:r>
        <w:rPr>
          <w:rFonts w:hint="eastAsia" w:ascii="黑体" w:hAnsi="宋体" w:eastAsia="黑体" w:cs="宋体"/>
          <w:b/>
          <w:bCs/>
          <w:color w:val="000000"/>
          <w:kern w:val="0"/>
          <w:sz w:val="32"/>
          <w:szCs w:val="32"/>
          <w:lang w:eastAsia="zh-CN"/>
        </w:rPr>
        <w:t>上蔡县杨岗河柴冀闸上游(柴冀闸至堤草王村)段治理工程勘测设计项目</w:t>
      </w:r>
      <w:r>
        <w:rPr>
          <w:rFonts w:hint="eastAsia" w:ascii="黑体" w:hAnsi="宋体" w:eastAsia="黑体" w:cs="宋体"/>
          <w:b/>
          <w:bCs/>
          <w:color w:val="000000"/>
          <w:kern w:val="0"/>
          <w:sz w:val="32"/>
          <w:szCs w:val="32"/>
        </w:rPr>
        <w:t>竞</w:t>
      </w:r>
      <w:bookmarkStart w:id="42" w:name="_GoBack"/>
      <w:bookmarkEnd w:id="42"/>
      <w:r>
        <w:rPr>
          <w:rFonts w:hint="eastAsia" w:ascii="黑体" w:hAnsi="宋体" w:eastAsia="黑体" w:cs="宋体"/>
          <w:b/>
          <w:bCs/>
          <w:color w:val="000000"/>
          <w:kern w:val="0"/>
          <w:sz w:val="32"/>
          <w:szCs w:val="32"/>
        </w:rPr>
        <w:t>争性磋商公告</w:t>
      </w:r>
    </w:p>
    <w:p w14:paraId="44313DC1">
      <w:pPr>
        <w:rPr>
          <w:color w:val="000000"/>
        </w:rPr>
      </w:pPr>
    </w:p>
    <w:p w14:paraId="7EB91B6B">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项目概况</w:t>
      </w:r>
      <w:r>
        <w:rPr>
          <w:rFonts w:hint="eastAsia" w:ascii="宋体" w:hAnsi="宋体" w:eastAsia="宋体" w:cs="宋体"/>
          <w:sz w:val="24"/>
          <w:szCs w:val="24"/>
          <w:lang w:eastAsia="zh-CN"/>
        </w:rPr>
        <w:t>：</w:t>
      </w:r>
    </w:p>
    <w:p w14:paraId="774587F3">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 xml:space="preserve">上蔡县杨岗河柴冀闸上游(柴冀闸至堤草王村)段治理工程勘测设计项目 </w:t>
      </w:r>
      <w:r>
        <w:rPr>
          <w:rFonts w:hint="eastAsia" w:ascii="宋体" w:hAnsi="宋体" w:eastAsia="宋体" w:cs="宋体"/>
          <w:sz w:val="24"/>
          <w:szCs w:val="24"/>
          <w:highlight w:val="none"/>
        </w:rPr>
        <w:t>采购项目的潜在供应商应在</w:t>
      </w:r>
      <w:r>
        <w:rPr>
          <w:rFonts w:hint="eastAsia" w:ascii="宋体" w:hAnsi="宋体" w:eastAsia="宋体" w:cs="宋体"/>
          <w:sz w:val="24"/>
          <w:szCs w:val="24"/>
          <w:highlight w:val="none"/>
          <w:lang w:val="en-US" w:eastAsia="zh-CN"/>
        </w:rPr>
        <w:t>驻马店市公共资源交易中心网站</w:t>
      </w:r>
      <w:r>
        <w:rPr>
          <w:rFonts w:hint="eastAsia" w:ascii="宋体" w:hAnsi="宋体" w:eastAsia="宋体" w:cs="宋体"/>
          <w:sz w:val="24"/>
          <w:szCs w:val="24"/>
          <w:highlight w:val="none"/>
          <w:u w:val="single"/>
        </w:rPr>
        <w:t>https://ggzy.zhumadian.gov.cn/TPFront/）</w:t>
      </w:r>
      <w:r>
        <w:rPr>
          <w:rFonts w:hint="eastAsia" w:ascii="宋体" w:hAnsi="宋体" w:eastAsia="宋体" w:cs="宋体"/>
          <w:sz w:val="24"/>
          <w:szCs w:val="24"/>
          <w:highlight w:val="none"/>
        </w:rPr>
        <w:t>获取采购文件，并于</w:t>
      </w:r>
      <w:r>
        <w:rPr>
          <w:rFonts w:hint="eastAsia" w:ascii="宋体" w:hAnsi="宋体" w:eastAsia="宋体" w:cs="宋体"/>
          <w:sz w:val="24"/>
          <w:szCs w:val="24"/>
          <w:highlight w:val="none"/>
          <w:u w:val="single"/>
          <w:lang w:val="en-US" w:eastAsia="zh-CN"/>
        </w:rPr>
        <w:t>2025</w:t>
      </w:r>
      <w:r>
        <w:rPr>
          <w:rFonts w:hint="eastAsia" w:ascii="宋体" w:hAnsi="宋体" w:eastAsia="宋体" w:cs="宋体"/>
          <w:bCs/>
          <w:sz w:val="24"/>
          <w:szCs w:val="24"/>
          <w:highlight w:val="none"/>
          <w:u w:val="single"/>
        </w:rPr>
        <w:t>年</w:t>
      </w:r>
      <w:r>
        <w:rPr>
          <w:rFonts w:hint="eastAsia" w:ascii="宋体" w:hAnsi="宋体" w:eastAsia="宋体" w:cs="宋体"/>
          <w:bCs/>
          <w:sz w:val="24"/>
          <w:szCs w:val="24"/>
          <w:highlight w:val="none"/>
          <w:u w:val="single"/>
          <w:lang w:val="en-US" w:eastAsia="zh-CN"/>
        </w:rPr>
        <w:t>8</w:t>
      </w:r>
      <w:r>
        <w:rPr>
          <w:rFonts w:hint="eastAsia" w:ascii="宋体" w:hAnsi="宋体" w:eastAsia="宋体" w:cs="宋体"/>
          <w:bCs/>
          <w:sz w:val="24"/>
          <w:szCs w:val="24"/>
          <w:highlight w:val="none"/>
          <w:u w:val="single"/>
        </w:rPr>
        <w:t>月</w:t>
      </w:r>
      <w:r>
        <w:rPr>
          <w:rFonts w:hint="eastAsia" w:ascii="宋体" w:hAnsi="宋体" w:eastAsia="宋体" w:cs="宋体"/>
          <w:bCs/>
          <w:sz w:val="24"/>
          <w:szCs w:val="24"/>
          <w:highlight w:val="none"/>
          <w:u w:val="single"/>
          <w:lang w:val="en-US" w:eastAsia="zh-CN"/>
        </w:rPr>
        <w:t>4</w:t>
      </w:r>
      <w:r>
        <w:rPr>
          <w:rFonts w:hint="eastAsia" w:ascii="宋体" w:hAnsi="宋体" w:eastAsia="宋体" w:cs="宋体"/>
          <w:bCs/>
          <w:sz w:val="24"/>
          <w:szCs w:val="24"/>
          <w:highlight w:val="none"/>
          <w:u w:val="single"/>
        </w:rPr>
        <w:t>日</w:t>
      </w:r>
      <w:r>
        <w:rPr>
          <w:rFonts w:hint="eastAsia" w:ascii="宋体" w:hAnsi="宋体" w:eastAsia="宋体" w:cs="宋体"/>
          <w:bCs/>
          <w:sz w:val="24"/>
          <w:szCs w:val="24"/>
          <w:highlight w:val="none"/>
          <w:u w:val="single"/>
          <w:lang w:val="en-US" w:eastAsia="zh-CN"/>
        </w:rPr>
        <w:t>9</w:t>
      </w:r>
      <w:r>
        <w:rPr>
          <w:rFonts w:hint="eastAsia" w:ascii="宋体" w:hAnsi="宋体" w:eastAsia="宋体" w:cs="宋体"/>
          <w:bCs/>
          <w:sz w:val="24"/>
          <w:szCs w:val="24"/>
          <w:highlight w:val="none"/>
          <w:u w:val="single"/>
        </w:rPr>
        <w:t>点</w:t>
      </w:r>
      <w:r>
        <w:rPr>
          <w:rFonts w:hint="eastAsia" w:ascii="宋体" w:hAnsi="宋体" w:eastAsia="宋体" w:cs="宋体"/>
          <w:bCs/>
          <w:sz w:val="24"/>
          <w:szCs w:val="24"/>
          <w:highlight w:val="none"/>
          <w:u w:val="single"/>
          <w:lang w:val="en-US" w:eastAsia="zh-CN"/>
        </w:rPr>
        <w:t>00</w:t>
      </w:r>
      <w:r>
        <w:rPr>
          <w:rFonts w:hint="eastAsia" w:ascii="宋体" w:hAnsi="宋体" w:eastAsia="宋体" w:cs="宋体"/>
          <w:bCs/>
          <w:sz w:val="24"/>
          <w:szCs w:val="24"/>
          <w:highlight w:val="none"/>
          <w:u w:val="single"/>
        </w:rPr>
        <w:t>分</w:t>
      </w:r>
      <w:r>
        <w:rPr>
          <w:rFonts w:hint="eastAsia" w:ascii="宋体" w:hAnsi="宋体" w:eastAsia="宋体" w:cs="宋体"/>
          <w:bCs/>
          <w:sz w:val="24"/>
          <w:szCs w:val="24"/>
          <w:highlight w:val="none"/>
        </w:rPr>
        <w:t>（北京时间）前提交响应文件</w:t>
      </w:r>
      <w:r>
        <w:rPr>
          <w:rFonts w:hint="eastAsia" w:ascii="宋体" w:hAnsi="宋体" w:eastAsia="宋体" w:cs="宋体"/>
          <w:sz w:val="24"/>
          <w:szCs w:val="24"/>
          <w:highlight w:val="none"/>
        </w:rPr>
        <w:t>。</w:t>
      </w:r>
    </w:p>
    <w:p w14:paraId="2644C5D4">
      <w:pPr>
        <w:bidi w:val="0"/>
        <w:spacing w:line="360" w:lineRule="auto"/>
        <w:rPr>
          <w:rFonts w:hint="eastAsia" w:ascii="宋体" w:hAnsi="宋体" w:eastAsia="宋体" w:cs="宋体"/>
          <w:b/>
          <w:bCs/>
          <w:sz w:val="24"/>
          <w:szCs w:val="24"/>
          <w:highlight w:val="none"/>
        </w:rPr>
      </w:pPr>
      <w:bookmarkStart w:id="0" w:name="_Toc28359089"/>
      <w:bookmarkStart w:id="1" w:name="_Toc28359012"/>
      <w:bookmarkStart w:id="2" w:name="_Toc35393798"/>
      <w:bookmarkStart w:id="3" w:name="_Toc35393629"/>
      <w:r>
        <w:rPr>
          <w:rFonts w:hint="eastAsia" w:ascii="宋体" w:hAnsi="宋体" w:eastAsia="宋体" w:cs="宋体"/>
          <w:b/>
          <w:bCs/>
          <w:sz w:val="24"/>
          <w:szCs w:val="24"/>
        </w:rPr>
        <w:t>一、</w:t>
      </w:r>
      <w:r>
        <w:rPr>
          <w:rFonts w:hint="eastAsia" w:ascii="宋体" w:hAnsi="宋体" w:eastAsia="宋体" w:cs="宋体"/>
          <w:b/>
          <w:bCs/>
          <w:sz w:val="24"/>
          <w:szCs w:val="24"/>
          <w:highlight w:val="none"/>
        </w:rPr>
        <w:t>项目基本情况</w:t>
      </w:r>
      <w:bookmarkEnd w:id="0"/>
      <w:bookmarkEnd w:id="1"/>
      <w:bookmarkEnd w:id="2"/>
      <w:bookmarkEnd w:id="3"/>
    </w:p>
    <w:p w14:paraId="1E127426">
      <w:pPr>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项目编号：上政采磋【2025】36号</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采购编号：上政采购</w:t>
      </w:r>
      <w:r>
        <w:rPr>
          <w:rFonts w:hint="eastAsia" w:ascii="宋体" w:hAnsi="宋体" w:eastAsia="宋体" w:cs="宋体"/>
          <w:sz w:val="24"/>
          <w:szCs w:val="24"/>
          <w:highlight w:val="none"/>
          <w:lang w:val="en-US" w:eastAsia="zh-CN"/>
        </w:rPr>
        <w:t>-2025-07-12</w:t>
      </w:r>
    </w:p>
    <w:p w14:paraId="7E35F8BE">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lang w:eastAsia="zh-CN"/>
        </w:rPr>
        <w:t xml:space="preserve">上蔡县杨岗河柴冀闸上游(柴冀闸至堤草王村)段治理工程勘测设计项目 </w:t>
      </w:r>
    </w:p>
    <w:p w14:paraId="199645A8">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采购方式：竞争性</w:t>
      </w:r>
      <w:r>
        <w:rPr>
          <w:rFonts w:hint="eastAsia" w:ascii="宋体" w:hAnsi="宋体" w:eastAsia="宋体" w:cs="宋体"/>
          <w:sz w:val="24"/>
          <w:szCs w:val="24"/>
          <w:highlight w:val="none"/>
          <w:lang w:eastAsia="zh-CN"/>
        </w:rPr>
        <w:t>磋商；</w:t>
      </w:r>
    </w:p>
    <w:p w14:paraId="341A256F">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预算金额：</w:t>
      </w:r>
      <w:r>
        <w:rPr>
          <w:rFonts w:hint="eastAsia" w:ascii="宋体" w:hAnsi="宋体" w:eastAsia="宋体" w:cs="宋体"/>
          <w:sz w:val="24"/>
          <w:szCs w:val="24"/>
          <w:highlight w:val="none"/>
          <w:lang w:val="en-US" w:eastAsia="zh-CN"/>
        </w:rPr>
        <w:t>625900.00</w:t>
      </w:r>
      <w:r>
        <w:rPr>
          <w:rFonts w:hint="eastAsia" w:ascii="宋体" w:hAnsi="宋体" w:eastAsia="宋体" w:cs="宋体"/>
          <w:sz w:val="24"/>
          <w:szCs w:val="24"/>
          <w:highlight w:val="none"/>
          <w:lang w:eastAsia="zh-CN"/>
        </w:rPr>
        <w:t>元</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最高限价：</w:t>
      </w:r>
      <w:r>
        <w:rPr>
          <w:rFonts w:hint="eastAsia" w:ascii="宋体" w:hAnsi="宋体" w:eastAsia="宋体" w:cs="宋体"/>
          <w:sz w:val="24"/>
          <w:szCs w:val="24"/>
          <w:highlight w:val="none"/>
          <w:lang w:val="en-US" w:eastAsia="zh-CN"/>
        </w:rPr>
        <w:t>625900.00</w:t>
      </w:r>
      <w:r>
        <w:rPr>
          <w:rFonts w:hint="eastAsia" w:ascii="宋体" w:hAnsi="宋体" w:eastAsia="宋体" w:cs="宋体"/>
          <w:sz w:val="24"/>
          <w:szCs w:val="24"/>
          <w:highlight w:val="none"/>
          <w:lang w:eastAsia="zh-CN"/>
        </w:rPr>
        <w:t>元</w:t>
      </w:r>
    </w:p>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8078"/>
      </w:tblGrid>
      <w:tr w14:paraId="04A73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noWrap w:val="0"/>
            <w:tcMar>
              <w:top w:w="0" w:type="dxa"/>
              <w:left w:w="0" w:type="dxa"/>
              <w:bottom w:w="0" w:type="dxa"/>
              <w:right w:w="0" w:type="dxa"/>
            </w:tcMar>
            <w:vAlign w:val="center"/>
          </w:tcPr>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8078"/>
            </w:tblGrid>
            <w:tr w14:paraId="4C113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noWrap w:val="0"/>
                  <w:tcMar>
                    <w:top w:w="0" w:type="dxa"/>
                    <w:left w:w="0" w:type="dxa"/>
                    <w:bottom w:w="0" w:type="dxa"/>
                    <w:right w:w="0" w:type="dxa"/>
                  </w:tcMar>
                  <w:vAlign w:val="center"/>
                </w:tcPr>
                <w:tbl>
                  <w:tblPr>
                    <w:tblStyle w:val="2"/>
                    <w:tblW w:w="8068" w:type="dxa"/>
                    <w:tblInd w:w="3"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0" w:type="dxa"/>
                      <w:bottom w:w="0" w:type="dxa"/>
                      <w:right w:w="0" w:type="dxa"/>
                    </w:tblCellMar>
                  </w:tblPr>
                  <w:tblGrid>
                    <w:gridCol w:w="318"/>
                    <w:gridCol w:w="452"/>
                    <w:gridCol w:w="1607"/>
                    <w:gridCol w:w="1574"/>
                    <w:gridCol w:w="1507"/>
                    <w:gridCol w:w="1155"/>
                    <w:gridCol w:w="1455"/>
                  </w:tblGrid>
                  <w:tr w14:paraId="15BBD05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1555" w:hRule="atLeast"/>
                    </w:trPr>
                    <w:tc>
                      <w:tcPr>
                        <w:tcW w:w="197" w:type="pct"/>
                        <w:noWrap w:val="0"/>
                        <w:vAlign w:val="center"/>
                      </w:tcPr>
                      <w:p w14:paraId="4483C9DB">
                        <w:pPr>
                          <w:spacing w:before="0" w:beforeAutospacing="0" w:after="0" w:afterAutospacing="0" w:line="18" w:lineRule="atLeast"/>
                          <w:ind w:left="0" w:right="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序号</w:t>
                        </w:r>
                      </w:p>
                    </w:tc>
                    <w:tc>
                      <w:tcPr>
                        <w:tcW w:w="280" w:type="pct"/>
                        <w:noWrap w:val="0"/>
                        <w:vAlign w:val="center"/>
                      </w:tcPr>
                      <w:p w14:paraId="79E2EFB3">
                        <w:pPr>
                          <w:spacing w:before="0" w:beforeAutospacing="0" w:after="0" w:afterAutospacing="0" w:line="18" w:lineRule="atLeast"/>
                          <w:ind w:left="0" w:right="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包号</w:t>
                        </w:r>
                      </w:p>
                    </w:tc>
                    <w:tc>
                      <w:tcPr>
                        <w:tcW w:w="995" w:type="pct"/>
                        <w:noWrap w:val="0"/>
                        <w:vAlign w:val="center"/>
                      </w:tcPr>
                      <w:p w14:paraId="6AC4AD9B">
                        <w:pPr>
                          <w:spacing w:before="0" w:beforeAutospacing="0" w:after="0" w:afterAutospacing="0" w:line="18" w:lineRule="atLeast"/>
                          <w:ind w:left="0" w:right="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包名称</w:t>
                        </w:r>
                      </w:p>
                    </w:tc>
                    <w:tc>
                      <w:tcPr>
                        <w:tcW w:w="975" w:type="pct"/>
                        <w:noWrap w:val="0"/>
                        <w:vAlign w:val="center"/>
                      </w:tcPr>
                      <w:p w14:paraId="7D97B03C">
                        <w:pPr>
                          <w:spacing w:before="0" w:beforeAutospacing="0" w:after="0" w:afterAutospacing="0" w:line="18" w:lineRule="atLeast"/>
                          <w:ind w:left="0" w:right="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包预算（元）</w:t>
                        </w:r>
                      </w:p>
                    </w:tc>
                    <w:tc>
                      <w:tcPr>
                        <w:tcW w:w="933" w:type="pct"/>
                        <w:noWrap w:val="0"/>
                        <w:vAlign w:val="center"/>
                      </w:tcPr>
                      <w:p w14:paraId="2502409C">
                        <w:pPr>
                          <w:spacing w:before="0" w:beforeAutospacing="0" w:after="0" w:afterAutospacing="0" w:line="18" w:lineRule="atLeast"/>
                          <w:ind w:left="0" w:right="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包最高限价（元）</w:t>
                        </w:r>
                      </w:p>
                    </w:tc>
                    <w:tc>
                      <w:tcPr>
                        <w:tcW w:w="715" w:type="pct"/>
                        <w:tcBorders>
                          <w:right w:val="single" w:color="auto" w:sz="4" w:space="0"/>
                        </w:tcBorders>
                        <w:noWrap w:val="0"/>
                        <w:vAlign w:val="center"/>
                      </w:tcPr>
                      <w:p w14:paraId="20FF9ADB">
                        <w:pPr>
                          <w:spacing w:before="0" w:beforeAutospacing="0" w:after="0" w:afterAutospacing="0" w:line="18" w:lineRule="atLeast"/>
                          <w:ind w:left="0" w:right="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是否专门面向中小企业</w:t>
                        </w:r>
                      </w:p>
                    </w:tc>
                    <w:tc>
                      <w:tcPr>
                        <w:tcW w:w="901" w:type="pct"/>
                        <w:tcBorders>
                          <w:left w:val="single" w:color="auto" w:sz="4" w:space="0"/>
                        </w:tcBorders>
                        <w:noWrap w:val="0"/>
                        <w:vAlign w:val="center"/>
                      </w:tcPr>
                      <w:p w14:paraId="77B0B38C">
                        <w:pPr>
                          <w:spacing w:before="0" w:beforeAutospacing="0" w:after="0" w:afterAutospacing="0" w:line="18" w:lineRule="atLeast"/>
                          <w:ind w:left="0" w:right="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采购预留金额（元）</w:t>
                        </w:r>
                      </w:p>
                    </w:tc>
                  </w:tr>
                  <w:tr w14:paraId="1EE0B71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1366" w:hRule="atLeast"/>
                    </w:trPr>
                    <w:tc>
                      <w:tcPr>
                        <w:tcW w:w="197" w:type="pct"/>
                        <w:noWrap w:val="0"/>
                        <w:vAlign w:val="center"/>
                      </w:tcPr>
                      <w:p w14:paraId="20829B48">
                        <w:pPr>
                          <w:spacing w:before="0" w:beforeAutospacing="0" w:after="0" w:afterAutospacing="0" w:line="18" w:lineRule="atLeast"/>
                          <w:ind w:left="0" w:right="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w:t>
                        </w:r>
                      </w:p>
                    </w:tc>
                    <w:tc>
                      <w:tcPr>
                        <w:tcW w:w="280" w:type="pct"/>
                        <w:noWrap w:val="0"/>
                        <w:vAlign w:val="center"/>
                      </w:tcPr>
                      <w:p w14:paraId="61719861">
                        <w:pPr>
                          <w:spacing w:before="0" w:beforeAutospacing="0" w:after="0" w:afterAutospacing="0" w:line="18" w:lineRule="atLeast"/>
                          <w:ind w:left="0" w:right="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A</w:t>
                        </w:r>
                      </w:p>
                    </w:tc>
                    <w:tc>
                      <w:tcPr>
                        <w:tcW w:w="995" w:type="pct"/>
                        <w:noWrap w:val="0"/>
                        <w:vAlign w:val="center"/>
                      </w:tcPr>
                      <w:p w14:paraId="55CCB112">
                        <w:pPr>
                          <w:spacing w:before="0" w:beforeAutospacing="0" w:after="0" w:afterAutospacing="0" w:line="18" w:lineRule="atLeast"/>
                          <w:ind w:left="0" w:right="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上蔡县杨岗河柴冀闸上游(柴冀闸至堤草王村)段治理工程勘测设计项目</w:t>
                        </w:r>
                        <w:r>
                          <w:rPr>
                            <w:rFonts w:hint="eastAsia" w:ascii="宋体" w:hAnsi="宋体" w:eastAsia="宋体" w:cs="宋体"/>
                            <w:kern w:val="2"/>
                            <w:sz w:val="24"/>
                            <w:szCs w:val="24"/>
                            <w:highlight w:val="none"/>
                            <w:lang w:val="en-US" w:eastAsia="zh-CN" w:bidi="ar-SA"/>
                          </w:rPr>
                          <w:t>A包</w:t>
                        </w:r>
                      </w:p>
                    </w:tc>
                    <w:tc>
                      <w:tcPr>
                        <w:tcW w:w="975" w:type="pct"/>
                        <w:noWrap w:val="0"/>
                        <w:vAlign w:val="center"/>
                      </w:tcPr>
                      <w:p w14:paraId="78C998C2">
                        <w:pPr>
                          <w:spacing w:before="0" w:beforeAutospacing="0" w:after="0" w:afterAutospacing="0" w:line="18" w:lineRule="atLeast"/>
                          <w:ind w:left="0" w:right="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625900.00</w:t>
                        </w:r>
                      </w:p>
                    </w:tc>
                    <w:tc>
                      <w:tcPr>
                        <w:tcW w:w="933" w:type="pct"/>
                        <w:noWrap w:val="0"/>
                        <w:vAlign w:val="center"/>
                      </w:tcPr>
                      <w:p w14:paraId="1F8DBE96">
                        <w:pPr>
                          <w:spacing w:before="0" w:beforeAutospacing="0" w:after="0" w:afterAutospacing="0" w:line="18" w:lineRule="atLeast"/>
                          <w:ind w:left="0" w:right="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625900.00</w:t>
                        </w:r>
                      </w:p>
                    </w:tc>
                    <w:tc>
                      <w:tcPr>
                        <w:tcW w:w="715" w:type="pct"/>
                        <w:tcBorders>
                          <w:right w:val="single" w:color="auto" w:sz="4" w:space="0"/>
                        </w:tcBorders>
                        <w:noWrap w:val="0"/>
                        <w:vAlign w:val="center"/>
                      </w:tcPr>
                      <w:p w14:paraId="75E4A85E">
                        <w:pPr>
                          <w:spacing w:before="0" w:beforeAutospacing="0" w:after="0" w:afterAutospacing="0" w:line="18" w:lineRule="atLeast"/>
                          <w:ind w:left="0" w:right="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是 </w:t>
                        </w:r>
                      </w:p>
                    </w:tc>
                    <w:tc>
                      <w:tcPr>
                        <w:tcW w:w="901" w:type="pct"/>
                        <w:tcBorders>
                          <w:left w:val="single" w:color="auto" w:sz="4" w:space="0"/>
                        </w:tcBorders>
                        <w:noWrap w:val="0"/>
                        <w:vAlign w:val="center"/>
                      </w:tcPr>
                      <w:p w14:paraId="75353770">
                        <w:pPr>
                          <w:spacing w:before="0" w:beforeAutospacing="0" w:after="0" w:afterAutospacing="0" w:line="18" w:lineRule="atLeast"/>
                          <w:ind w:left="0" w:right="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625900.00</w:t>
                        </w:r>
                      </w:p>
                    </w:tc>
                  </w:tr>
                </w:tbl>
                <w:p w14:paraId="466B849D">
                  <w:pPr>
                    <w:spacing w:before="0" w:beforeAutospacing="0" w:after="0" w:afterAutospacing="0" w:line="18" w:lineRule="atLeast"/>
                    <w:ind w:left="0" w:right="0"/>
                    <w:jc w:val="center"/>
                    <w:rPr>
                      <w:rFonts w:hint="eastAsia" w:ascii="微软雅黑" w:hAnsi="微软雅黑" w:eastAsia="微软雅黑" w:cs="微软雅黑"/>
                      <w:color w:val="333333"/>
                    </w:rPr>
                  </w:pPr>
                </w:p>
              </w:tc>
            </w:tr>
          </w:tbl>
          <w:p w14:paraId="299BE014">
            <w:pPr>
              <w:spacing w:before="0" w:beforeAutospacing="0" w:after="0" w:afterAutospacing="0" w:line="18" w:lineRule="atLeast"/>
              <w:ind w:left="0" w:right="0"/>
              <w:jc w:val="center"/>
              <w:rPr>
                <w:rFonts w:hint="eastAsia" w:ascii="微软雅黑" w:hAnsi="微软雅黑" w:eastAsia="微软雅黑" w:cs="微软雅黑"/>
                <w:color w:val="333333"/>
              </w:rPr>
            </w:pPr>
          </w:p>
        </w:tc>
      </w:tr>
    </w:tbl>
    <w:p w14:paraId="1D852C36">
      <w:pPr>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采购需求</w:t>
      </w:r>
      <w:r>
        <w:rPr>
          <w:rFonts w:hint="eastAsia" w:ascii="宋体" w:hAnsi="宋体" w:eastAsia="宋体" w:cs="宋体"/>
          <w:sz w:val="24"/>
          <w:szCs w:val="24"/>
          <w:highlight w:val="none"/>
          <w:lang w:eastAsia="zh-CN"/>
        </w:rPr>
        <w:t>：（包括但不限于标的的名称、数量、简要技术需求或服务要求等）</w:t>
      </w:r>
      <w:r>
        <w:rPr>
          <w:rFonts w:hint="eastAsia" w:ascii="宋体" w:hAnsi="宋体" w:eastAsia="宋体" w:cs="宋体"/>
          <w:color w:val="auto"/>
          <w:sz w:val="24"/>
          <w:szCs w:val="24"/>
          <w:highlight w:val="none"/>
          <w:lang w:eastAsia="zh-CN"/>
        </w:rPr>
        <w:t>详见</w:t>
      </w:r>
      <w:r>
        <w:rPr>
          <w:rFonts w:hint="eastAsia" w:ascii="宋体" w:hAnsi="宋体" w:eastAsia="宋体" w:cs="宋体"/>
          <w:color w:val="auto"/>
          <w:sz w:val="24"/>
          <w:szCs w:val="24"/>
          <w:highlight w:val="none"/>
        </w:rPr>
        <w:t>竞争性</w:t>
      </w:r>
      <w:r>
        <w:rPr>
          <w:rFonts w:hint="eastAsia" w:ascii="宋体" w:hAnsi="宋体" w:eastAsia="宋体" w:cs="宋体"/>
          <w:color w:val="auto"/>
          <w:sz w:val="24"/>
          <w:szCs w:val="24"/>
          <w:highlight w:val="none"/>
          <w:lang w:eastAsia="zh-CN"/>
        </w:rPr>
        <w:t>磋商文件。</w:t>
      </w:r>
    </w:p>
    <w:p w14:paraId="2062DFDD">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yellow"/>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合同履行期限：</w:t>
      </w:r>
      <w:r>
        <w:rPr>
          <w:rFonts w:hint="eastAsia" w:ascii="宋体" w:hAnsi="宋体" w:eastAsia="宋体" w:cs="宋体"/>
          <w:color w:val="000000"/>
          <w:sz w:val="24"/>
          <w:szCs w:val="24"/>
          <w:highlight w:val="none"/>
        </w:rPr>
        <w:t>签订合同之日起</w:t>
      </w:r>
      <w:r>
        <w:rPr>
          <w:rFonts w:hint="eastAsia" w:ascii="宋体" w:hAnsi="宋体" w:eastAsia="宋体" w:cs="宋体"/>
          <w:color w:val="000000"/>
          <w:sz w:val="24"/>
          <w:szCs w:val="24"/>
          <w:highlight w:val="none"/>
          <w:lang w:val="en-US" w:eastAsia="zh-CN"/>
        </w:rPr>
        <w:t>20日历天</w:t>
      </w:r>
      <w:r>
        <w:rPr>
          <w:rFonts w:hint="eastAsia" w:ascii="宋体" w:hAnsi="宋体" w:eastAsia="宋体" w:cs="宋体"/>
          <w:color w:val="auto"/>
          <w:sz w:val="24"/>
          <w:szCs w:val="24"/>
          <w:highlight w:val="none"/>
          <w:lang w:val="en-US" w:eastAsia="zh-CN"/>
        </w:rPr>
        <w:t>。</w:t>
      </w:r>
    </w:p>
    <w:p w14:paraId="64193F32">
      <w:pPr>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lang w:eastAsia="zh-CN"/>
        </w:rPr>
        <w:t>本项目是否接受联合体：否</w:t>
      </w:r>
    </w:p>
    <w:p w14:paraId="75CF4E29">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8、是否接受进口产品：否</w:t>
      </w:r>
    </w:p>
    <w:p w14:paraId="476A5BCB">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9、是否专门面向中小企业：是</w:t>
      </w:r>
    </w:p>
    <w:p w14:paraId="30D19905">
      <w:pPr>
        <w:numPr>
          <w:ilvl w:val="0"/>
          <w:numId w:val="1"/>
        </w:numPr>
        <w:bidi w:val="0"/>
        <w:spacing w:line="360" w:lineRule="auto"/>
        <w:rPr>
          <w:rFonts w:hint="eastAsia" w:ascii="宋体" w:hAnsi="宋体" w:eastAsia="宋体" w:cs="宋体"/>
          <w:b/>
          <w:bCs/>
          <w:sz w:val="24"/>
          <w:szCs w:val="24"/>
        </w:rPr>
      </w:pPr>
      <w:bookmarkStart w:id="4" w:name="_Toc28359090"/>
      <w:bookmarkStart w:id="5" w:name="_Toc35393799"/>
      <w:bookmarkStart w:id="6" w:name="_Toc28359013"/>
      <w:bookmarkStart w:id="7" w:name="_Toc35393630"/>
      <w:r>
        <w:rPr>
          <w:rFonts w:hint="eastAsia" w:ascii="宋体" w:hAnsi="宋体" w:eastAsia="宋体" w:cs="宋体"/>
          <w:b/>
          <w:bCs/>
          <w:sz w:val="24"/>
          <w:szCs w:val="24"/>
        </w:rPr>
        <w:t>申请人的资格要求</w:t>
      </w:r>
      <w:bookmarkEnd w:id="4"/>
      <w:bookmarkEnd w:id="5"/>
      <w:bookmarkEnd w:id="6"/>
      <w:bookmarkEnd w:id="7"/>
    </w:p>
    <w:p w14:paraId="4A629A29">
      <w:pPr>
        <w:spacing w:line="360" w:lineRule="auto"/>
        <w:ind w:firstLine="480" w:firstLineChars="200"/>
        <w:rPr>
          <w:rFonts w:hint="eastAsia" w:ascii="宋体" w:hAnsi="宋体" w:cs="宋体"/>
          <w:sz w:val="24"/>
        </w:rPr>
      </w:pPr>
      <w:bookmarkStart w:id="8" w:name="_Toc28359091"/>
      <w:bookmarkStart w:id="9" w:name="_Toc28359014"/>
      <w:r>
        <w:rPr>
          <w:rFonts w:hint="eastAsia" w:ascii="宋体" w:hAnsi="宋体" w:cs="宋体"/>
          <w:sz w:val="24"/>
        </w:rPr>
        <w:t>1</w:t>
      </w:r>
      <w:r>
        <w:rPr>
          <w:rFonts w:hint="eastAsia" w:ascii="宋体" w:hAnsi="宋体" w:eastAsia="宋体" w:cs="宋体"/>
          <w:sz w:val="24"/>
          <w:szCs w:val="24"/>
          <w:highlight w:val="none"/>
          <w:lang w:val="en-US" w:eastAsia="zh-CN"/>
        </w:rPr>
        <w:t>、</w:t>
      </w:r>
      <w:r>
        <w:rPr>
          <w:rFonts w:hint="eastAsia" w:ascii="宋体" w:hAnsi="宋体" w:cs="宋体"/>
          <w:sz w:val="24"/>
        </w:rPr>
        <w:t>满足《中华人民共和国政府采购法》第二十二条规定；</w:t>
      </w:r>
    </w:p>
    <w:p w14:paraId="5E5B2886">
      <w:pPr>
        <w:widowControl/>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eastAsia="宋体" w:cs="宋体"/>
          <w:sz w:val="24"/>
          <w:szCs w:val="24"/>
          <w:highlight w:val="none"/>
          <w:lang w:val="en-US" w:eastAsia="zh-CN"/>
        </w:rPr>
        <w:t>、</w:t>
      </w:r>
      <w:r>
        <w:rPr>
          <w:rFonts w:hint="eastAsia" w:ascii="宋体" w:hAnsi="宋体" w:cs="宋体"/>
          <w:sz w:val="24"/>
        </w:rPr>
        <w:t>落实政府采购政策需满足的资格要求：本项目专门面向中小企业采购，供应商应为中小微企业或监狱企业或残疾人福利性单位；</w:t>
      </w:r>
    </w:p>
    <w:p w14:paraId="747C697E">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3</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rPr>
        <w:t>本项目的特定资格要求：</w:t>
      </w:r>
    </w:p>
    <w:p w14:paraId="09D539A7">
      <w:pPr>
        <w:spacing w:line="360" w:lineRule="auto"/>
        <w:ind w:firstLine="540"/>
        <w:rPr>
          <w:rFonts w:hint="eastAsia" w:eastAsia="新宋体"/>
          <w:color w:val="auto"/>
          <w:sz w:val="24"/>
          <w:lang w:val="en-US" w:eastAsia="zh-CN"/>
        </w:rPr>
      </w:pPr>
      <w:bookmarkStart w:id="10" w:name="_Toc35393631"/>
      <w:bookmarkStart w:id="11" w:name="_Toc35393800"/>
      <w:r>
        <w:rPr>
          <w:rFonts w:hint="eastAsia" w:eastAsia="新宋体"/>
          <w:color w:val="auto"/>
          <w:sz w:val="24"/>
          <w:lang w:val="en-US" w:eastAsia="zh-CN"/>
        </w:rPr>
        <w:t>3.1（1）供应商应具有建设行政主管部门颁发的水利行业乙级及以上设计资质；（2）供应商应具有建设行政主管部门颁发的工程勘察专业类乙级及以上资质。</w:t>
      </w:r>
    </w:p>
    <w:p w14:paraId="6784859E">
      <w:pPr>
        <w:spacing w:line="360" w:lineRule="auto"/>
        <w:ind w:firstLine="540"/>
        <w:rPr>
          <w:rFonts w:hint="eastAsia" w:eastAsia="新宋体"/>
          <w:color w:val="auto"/>
          <w:sz w:val="24"/>
          <w:lang w:val="en-US" w:eastAsia="zh-CN"/>
        </w:rPr>
      </w:pPr>
      <w:r>
        <w:rPr>
          <w:rFonts w:hint="eastAsia" w:eastAsia="新宋体"/>
          <w:color w:val="auto"/>
          <w:sz w:val="24"/>
          <w:lang w:val="en-US" w:eastAsia="zh-CN"/>
        </w:rPr>
        <w:t xml:space="preserve">  3.2拟派项目负责人须具有水利专业高级工程师职称证书，须为单位正式职工（提供2024年7月以来连续3个月社保证明）；</w:t>
      </w:r>
    </w:p>
    <w:p w14:paraId="5DE3A1A8">
      <w:pPr>
        <w:spacing w:line="360" w:lineRule="auto"/>
        <w:ind w:firstLine="540"/>
        <w:rPr>
          <w:rFonts w:hint="default" w:eastAsia="新宋体"/>
          <w:color w:val="auto"/>
          <w:sz w:val="24"/>
          <w:lang w:val="en-US" w:eastAsia="zh-CN"/>
        </w:rPr>
      </w:pPr>
      <w:r>
        <w:rPr>
          <w:rFonts w:hint="eastAsia" w:eastAsia="新宋体"/>
          <w:color w:val="auto"/>
          <w:sz w:val="24"/>
          <w:lang w:val="en-US" w:eastAsia="zh-CN"/>
        </w:rPr>
        <w:t>3.3根据《关于在政府采购活动中查询及使用信用记录有关问题的通知》(财库[2016]125 号)的规定，对列入失信被执行人、重大税收违法失信主体、政府采购严重违法失信行为记录名单的投标人，拒绝参与本项目政府采购活动【查询渠道 ：“ 信用中国 ”网站 ( www.creditchina.gov.cn ) 、中国政府采购网(www.ccgp.gov.cn)】(提供查询网页截图并加盖单位公章，查询日期需在本项目发布公告日期后)。</w:t>
      </w:r>
    </w:p>
    <w:p w14:paraId="1183E393">
      <w:pPr>
        <w:bidi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rPr>
        <w:t>三、获取采</w:t>
      </w:r>
      <w:r>
        <w:rPr>
          <w:rFonts w:hint="eastAsia" w:ascii="宋体" w:hAnsi="宋体" w:eastAsia="宋体" w:cs="宋体"/>
          <w:b/>
          <w:bCs/>
          <w:sz w:val="24"/>
          <w:szCs w:val="24"/>
          <w:highlight w:val="none"/>
        </w:rPr>
        <w:t>购文件</w:t>
      </w:r>
      <w:bookmarkEnd w:id="8"/>
      <w:bookmarkEnd w:id="9"/>
      <w:bookmarkEnd w:id="10"/>
      <w:bookmarkEnd w:id="11"/>
    </w:p>
    <w:p w14:paraId="7E76E7AE">
      <w:pPr>
        <w:pageBreakBefore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时间：</w:t>
      </w:r>
      <w:r>
        <w:rPr>
          <w:rFonts w:hint="eastAsia" w:ascii="宋体" w:hAnsi="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rPr>
        <w:t>日</w:t>
      </w:r>
      <w:r>
        <w:rPr>
          <w:rFonts w:hint="eastAsia" w:ascii="宋体" w:hAnsi="宋体" w:eastAsia="宋体" w:cs="宋体"/>
          <w:sz w:val="24"/>
          <w:szCs w:val="24"/>
          <w:highlight w:val="none"/>
        </w:rPr>
        <w:t>至</w:t>
      </w:r>
      <w:r>
        <w:rPr>
          <w:rFonts w:hint="eastAsia" w:ascii="宋体" w:hAnsi="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29</w:t>
      </w:r>
      <w:r>
        <w:rPr>
          <w:rFonts w:hint="eastAsia" w:ascii="宋体" w:hAnsi="宋体" w:eastAsia="宋体" w:cs="宋体"/>
          <w:color w:val="auto"/>
          <w:sz w:val="24"/>
          <w:szCs w:val="24"/>
          <w:highlight w:val="none"/>
        </w:rPr>
        <w:t>日</w:t>
      </w:r>
      <w:r>
        <w:rPr>
          <w:rFonts w:hint="eastAsia" w:ascii="宋体" w:hAnsi="宋体" w:eastAsia="宋体" w:cs="宋体"/>
          <w:sz w:val="24"/>
          <w:szCs w:val="24"/>
          <w:highlight w:val="none"/>
        </w:rPr>
        <w:t>，每天上午</w:t>
      </w:r>
      <w:r>
        <w:rPr>
          <w:rFonts w:hint="eastAsia" w:ascii="宋体" w:hAnsi="宋体" w:eastAsia="宋体" w:cs="宋体"/>
          <w:sz w:val="24"/>
          <w:szCs w:val="24"/>
          <w:highlight w:val="none"/>
          <w:lang w:val="en-US" w:eastAsia="zh-CN"/>
        </w:rPr>
        <w:t>08:00</w:t>
      </w:r>
      <w:r>
        <w:rPr>
          <w:rFonts w:hint="eastAsia" w:ascii="宋体" w:hAnsi="宋体" w:eastAsia="宋体" w:cs="宋体"/>
          <w:sz w:val="24"/>
          <w:szCs w:val="24"/>
          <w:highlight w:val="none"/>
        </w:rPr>
        <w:t>至</w:t>
      </w:r>
      <w:r>
        <w:rPr>
          <w:rFonts w:hint="eastAsia" w:ascii="宋体" w:hAnsi="宋体" w:eastAsia="宋体" w:cs="宋体"/>
          <w:sz w:val="24"/>
          <w:szCs w:val="24"/>
          <w:highlight w:val="none"/>
          <w:lang w:val="en-US" w:eastAsia="zh-CN"/>
        </w:rPr>
        <w:t>12:00</w:t>
      </w:r>
      <w:r>
        <w:rPr>
          <w:rFonts w:hint="eastAsia" w:ascii="宋体" w:hAnsi="宋体" w:eastAsia="宋体" w:cs="宋体"/>
          <w:sz w:val="24"/>
          <w:szCs w:val="24"/>
          <w:highlight w:val="none"/>
        </w:rPr>
        <w:t>，下午</w:t>
      </w:r>
      <w:r>
        <w:rPr>
          <w:rFonts w:hint="eastAsia" w:ascii="宋体" w:hAnsi="宋体" w:eastAsia="宋体" w:cs="宋体"/>
          <w:sz w:val="24"/>
          <w:szCs w:val="24"/>
          <w:highlight w:val="none"/>
          <w:lang w:val="en-US" w:eastAsia="zh-CN"/>
        </w:rPr>
        <w:t>12:00</w:t>
      </w:r>
      <w:r>
        <w:rPr>
          <w:rFonts w:hint="eastAsia" w:ascii="宋体" w:hAnsi="宋体" w:eastAsia="宋体" w:cs="宋体"/>
          <w:sz w:val="24"/>
          <w:szCs w:val="24"/>
          <w:highlight w:val="none"/>
        </w:rPr>
        <w:t>至</w:t>
      </w:r>
      <w:r>
        <w:rPr>
          <w:rFonts w:hint="eastAsia" w:ascii="宋体" w:hAnsi="宋体" w:eastAsia="宋体" w:cs="宋体"/>
          <w:sz w:val="24"/>
          <w:szCs w:val="24"/>
          <w:highlight w:val="none"/>
          <w:lang w:val="en-US" w:eastAsia="zh-CN"/>
        </w:rPr>
        <w:t>18：00</w:t>
      </w:r>
      <w:r>
        <w:rPr>
          <w:rFonts w:hint="eastAsia" w:ascii="宋体" w:hAnsi="宋体" w:eastAsia="宋体" w:cs="宋体"/>
          <w:sz w:val="24"/>
          <w:szCs w:val="24"/>
          <w:highlight w:val="none"/>
        </w:rPr>
        <w:t>（北京时间，法定节假日除外 ）</w:t>
      </w:r>
      <w:r>
        <w:rPr>
          <w:rFonts w:hint="eastAsia" w:ascii="宋体" w:hAnsi="宋体" w:eastAsia="宋体" w:cs="宋体"/>
          <w:sz w:val="24"/>
          <w:szCs w:val="24"/>
          <w:highlight w:val="none"/>
          <w:lang w:eastAsia="zh-CN"/>
        </w:rPr>
        <w:t>；</w:t>
      </w:r>
    </w:p>
    <w:p w14:paraId="7B2AA800">
      <w:pPr>
        <w:pageBreakBefore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地点：</w:t>
      </w:r>
      <w:r>
        <w:rPr>
          <w:rFonts w:hint="eastAsia" w:ascii="宋体" w:hAnsi="宋体" w:eastAsia="宋体" w:cs="宋体"/>
          <w:sz w:val="24"/>
          <w:szCs w:val="24"/>
          <w:highlight w:val="none"/>
          <w:lang w:val="en-US" w:eastAsia="zh-CN"/>
        </w:rPr>
        <w:t>驻马店市公共资源交易平台网站（https://ggzy.zhumadian.gov.cn/）；</w:t>
      </w:r>
    </w:p>
    <w:p w14:paraId="394C1E3A">
      <w:pPr>
        <w:pageBreakBefore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方式：凭CA密钥</w:t>
      </w:r>
      <w:r>
        <w:rPr>
          <w:rFonts w:hint="eastAsia" w:ascii="宋体" w:hAnsi="宋体" w:eastAsia="宋体" w:cs="宋体"/>
          <w:sz w:val="24"/>
          <w:szCs w:val="24"/>
          <w:highlight w:val="none"/>
          <w:lang w:eastAsia="zh-CN"/>
        </w:rPr>
        <w:t>登录</w:t>
      </w:r>
      <w:r>
        <w:rPr>
          <w:rFonts w:hint="eastAsia" w:ascii="宋体" w:hAnsi="宋体" w:eastAsia="宋体" w:cs="宋体"/>
          <w:sz w:val="24"/>
          <w:szCs w:val="24"/>
          <w:highlight w:val="none"/>
        </w:rPr>
        <w:t>会员系统并按网上提示下载</w:t>
      </w:r>
      <w:r>
        <w:rPr>
          <w:rFonts w:hint="eastAsia" w:ascii="宋体" w:hAnsi="宋体" w:eastAsia="宋体" w:cs="宋体"/>
          <w:sz w:val="24"/>
          <w:szCs w:val="24"/>
          <w:highlight w:val="none"/>
          <w:lang w:eastAsia="zh-CN"/>
        </w:rPr>
        <w:t>竞争性磋商</w:t>
      </w:r>
      <w:r>
        <w:rPr>
          <w:rFonts w:hint="eastAsia" w:ascii="宋体" w:hAnsi="宋体" w:eastAsia="宋体" w:cs="宋体"/>
          <w:sz w:val="24"/>
          <w:szCs w:val="24"/>
          <w:highlight w:val="none"/>
        </w:rPr>
        <w:t>文件及资料（详见交易平台网站下载中心栏目里操作手册）</w:t>
      </w:r>
      <w:r>
        <w:rPr>
          <w:rFonts w:hint="eastAsia" w:ascii="宋体" w:hAnsi="宋体" w:eastAsia="宋体" w:cs="宋体"/>
          <w:sz w:val="24"/>
          <w:szCs w:val="24"/>
          <w:highlight w:val="none"/>
          <w:lang w:eastAsia="zh-CN"/>
        </w:rPr>
        <w:t>；</w:t>
      </w:r>
    </w:p>
    <w:p w14:paraId="053F01E0">
      <w:pPr>
        <w:pageBreakBefore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售价：</w:t>
      </w:r>
      <w:r>
        <w:rPr>
          <w:rFonts w:hint="eastAsia" w:ascii="宋体" w:hAnsi="宋体" w:eastAsia="宋体" w:cs="宋体"/>
          <w:sz w:val="24"/>
          <w:szCs w:val="24"/>
          <w:highlight w:val="none"/>
          <w:lang w:val="en-US" w:eastAsia="zh-CN"/>
        </w:rPr>
        <w:t>0元。</w:t>
      </w:r>
    </w:p>
    <w:p w14:paraId="25DE21B4">
      <w:pPr>
        <w:bidi w:val="0"/>
        <w:spacing w:line="360" w:lineRule="auto"/>
        <w:rPr>
          <w:rFonts w:hint="eastAsia" w:ascii="宋体" w:hAnsi="宋体" w:eastAsia="宋体" w:cs="宋体"/>
          <w:b/>
          <w:bCs/>
          <w:sz w:val="24"/>
          <w:szCs w:val="24"/>
          <w:highlight w:val="none"/>
        </w:rPr>
      </w:pPr>
      <w:bookmarkStart w:id="12" w:name="_Toc28359015"/>
      <w:bookmarkStart w:id="13" w:name="_Toc28359092"/>
      <w:bookmarkStart w:id="14" w:name="_Toc35393801"/>
      <w:bookmarkStart w:id="15" w:name="_Toc35393632"/>
      <w:r>
        <w:rPr>
          <w:rFonts w:hint="eastAsia" w:ascii="宋体" w:hAnsi="宋体" w:eastAsia="宋体" w:cs="宋体"/>
          <w:b/>
          <w:bCs/>
          <w:sz w:val="24"/>
          <w:szCs w:val="24"/>
          <w:highlight w:val="none"/>
        </w:rPr>
        <w:t>四、响应文件提交</w:t>
      </w:r>
      <w:bookmarkEnd w:id="12"/>
      <w:bookmarkEnd w:id="13"/>
      <w:bookmarkEnd w:id="14"/>
      <w:bookmarkEnd w:id="15"/>
    </w:p>
    <w:p w14:paraId="3F6B71BC">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u w:val="singl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截止时间：</w:t>
      </w:r>
      <w:r>
        <w:rPr>
          <w:rFonts w:hint="eastAsia" w:ascii="宋体" w:hAnsi="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日</w:t>
      </w:r>
      <w:r>
        <w:rPr>
          <w:rFonts w:hint="eastAsia" w:ascii="宋体" w:hAnsi="宋体" w:cs="宋体"/>
          <w:bCs/>
          <w:sz w:val="24"/>
          <w:szCs w:val="24"/>
          <w:highlight w:val="none"/>
          <w:u w:val="none"/>
          <w:lang w:val="en-US" w:eastAsia="zh-CN"/>
        </w:rPr>
        <w:t>9</w:t>
      </w:r>
      <w:r>
        <w:rPr>
          <w:rFonts w:hint="eastAsia" w:ascii="宋体" w:hAnsi="宋体" w:eastAsia="宋体" w:cs="宋体"/>
          <w:bCs/>
          <w:sz w:val="24"/>
          <w:szCs w:val="24"/>
          <w:highlight w:val="none"/>
          <w:u w:val="none"/>
        </w:rPr>
        <w:t>点</w:t>
      </w:r>
      <w:r>
        <w:rPr>
          <w:rFonts w:hint="eastAsia" w:ascii="宋体" w:hAnsi="宋体" w:eastAsia="宋体" w:cs="宋体"/>
          <w:bCs/>
          <w:sz w:val="24"/>
          <w:szCs w:val="24"/>
          <w:highlight w:val="none"/>
          <w:u w:val="none"/>
          <w:lang w:val="en-US" w:eastAsia="zh-CN"/>
        </w:rPr>
        <w:t>00</w:t>
      </w:r>
      <w:r>
        <w:rPr>
          <w:rFonts w:hint="eastAsia" w:ascii="宋体" w:hAnsi="宋体" w:eastAsia="宋体" w:cs="宋体"/>
          <w:bCs/>
          <w:sz w:val="24"/>
          <w:szCs w:val="24"/>
          <w:highlight w:val="none"/>
          <w:u w:val="none"/>
        </w:rPr>
        <w:t>分</w:t>
      </w:r>
      <w:r>
        <w:rPr>
          <w:rFonts w:hint="eastAsia" w:ascii="宋体" w:hAnsi="宋体" w:eastAsia="宋体" w:cs="宋体"/>
          <w:bCs/>
          <w:sz w:val="24"/>
          <w:szCs w:val="24"/>
          <w:highlight w:val="none"/>
        </w:rPr>
        <w:t>（北京时间）</w:t>
      </w:r>
    </w:p>
    <w:p w14:paraId="3A7E6832">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u w:val="singl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地点：</w:t>
      </w:r>
      <w:r>
        <w:rPr>
          <w:rFonts w:hint="eastAsia" w:ascii="宋体" w:hAnsi="宋体" w:eastAsia="宋体" w:cs="宋体"/>
          <w:sz w:val="24"/>
          <w:szCs w:val="24"/>
          <w:highlight w:val="none"/>
          <w:lang w:val="en-US" w:eastAsia="zh-CN"/>
        </w:rPr>
        <w:t>驻马店市公共资源交易平台网站</w:t>
      </w:r>
      <w:r>
        <w:rPr>
          <w:rFonts w:hint="eastAsia" w:ascii="宋体" w:hAnsi="宋体" w:eastAsia="宋体" w:cs="宋体"/>
          <w:sz w:val="24"/>
          <w:szCs w:val="24"/>
          <w:highlight w:val="none"/>
        </w:rPr>
        <w:t>。</w:t>
      </w:r>
    </w:p>
    <w:p w14:paraId="659C06A6">
      <w:pPr>
        <w:bidi w:val="0"/>
        <w:spacing w:line="360" w:lineRule="auto"/>
        <w:rPr>
          <w:rFonts w:hint="eastAsia" w:ascii="宋体" w:hAnsi="宋体" w:eastAsia="宋体" w:cs="宋体"/>
          <w:b/>
          <w:bCs/>
          <w:sz w:val="24"/>
          <w:szCs w:val="24"/>
          <w:highlight w:val="none"/>
        </w:rPr>
      </w:pPr>
      <w:bookmarkStart w:id="16" w:name="_Toc28359093"/>
      <w:bookmarkStart w:id="17" w:name="_Toc35393633"/>
      <w:bookmarkStart w:id="18" w:name="_Toc35393802"/>
      <w:bookmarkStart w:id="19" w:name="_Toc28359016"/>
      <w:r>
        <w:rPr>
          <w:rFonts w:hint="eastAsia" w:ascii="宋体" w:hAnsi="宋体" w:eastAsia="宋体" w:cs="宋体"/>
          <w:b/>
          <w:bCs/>
          <w:sz w:val="24"/>
          <w:szCs w:val="24"/>
          <w:highlight w:val="none"/>
        </w:rPr>
        <w:t>五、开启</w:t>
      </w:r>
      <w:bookmarkEnd w:id="16"/>
      <w:bookmarkEnd w:id="17"/>
      <w:bookmarkEnd w:id="18"/>
      <w:bookmarkEnd w:id="19"/>
    </w:p>
    <w:p w14:paraId="2B71E86F">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u w:val="singl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时间：</w:t>
      </w:r>
      <w:r>
        <w:rPr>
          <w:rFonts w:hint="eastAsia" w:ascii="宋体" w:hAnsi="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日</w:t>
      </w:r>
      <w:r>
        <w:rPr>
          <w:rFonts w:hint="eastAsia" w:ascii="宋体" w:hAnsi="宋体" w:cs="宋体"/>
          <w:bCs/>
          <w:sz w:val="24"/>
          <w:szCs w:val="24"/>
          <w:highlight w:val="none"/>
          <w:u w:val="none"/>
          <w:lang w:val="en-US" w:eastAsia="zh-CN"/>
        </w:rPr>
        <w:t>9</w:t>
      </w:r>
      <w:r>
        <w:rPr>
          <w:rFonts w:hint="eastAsia" w:ascii="宋体" w:hAnsi="宋体" w:eastAsia="宋体" w:cs="宋体"/>
          <w:bCs/>
          <w:sz w:val="24"/>
          <w:szCs w:val="24"/>
          <w:highlight w:val="none"/>
          <w:u w:val="none"/>
        </w:rPr>
        <w:t>点</w:t>
      </w:r>
      <w:r>
        <w:rPr>
          <w:rFonts w:hint="eastAsia" w:ascii="宋体" w:hAnsi="宋体" w:eastAsia="宋体" w:cs="宋体"/>
          <w:bCs/>
          <w:sz w:val="24"/>
          <w:szCs w:val="24"/>
          <w:highlight w:val="none"/>
          <w:u w:val="none"/>
          <w:lang w:val="en-US" w:eastAsia="zh-CN"/>
        </w:rPr>
        <w:t>00</w:t>
      </w:r>
      <w:r>
        <w:rPr>
          <w:rFonts w:hint="eastAsia" w:ascii="宋体" w:hAnsi="宋体" w:eastAsia="宋体" w:cs="宋体"/>
          <w:bCs/>
          <w:sz w:val="24"/>
          <w:szCs w:val="24"/>
          <w:highlight w:val="none"/>
          <w:u w:val="none"/>
        </w:rPr>
        <w:t>分</w:t>
      </w:r>
      <w:r>
        <w:rPr>
          <w:rFonts w:hint="eastAsia" w:ascii="宋体" w:hAnsi="宋体" w:eastAsia="宋体" w:cs="宋体"/>
          <w:bCs/>
          <w:sz w:val="24"/>
          <w:szCs w:val="24"/>
          <w:highlight w:val="none"/>
        </w:rPr>
        <w:t>（北京时间）</w:t>
      </w:r>
    </w:p>
    <w:p w14:paraId="7CC0B4A1">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地点：</w:t>
      </w:r>
      <w:r>
        <w:rPr>
          <w:rFonts w:hint="eastAsia" w:ascii="宋体" w:hAnsi="宋体" w:cs="宋体"/>
          <w:color w:val="auto"/>
          <w:kern w:val="0"/>
          <w:sz w:val="24"/>
          <w:highlight w:val="none"/>
          <w:lang w:eastAsia="zh-CN"/>
        </w:rPr>
        <w:t>上蔡县</w:t>
      </w:r>
      <w:r>
        <w:rPr>
          <w:rFonts w:hint="eastAsia" w:ascii="宋体" w:hAnsi="宋体" w:cs="宋体"/>
          <w:color w:val="auto"/>
          <w:kern w:val="0"/>
          <w:sz w:val="24"/>
          <w:highlight w:val="none"/>
        </w:rPr>
        <w:t>公共资源交易中心不见面开标厅</w:t>
      </w:r>
      <w:bookmarkStart w:id="20" w:name="_Toc28359017"/>
      <w:bookmarkStart w:id="21" w:name="_Toc35393803"/>
      <w:bookmarkStart w:id="22" w:name="_Toc28359094"/>
      <w:bookmarkStart w:id="23" w:name="_Toc35393634"/>
    </w:p>
    <w:p w14:paraId="319AE738">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六、</w:t>
      </w:r>
      <w:bookmarkEnd w:id="20"/>
      <w:bookmarkEnd w:id="21"/>
      <w:bookmarkEnd w:id="22"/>
      <w:bookmarkEnd w:id="23"/>
      <w:r>
        <w:rPr>
          <w:rFonts w:hint="eastAsia" w:ascii="宋体" w:hAnsi="宋体" w:eastAsia="宋体" w:cs="宋体"/>
          <w:b/>
          <w:bCs/>
          <w:sz w:val="24"/>
          <w:szCs w:val="24"/>
          <w:highlight w:val="none"/>
        </w:rPr>
        <w:t>发布公告的媒介及公告期限</w:t>
      </w:r>
    </w:p>
    <w:p w14:paraId="26D2BF34">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本次公告在《河南省政府采购网》、《驻马店市公共资源交易平台》、《上蔡县人民政府网》上发布，公告期限为五个工作日</w:t>
      </w:r>
      <w:r>
        <w:rPr>
          <w:rFonts w:hint="eastAsia" w:ascii="宋体" w:hAnsi="宋体" w:eastAsia="宋体" w:cs="宋体"/>
          <w:kern w:val="0"/>
          <w:sz w:val="24"/>
          <w:szCs w:val="24"/>
          <w:highlight w:val="none"/>
        </w:rPr>
        <w:t>。</w:t>
      </w:r>
    </w:p>
    <w:p w14:paraId="4C51F7CF">
      <w:pPr>
        <w:bidi w:val="0"/>
        <w:spacing w:line="360" w:lineRule="auto"/>
        <w:rPr>
          <w:rFonts w:hint="eastAsia" w:ascii="宋体" w:hAnsi="宋体" w:eastAsia="宋体" w:cs="宋体"/>
          <w:b/>
          <w:bCs/>
          <w:sz w:val="24"/>
          <w:szCs w:val="24"/>
          <w:highlight w:val="none"/>
        </w:rPr>
      </w:pPr>
      <w:bookmarkStart w:id="24" w:name="_Toc35393635"/>
      <w:bookmarkStart w:id="25" w:name="_Toc35393804"/>
      <w:r>
        <w:rPr>
          <w:rFonts w:hint="eastAsia" w:ascii="宋体" w:hAnsi="宋体" w:eastAsia="宋体" w:cs="宋体"/>
          <w:b/>
          <w:bCs/>
          <w:sz w:val="24"/>
          <w:szCs w:val="24"/>
          <w:highlight w:val="none"/>
        </w:rPr>
        <w:t>七、其他补充事宜</w:t>
      </w:r>
      <w:bookmarkEnd w:id="24"/>
      <w:bookmarkEnd w:id="25"/>
    </w:p>
    <w:p w14:paraId="342A4A9F">
      <w:pPr>
        <w:bidi w:val="0"/>
        <w:spacing w:line="360" w:lineRule="auto"/>
        <w:ind w:firstLine="480" w:firstLineChars="200"/>
        <w:rPr>
          <w:rFonts w:hint="eastAsia" w:ascii="宋体" w:hAnsi="宋体" w:eastAsia="宋体" w:cs="宋体"/>
          <w:bCs/>
          <w:sz w:val="24"/>
          <w:szCs w:val="24"/>
          <w:highlight w:val="none"/>
          <w:u w:val="none"/>
          <w:lang w:val="en-US" w:eastAsia="zh-CN"/>
        </w:rPr>
      </w:pPr>
      <w:bookmarkStart w:id="26" w:name="_Toc35393636"/>
      <w:bookmarkStart w:id="27" w:name="_Toc28359095"/>
      <w:bookmarkStart w:id="28" w:name="_Toc35393805"/>
      <w:bookmarkStart w:id="29" w:name="_Toc28359018"/>
      <w:r>
        <w:rPr>
          <w:rFonts w:hint="eastAsia" w:ascii="宋体" w:hAnsi="宋体" w:eastAsia="宋体" w:cs="宋体"/>
          <w:bCs/>
          <w:sz w:val="24"/>
          <w:szCs w:val="24"/>
          <w:highlight w:val="none"/>
          <w:u w:val="none"/>
          <w:lang w:val="en-US" w:eastAsia="zh-CN"/>
        </w:rPr>
        <w:t>1.本项目使用远程不见面交易的模式。供应商应于提交响应文件截止时间前将加密电子响应文件(.zmdtf格式)在驻马店市公共资源交易中心电子交易平台加密上传，逾期上传其响应将被拒绝。</w:t>
      </w:r>
      <w:r>
        <w:rPr>
          <w:rFonts w:hint="eastAsia" w:ascii="宋体" w:hAnsi="宋体" w:eastAsia="宋体" w:cs="宋体"/>
          <w:bCs/>
          <w:sz w:val="24"/>
          <w:szCs w:val="24"/>
          <w:highlight w:val="none"/>
          <w:u w:val="none"/>
          <w:lang w:val="en-US" w:eastAsia="zh-CN"/>
        </w:rPr>
        <w:br w:type="textWrapping"/>
      </w:r>
      <w:r>
        <w:rPr>
          <w:rFonts w:hint="eastAsia" w:ascii="宋体" w:hAnsi="宋体" w:eastAsia="宋体" w:cs="宋体"/>
          <w:bCs/>
          <w:sz w:val="24"/>
          <w:szCs w:val="24"/>
          <w:highlight w:val="none"/>
          <w:u w:val="none"/>
          <w:lang w:val="en-US" w:eastAsia="zh-CN"/>
        </w:rPr>
        <w:t xml:space="preserve">    2.供应商注册:供应商首先通过“驻马店市公共资源交易中心（http://ggzy.zhumadian.gov.cn/）”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r>
        <w:rPr>
          <w:rFonts w:hint="eastAsia" w:ascii="宋体" w:hAnsi="宋体" w:eastAsia="宋体" w:cs="宋体"/>
          <w:bCs/>
          <w:sz w:val="24"/>
          <w:szCs w:val="24"/>
          <w:highlight w:val="none"/>
          <w:u w:val="none"/>
          <w:lang w:val="en-US" w:eastAsia="zh-CN"/>
        </w:rPr>
        <w:br w:type="textWrapping"/>
      </w:r>
      <w:r>
        <w:rPr>
          <w:rFonts w:hint="eastAsia" w:ascii="宋体" w:hAnsi="宋体" w:eastAsia="宋体" w:cs="宋体"/>
          <w:bCs/>
          <w:sz w:val="24"/>
          <w:szCs w:val="24"/>
          <w:highlight w:val="none"/>
          <w:u w:val="none"/>
          <w:lang w:val="en-US" w:eastAsia="zh-CN"/>
        </w:rPr>
        <w:t xml:space="preserve">    3.采购文件下载: 凡有意参加采购活动者，登录“驻马店市公共资源交易中心（http://ggzy.zhumadian.gov.cn/）”网站，凭领取的企业身份认证锁（CA密钥）登录系统进行网上免费下载采购文件。</w:t>
      </w:r>
    </w:p>
    <w:p w14:paraId="28083EE6">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八、凡对本次采购提出询问，请按以下方式联系</w:t>
      </w:r>
      <w:bookmarkEnd w:id="26"/>
      <w:bookmarkEnd w:id="27"/>
      <w:bookmarkEnd w:id="28"/>
      <w:bookmarkEnd w:id="29"/>
    </w:p>
    <w:p w14:paraId="39EDFC38">
      <w:pPr>
        <w:bidi w:val="0"/>
        <w:spacing w:line="360" w:lineRule="auto"/>
        <w:ind w:firstLine="480" w:firstLineChars="200"/>
        <w:rPr>
          <w:rFonts w:hint="eastAsia" w:ascii="宋体" w:hAnsi="宋体" w:eastAsia="宋体" w:cs="宋体"/>
          <w:sz w:val="24"/>
          <w:szCs w:val="24"/>
        </w:rPr>
      </w:pPr>
      <w:bookmarkStart w:id="30" w:name="_Toc28359096"/>
      <w:bookmarkStart w:id="31" w:name="_Toc28359019"/>
      <w:bookmarkStart w:id="32" w:name="_Toc35393806"/>
      <w:bookmarkStart w:id="33" w:name="_Toc35393637"/>
      <w:r>
        <w:rPr>
          <w:rFonts w:hint="eastAsia" w:ascii="宋体" w:hAnsi="宋体" w:eastAsia="宋体" w:cs="宋体"/>
          <w:sz w:val="24"/>
          <w:szCs w:val="24"/>
        </w:rPr>
        <w:t>1.采购人信息</w:t>
      </w:r>
      <w:bookmarkEnd w:id="30"/>
      <w:bookmarkEnd w:id="31"/>
      <w:bookmarkEnd w:id="32"/>
      <w:bookmarkEnd w:id="33"/>
    </w:p>
    <w:p w14:paraId="23F00480">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名称：上蔡县水利局</w:t>
      </w:r>
    </w:p>
    <w:p w14:paraId="46B3792E">
      <w:pPr>
        <w:pageBreakBefore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地址：上蔡县西大街</w:t>
      </w:r>
    </w:p>
    <w:p w14:paraId="76B34286">
      <w:pPr>
        <w:pageBreakBefore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联系人：王先生</w:t>
      </w:r>
    </w:p>
    <w:p w14:paraId="14EBA3A1">
      <w:pPr>
        <w:pageBreakBefore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 xml:space="preserve">联系方式：13939643183  </w:t>
      </w:r>
    </w:p>
    <w:p w14:paraId="4145797D">
      <w:pPr>
        <w:bidi w:val="0"/>
        <w:spacing w:line="360" w:lineRule="auto"/>
        <w:ind w:firstLine="480" w:firstLineChars="200"/>
        <w:rPr>
          <w:rFonts w:hint="eastAsia" w:ascii="宋体" w:hAnsi="宋体" w:eastAsia="宋体" w:cs="宋体"/>
          <w:sz w:val="24"/>
          <w:szCs w:val="24"/>
          <w:highlight w:val="none"/>
        </w:rPr>
      </w:pPr>
      <w:bookmarkStart w:id="34" w:name="_Toc28359097"/>
      <w:bookmarkStart w:id="35" w:name="_Toc35393638"/>
      <w:bookmarkStart w:id="36" w:name="_Toc35393807"/>
      <w:bookmarkStart w:id="37" w:name="_Toc28359020"/>
      <w:r>
        <w:rPr>
          <w:rFonts w:hint="eastAsia" w:ascii="宋体" w:hAnsi="宋体" w:eastAsia="宋体" w:cs="宋体"/>
          <w:sz w:val="24"/>
          <w:szCs w:val="24"/>
          <w:highlight w:val="none"/>
        </w:rPr>
        <w:t>2.采购代理机构信息</w:t>
      </w:r>
      <w:bookmarkEnd w:id="34"/>
      <w:bookmarkEnd w:id="35"/>
      <w:bookmarkEnd w:id="36"/>
      <w:bookmarkEnd w:id="37"/>
    </w:p>
    <w:p w14:paraId="2B29DF1B">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名称：</w:t>
      </w:r>
      <w:bookmarkStart w:id="38" w:name="_Toc28359098"/>
      <w:bookmarkStart w:id="39" w:name="_Toc35393808"/>
      <w:bookmarkStart w:id="40" w:name="_Toc28359021"/>
      <w:bookmarkStart w:id="41" w:name="_Toc35393639"/>
      <w:r>
        <w:rPr>
          <w:rFonts w:hint="eastAsia" w:ascii="宋体" w:hAnsi="宋体" w:eastAsia="宋体" w:cs="宋体"/>
          <w:sz w:val="24"/>
          <w:szCs w:val="24"/>
          <w:highlight w:val="none"/>
          <w:lang w:val="en-US" w:eastAsia="zh-CN"/>
        </w:rPr>
        <w:t>诚辉工程管理有限公司</w:t>
      </w:r>
    </w:p>
    <w:p w14:paraId="725AB48D">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办公地址：郑州高新区西三环路283号10幢9层44号 </w:t>
      </w:r>
    </w:p>
    <w:p w14:paraId="592D386C">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联系人：赵先生</w:t>
      </w:r>
    </w:p>
    <w:p w14:paraId="1A73B0FF">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联系方式：18037376334</w:t>
      </w:r>
    </w:p>
    <w:p w14:paraId="20BDC949">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3.项目联系方式</w:t>
      </w:r>
      <w:bookmarkEnd w:id="38"/>
      <w:bookmarkEnd w:id="39"/>
      <w:bookmarkEnd w:id="40"/>
      <w:bookmarkEnd w:id="41"/>
    </w:p>
    <w:p w14:paraId="24D75150">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联系人：赵先生 </w:t>
      </w:r>
    </w:p>
    <w:p w14:paraId="59CC2C5F">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联系方式：18037376334</w:t>
      </w:r>
    </w:p>
    <w:p w14:paraId="71955E5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CA6D64"/>
    <w:multiLevelType w:val="singleLevel"/>
    <w:tmpl w:val="2BCA6D6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B23E49"/>
    <w:rsid w:val="05B23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2025-07-22T01:57:00Z</dcterms:created>
  <dc:creator>闭月羞花</dc:creator>
  <cp:lastModifiedBy>闭月羞花</cp:lastModifiedBy>
  <dcterms:modified xsi:type="dcterms:W3CDTF">2025-07-22T01:58:25Z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7851142BB340461CB37FA99DBD486393_11</vt:lpwstr>
  </property>
  <property fmtid="{D5CDD505-2E9C-101B-9397-08002B2CF9AE}" pid="4" name="KSOTemplateDocerSaveRecord">
    <vt:lpwstr>eyJoZGlkIjoiZjI2MTdiZjE5M2QwYzYyYWVjNDJmOTkwMTg3MTM5YzkiLCJ1c2VySWQiOiIxMTU3MDY3OTgxIn0=</vt:lpwstr>
  </property>
</Properties>
</file>