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D8174">
      <w:pPr>
        <w:tabs>
          <w:tab w:val="left" w:pos="420"/>
        </w:tabs>
        <w:spacing w:before="0" w:after="0" w:line="1700" w:lineRule="auto"/>
        <w:ind w:left="0" w:right="0" w:firstLine="0"/>
        <w:jc w:val="center"/>
        <w:rPr>
          <w:rFonts w:ascii="Arial Black" w:hAnsi="Arial Black" w:eastAsia="Arial Black" w:cs="Arial Black"/>
          <w:b/>
          <w:color w:val="auto"/>
          <w:spacing w:val="36"/>
          <w:position w:val="0"/>
          <w:sz w:val="52"/>
          <w:highlight w:val="none"/>
          <w:shd w:val="clear" w:fill="auto"/>
        </w:rPr>
      </w:pPr>
      <w:r>
        <w:rPr>
          <w:rFonts w:ascii="宋体" w:hAnsi="宋体" w:eastAsia="宋体" w:cs="宋体"/>
          <w:b/>
          <w:color w:val="auto"/>
          <w:spacing w:val="36"/>
          <w:position w:val="0"/>
          <w:sz w:val="52"/>
          <w:highlight w:val="none"/>
          <w:shd w:val="clear" w:fill="auto"/>
        </w:rPr>
        <w:t>周口市公共资源交易中心</w:t>
      </w:r>
    </w:p>
    <w:p w14:paraId="29FF851B">
      <w:pPr>
        <w:pStyle w:val="90"/>
        <w:rPr>
          <w:color w:val="auto"/>
          <w:highlight w:val="none"/>
        </w:rPr>
      </w:pPr>
    </w:p>
    <w:p w14:paraId="0BDD8164">
      <w:pPr>
        <w:pStyle w:val="90"/>
        <w:rPr>
          <w:color w:val="auto"/>
          <w:highlight w:val="none"/>
        </w:rPr>
      </w:pPr>
    </w:p>
    <w:p w14:paraId="252CAFA5">
      <w:pPr>
        <w:pStyle w:val="90"/>
        <w:rPr>
          <w:color w:val="auto"/>
          <w:highlight w:val="none"/>
        </w:rPr>
      </w:pPr>
    </w:p>
    <w:p w14:paraId="069E8233">
      <w:pPr>
        <w:pStyle w:val="90"/>
        <w:rPr>
          <w:color w:val="auto"/>
          <w:highlight w:val="none"/>
        </w:rPr>
      </w:pPr>
    </w:p>
    <w:p w14:paraId="328AE404">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highlight w:val="none"/>
          <w:shd w:val="clear" w:fill="auto"/>
        </w:rPr>
      </w:pPr>
      <w:r>
        <w:rPr>
          <w:rFonts w:ascii="宋体" w:hAnsi="宋体" w:eastAsia="宋体" w:cs="宋体"/>
          <w:b/>
          <w:color w:val="auto"/>
          <w:spacing w:val="0"/>
          <w:position w:val="0"/>
          <w:sz w:val="52"/>
          <w:highlight w:val="none"/>
          <w:shd w:val="clear" w:fill="auto"/>
        </w:rPr>
        <w:t>竞争性磋商文件</w:t>
      </w:r>
    </w:p>
    <w:p w14:paraId="7624CDA8">
      <w:pPr>
        <w:tabs>
          <w:tab w:val="left" w:pos="315"/>
          <w:tab w:val="left" w:pos="8820"/>
        </w:tabs>
        <w:spacing w:before="0" w:after="0" w:line="500" w:lineRule="auto"/>
        <w:ind w:left="0" w:right="267" w:firstLine="0"/>
        <w:jc w:val="center"/>
        <w:rPr>
          <w:rFonts w:ascii="仿宋_GB2312" w:hAnsi="仿宋_GB2312" w:eastAsia="仿宋_GB2312" w:cs="仿宋_GB2312"/>
          <w:color w:val="auto"/>
          <w:spacing w:val="0"/>
          <w:position w:val="0"/>
          <w:sz w:val="44"/>
          <w:highlight w:val="none"/>
          <w:shd w:val="clear" w:fill="auto"/>
        </w:rPr>
      </w:pPr>
    </w:p>
    <w:p w14:paraId="24E34464">
      <w:pPr>
        <w:tabs>
          <w:tab w:val="left" w:pos="315"/>
          <w:tab w:val="left" w:pos="8820"/>
        </w:tabs>
        <w:spacing w:before="0" w:after="0" w:line="240" w:lineRule="auto"/>
        <w:ind w:left="0" w:right="267" w:firstLine="0"/>
        <w:jc w:val="both"/>
        <w:rPr>
          <w:rFonts w:ascii="仿宋_GB2312" w:hAnsi="仿宋_GB2312" w:eastAsia="仿宋_GB2312" w:cs="仿宋_GB2312"/>
          <w:color w:val="auto"/>
          <w:spacing w:val="0"/>
          <w:position w:val="0"/>
          <w:sz w:val="44"/>
          <w:highlight w:val="none"/>
          <w:shd w:val="clear" w:fill="auto"/>
        </w:rPr>
      </w:pPr>
    </w:p>
    <w:p w14:paraId="5B498568">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highlight w:val="none"/>
          <w:shd w:val="clear" w:fill="auto"/>
        </w:rPr>
      </w:pPr>
    </w:p>
    <w:p w14:paraId="0F781102">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highlight w:val="none"/>
          <w:shd w:val="clear" w:fill="auto"/>
        </w:rPr>
      </w:pPr>
    </w:p>
    <w:p w14:paraId="4CBA0467">
      <w:pPr>
        <w:tabs>
          <w:tab w:val="left" w:pos="315"/>
          <w:tab w:val="left" w:pos="8820"/>
        </w:tabs>
        <w:spacing w:before="0" w:after="0" w:line="500" w:lineRule="auto"/>
        <w:ind w:left="0" w:right="267" w:firstLine="0"/>
        <w:jc w:val="center"/>
        <w:rPr>
          <w:rFonts w:ascii="宋体" w:hAnsi="宋体" w:eastAsia="宋体" w:cs="宋体"/>
          <w:color w:val="auto"/>
          <w:spacing w:val="0"/>
          <w:position w:val="0"/>
          <w:sz w:val="32"/>
          <w:highlight w:val="none"/>
          <w:shd w:val="clear" w:fill="auto"/>
        </w:rPr>
      </w:pPr>
    </w:p>
    <w:p w14:paraId="6F15CFCB">
      <w:pPr>
        <w:pStyle w:val="9"/>
        <w:rPr>
          <w:rFonts w:ascii="宋体" w:hAnsi="宋体" w:eastAsia="宋体" w:cs="宋体"/>
          <w:color w:val="auto"/>
          <w:spacing w:val="0"/>
          <w:position w:val="0"/>
          <w:sz w:val="32"/>
          <w:highlight w:val="none"/>
          <w:shd w:val="clear" w:fill="auto"/>
        </w:rPr>
      </w:pPr>
    </w:p>
    <w:p w14:paraId="3A1D8808">
      <w:pPr>
        <w:tabs>
          <w:tab w:val="left" w:pos="315"/>
          <w:tab w:val="left" w:pos="8820"/>
        </w:tabs>
        <w:spacing w:line="600" w:lineRule="exact"/>
        <w:ind w:left="2562" w:leftChars="458" w:right="267" w:rightChars="127" w:hanging="1600" w:hangingChars="500"/>
        <w:jc w:val="left"/>
        <w:rPr>
          <w:rFonts w:hint="default"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 xml:space="preserve">项目名称: </w:t>
      </w:r>
      <w:r>
        <w:rPr>
          <w:rFonts w:hint="eastAsia" w:ascii="宋体" w:hAnsi="宋体" w:eastAsia="宋体" w:cs="宋体"/>
          <w:b w:val="0"/>
          <w:bCs w:val="0"/>
          <w:color w:val="auto"/>
          <w:sz w:val="32"/>
          <w:szCs w:val="32"/>
          <w:highlight w:val="none"/>
          <w:u w:val="single"/>
        </w:rPr>
        <w:t xml:space="preserve">郸城县发展和改革委员会郸城县粮油有限责任公司智能化粮食仓储基础设施建设项目工程设计项目 </w:t>
      </w:r>
      <w:r>
        <w:rPr>
          <w:rFonts w:hint="eastAsia" w:ascii="宋体" w:hAnsi="宋体" w:cs="宋体"/>
          <w:b w:val="0"/>
          <w:bCs w:val="0"/>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 xml:space="preserve">      </w:t>
      </w:r>
    </w:p>
    <w:p w14:paraId="1A752CA6">
      <w:pPr>
        <w:tabs>
          <w:tab w:val="left" w:pos="315"/>
          <w:tab w:val="left" w:pos="8820"/>
        </w:tabs>
        <w:spacing w:line="600" w:lineRule="exact"/>
        <w:ind w:right="267" w:rightChars="127" w:firstLine="960" w:firstLineChars="300"/>
        <w:jc w:val="left"/>
        <w:rPr>
          <w:rFonts w:hint="default" w:ascii="宋体" w:hAnsi="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rPr>
        <w:t xml:space="preserve">项目编号: </w:t>
      </w:r>
      <w:r>
        <w:rPr>
          <w:rFonts w:hint="eastAsia" w:ascii="宋体" w:hAnsi="宋体" w:cs="宋体"/>
          <w:b w:val="0"/>
          <w:bCs w:val="0"/>
          <w:color w:val="auto"/>
          <w:sz w:val="32"/>
          <w:szCs w:val="32"/>
          <w:highlight w:val="none"/>
          <w:lang w:val="en-US" w:eastAsia="zh-CN"/>
        </w:rPr>
        <w:t>郸财磋商采购-2025-45</w:t>
      </w:r>
    </w:p>
    <w:p w14:paraId="65ED1BB3">
      <w:pPr>
        <w:pStyle w:val="44"/>
        <w:rPr>
          <w:rFonts w:hint="default"/>
          <w:color w:val="auto"/>
          <w:highlight w:val="none"/>
          <w:lang w:val="en-US" w:eastAsia="zh-CN"/>
        </w:rPr>
      </w:pPr>
    </w:p>
    <w:p w14:paraId="3F6DD767">
      <w:pPr>
        <w:pStyle w:val="8"/>
        <w:jc w:val="center"/>
        <w:rPr>
          <w:rFonts w:hint="eastAsia" w:ascii="宋体" w:hAnsi="宋体" w:eastAsia="宋体" w:cs="宋体"/>
          <w:b w:val="0"/>
          <w:bCs w:val="0"/>
          <w:color w:val="auto"/>
          <w:sz w:val="32"/>
          <w:highlight w:val="none"/>
        </w:rPr>
      </w:pPr>
      <w:r>
        <w:rPr>
          <w:rFonts w:hint="eastAsia" w:ascii="宋体" w:hAnsi="宋体" w:eastAsia="宋体" w:cs="宋体"/>
          <w:b w:val="0"/>
          <w:bCs w:val="0"/>
          <w:color w:val="auto"/>
          <w:sz w:val="32"/>
          <w:highlight w:val="none"/>
        </w:rPr>
        <w:t>202</w:t>
      </w:r>
      <w:r>
        <w:rPr>
          <w:rFonts w:hint="eastAsia" w:ascii="宋体" w:hAnsi="宋体" w:cs="宋体"/>
          <w:b w:val="0"/>
          <w:bCs w:val="0"/>
          <w:color w:val="auto"/>
          <w:sz w:val="32"/>
          <w:highlight w:val="none"/>
          <w:lang w:val="en-US" w:eastAsia="zh-CN"/>
        </w:rPr>
        <w:t>5</w:t>
      </w:r>
      <w:r>
        <w:rPr>
          <w:rFonts w:hint="eastAsia" w:ascii="宋体" w:hAnsi="宋体" w:eastAsia="宋体" w:cs="宋体"/>
          <w:b w:val="0"/>
          <w:bCs w:val="0"/>
          <w:color w:val="auto"/>
          <w:sz w:val="32"/>
          <w:highlight w:val="none"/>
        </w:rPr>
        <w:t>年</w:t>
      </w:r>
      <w:r>
        <w:rPr>
          <w:rFonts w:hint="eastAsia" w:ascii="宋体" w:hAnsi="宋体" w:cs="宋体"/>
          <w:b w:val="0"/>
          <w:bCs w:val="0"/>
          <w:color w:val="auto"/>
          <w:sz w:val="32"/>
          <w:highlight w:val="none"/>
          <w:lang w:val="en-US" w:eastAsia="zh-CN"/>
        </w:rPr>
        <w:t>07</w:t>
      </w:r>
      <w:r>
        <w:rPr>
          <w:rFonts w:hint="eastAsia" w:ascii="宋体" w:hAnsi="宋体" w:eastAsia="宋体" w:cs="宋体"/>
          <w:b w:val="0"/>
          <w:bCs w:val="0"/>
          <w:color w:val="auto"/>
          <w:sz w:val="32"/>
          <w:highlight w:val="none"/>
        </w:rPr>
        <w:t>月</w:t>
      </w:r>
      <w:r>
        <w:rPr>
          <w:rFonts w:hint="eastAsia" w:ascii="宋体" w:hAnsi="宋体" w:cs="宋体"/>
          <w:b w:val="0"/>
          <w:bCs w:val="0"/>
          <w:color w:val="auto"/>
          <w:sz w:val="32"/>
          <w:highlight w:val="none"/>
          <w:lang w:val="en-US" w:eastAsia="zh-CN"/>
        </w:rPr>
        <w:t>18</w:t>
      </w:r>
      <w:r>
        <w:rPr>
          <w:rFonts w:hint="eastAsia" w:ascii="宋体" w:hAnsi="宋体" w:eastAsia="宋体" w:cs="宋体"/>
          <w:b w:val="0"/>
          <w:bCs w:val="0"/>
          <w:color w:val="auto"/>
          <w:sz w:val="32"/>
          <w:highlight w:val="none"/>
          <w:lang w:val="en-US" w:eastAsia="zh-CN"/>
        </w:rPr>
        <w:t>日</w:t>
      </w:r>
      <w:r>
        <w:rPr>
          <w:rFonts w:hint="eastAsia" w:ascii="宋体" w:hAnsi="宋体" w:cs="宋体"/>
          <w:b w:val="0"/>
          <w:bCs w:val="0"/>
          <w:color w:val="auto"/>
          <w:sz w:val="32"/>
          <w:highlight w:val="none"/>
          <w:lang w:val="en-US" w:eastAsia="zh-CN"/>
        </w:rPr>
        <w:t xml:space="preserve">  </w:t>
      </w:r>
    </w:p>
    <w:p w14:paraId="7EB08A05">
      <w:pPr>
        <w:pStyle w:val="26"/>
        <w:ind w:firstLine="210"/>
        <w:rPr>
          <w:color w:val="auto"/>
          <w:highlight w:val="none"/>
        </w:rPr>
      </w:pPr>
    </w:p>
    <w:p w14:paraId="27FDE9A8">
      <w:pPr>
        <w:spacing w:line="5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14:paraId="007440FA">
      <w:pPr>
        <w:rPr>
          <w:rFonts w:ascii="宋体" w:hAnsi="宋体" w:cs="宋体"/>
          <w:b/>
          <w:color w:val="auto"/>
          <w:sz w:val="32"/>
          <w:szCs w:val="32"/>
          <w:highlight w:val="none"/>
        </w:rPr>
      </w:pPr>
    </w:p>
    <w:p w14:paraId="2A4D6989">
      <w:pPr>
        <w:spacing w:line="800" w:lineRule="exac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竞争性磋商邀请函</w:t>
      </w:r>
      <w:r>
        <w:rPr>
          <w:rFonts w:hint="eastAsia" w:ascii="宋体" w:hAnsi="宋体" w:cs="宋体"/>
          <w:b/>
          <w:color w:val="auto"/>
          <w:sz w:val="32"/>
          <w:szCs w:val="32"/>
          <w:highlight w:val="none"/>
          <w:lang w:val="en-US" w:eastAsia="zh-CN"/>
        </w:rPr>
        <w:t xml:space="preserve"> .........................3</w:t>
      </w:r>
    </w:p>
    <w:p w14:paraId="78B67D35">
      <w:pPr>
        <w:spacing w:line="800" w:lineRule="exact"/>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rPr>
        <w:t xml:space="preserve">第二章  供应商须知 </w:t>
      </w:r>
      <w:r>
        <w:rPr>
          <w:rFonts w:hint="eastAsia" w:ascii="宋体" w:hAnsi="宋体" w:cs="宋体"/>
          <w:b/>
          <w:color w:val="auto"/>
          <w:sz w:val="32"/>
          <w:szCs w:val="32"/>
          <w:highlight w:val="none"/>
          <w:lang w:val="en-US" w:eastAsia="zh-CN"/>
        </w:rPr>
        <w:t>...............................6</w:t>
      </w:r>
    </w:p>
    <w:p w14:paraId="0D5CCB84">
      <w:pPr>
        <w:spacing w:line="800" w:lineRule="exac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采购项目内容及要求</w:t>
      </w:r>
      <w:r>
        <w:rPr>
          <w:rFonts w:hint="eastAsia" w:ascii="宋体" w:hAnsi="宋体" w:cs="宋体"/>
          <w:b/>
          <w:color w:val="auto"/>
          <w:sz w:val="32"/>
          <w:szCs w:val="32"/>
          <w:highlight w:val="none"/>
          <w:lang w:val="en-US" w:eastAsia="zh-CN"/>
        </w:rPr>
        <w:t>.......................24</w:t>
      </w:r>
    </w:p>
    <w:p w14:paraId="671E286A">
      <w:pPr>
        <w:spacing w:line="800" w:lineRule="exact"/>
        <w:rPr>
          <w:rFonts w:ascii="宋体" w:hAnsi="宋体" w:cs="宋体"/>
          <w:b/>
          <w:color w:val="auto"/>
          <w:sz w:val="32"/>
          <w:szCs w:val="32"/>
          <w:highlight w:val="none"/>
        </w:rPr>
      </w:pPr>
      <w:r>
        <w:rPr>
          <w:rFonts w:hint="eastAsia" w:ascii="宋体" w:hAnsi="宋体" w:cs="宋体"/>
          <w:b/>
          <w:color w:val="auto"/>
          <w:sz w:val="32"/>
          <w:szCs w:val="32"/>
          <w:highlight w:val="none"/>
        </w:rPr>
        <w:t>第四章  响应性文件内容及格式</w:t>
      </w:r>
      <w:r>
        <w:rPr>
          <w:rFonts w:hint="eastAsia" w:ascii="宋体" w:hAnsi="宋体" w:cs="宋体"/>
          <w:b/>
          <w:color w:val="auto"/>
          <w:sz w:val="32"/>
          <w:szCs w:val="32"/>
          <w:highlight w:val="none"/>
          <w:lang w:val="en-US" w:eastAsia="zh-CN"/>
        </w:rPr>
        <w:t>.....................26</w:t>
      </w:r>
    </w:p>
    <w:p w14:paraId="78F0DA22">
      <w:pPr>
        <w:spacing w:line="800" w:lineRule="exac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 xml:space="preserve">第五章  </w:t>
      </w:r>
      <w:r>
        <w:rPr>
          <w:rFonts w:hint="eastAsia" w:ascii="宋体" w:hAnsi="宋体" w:cs="宋体"/>
          <w:b/>
          <w:color w:val="auto"/>
          <w:sz w:val="32"/>
          <w:szCs w:val="32"/>
          <w:highlight w:val="none"/>
          <w:lang w:val="en-US" w:eastAsia="zh-CN"/>
        </w:rPr>
        <w:t>周口市政府采购</w:t>
      </w:r>
      <w:r>
        <w:rPr>
          <w:rFonts w:hint="eastAsia" w:ascii="宋体" w:hAnsi="宋体" w:cs="宋体"/>
          <w:b/>
          <w:color w:val="auto"/>
          <w:sz w:val="32"/>
          <w:szCs w:val="32"/>
          <w:highlight w:val="none"/>
        </w:rPr>
        <w:t>合同（服务类）标准文本</w:t>
      </w:r>
      <w:r>
        <w:rPr>
          <w:rFonts w:hint="eastAsia" w:ascii="宋体" w:hAnsi="宋体" w:cs="宋体"/>
          <w:b/>
          <w:color w:val="auto"/>
          <w:sz w:val="32"/>
          <w:szCs w:val="32"/>
          <w:highlight w:val="none"/>
          <w:lang w:val="en-US" w:eastAsia="zh-CN"/>
        </w:rPr>
        <w:t>.....40</w:t>
      </w:r>
    </w:p>
    <w:p w14:paraId="5DA42757">
      <w:pPr>
        <w:spacing w:line="800" w:lineRule="exact"/>
        <w:ind w:firstLine="2249" w:firstLineChars="700"/>
        <w:rPr>
          <w:rFonts w:hint="eastAsia" w:ascii="宋体" w:hAnsi="宋体" w:cs="宋体"/>
          <w:b/>
          <w:color w:val="auto"/>
          <w:sz w:val="32"/>
          <w:szCs w:val="32"/>
          <w:highlight w:val="none"/>
          <w:lang w:eastAsia="zh-CN"/>
        </w:rPr>
      </w:pPr>
    </w:p>
    <w:p w14:paraId="6CE76B6E">
      <w:pPr>
        <w:spacing w:line="800" w:lineRule="exact"/>
        <w:ind w:firstLine="2249" w:firstLineChars="700"/>
        <w:rPr>
          <w:rFonts w:hint="eastAsia" w:ascii="宋体" w:hAnsi="宋体" w:cs="宋体"/>
          <w:b/>
          <w:color w:val="auto"/>
          <w:sz w:val="32"/>
          <w:szCs w:val="32"/>
          <w:highlight w:val="none"/>
          <w:lang w:val="en-US" w:eastAsia="zh-CN"/>
        </w:rPr>
      </w:pPr>
    </w:p>
    <w:p w14:paraId="4EA6CEE5">
      <w:pPr>
        <w:spacing w:line="800" w:lineRule="exact"/>
        <w:ind w:firstLine="2249" w:firstLineChars="700"/>
        <w:rPr>
          <w:rFonts w:hint="eastAsia" w:ascii="宋体" w:hAnsi="宋体" w:cs="宋体"/>
          <w:b/>
          <w:color w:val="auto"/>
          <w:sz w:val="32"/>
          <w:szCs w:val="32"/>
          <w:highlight w:val="none"/>
        </w:rPr>
      </w:pPr>
    </w:p>
    <w:p w14:paraId="5F136BBC">
      <w:pPr>
        <w:pStyle w:val="2"/>
        <w:bidi w:val="0"/>
        <w:jc w:val="center"/>
        <w:rPr>
          <w:color w:val="auto"/>
          <w:highlight w:val="none"/>
        </w:rPr>
      </w:pPr>
      <w:r>
        <w:rPr>
          <w:rFonts w:hint="eastAsia" w:ascii="仿宋_GB2312" w:eastAsia="仿宋_GB2312"/>
          <w:b/>
          <w:color w:val="auto"/>
          <w:sz w:val="32"/>
          <w:szCs w:val="32"/>
          <w:highlight w:val="none"/>
        </w:rPr>
        <w:br w:type="page"/>
      </w:r>
      <w:r>
        <w:rPr>
          <w:rFonts w:hint="eastAsia" w:ascii="宋体" w:hAnsi="宋体" w:cs="宋体"/>
          <w:b/>
          <w:color w:val="auto"/>
          <w:sz w:val="32"/>
          <w:szCs w:val="32"/>
          <w:highlight w:val="none"/>
        </w:rPr>
        <w:t>第一章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竞争性磋商邀请函</w:t>
      </w:r>
    </w:p>
    <w:p w14:paraId="374487E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553EF6B7">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郸城县发展和改革委员会郸城县粮油有限责任公司智能化粮食仓储基础设施建设项目工程设计项目</w:t>
      </w:r>
      <w:r>
        <w:rPr>
          <w:rFonts w:hint="eastAsia" w:asciiTheme="minorEastAsia" w:hAnsiTheme="minorEastAsia" w:eastAsiaTheme="minorEastAsia" w:cstheme="minorEastAsia"/>
          <w:color w:val="auto"/>
          <w:sz w:val="24"/>
          <w:highlight w:val="none"/>
        </w:rPr>
        <w:t>的潜在供应商应在周口市公共资源交易中心网获取</w:t>
      </w:r>
      <w:r>
        <w:rPr>
          <w:rFonts w:hint="eastAsia" w:asciiTheme="minorEastAsia" w:hAnsiTheme="minorEastAsia" w:eastAsiaTheme="minorEastAsia" w:cstheme="minorEastAsia"/>
          <w:color w:val="auto"/>
          <w:sz w:val="24"/>
          <w:highlight w:val="none"/>
          <w:lang w:val="en-US" w:eastAsia="zh-CN"/>
        </w:rPr>
        <w:t>采购</w:t>
      </w:r>
      <w:r>
        <w:rPr>
          <w:rFonts w:hint="eastAsia" w:asciiTheme="minorEastAsia" w:hAnsiTheme="minorEastAsia" w:eastAsiaTheme="minorEastAsia" w:cstheme="minorEastAsia"/>
          <w:color w:val="auto"/>
          <w:sz w:val="24"/>
          <w:highlight w:val="none"/>
        </w:rPr>
        <w:t>文件，并于</w:t>
      </w:r>
      <w:r>
        <w:rPr>
          <w:rFonts w:hint="eastAsia" w:asciiTheme="minorEastAsia" w:hAnsiTheme="minorEastAsia" w:eastAsiaTheme="minorEastAsia" w:cstheme="minorEastAsia"/>
          <w:color w:val="auto"/>
          <w:sz w:val="24"/>
          <w:highlight w:val="none"/>
          <w:u w:val="none"/>
          <w:lang w:val="en-US" w:eastAsia="zh-CN"/>
        </w:rPr>
        <w:t>2025</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07</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29</w:t>
      </w:r>
      <w:r>
        <w:rPr>
          <w:rFonts w:hint="eastAsia" w:asciiTheme="minorEastAsia" w:hAnsiTheme="minorEastAsia" w:eastAsiaTheme="minorEastAsia" w:cstheme="minorEastAsia"/>
          <w:color w:val="auto"/>
          <w:sz w:val="24"/>
          <w:highlight w:val="none"/>
          <w:u w:val="none"/>
        </w:rPr>
        <w:t>日</w:t>
      </w:r>
      <w:r>
        <w:rPr>
          <w:rFonts w:hint="eastAsia" w:asciiTheme="minorEastAsia" w:hAnsiTheme="minorEastAsia" w:eastAsiaTheme="minorEastAsia" w:cstheme="minorEastAsia"/>
          <w:color w:val="auto"/>
          <w:sz w:val="24"/>
          <w:highlight w:val="none"/>
          <w:u w:val="none"/>
          <w:lang w:val="en-US" w:eastAsia="zh-CN"/>
        </w:rPr>
        <w:t>10</w:t>
      </w:r>
      <w:r>
        <w:rPr>
          <w:rFonts w:hint="eastAsia" w:asciiTheme="minorEastAsia" w:hAnsiTheme="minorEastAsia" w:eastAsiaTheme="minorEastAsia" w:cstheme="minorEastAsia"/>
          <w:color w:val="auto"/>
          <w:sz w:val="24"/>
          <w:highlight w:val="none"/>
          <w:u w:val="none"/>
        </w:rPr>
        <w:t>点</w:t>
      </w:r>
      <w:r>
        <w:rPr>
          <w:rFonts w:hint="eastAsia" w:asciiTheme="minorEastAsia" w:hAnsiTheme="minorEastAsia" w:eastAsiaTheme="minorEastAsia" w:cstheme="minorEastAsia"/>
          <w:color w:val="auto"/>
          <w:sz w:val="24"/>
          <w:highlight w:val="none"/>
          <w:u w:val="none"/>
          <w:lang w:val="en-US" w:eastAsia="zh-CN"/>
        </w:rPr>
        <w:t>00</w:t>
      </w:r>
      <w:r>
        <w:rPr>
          <w:rFonts w:hint="eastAsia" w:asciiTheme="minorEastAsia" w:hAnsiTheme="minorEastAsia" w:eastAsiaTheme="minorEastAsia" w:cstheme="minorEastAsia"/>
          <w:color w:val="auto"/>
          <w:sz w:val="24"/>
          <w:highlight w:val="none"/>
          <w:u w:val="none"/>
        </w:rPr>
        <w:t>分</w:t>
      </w:r>
      <w:r>
        <w:rPr>
          <w:rFonts w:hint="eastAsia" w:asciiTheme="minorEastAsia" w:hAnsiTheme="minorEastAsia" w:eastAsiaTheme="minorEastAsia" w:cstheme="minorEastAsia"/>
          <w:color w:val="auto"/>
          <w:sz w:val="24"/>
          <w:highlight w:val="none"/>
        </w:rPr>
        <w:t>（北京时间）前</w:t>
      </w:r>
      <w:r>
        <w:rPr>
          <w:rFonts w:hint="eastAsia" w:asciiTheme="minorEastAsia" w:hAnsiTheme="minorEastAsia" w:eastAsiaTheme="minorEastAsia" w:cstheme="minorEastAsia"/>
          <w:color w:val="auto"/>
          <w:sz w:val="24"/>
          <w:highlight w:val="none"/>
          <w:lang w:val="en-US" w:eastAsia="zh-CN"/>
        </w:rPr>
        <w:t>递</w:t>
      </w:r>
      <w:r>
        <w:rPr>
          <w:rFonts w:hint="eastAsia" w:asciiTheme="minorEastAsia" w:hAnsiTheme="minorEastAsia" w:eastAsiaTheme="minorEastAsia" w:cstheme="minorEastAsia"/>
          <w:color w:val="auto"/>
          <w:sz w:val="24"/>
          <w:highlight w:val="none"/>
        </w:rPr>
        <w:t>交响应文件。</w:t>
      </w:r>
    </w:p>
    <w:p w14:paraId="7B793AE7">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一、项目基本情况</w:t>
      </w:r>
    </w:p>
    <w:p w14:paraId="117F1BC0">
      <w:pPr>
        <w:spacing w:line="360" w:lineRule="auto"/>
        <w:ind w:firstLine="240" w:firstLineChars="1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cstheme="minorEastAsia"/>
          <w:color w:val="auto"/>
          <w:sz w:val="24"/>
          <w:highlight w:val="none"/>
          <w:lang w:val="en-US" w:eastAsia="zh-CN"/>
        </w:rPr>
        <w:t>郸财磋商采购-2025-45</w:t>
      </w:r>
    </w:p>
    <w:p w14:paraId="7F3AB3DA">
      <w:pPr>
        <w:spacing w:line="360" w:lineRule="auto"/>
        <w:ind w:firstLine="240" w:firstLineChars="1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郸城县发展和改革委员会郸城县粮油有限责任公司智能化粮食仓储基础设施建设项目工程设计项目</w:t>
      </w:r>
    </w:p>
    <w:p w14:paraId="180D1676">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采购方式：竞争性磋商</w:t>
      </w:r>
    </w:p>
    <w:p w14:paraId="72EA3EDD">
      <w:pPr>
        <w:spacing w:line="360" w:lineRule="auto"/>
        <w:ind w:firstLine="240" w:firstLineChars="1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highlight w:val="none"/>
          <w:lang w:val="en-US" w:eastAsia="zh-CN"/>
        </w:rPr>
        <w:t>704800.00元</w:t>
      </w:r>
    </w:p>
    <w:tbl>
      <w:tblPr>
        <w:tblStyle w:val="28"/>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971"/>
        <w:gridCol w:w="1865"/>
        <w:gridCol w:w="1846"/>
      </w:tblGrid>
      <w:tr w14:paraId="084E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35" w:type="dxa"/>
            <w:tcBorders>
              <w:left w:val="single" w:color="auto" w:sz="4" w:space="0"/>
              <w:bottom w:val="single" w:color="auto" w:sz="4" w:space="0"/>
              <w:right w:val="single" w:color="auto" w:sz="4" w:space="0"/>
            </w:tcBorders>
            <w:noWrap w:val="0"/>
            <w:vAlign w:val="center"/>
          </w:tcPr>
          <w:p w14:paraId="23A2FC1D">
            <w:pPr>
              <w:spacing w:line="380" w:lineRule="exact"/>
              <w:jc w:val="center"/>
              <w:rPr>
                <w:rFonts w:ascii="宋体" w:hAnsi="宋体" w:cs="宋体"/>
                <w:color w:val="auto"/>
                <w:sz w:val="24"/>
                <w:szCs w:val="24"/>
                <w:highlight w:val="none"/>
              </w:rPr>
            </w:pPr>
            <w:r>
              <w:rPr>
                <w:rFonts w:hint="eastAsia" w:ascii="宋体" w:hAnsi="宋体"/>
                <w:color w:val="auto"/>
                <w:sz w:val="24"/>
                <w:szCs w:val="24"/>
                <w:highlight w:val="none"/>
              </w:rPr>
              <w:t>包号</w:t>
            </w:r>
          </w:p>
        </w:tc>
        <w:tc>
          <w:tcPr>
            <w:tcW w:w="2971" w:type="dxa"/>
            <w:tcBorders>
              <w:left w:val="single" w:color="auto" w:sz="4" w:space="0"/>
              <w:bottom w:val="single" w:color="auto" w:sz="4" w:space="0"/>
              <w:right w:val="single" w:color="auto" w:sz="4" w:space="0"/>
            </w:tcBorders>
            <w:noWrap w:val="0"/>
            <w:vAlign w:val="center"/>
          </w:tcPr>
          <w:p w14:paraId="53A01DA5">
            <w:pPr>
              <w:spacing w:line="380" w:lineRule="exact"/>
              <w:jc w:val="center"/>
              <w:rPr>
                <w:rFonts w:ascii="宋体" w:hAnsi="宋体" w:cs="宋体"/>
                <w:color w:val="auto"/>
                <w:sz w:val="24"/>
                <w:szCs w:val="24"/>
                <w:highlight w:val="none"/>
              </w:rPr>
            </w:pPr>
            <w:r>
              <w:rPr>
                <w:rFonts w:hint="eastAsia" w:ascii="宋体" w:hAnsi="宋体"/>
                <w:color w:val="auto"/>
                <w:sz w:val="24"/>
                <w:szCs w:val="24"/>
                <w:highlight w:val="none"/>
              </w:rPr>
              <w:t>包名称</w:t>
            </w:r>
          </w:p>
        </w:tc>
        <w:tc>
          <w:tcPr>
            <w:tcW w:w="1865" w:type="dxa"/>
            <w:tcBorders>
              <w:left w:val="single" w:color="auto" w:sz="4" w:space="0"/>
              <w:bottom w:val="single" w:color="auto" w:sz="4" w:space="0"/>
              <w:right w:val="single" w:color="auto" w:sz="4" w:space="0"/>
            </w:tcBorders>
            <w:noWrap w:val="0"/>
            <w:vAlign w:val="center"/>
          </w:tcPr>
          <w:p w14:paraId="4F284768">
            <w:pPr>
              <w:spacing w:line="380" w:lineRule="exact"/>
              <w:jc w:val="center"/>
              <w:rPr>
                <w:rFonts w:ascii="宋体" w:hAnsi="宋体" w:cs="宋体"/>
                <w:color w:val="auto"/>
                <w:sz w:val="24"/>
                <w:szCs w:val="24"/>
                <w:highlight w:val="none"/>
              </w:rPr>
            </w:pPr>
            <w:r>
              <w:rPr>
                <w:rFonts w:hint="eastAsia" w:ascii="宋体" w:hAnsi="宋体"/>
                <w:color w:val="auto"/>
                <w:sz w:val="24"/>
                <w:szCs w:val="24"/>
                <w:highlight w:val="none"/>
              </w:rPr>
              <w:t>包预算（元）</w:t>
            </w:r>
          </w:p>
        </w:tc>
        <w:tc>
          <w:tcPr>
            <w:tcW w:w="1846" w:type="dxa"/>
            <w:tcBorders>
              <w:left w:val="single" w:color="auto" w:sz="4" w:space="0"/>
              <w:bottom w:val="single" w:color="auto" w:sz="4" w:space="0"/>
            </w:tcBorders>
            <w:noWrap w:val="0"/>
            <w:vAlign w:val="center"/>
          </w:tcPr>
          <w:p w14:paraId="74E5F01E">
            <w:pPr>
              <w:spacing w:line="380" w:lineRule="exact"/>
              <w:jc w:val="center"/>
              <w:rPr>
                <w:rFonts w:ascii="宋体" w:hAnsi="宋体" w:cs="宋体"/>
                <w:color w:val="auto"/>
                <w:sz w:val="24"/>
                <w:szCs w:val="24"/>
                <w:highlight w:val="none"/>
              </w:rPr>
            </w:pPr>
            <w:r>
              <w:rPr>
                <w:rFonts w:hint="eastAsia" w:ascii="宋体" w:hAnsi="宋体"/>
                <w:color w:val="auto"/>
                <w:sz w:val="24"/>
                <w:szCs w:val="24"/>
                <w:highlight w:val="none"/>
              </w:rPr>
              <w:t>包最高限价（元）</w:t>
            </w:r>
          </w:p>
        </w:tc>
      </w:tr>
      <w:tr w14:paraId="275F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14:paraId="47C99DD5">
            <w:pPr>
              <w:spacing w:line="380" w:lineRule="exact"/>
              <w:jc w:val="center"/>
              <w:rPr>
                <w:rFonts w:ascii="宋体" w:hAnsi="宋体" w:cs="宋体"/>
                <w:color w:val="auto"/>
                <w:sz w:val="24"/>
                <w:szCs w:val="24"/>
                <w:highlight w:val="none"/>
              </w:rPr>
            </w:pPr>
            <w:r>
              <w:rPr>
                <w:rFonts w:hint="eastAsia" w:ascii="宋体" w:hAnsi="宋体"/>
                <w:color w:val="auto"/>
                <w:sz w:val="24"/>
                <w:szCs w:val="24"/>
                <w:highlight w:val="none"/>
              </w:rPr>
              <w:t>1</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CEA2B3E">
            <w:pPr>
              <w:spacing w:line="3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郸城县发展和改革委员会郸城县粮油有限责任公司智能化粮食仓储基础设施建设项目工程设计项目</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1D12AAC1">
            <w:pPr>
              <w:spacing w:line="380" w:lineRule="exact"/>
              <w:jc w:val="center"/>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704800</w:t>
            </w:r>
            <w:r>
              <w:rPr>
                <w:rFonts w:hint="eastAsia" w:ascii="宋体" w:hAnsi="宋体" w:cs="Times New Roman"/>
                <w:color w:val="auto"/>
                <w:sz w:val="24"/>
                <w:szCs w:val="24"/>
                <w:highlight w:val="none"/>
                <w:lang w:val="en-US" w:eastAsia="zh-CN"/>
              </w:rPr>
              <w:t>.00</w:t>
            </w:r>
          </w:p>
        </w:tc>
        <w:tc>
          <w:tcPr>
            <w:tcW w:w="1846" w:type="dxa"/>
            <w:tcBorders>
              <w:top w:val="single" w:color="auto" w:sz="4" w:space="0"/>
              <w:left w:val="single" w:color="auto" w:sz="4" w:space="0"/>
              <w:bottom w:val="single" w:color="auto" w:sz="4" w:space="0"/>
            </w:tcBorders>
            <w:noWrap w:val="0"/>
            <w:vAlign w:val="center"/>
          </w:tcPr>
          <w:p w14:paraId="58D58B8A">
            <w:pPr>
              <w:spacing w:line="380" w:lineRule="exact"/>
              <w:jc w:val="center"/>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 xml:space="preserve">704800.00  </w:t>
            </w:r>
          </w:p>
        </w:tc>
      </w:tr>
    </w:tbl>
    <w:p w14:paraId="48106A6A">
      <w:pPr>
        <w:numPr>
          <w:ilvl w:val="0"/>
          <w:numId w:val="0"/>
        </w:numPr>
        <w:spacing w:line="360" w:lineRule="auto"/>
        <w:ind w:right="-313" w:rightChars="-149"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lang w:val="en-US" w:eastAsia="zh-CN" w:bidi="ar-SA"/>
        </w:rPr>
        <w:t>5、</w:t>
      </w:r>
      <w:r>
        <w:rPr>
          <w:rFonts w:hint="eastAsia" w:asciiTheme="minorEastAsia" w:hAnsiTheme="minorEastAsia" w:eastAsiaTheme="minorEastAsia" w:cstheme="minorEastAsia"/>
          <w:color w:val="auto"/>
          <w:sz w:val="24"/>
          <w:highlight w:val="none"/>
        </w:rPr>
        <w:t>采购需求</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7个库区</w:t>
      </w:r>
      <w:r>
        <w:rPr>
          <w:rFonts w:hint="eastAsia" w:asciiTheme="minorEastAsia" w:hAnsiTheme="minorEastAsia" w:eastAsiaTheme="minorEastAsia" w:cstheme="minorEastAsia"/>
          <w:color w:val="auto"/>
          <w:sz w:val="24"/>
          <w:highlight w:val="none"/>
          <w:lang w:val="zh-CN" w:eastAsia="zh-CN"/>
        </w:rPr>
        <w:t>新增总仓容9.</w:t>
      </w:r>
      <w:r>
        <w:rPr>
          <w:rFonts w:hint="eastAsia" w:asciiTheme="minorEastAsia" w:hAnsiTheme="minorEastAsia" w:eastAsiaTheme="minorEastAsia" w:cstheme="minorEastAsia"/>
          <w:color w:val="auto"/>
          <w:sz w:val="24"/>
          <w:highlight w:val="none"/>
          <w:lang w:val="en-US" w:eastAsia="zh-CN"/>
        </w:rPr>
        <w:t>92</w:t>
      </w:r>
      <w:r>
        <w:rPr>
          <w:rFonts w:hint="eastAsia" w:asciiTheme="minorEastAsia" w:hAnsiTheme="minorEastAsia" w:eastAsiaTheme="minorEastAsia" w:cstheme="minorEastAsia"/>
          <w:color w:val="auto"/>
          <w:sz w:val="24"/>
          <w:highlight w:val="none"/>
          <w:lang w:val="zh-CN" w:eastAsia="zh-CN"/>
        </w:rPr>
        <w:t>万吨修建性详细规划、初步设计及施工图设计</w:t>
      </w:r>
      <w:r>
        <w:rPr>
          <w:rFonts w:hint="eastAsia" w:asciiTheme="minorEastAsia" w:hAnsiTheme="minorEastAsia" w:eastAsiaTheme="minorEastAsia" w:cstheme="minorEastAsia"/>
          <w:color w:val="auto"/>
          <w:sz w:val="24"/>
          <w:highlight w:val="none"/>
        </w:rPr>
        <w:t>（包括但不限于标的的名称、数量、简要技术需求或服务要求等）</w:t>
      </w:r>
    </w:p>
    <w:p w14:paraId="69D38AF2">
      <w:pPr>
        <w:spacing w:line="360" w:lineRule="auto"/>
        <w:ind w:firstLine="240" w:firstLineChars="10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合同履行期限：</w:t>
      </w:r>
      <w:r>
        <w:rPr>
          <w:rFonts w:hint="eastAsia" w:asciiTheme="minorEastAsia" w:hAnsiTheme="minorEastAsia" w:eastAsiaTheme="minorEastAsia" w:cstheme="minorEastAsia"/>
          <w:color w:val="auto"/>
          <w:sz w:val="24"/>
          <w:highlight w:val="none"/>
          <w:lang w:val="en-US" w:eastAsia="zh-CN"/>
        </w:rPr>
        <w:t xml:space="preserve"> </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p>
    <w:p w14:paraId="07B6AB26">
      <w:pPr>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7、本项目</w:t>
      </w:r>
      <w:r>
        <w:rPr>
          <w:rFonts w:hint="eastAsia" w:asciiTheme="minorEastAsia" w:hAnsiTheme="minorEastAsia" w:eastAsiaTheme="minorEastAsia" w:cstheme="minorEastAsia"/>
          <w:color w:val="auto"/>
          <w:sz w:val="24"/>
          <w:szCs w:val="24"/>
          <w:highlight w:val="none"/>
        </w:rPr>
        <w:t>是否接受联合体投标：否</w:t>
      </w:r>
    </w:p>
    <w:p w14:paraId="12F90851">
      <w:pPr>
        <w:spacing w:line="360" w:lineRule="auto"/>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是否接受进口产品：否</w:t>
      </w:r>
    </w:p>
    <w:p w14:paraId="4B3C0791">
      <w:pPr>
        <w:spacing w:line="360" w:lineRule="auto"/>
        <w:ind w:firstLine="240" w:firstLineChars="1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是否</w:t>
      </w:r>
      <w:r>
        <w:rPr>
          <w:rFonts w:hint="eastAsia" w:asciiTheme="minorEastAsia" w:hAnsiTheme="minorEastAsia" w:eastAsiaTheme="minorEastAsia" w:cstheme="minorEastAsia"/>
          <w:color w:val="auto"/>
          <w:sz w:val="24"/>
          <w:szCs w:val="24"/>
          <w:highlight w:val="none"/>
          <w:lang w:val="en-US" w:eastAsia="zh-CN"/>
        </w:rPr>
        <w:t>专门</w:t>
      </w:r>
      <w:r>
        <w:rPr>
          <w:rFonts w:hint="eastAsia" w:asciiTheme="minorEastAsia" w:hAnsiTheme="minorEastAsia" w:eastAsiaTheme="minorEastAsia" w:cstheme="minorEastAsia"/>
          <w:color w:val="auto"/>
          <w:sz w:val="24"/>
          <w:szCs w:val="24"/>
          <w:highlight w:val="none"/>
        </w:rPr>
        <w:t>面向中小企业：</w:t>
      </w:r>
      <w:r>
        <w:rPr>
          <w:rFonts w:hint="eastAsia" w:asciiTheme="minorEastAsia" w:hAnsiTheme="minorEastAsia" w:cstheme="minorEastAsia"/>
          <w:color w:val="auto"/>
          <w:sz w:val="24"/>
          <w:szCs w:val="24"/>
          <w:highlight w:val="none"/>
          <w:lang w:val="en-US" w:eastAsia="zh-CN"/>
        </w:rPr>
        <w:t>是</w:t>
      </w:r>
    </w:p>
    <w:p w14:paraId="24F0407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二、申请人的资格要求：</w:t>
      </w:r>
    </w:p>
    <w:p w14:paraId="3F3C3CF6">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满足《中华人民共和国政府采购法》第二十二条规定；</w:t>
      </w:r>
    </w:p>
    <w:p w14:paraId="00CD9882">
      <w:pPr>
        <w:spacing w:line="360" w:lineRule="auto"/>
        <w:ind w:firstLine="240" w:firstLineChars="100"/>
        <w:rPr>
          <w:rStyle w:val="89"/>
          <w:rFonts w:hint="eastAsia" w:ascii="宋体" w:hAnsi="宋体" w:eastAsia="宋体" w:cs="宋体"/>
          <w:b w:val="0"/>
          <w:i w:val="0"/>
          <w:color w:val="auto"/>
          <w:sz w:val="24"/>
          <w:szCs w:val="24"/>
          <w:highlight w:val="none"/>
          <w:lang w:val="en-US" w:eastAsia="zh-CN" w:bidi="ar"/>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落实政府采购政策需满足的资格要求：</w:t>
      </w:r>
      <w:r>
        <w:rPr>
          <w:rFonts w:hint="eastAsia" w:ascii="宋体" w:hAnsi="宋体"/>
          <w:color w:val="auto"/>
          <w:sz w:val="24"/>
          <w:szCs w:val="24"/>
          <w:highlight w:val="none"/>
        </w:rPr>
        <w:t>落实促进中小企业和监狱企业发展扶持政策、政府强制采购节能产品强制采购、节能产品及环境标志产品优先采购、促进残疾人就业政府采购政策</w:t>
      </w:r>
      <w:r>
        <w:rPr>
          <w:rStyle w:val="89"/>
          <w:rFonts w:hint="eastAsia" w:ascii="宋体" w:hAnsi="宋体" w:eastAsia="宋体" w:cs="宋体"/>
          <w:b w:val="0"/>
          <w:i w:val="0"/>
          <w:color w:val="auto"/>
          <w:sz w:val="24"/>
          <w:szCs w:val="24"/>
          <w:highlight w:val="none"/>
          <w:lang w:val="en-US" w:eastAsia="zh-CN" w:bidi="ar"/>
        </w:rPr>
        <w:t>。</w:t>
      </w:r>
    </w:p>
    <w:p w14:paraId="10A5B153">
      <w:pPr>
        <w:numPr>
          <w:ilvl w:val="0"/>
          <w:numId w:val="0"/>
        </w:numPr>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lang w:val="en-US" w:eastAsia="zh-CN" w:bidi="ar-SA"/>
        </w:rPr>
        <w:t>3、</w:t>
      </w:r>
      <w:r>
        <w:rPr>
          <w:rFonts w:hint="eastAsia" w:asciiTheme="minorEastAsia" w:hAnsiTheme="minorEastAsia" w:eastAsiaTheme="minorEastAsia" w:cstheme="minorEastAsia"/>
          <w:color w:val="auto"/>
          <w:sz w:val="24"/>
          <w:highlight w:val="none"/>
        </w:rPr>
        <w:t>本项目的特定资格要求</w:t>
      </w:r>
    </w:p>
    <w:p w14:paraId="60C58ACD">
      <w:pPr>
        <w:bidi w:val="0"/>
        <w:spacing w:line="360" w:lineRule="auto"/>
        <w:ind w:firstLine="480" w:firstLineChars="200"/>
        <w:jc w:val="both"/>
        <w:rPr>
          <w:rFonts w:hint="eastAsia" w:ascii="宋体" w:hAnsi="宋体" w:cs="宋体" w:eastAsiaTheme="minorEastAsia"/>
          <w:bCs/>
          <w:color w:val="auto"/>
          <w:kern w:val="0"/>
          <w:sz w:val="24"/>
          <w:szCs w:val="24"/>
          <w:highlight w:val="none"/>
        </w:rPr>
      </w:pPr>
      <w:r>
        <w:rPr>
          <w:rFonts w:hint="eastAsia" w:ascii="宋体" w:hAnsi="宋体" w:cs="宋体"/>
          <w:color w:val="auto"/>
          <w:sz w:val="24"/>
          <w:highlight w:val="none"/>
        </w:rPr>
        <w:t>（1）</w:t>
      </w:r>
      <w:r>
        <w:rPr>
          <w:rFonts w:hint="eastAsia" w:ascii="宋体" w:hAnsi="宋体" w:cs="宋体"/>
          <w:bCs/>
          <w:color w:val="auto"/>
          <w:kern w:val="0"/>
          <w:sz w:val="24"/>
          <w:highlight w:val="none"/>
        </w:rPr>
        <w:t>根据财库【2016】125号文规定，对列入失信被执行人、重大税收违法失信主体、政府采购严重违法失信行为记录名单，拒绝其参与本次政府采购活动。供应商须通过“信用中国”网站(www.creditchina.gov.cn)、“中国执行信息公开网”（zxgk.court.gov.cn）对“列入失信被执行人、重大税收违法失信主体、政府采购严重违法失信行为记录名单”企业和法定代表人的查询，通过“中国政府采购网”(www.ccgp.gov.cn)对“政府采购严重违法失信行为信息记录”企业信用记录查询（提供</w:t>
      </w:r>
      <w:r>
        <w:rPr>
          <w:rFonts w:hint="eastAsia" w:ascii="宋体" w:hAnsi="宋体" w:cs="宋体"/>
          <w:bCs/>
          <w:color w:val="auto"/>
          <w:kern w:val="0"/>
          <w:sz w:val="24"/>
          <w:highlight w:val="none"/>
          <w:lang w:val="en-US" w:eastAsia="zh-CN"/>
        </w:rPr>
        <w:t>加盖公章的</w:t>
      </w:r>
      <w:r>
        <w:rPr>
          <w:rFonts w:hint="eastAsia" w:ascii="宋体" w:hAnsi="宋体" w:cs="宋体"/>
          <w:bCs/>
          <w:color w:val="auto"/>
          <w:kern w:val="0"/>
          <w:sz w:val="24"/>
          <w:highlight w:val="none"/>
        </w:rPr>
        <w:t>网站查询结果截图，查询时间公告后有效）。</w:t>
      </w:r>
    </w:p>
    <w:p w14:paraId="0D712EF1">
      <w:pPr>
        <w:bidi w:val="0"/>
        <w:spacing w:line="360" w:lineRule="auto"/>
        <w:ind w:firstLine="480" w:firstLineChars="200"/>
        <w:jc w:val="both"/>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2</w:t>
      </w:r>
      <w:r>
        <w:rPr>
          <w:rFonts w:hint="eastAsia" w:ascii="宋体" w:hAnsi="宋体" w:cs="宋体"/>
          <w:bCs/>
          <w:color w:val="auto"/>
          <w:kern w:val="0"/>
          <w:sz w:val="24"/>
          <w:highlight w:val="none"/>
          <w:lang w:eastAsia="zh-CN"/>
        </w:rPr>
        <w:t>）</w:t>
      </w:r>
      <w:r>
        <w:rPr>
          <w:rFonts w:hint="eastAsia" w:ascii="宋体" w:hAnsi="宋体" w:eastAsia="宋体" w:cs="宋体"/>
          <w:i w:val="0"/>
          <w:iCs w:val="0"/>
          <w:color w:val="auto"/>
          <w:sz w:val="24"/>
          <w:szCs w:val="24"/>
          <w:highlight w:val="none"/>
        </w:rPr>
        <w:t>资质要求：投标人须同时具备建设行政主管部门颁发的商物粮行业乙级或商物粮行业粮食工程专业设计乙级及以上设计资质且具有建筑行业（建筑工程）乙级及以上设计资质；投标人拟派设计项目负责人须具备二级及以上注册建筑师执业资格。</w:t>
      </w:r>
    </w:p>
    <w:p w14:paraId="66B899AE">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三、获取采购文件</w:t>
      </w:r>
    </w:p>
    <w:p w14:paraId="0B85E974">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none"/>
          <w:lang w:val="en-US" w:eastAsia="zh-CN"/>
        </w:rPr>
        <w:t>2025</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07</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18</w:t>
      </w:r>
      <w:r>
        <w:rPr>
          <w:rFonts w:hint="eastAsia" w:asciiTheme="minorEastAsia" w:hAnsiTheme="minorEastAsia" w:eastAsiaTheme="minorEastAsia" w:cstheme="minorEastAsia"/>
          <w:color w:val="auto"/>
          <w:sz w:val="24"/>
          <w:highlight w:val="none"/>
          <w:u w:val="none"/>
        </w:rPr>
        <w:t>日至</w:t>
      </w:r>
      <w:r>
        <w:rPr>
          <w:rFonts w:hint="eastAsia" w:asciiTheme="minorEastAsia" w:hAnsiTheme="minorEastAsia" w:eastAsiaTheme="minorEastAsia" w:cstheme="minorEastAsia"/>
          <w:color w:val="auto"/>
          <w:sz w:val="24"/>
          <w:highlight w:val="none"/>
          <w:u w:val="none"/>
          <w:lang w:val="en-US" w:eastAsia="zh-CN"/>
        </w:rPr>
        <w:t>2025</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07</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25</w:t>
      </w:r>
      <w:r>
        <w:rPr>
          <w:rFonts w:hint="eastAsia" w:asciiTheme="minorEastAsia" w:hAnsiTheme="minorEastAsia" w:eastAsiaTheme="minorEastAsia" w:cstheme="minorEastAsia"/>
          <w:color w:val="auto"/>
          <w:sz w:val="24"/>
          <w:highlight w:val="none"/>
          <w:u w:val="none"/>
        </w:rPr>
        <w:t>日</w:t>
      </w:r>
      <w:r>
        <w:rPr>
          <w:rFonts w:hint="eastAsia" w:asciiTheme="minorEastAsia" w:hAnsiTheme="minorEastAsia" w:eastAsiaTheme="minorEastAsia" w:cstheme="minorEastAsia"/>
          <w:color w:val="auto"/>
          <w:sz w:val="24"/>
          <w:highlight w:val="none"/>
          <w:u w:val="none"/>
          <w:lang w:val="en-US" w:eastAsia="zh-CN"/>
        </w:rPr>
        <w:t>23：59分</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北京时间，法定节假日除外 ）</w:t>
      </w:r>
    </w:p>
    <w:p w14:paraId="0D098D84">
      <w:pPr>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地点：周口市公共资源交易中心网（http://jyzx.zhoukou.gov.cn）</w:t>
      </w:r>
    </w:p>
    <w:p w14:paraId="037252A3">
      <w:pPr>
        <w:spacing w:line="360" w:lineRule="auto"/>
        <w:ind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方式：供应商请在网站自主注册后下载采购文件（zkzf格式）及资料，需办理CA数字证书后方可提交响应文件，具体办理事宜请查阅周口市公共资源交易中心网站。</w:t>
      </w:r>
    </w:p>
    <w:p w14:paraId="14FAF38E">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售价：0</w:t>
      </w:r>
    </w:p>
    <w:p w14:paraId="5C9F9379">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四、响应文件提交</w:t>
      </w:r>
    </w:p>
    <w:p w14:paraId="28A9FD67">
      <w:pPr>
        <w:spacing w:line="360" w:lineRule="auto"/>
        <w:ind w:firstLine="240" w:firstLineChars="1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截止时间：</w:t>
      </w:r>
      <w:r>
        <w:rPr>
          <w:rFonts w:hint="eastAsia" w:asciiTheme="minorEastAsia" w:hAnsiTheme="minorEastAsia" w:eastAsiaTheme="minorEastAsia" w:cstheme="minorEastAsia"/>
          <w:color w:val="auto"/>
          <w:sz w:val="24"/>
          <w:highlight w:val="none"/>
          <w:u w:val="none"/>
          <w:lang w:val="en-US" w:eastAsia="zh-CN"/>
        </w:rPr>
        <w:t>2025</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07</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29</w:t>
      </w:r>
      <w:r>
        <w:rPr>
          <w:rFonts w:hint="eastAsia" w:asciiTheme="minorEastAsia" w:hAnsiTheme="minorEastAsia" w:eastAsiaTheme="minorEastAsia" w:cstheme="minorEastAsia"/>
          <w:color w:val="auto"/>
          <w:sz w:val="24"/>
          <w:highlight w:val="none"/>
          <w:u w:val="none"/>
        </w:rPr>
        <w:t>日</w:t>
      </w:r>
      <w:r>
        <w:rPr>
          <w:rFonts w:hint="eastAsia" w:asciiTheme="minorEastAsia" w:hAnsiTheme="minorEastAsia" w:eastAsiaTheme="minorEastAsia" w:cstheme="minorEastAsia"/>
          <w:color w:val="auto"/>
          <w:sz w:val="24"/>
          <w:highlight w:val="none"/>
          <w:u w:val="none"/>
          <w:lang w:val="en-US" w:eastAsia="zh-CN"/>
        </w:rPr>
        <w:t>10</w:t>
      </w:r>
      <w:r>
        <w:rPr>
          <w:rFonts w:hint="eastAsia" w:asciiTheme="minorEastAsia" w:hAnsiTheme="minorEastAsia" w:eastAsiaTheme="minorEastAsia" w:cstheme="minorEastAsia"/>
          <w:color w:val="auto"/>
          <w:sz w:val="24"/>
          <w:highlight w:val="none"/>
          <w:u w:val="none"/>
        </w:rPr>
        <w:t>点</w:t>
      </w:r>
      <w:r>
        <w:rPr>
          <w:rFonts w:hint="eastAsia" w:asciiTheme="minorEastAsia" w:hAnsiTheme="minorEastAsia" w:eastAsiaTheme="minorEastAsia" w:cstheme="minorEastAsia"/>
          <w:color w:val="auto"/>
          <w:sz w:val="24"/>
          <w:highlight w:val="none"/>
          <w:u w:val="none"/>
          <w:lang w:val="en-US" w:eastAsia="zh-CN"/>
        </w:rPr>
        <w:t>00</w:t>
      </w:r>
      <w:r>
        <w:rPr>
          <w:rFonts w:hint="eastAsia" w:asciiTheme="minorEastAsia" w:hAnsiTheme="minorEastAsia" w:eastAsiaTheme="minorEastAsia" w:cstheme="minorEastAsia"/>
          <w:color w:val="auto"/>
          <w:sz w:val="24"/>
          <w:highlight w:val="none"/>
          <w:u w:val="none"/>
        </w:rPr>
        <w:t>分</w:t>
      </w:r>
      <w:r>
        <w:rPr>
          <w:rFonts w:hint="eastAsia" w:asciiTheme="minorEastAsia" w:hAnsiTheme="minorEastAsia" w:eastAsiaTheme="minorEastAsia" w:cstheme="minorEastAsia"/>
          <w:color w:val="auto"/>
          <w:sz w:val="24"/>
          <w:highlight w:val="none"/>
        </w:rPr>
        <w:t>（北京时间）</w:t>
      </w:r>
    </w:p>
    <w:p w14:paraId="3CCFEC35">
      <w:pPr>
        <w:spacing w:line="360" w:lineRule="auto"/>
        <w:ind w:firstLine="240" w:firstLineChars="1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地点：加密电子响应文件须在投标截止时间前通过</w:t>
      </w:r>
      <w:r>
        <w:rPr>
          <w:rFonts w:hint="eastAsia" w:asciiTheme="minorEastAsia" w:hAnsiTheme="minorEastAsia" w:eastAsiaTheme="minorEastAsia" w:cstheme="minorEastAsia"/>
          <w:color w:val="auto"/>
          <w:spacing w:val="-6"/>
          <w:sz w:val="24"/>
          <w:highlight w:val="none"/>
        </w:rPr>
        <w:t>周口市公共资源交易中心网</w:t>
      </w:r>
      <w:r>
        <w:rPr>
          <w:rFonts w:hint="eastAsia" w:asciiTheme="minorEastAsia" w:hAnsiTheme="minorEastAsia" w:eastAsiaTheme="minorEastAsia" w:cstheme="minorEastAsia"/>
          <w:color w:val="auto"/>
          <w:sz w:val="24"/>
          <w:highlight w:val="none"/>
        </w:rPr>
        <w:t>（网址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"http://jyzx.zhoukou.gov.cn/"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highlight w:val="none"/>
          <w:u w:val="single"/>
        </w:rPr>
        <w:t>http://jyzx.zhoukou.gov.cn</w:t>
      </w:r>
      <w:r>
        <w:rPr>
          <w:rFonts w:hint="eastAsia" w:asciiTheme="minorEastAsia" w:hAnsiTheme="minorEastAsia" w:eastAsiaTheme="minorEastAsia" w:cstheme="minorEastAsia"/>
          <w:color w:val="auto"/>
          <w:sz w:val="24"/>
          <w:highlight w:val="none"/>
          <w:u w:val="single"/>
        </w:rPr>
        <w:fldChar w:fldCharType="end"/>
      </w:r>
      <w:r>
        <w:rPr>
          <w:rFonts w:hint="eastAsia" w:asciiTheme="minorEastAsia" w:hAnsiTheme="minorEastAsia" w:eastAsiaTheme="minorEastAsia" w:cstheme="minorEastAsia"/>
          <w:color w:val="auto"/>
          <w:sz w:val="24"/>
          <w:highlight w:val="none"/>
        </w:rPr>
        <w:t>）。</w:t>
      </w:r>
    </w:p>
    <w:p w14:paraId="47594EE0">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w:t>
      </w:r>
      <w:r>
        <w:rPr>
          <w:rFonts w:hint="eastAsia" w:asciiTheme="minorEastAsia" w:hAnsiTheme="minorEastAsia" w:eastAsiaTheme="minorEastAsia" w:cstheme="minorEastAsia"/>
          <w:color w:val="auto"/>
          <w:sz w:val="24"/>
          <w:highlight w:val="none"/>
          <w:lang w:val="en-US" w:eastAsia="zh-CN"/>
        </w:rPr>
        <w:t>响应文件</w:t>
      </w:r>
      <w:r>
        <w:rPr>
          <w:rFonts w:hint="eastAsia" w:asciiTheme="minorEastAsia" w:hAnsiTheme="minorEastAsia" w:eastAsiaTheme="minorEastAsia" w:cstheme="minorEastAsia"/>
          <w:color w:val="auto"/>
          <w:sz w:val="24"/>
          <w:highlight w:val="none"/>
        </w:rPr>
        <w:t>开启</w:t>
      </w:r>
    </w:p>
    <w:p w14:paraId="29134DCC">
      <w:pPr>
        <w:spacing w:line="360" w:lineRule="auto"/>
        <w:ind w:firstLine="240" w:firstLineChars="1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none"/>
          <w:lang w:val="en-US" w:eastAsia="zh-CN"/>
        </w:rPr>
        <w:t>2025</w:t>
      </w:r>
      <w:r>
        <w:rPr>
          <w:rFonts w:hint="eastAsia" w:asciiTheme="minorEastAsia" w:hAnsiTheme="minorEastAsia" w:eastAsiaTheme="minorEastAsia" w:cstheme="minorEastAsia"/>
          <w:color w:val="auto"/>
          <w:sz w:val="24"/>
          <w:highlight w:val="none"/>
          <w:u w:val="none"/>
        </w:rPr>
        <w:t>年</w:t>
      </w:r>
      <w:r>
        <w:rPr>
          <w:rFonts w:hint="eastAsia" w:asciiTheme="minorEastAsia" w:hAnsiTheme="minorEastAsia" w:eastAsiaTheme="minorEastAsia" w:cstheme="minorEastAsia"/>
          <w:color w:val="auto"/>
          <w:sz w:val="24"/>
          <w:highlight w:val="none"/>
          <w:u w:val="none"/>
          <w:lang w:val="en-US" w:eastAsia="zh-CN"/>
        </w:rPr>
        <w:t>07</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29</w:t>
      </w:r>
      <w:r>
        <w:rPr>
          <w:rFonts w:hint="eastAsia" w:asciiTheme="minorEastAsia" w:hAnsiTheme="minorEastAsia" w:eastAsiaTheme="minorEastAsia" w:cstheme="minorEastAsia"/>
          <w:color w:val="auto"/>
          <w:sz w:val="24"/>
          <w:highlight w:val="none"/>
          <w:u w:val="none"/>
        </w:rPr>
        <w:t>日</w:t>
      </w:r>
      <w:r>
        <w:rPr>
          <w:rFonts w:hint="eastAsia" w:asciiTheme="minorEastAsia" w:hAnsiTheme="minorEastAsia" w:eastAsiaTheme="minorEastAsia" w:cstheme="minorEastAsia"/>
          <w:color w:val="auto"/>
          <w:sz w:val="24"/>
          <w:highlight w:val="none"/>
          <w:u w:val="none"/>
          <w:lang w:val="en-US" w:eastAsia="zh-CN"/>
        </w:rPr>
        <w:t>10</w:t>
      </w:r>
      <w:r>
        <w:rPr>
          <w:rFonts w:hint="eastAsia" w:asciiTheme="minorEastAsia" w:hAnsiTheme="minorEastAsia" w:eastAsiaTheme="minorEastAsia" w:cstheme="minorEastAsia"/>
          <w:color w:val="auto"/>
          <w:sz w:val="24"/>
          <w:highlight w:val="none"/>
          <w:u w:val="none"/>
        </w:rPr>
        <w:t>点</w:t>
      </w:r>
      <w:r>
        <w:rPr>
          <w:rFonts w:hint="eastAsia" w:asciiTheme="minorEastAsia" w:hAnsiTheme="minorEastAsia" w:eastAsiaTheme="minorEastAsia" w:cstheme="minorEastAsia"/>
          <w:color w:val="auto"/>
          <w:sz w:val="24"/>
          <w:highlight w:val="none"/>
          <w:u w:val="none"/>
          <w:lang w:val="en-US" w:eastAsia="zh-CN"/>
        </w:rPr>
        <w:t>00</w:t>
      </w:r>
      <w:r>
        <w:rPr>
          <w:rFonts w:hint="eastAsia" w:asciiTheme="minorEastAsia" w:hAnsiTheme="minorEastAsia" w:eastAsiaTheme="minorEastAsia" w:cstheme="minorEastAsia"/>
          <w:color w:val="auto"/>
          <w:sz w:val="24"/>
          <w:highlight w:val="none"/>
          <w:u w:val="none"/>
        </w:rPr>
        <w:t>分</w:t>
      </w:r>
      <w:r>
        <w:rPr>
          <w:rFonts w:hint="eastAsia" w:asciiTheme="minorEastAsia" w:hAnsiTheme="minorEastAsia" w:eastAsiaTheme="minorEastAsia" w:cstheme="minorEastAsia"/>
          <w:color w:val="auto"/>
          <w:sz w:val="24"/>
          <w:highlight w:val="none"/>
        </w:rPr>
        <w:t>（北京时间）</w:t>
      </w:r>
    </w:p>
    <w:p w14:paraId="444950FE">
      <w:pPr>
        <w:spacing w:line="360" w:lineRule="auto"/>
        <w:ind w:firstLine="240" w:firstLineChars="1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地点：周口市公共资源交易中心开标室</w:t>
      </w:r>
    </w:p>
    <w:p w14:paraId="14F17D81">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六、发布公告的媒介及招标公告期限</w:t>
      </w:r>
    </w:p>
    <w:p w14:paraId="2D894C5E">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本次招标公告在《河南省政府采购网》《周口市公共资源交易中心网》上发布， 招标公告期限为三个工作日 。 </w:t>
      </w:r>
    </w:p>
    <w:p w14:paraId="7D3067B0">
      <w:pPr>
        <w:numPr>
          <w:ilvl w:val="0"/>
          <w:numId w:val="1"/>
        </w:num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其他补充事宜</w:t>
      </w:r>
    </w:p>
    <w:p w14:paraId="50ED7C8C">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八、凡对本次采购提出询问，请按以下方式联系。</w:t>
      </w:r>
    </w:p>
    <w:p w14:paraId="13FE5A79">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1.采购人信息</w:t>
      </w:r>
    </w:p>
    <w:p w14:paraId="45AA20C3">
      <w:pPr>
        <w:spacing w:before="0" w:after="0" w:line="360" w:lineRule="auto"/>
        <w:ind w:right="0"/>
        <w:jc w:val="left"/>
        <w:rPr>
          <w:rFonts w:hint="eastAsia" w:ascii="宋体" w:hAnsi="宋体" w:eastAsia="宋体" w:cs="宋体"/>
          <w:color w:val="auto"/>
          <w:spacing w:val="0"/>
          <w:position w:val="0"/>
          <w:sz w:val="24"/>
          <w:highlight w:val="none"/>
          <w:shd w:val="clear" w:fill="auto"/>
          <w:lang w:val="en-US" w:eastAsia="zh-CN"/>
        </w:rPr>
      </w:pPr>
      <w:bookmarkStart w:id="0" w:name="_Toc28359086"/>
      <w:bookmarkStart w:id="1" w:name="_Toc28359009"/>
      <w:r>
        <w:rPr>
          <w:rFonts w:ascii="宋体" w:hAnsi="宋体" w:eastAsia="宋体" w:cs="宋体"/>
          <w:color w:val="auto"/>
          <w:spacing w:val="0"/>
          <w:position w:val="0"/>
          <w:sz w:val="24"/>
          <w:highlight w:val="none"/>
          <w:shd w:val="clear" w:fill="auto"/>
        </w:rPr>
        <w:t>名称：</w:t>
      </w:r>
      <w:r>
        <w:rPr>
          <w:rFonts w:hint="eastAsia" w:ascii="宋体" w:hAnsi="宋体" w:cs="宋体"/>
          <w:color w:val="auto"/>
          <w:spacing w:val="0"/>
          <w:position w:val="0"/>
          <w:sz w:val="24"/>
          <w:highlight w:val="none"/>
          <w:shd w:val="clear" w:fill="auto"/>
          <w:lang w:val="en-US" w:eastAsia="zh-CN"/>
        </w:rPr>
        <w:t>郸城县发展和改革委员会</w:t>
      </w:r>
      <w:r>
        <w:rPr>
          <w:rFonts w:ascii="宋体" w:hAnsi="宋体" w:eastAsia="宋体" w:cs="宋体"/>
          <w:color w:val="auto"/>
          <w:spacing w:val="0"/>
          <w:position w:val="0"/>
          <w:sz w:val="24"/>
          <w:highlight w:val="none"/>
          <w:shd w:val="clear" w:fill="auto"/>
        </w:rPr>
        <w:t>　　</w:t>
      </w:r>
      <w:r>
        <w:rPr>
          <w:rFonts w:hint="eastAsia" w:ascii="宋体" w:hAnsi="宋体" w:eastAsia="宋体" w:cs="宋体"/>
          <w:color w:val="auto"/>
          <w:spacing w:val="0"/>
          <w:position w:val="0"/>
          <w:sz w:val="24"/>
          <w:highlight w:val="none"/>
          <w:shd w:val="clear" w:fill="auto"/>
          <w:lang w:val="en-US" w:eastAsia="zh-CN"/>
        </w:rPr>
        <w:t xml:space="preserve"> </w:t>
      </w:r>
    </w:p>
    <w:p w14:paraId="6DEA6F7F">
      <w:pPr>
        <w:spacing w:before="0" w:after="0" w:line="360" w:lineRule="auto"/>
        <w:ind w:right="0"/>
        <w:jc w:val="left"/>
        <w:rPr>
          <w:rFonts w:ascii="宋体" w:hAnsi="宋体" w:eastAsia="宋体" w:cs="宋体"/>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地址：</w:t>
      </w:r>
      <w:r>
        <w:rPr>
          <w:rFonts w:hint="eastAsia" w:ascii="宋体" w:hAnsi="宋体" w:cs="宋体"/>
          <w:color w:val="auto"/>
          <w:spacing w:val="0"/>
          <w:position w:val="0"/>
          <w:sz w:val="24"/>
          <w:highlight w:val="none"/>
          <w:shd w:val="clear" w:fill="auto"/>
          <w:lang w:val="en-US" w:eastAsia="zh-CN"/>
        </w:rPr>
        <w:t>郸城县</w:t>
      </w:r>
      <w:r>
        <w:rPr>
          <w:rFonts w:ascii="宋体" w:hAnsi="宋体" w:eastAsia="宋体" w:cs="宋体"/>
          <w:color w:val="auto"/>
          <w:spacing w:val="0"/>
          <w:position w:val="0"/>
          <w:sz w:val="24"/>
          <w:highlight w:val="none"/>
          <w:shd w:val="clear" w:fill="auto"/>
        </w:rPr>
        <w:t>　　　　　　　　　　　　</w:t>
      </w:r>
    </w:p>
    <w:p w14:paraId="1CEACD38">
      <w:pPr>
        <w:spacing w:before="0" w:after="0" w:line="360" w:lineRule="auto"/>
        <w:ind w:right="0"/>
        <w:jc w:val="left"/>
        <w:rPr>
          <w:rFonts w:hint="eastAsia" w:ascii="宋体" w:hAnsi="宋体" w:eastAsia="宋体" w:cs="宋体"/>
          <w:color w:val="auto"/>
          <w:spacing w:val="0"/>
          <w:position w:val="0"/>
          <w:sz w:val="24"/>
          <w:highlight w:val="none"/>
          <w:shd w:val="clear" w:fill="auto"/>
          <w:lang w:val="en-US" w:eastAsia="zh-CN"/>
        </w:rPr>
      </w:pPr>
      <w:r>
        <w:rPr>
          <w:rFonts w:ascii="宋体" w:hAnsi="宋体" w:eastAsia="宋体" w:cs="宋体"/>
          <w:color w:val="auto"/>
          <w:spacing w:val="0"/>
          <w:position w:val="0"/>
          <w:sz w:val="24"/>
          <w:highlight w:val="none"/>
          <w:shd w:val="clear" w:fill="auto"/>
        </w:rPr>
        <w:t>项目联系人：</w:t>
      </w:r>
      <w:r>
        <w:rPr>
          <w:rFonts w:hint="eastAsia" w:ascii="宋体" w:hAnsi="宋体" w:cs="宋体"/>
          <w:color w:val="auto"/>
          <w:spacing w:val="0"/>
          <w:position w:val="0"/>
          <w:sz w:val="24"/>
          <w:highlight w:val="none"/>
          <w:shd w:val="clear" w:fill="auto"/>
          <w:lang w:val="en-US" w:eastAsia="zh-CN"/>
        </w:rPr>
        <w:t>张建</w:t>
      </w:r>
      <w:r>
        <w:rPr>
          <w:rFonts w:hint="eastAsia" w:ascii="宋体" w:hAnsi="宋体" w:eastAsia="宋体" w:cs="宋体"/>
          <w:color w:val="auto"/>
          <w:spacing w:val="0"/>
          <w:position w:val="0"/>
          <w:sz w:val="24"/>
          <w:highlight w:val="none"/>
          <w:shd w:val="clear" w:fill="auto"/>
        </w:rPr>
        <w:t xml:space="preserve">    </w:t>
      </w:r>
      <w:r>
        <w:rPr>
          <w:rFonts w:hint="eastAsia" w:ascii="宋体" w:hAnsi="宋体" w:eastAsia="宋体" w:cs="宋体"/>
          <w:color w:val="auto"/>
          <w:spacing w:val="0"/>
          <w:position w:val="0"/>
          <w:sz w:val="24"/>
          <w:highlight w:val="none"/>
          <w:shd w:val="clear" w:fill="auto"/>
          <w:lang w:val="en-US" w:eastAsia="zh-CN"/>
        </w:rPr>
        <w:t xml:space="preserve"> </w:t>
      </w:r>
    </w:p>
    <w:p w14:paraId="508DC1E0">
      <w:pPr>
        <w:spacing w:before="0" w:after="0" w:line="360" w:lineRule="auto"/>
        <w:ind w:right="0"/>
        <w:jc w:val="left"/>
        <w:rPr>
          <w:rFonts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rPr>
        <w:t>联系方式</w:t>
      </w:r>
      <w:r>
        <w:rPr>
          <w:rFonts w:hint="eastAsia" w:ascii="宋体" w:hAnsi="宋体" w:eastAsia="宋体" w:cs="宋体"/>
          <w:color w:val="auto"/>
          <w:spacing w:val="0"/>
          <w:position w:val="0"/>
          <w:sz w:val="24"/>
          <w:highlight w:val="none"/>
          <w:shd w:val="clear" w:fill="auto"/>
          <w:lang w:eastAsia="zh-CN"/>
        </w:rPr>
        <w:t>：15538602568</w:t>
      </w:r>
      <w:r>
        <w:rPr>
          <w:rFonts w:hint="eastAsia" w:ascii="宋体" w:hAnsi="宋体" w:cs="宋体"/>
          <w:color w:val="auto"/>
          <w:spacing w:val="0"/>
          <w:position w:val="0"/>
          <w:sz w:val="24"/>
          <w:highlight w:val="none"/>
          <w:shd w:val="clear" w:fill="auto"/>
          <w:lang w:val="en-US" w:eastAsia="zh-CN"/>
        </w:rPr>
        <w:t xml:space="preserve"> </w:t>
      </w:r>
      <w:r>
        <w:rPr>
          <w:rFonts w:hint="eastAsia" w:ascii="宋体" w:hAnsi="宋体" w:eastAsia="宋体" w:cs="宋体"/>
          <w:color w:val="auto"/>
          <w:spacing w:val="0"/>
          <w:position w:val="0"/>
          <w:sz w:val="24"/>
          <w:highlight w:val="none"/>
          <w:shd w:val="clear" w:fill="auto"/>
        </w:rPr>
        <w:t>　</w:t>
      </w:r>
      <w:r>
        <w:rPr>
          <w:rFonts w:ascii="宋体" w:hAnsi="宋体" w:eastAsia="宋体" w:cs="宋体"/>
          <w:color w:val="auto"/>
          <w:spacing w:val="0"/>
          <w:position w:val="0"/>
          <w:sz w:val="24"/>
          <w:highlight w:val="none"/>
          <w:shd w:val="clear" w:fill="auto"/>
        </w:rPr>
        <w:t xml:space="preserve">　　　　　　　　 </w:t>
      </w:r>
    </w:p>
    <w:p w14:paraId="4AC4810B">
      <w:pPr>
        <w:tabs>
          <w:tab w:val="left" w:pos="3322"/>
        </w:tabs>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2.采购代理机构信息</w:t>
      </w:r>
      <w:bookmarkEnd w:id="0"/>
      <w:bookmarkEnd w:id="1"/>
      <w:r>
        <w:rPr>
          <w:rFonts w:hint="eastAsia" w:asciiTheme="minorEastAsia" w:hAnsiTheme="minorEastAsia" w:eastAsiaTheme="minorEastAsia" w:cstheme="minorEastAsia"/>
          <w:color w:val="auto"/>
          <w:sz w:val="24"/>
          <w:szCs w:val="24"/>
          <w:highlight w:val="none"/>
          <w:lang w:eastAsia="zh-CN"/>
        </w:rPr>
        <w:tab/>
      </w:r>
    </w:p>
    <w:p w14:paraId="709DA099">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称：周口市公共资源交易中心政府采购中心　　　　　　　　　　　　</w:t>
      </w:r>
    </w:p>
    <w:p w14:paraId="6623ECD2">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址：周口市光明路与政通路交叉口</w:t>
      </w:r>
      <w:r>
        <w:rPr>
          <w:rFonts w:hint="eastAsia" w:asciiTheme="minorEastAsia" w:hAnsiTheme="minorEastAsia" w:eastAsiaTheme="minorEastAsia" w:cstheme="minorEastAsia"/>
          <w:color w:val="auto"/>
          <w:sz w:val="24"/>
          <w:szCs w:val="24"/>
          <w:highlight w:val="none"/>
          <w:lang w:val="en-US" w:eastAsia="zh-CN"/>
        </w:rPr>
        <w:t>向北100米路东</w:t>
      </w:r>
    </w:p>
    <w:p w14:paraId="19A60F74">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联系人：郝冰               </w:t>
      </w:r>
    </w:p>
    <w:p w14:paraId="07752759">
      <w:pPr>
        <w:bidi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联系方式：</w:t>
      </w:r>
      <w:bookmarkStart w:id="2" w:name="_Toc28359087"/>
      <w:bookmarkStart w:id="3" w:name="_Toc28359010"/>
      <w:r>
        <w:rPr>
          <w:rFonts w:hint="eastAsia" w:asciiTheme="minorEastAsia" w:hAnsiTheme="minorEastAsia" w:eastAsiaTheme="minorEastAsia" w:cstheme="minorEastAsia"/>
          <w:color w:val="auto"/>
          <w:sz w:val="24"/>
          <w:szCs w:val="24"/>
          <w:highlight w:val="none"/>
          <w:lang w:val="en-US" w:eastAsia="zh-CN"/>
        </w:rPr>
        <w:t xml:space="preserve">0394-8106517、19913281817 </w:t>
      </w:r>
      <w:r>
        <w:rPr>
          <w:rFonts w:hint="eastAsia" w:asciiTheme="minorEastAsia" w:hAnsiTheme="minorEastAsia" w:eastAsiaTheme="minorEastAsia" w:cstheme="minorEastAsia"/>
          <w:color w:val="auto"/>
          <w:sz w:val="24"/>
          <w:szCs w:val="24"/>
          <w:highlight w:val="none"/>
        </w:rPr>
        <w:t>　　　　　　　</w:t>
      </w:r>
    </w:p>
    <w:bookmarkEnd w:id="2"/>
    <w:bookmarkEnd w:id="3"/>
    <w:p w14:paraId="3080D662">
      <w:pPr>
        <w:spacing w:line="360" w:lineRule="auto"/>
        <w:jc w:val="left"/>
        <w:rPr>
          <w:rFonts w:hint="eastAsia" w:ascii="宋体" w:hAnsi="宋体" w:eastAsia="宋体" w:cs="宋体"/>
          <w:color w:val="auto"/>
          <w:spacing w:val="0"/>
          <w:position w:val="0"/>
          <w:sz w:val="24"/>
          <w:highlight w:val="none"/>
          <w:shd w:val="clear" w:fill="auto"/>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宋体" w:hAnsi="宋体" w:eastAsia="宋体" w:cs="宋体"/>
          <w:color w:val="auto"/>
          <w:spacing w:val="0"/>
          <w:position w:val="0"/>
          <w:sz w:val="24"/>
          <w:highlight w:val="none"/>
          <w:shd w:val="clear" w:fill="auto"/>
        </w:rPr>
        <w:t>监督单位：郸城县政府采购办</w:t>
      </w:r>
    </w:p>
    <w:p w14:paraId="0D511D89">
      <w:pPr>
        <w:spacing w:line="360" w:lineRule="auto"/>
        <w:jc w:val="left"/>
        <w:rPr>
          <w:rFonts w:hint="default" w:asciiTheme="minorEastAsia" w:hAnsiTheme="minorEastAsia" w:cstheme="minorEastAsia"/>
          <w:color w:val="auto"/>
          <w:sz w:val="24"/>
          <w:szCs w:val="24"/>
          <w:highlight w:val="none"/>
          <w:lang w:val="en-US" w:eastAsia="zh-CN"/>
        </w:rPr>
      </w:pPr>
      <w:r>
        <w:rPr>
          <w:rFonts w:hint="eastAsia" w:ascii="宋体" w:hAnsi="宋体" w:eastAsia="宋体" w:cs="宋体"/>
          <w:color w:val="auto"/>
          <w:spacing w:val="0"/>
          <w:position w:val="0"/>
          <w:sz w:val="24"/>
          <w:highlight w:val="none"/>
          <w:shd w:val="clear" w:fill="auto"/>
        </w:rPr>
        <w:t>联系方式：0394-3298829　</w:t>
      </w:r>
    </w:p>
    <w:p w14:paraId="5ADCD646">
      <w:pPr>
        <w:spacing w:line="360" w:lineRule="auto"/>
        <w:jc w:val="left"/>
        <w:rPr>
          <w:rFonts w:hint="default" w:asciiTheme="minorEastAsia" w:hAnsiTheme="minorEastAsia" w:cstheme="minorEastAsia"/>
          <w:color w:val="auto"/>
          <w:sz w:val="24"/>
          <w:szCs w:val="24"/>
          <w:highlight w:val="none"/>
          <w:lang w:val="en-US" w:eastAsia="zh-CN"/>
        </w:rPr>
      </w:pPr>
    </w:p>
    <w:p w14:paraId="41314424">
      <w:pPr>
        <w:bidi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w:t>
      </w:r>
    </w:p>
    <w:p w14:paraId="0F87F72A">
      <w:pPr>
        <w:spacing w:line="360" w:lineRule="auto"/>
        <w:jc w:val="left"/>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4"/>
          <w:highlight w:val="none"/>
        </w:rPr>
        <w:t xml:space="preserve"> </w:t>
      </w:r>
    </w:p>
    <w:p w14:paraId="2085A7F0">
      <w:pPr>
        <w:spacing w:after="120" w:line="360" w:lineRule="auto"/>
        <w:ind w:firstLine="204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周口市公共资源交易中心政府采购中心</w:t>
      </w:r>
    </w:p>
    <w:p w14:paraId="1737BE30">
      <w:pPr>
        <w:tabs>
          <w:tab w:val="left" w:pos="0"/>
          <w:tab w:val="left" w:pos="993"/>
          <w:tab w:val="left" w:pos="1134"/>
        </w:tabs>
        <w:spacing w:line="360" w:lineRule="auto"/>
        <w:ind w:firstLine="36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 xml:space="preserve">  2025</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18</w:t>
      </w:r>
      <w:bookmarkStart w:id="9" w:name="_GoBack"/>
      <w:bookmarkEnd w:id="9"/>
      <w:r>
        <w:rPr>
          <w:rFonts w:hint="eastAsia" w:asciiTheme="minorEastAsia" w:hAnsiTheme="minorEastAsia" w:eastAsiaTheme="minorEastAsia" w:cstheme="minorEastAsia"/>
          <w:color w:val="auto"/>
          <w:sz w:val="24"/>
          <w:highlight w:val="none"/>
        </w:rPr>
        <w:t>日</w:t>
      </w:r>
    </w:p>
    <w:p w14:paraId="6E5CB391">
      <w:pPr>
        <w:pStyle w:val="44"/>
        <w:rPr>
          <w:rFonts w:hint="eastAsia" w:asciiTheme="minorEastAsia" w:hAnsiTheme="minorEastAsia" w:eastAsiaTheme="minorEastAsia" w:cstheme="minorEastAsia"/>
          <w:color w:val="auto"/>
          <w:sz w:val="24"/>
          <w:highlight w:val="none"/>
        </w:rPr>
      </w:pPr>
    </w:p>
    <w:p w14:paraId="3701EEEE">
      <w:pPr>
        <w:pStyle w:val="44"/>
        <w:rPr>
          <w:rFonts w:hint="eastAsia" w:asciiTheme="minorEastAsia" w:hAnsiTheme="minorEastAsia" w:eastAsiaTheme="minorEastAsia" w:cstheme="minorEastAsia"/>
          <w:color w:val="auto"/>
          <w:sz w:val="24"/>
          <w:highlight w:val="none"/>
        </w:rPr>
      </w:pPr>
    </w:p>
    <w:p w14:paraId="280F3CDF">
      <w:pPr>
        <w:pStyle w:val="44"/>
        <w:rPr>
          <w:rFonts w:hint="eastAsia" w:asciiTheme="minorEastAsia" w:hAnsiTheme="minorEastAsia" w:eastAsiaTheme="minorEastAsia" w:cstheme="minorEastAsia"/>
          <w:color w:val="auto"/>
          <w:sz w:val="24"/>
          <w:highlight w:val="none"/>
        </w:rPr>
      </w:pPr>
    </w:p>
    <w:p w14:paraId="008E8A46">
      <w:pPr>
        <w:pStyle w:val="44"/>
        <w:rPr>
          <w:rFonts w:hint="eastAsia" w:asciiTheme="minorEastAsia" w:hAnsiTheme="minorEastAsia" w:eastAsiaTheme="minorEastAsia" w:cstheme="minorEastAsia"/>
          <w:color w:val="auto"/>
          <w:sz w:val="24"/>
          <w:highlight w:val="none"/>
        </w:rPr>
      </w:pPr>
    </w:p>
    <w:p w14:paraId="302400AA">
      <w:pPr>
        <w:pStyle w:val="44"/>
        <w:rPr>
          <w:rFonts w:hint="eastAsia" w:asciiTheme="minorEastAsia" w:hAnsiTheme="minorEastAsia" w:eastAsiaTheme="minorEastAsia" w:cstheme="minorEastAsia"/>
          <w:color w:val="auto"/>
          <w:sz w:val="24"/>
          <w:highlight w:val="none"/>
        </w:rPr>
      </w:pPr>
    </w:p>
    <w:p w14:paraId="00238FB3">
      <w:pPr>
        <w:pStyle w:val="44"/>
        <w:rPr>
          <w:rFonts w:hint="eastAsia" w:asciiTheme="minorEastAsia" w:hAnsiTheme="minorEastAsia" w:eastAsiaTheme="minorEastAsia" w:cstheme="minorEastAsia"/>
          <w:color w:val="auto"/>
          <w:sz w:val="24"/>
          <w:highlight w:val="none"/>
        </w:rPr>
      </w:pPr>
    </w:p>
    <w:p w14:paraId="3CB96A31">
      <w:pPr>
        <w:pStyle w:val="2"/>
        <w:bidi w:val="0"/>
        <w:rPr>
          <w:rFonts w:ascii="宋体" w:hAnsi="宋体" w:cs="宋体"/>
          <w:b/>
          <w:color w:val="auto"/>
          <w:sz w:val="32"/>
          <w:szCs w:val="32"/>
          <w:highlight w:val="none"/>
        </w:rPr>
      </w:pPr>
      <w:r>
        <w:rPr>
          <w:rFonts w:hint="eastAsia" w:ascii="宋体" w:hAnsi="宋体" w:cs="宋体"/>
          <w:b/>
          <w:color w:val="auto"/>
          <w:sz w:val="32"/>
          <w:szCs w:val="32"/>
          <w:highlight w:val="none"/>
        </w:rPr>
        <w:t>第二章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供应商须知</w:t>
      </w:r>
    </w:p>
    <w:tbl>
      <w:tblPr>
        <w:tblStyle w:val="28"/>
        <w:tblW w:w="93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93"/>
        <w:gridCol w:w="6613"/>
      </w:tblGrid>
      <w:tr w14:paraId="4B239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40" w:type="dxa"/>
            <w:gridSpan w:val="3"/>
            <w:vAlign w:val="center"/>
          </w:tcPr>
          <w:p w14:paraId="5122BD0C">
            <w:pPr>
              <w:jc w:val="center"/>
              <w:rPr>
                <w:rFonts w:ascii="宋体" w:hAnsi="宋体"/>
                <w:color w:val="auto"/>
                <w:szCs w:val="21"/>
                <w:highlight w:val="none"/>
              </w:rPr>
            </w:pPr>
            <w:r>
              <w:rPr>
                <w:rFonts w:hint="eastAsia" w:ascii="宋体" w:hAnsi="宋体" w:cs="楷体_GB2312"/>
                <w:color w:val="auto"/>
                <w:sz w:val="32"/>
                <w:szCs w:val="32"/>
                <w:highlight w:val="none"/>
              </w:rPr>
              <w:t>供应商须知前附表</w:t>
            </w:r>
          </w:p>
        </w:tc>
      </w:tr>
      <w:tr w14:paraId="50145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13FF4151">
            <w:pPr>
              <w:spacing w:before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993" w:type="dxa"/>
            <w:vAlign w:val="center"/>
          </w:tcPr>
          <w:p w14:paraId="0A7D32A3">
            <w:pPr>
              <w:spacing w:beforeLines="50"/>
              <w:jc w:val="center"/>
              <w:rPr>
                <w:rFonts w:ascii="宋体" w:hAnsi="宋体" w:cs="宋体"/>
                <w:color w:val="auto"/>
                <w:sz w:val="24"/>
                <w:highlight w:val="none"/>
              </w:rPr>
            </w:pPr>
            <w:r>
              <w:rPr>
                <w:rFonts w:hint="eastAsia" w:ascii="宋体" w:hAnsi="宋体" w:cs="宋体"/>
                <w:color w:val="auto"/>
                <w:sz w:val="24"/>
                <w:highlight w:val="none"/>
              </w:rPr>
              <w:t>条款</w:t>
            </w:r>
          </w:p>
        </w:tc>
        <w:tc>
          <w:tcPr>
            <w:tcW w:w="6613" w:type="dxa"/>
            <w:vAlign w:val="center"/>
          </w:tcPr>
          <w:p w14:paraId="2D0E55E4">
            <w:pPr>
              <w:rPr>
                <w:rFonts w:ascii="宋体" w:hAnsi="宋体" w:cs="宋体"/>
                <w:color w:val="auto"/>
                <w:sz w:val="24"/>
                <w:highlight w:val="none"/>
              </w:rPr>
            </w:pPr>
            <w:r>
              <w:rPr>
                <w:rFonts w:hint="eastAsia" w:ascii="宋体" w:hAnsi="宋体" w:cs="宋体"/>
                <w:color w:val="auto"/>
                <w:sz w:val="24"/>
                <w:highlight w:val="none"/>
              </w:rPr>
              <w:t>内  容</w:t>
            </w:r>
          </w:p>
        </w:tc>
      </w:tr>
      <w:tr w14:paraId="0A126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214C0D3E">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p>
        </w:tc>
        <w:tc>
          <w:tcPr>
            <w:tcW w:w="1993" w:type="dxa"/>
            <w:vAlign w:val="center"/>
          </w:tcPr>
          <w:p w14:paraId="5DBDA0F8">
            <w:pPr>
              <w:jc w:val="center"/>
              <w:rPr>
                <w:rFonts w:ascii="宋体" w:hAnsi="宋体" w:cs="宋体"/>
                <w:color w:val="auto"/>
                <w:sz w:val="24"/>
                <w:highlight w:val="none"/>
              </w:rPr>
            </w:pPr>
            <w:r>
              <w:rPr>
                <w:rFonts w:hint="eastAsia" w:ascii="宋体" w:hAnsi="宋体" w:cs="宋体"/>
                <w:color w:val="auto"/>
                <w:sz w:val="24"/>
                <w:highlight w:val="none"/>
              </w:rPr>
              <w:t>项目概况</w:t>
            </w:r>
          </w:p>
        </w:tc>
        <w:tc>
          <w:tcPr>
            <w:tcW w:w="6613" w:type="dxa"/>
            <w:vAlign w:val="center"/>
          </w:tcPr>
          <w:p w14:paraId="0E52F4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s="宋体"/>
                <w:color w:val="auto"/>
                <w:sz w:val="24"/>
                <w:highlight w:val="none"/>
              </w:rPr>
              <w:t>项</w:t>
            </w:r>
            <w:r>
              <w:rPr>
                <w:rFonts w:hint="eastAsia" w:asciiTheme="minorEastAsia" w:hAnsiTheme="minorEastAsia" w:eastAsiaTheme="minorEastAsia" w:cstheme="minorEastAsia"/>
                <w:color w:val="auto"/>
                <w:sz w:val="24"/>
                <w:highlight w:val="none"/>
                <w:lang w:val="en-US" w:eastAsia="zh-CN"/>
              </w:rPr>
              <w:t>目名称：郸城县发展和改革委员会郸城县粮油有限责任公司智能化粮食仓储基础设施建设项目工程设计项目</w:t>
            </w:r>
          </w:p>
          <w:p w14:paraId="1E4BC66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采购内容：</w:t>
            </w:r>
            <w:r>
              <w:rPr>
                <w:rStyle w:val="75"/>
                <w:rFonts w:hint="eastAsia" w:ascii="宋体" w:hAnsi="宋体" w:cs="宋体"/>
                <w:color w:val="auto"/>
                <w:kern w:val="2"/>
                <w:sz w:val="24"/>
                <w:szCs w:val="24"/>
                <w:highlight w:val="none"/>
                <w:lang w:val="en-US" w:eastAsia="zh-CN" w:bidi="ar-SA"/>
              </w:rPr>
              <w:t>7个库区</w:t>
            </w:r>
            <w:r>
              <w:rPr>
                <w:rStyle w:val="75"/>
                <w:rFonts w:hint="eastAsia" w:ascii="宋体" w:hAnsi="宋体" w:eastAsia="宋体" w:cs="宋体"/>
                <w:color w:val="auto"/>
                <w:kern w:val="2"/>
                <w:sz w:val="24"/>
                <w:szCs w:val="24"/>
                <w:highlight w:val="none"/>
                <w:lang w:val="zh-CN" w:eastAsia="zh-CN" w:bidi="ar-SA"/>
              </w:rPr>
              <w:t>新增总仓容9.</w:t>
            </w:r>
            <w:r>
              <w:rPr>
                <w:rStyle w:val="75"/>
                <w:rFonts w:hint="eastAsia" w:ascii="宋体" w:hAnsi="宋体" w:cs="宋体"/>
                <w:color w:val="auto"/>
                <w:kern w:val="2"/>
                <w:sz w:val="24"/>
                <w:szCs w:val="24"/>
                <w:highlight w:val="none"/>
                <w:lang w:val="en-US" w:eastAsia="zh-CN" w:bidi="ar-SA"/>
              </w:rPr>
              <w:t>92</w:t>
            </w:r>
            <w:r>
              <w:rPr>
                <w:rStyle w:val="75"/>
                <w:rFonts w:hint="eastAsia" w:ascii="宋体" w:hAnsi="宋体" w:eastAsia="宋体" w:cs="宋体"/>
                <w:color w:val="auto"/>
                <w:kern w:val="2"/>
                <w:sz w:val="24"/>
                <w:szCs w:val="24"/>
                <w:highlight w:val="none"/>
                <w:lang w:val="zh-CN" w:eastAsia="zh-CN" w:bidi="ar-SA"/>
              </w:rPr>
              <w:t>万吨</w:t>
            </w:r>
            <w:r>
              <w:rPr>
                <w:rFonts w:hint="eastAsia" w:asciiTheme="minorEastAsia" w:hAnsiTheme="minorEastAsia" w:eastAsiaTheme="minorEastAsia" w:cstheme="minorEastAsia"/>
                <w:color w:val="auto"/>
                <w:sz w:val="24"/>
                <w:highlight w:val="none"/>
                <w:lang w:val="zh-CN" w:eastAsia="zh-CN"/>
              </w:rPr>
              <w:t>修建性详细规划、</w:t>
            </w:r>
            <w:r>
              <w:rPr>
                <w:rStyle w:val="75"/>
                <w:rFonts w:hint="eastAsia" w:ascii="宋体" w:hAnsi="宋体" w:cs="宋体"/>
                <w:color w:val="auto"/>
                <w:kern w:val="2"/>
                <w:sz w:val="24"/>
                <w:szCs w:val="24"/>
                <w:highlight w:val="none"/>
                <w:lang w:val="zh-CN" w:eastAsia="zh-CN" w:bidi="ar-SA"/>
              </w:rPr>
              <w:t>初步设计及施工图设计</w:t>
            </w:r>
          </w:p>
          <w:p w14:paraId="69877B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郸城县发展和改革委员会</w:t>
            </w:r>
          </w:p>
          <w:p w14:paraId="76C5E4C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eastAsia="宋体" w:cs="宋体"/>
                <w:i w:val="0"/>
                <w:iCs w:val="0"/>
                <w:color w:val="auto"/>
                <w:sz w:val="24"/>
                <w:szCs w:val="24"/>
                <w:highlight w:val="none"/>
              </w:rPr>
              <w:t>周口市公共资源交易中心政府采购中心</w:t>
            </w:r>
          </w:p>
        </w:tc>
      </w:tr>
      <w:tr w14:paraId="1A7E7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34" w:type="dxa"/>
            <w:vAlign w:val="center"/>
          </w:tcPr>
          <w:p w14:paraId="21B2C243">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p>
        </w:tc>
        <w:tc>
          <w:tcPr>
            <w:tcW w:w="1993" w:type="dxa"/>
            <w:vAlign w:val="center"/>
          </w:tcPr>
          <w:p w14:paraId="1ECEEEAD">
            <w:pPr>
              <w:spacing w:beforeLines="50"/>
              <w:ind w:left="-4" w:leftChars="-4" w:hanging="4" w:hangingChars="2"/>
              <w:jc w:val="center"/>
              <w:rPr>
                <w:rFonts w:ascii="宋体" w:hAnsi="宋体" w:cs="宋体"/>
                <w:color w:val="auto"/>
                <w:sz w:val="24"/>
                <w:highlight w:val="none"/>
              </w:rPr>
            </w:pPr>
            <w:r>
              <w:rPr>
                <w:rFonts w:hint="eastAsia" w:ascii="宋体" w:hAnsi="宋体" w:cs="宋体"/>
                <w:color w:val="auto"/>
                <w:sz w:val="24"/>
                <w:highlight w:val="none"/>
              </w:rPr>
              <w:t>对供应商的资格要求</w:t>
            </w:r>
          </w:p>
        </w:tc>
        <w:tc>
          <w:tcPr>
            <w:tcW w:w="6613" w:type="dxa"/>
            <w:vAlign w:val="center"/>
          </w:tcPr>
          <w:p w14:paraId="0FC65F8A">
            <w:pPr>
              <w:spacing w:beforeLines="50"/>
              <w:ind w:left="-4" w:leftChars="-4" w:hanging="4" w:hangingChars="2"/>
              <w:rPr>
                <w:rFonts w:ascii="宋体" w:hAnsi="宋体" w:cs="宋体"/>
                <w:color w:val="auto"/>
                <w:sz w:val="24"/>
                <w:highlight w:val="none"/>
              </w:rPr>
            </w:pPr>
            <w:r>
              <w:rPr>
                <w:rFonts w:hint="eastAsia" w:ascii="宋体" w:hAnsi="宋体" w:cs="宋体"/>
                <w:color w:val="auto"/>
                <w:sz w:val="24"/>
                <w:highlight w:val="none"/>
              </w:rPr>
              <w:t>见竞争性磋商邀请函</w:t>
            </w:r>
          </w:p>
        </w:tc>
      </w:tr>
      <w:tr w14:paraId="4A4C8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4" w:type="dxa"/>
            <w:vAlign w:val="center"/>
          </w:tcPr>
          <w:p w14:paraId="1BFC1D4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1993" w:type="dxa"/>
            <w:vAlign w:val="center"/>
          </w:tcPr>
          <w:p w14:paraId="1848DBEC">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报价费用</w:t>
            </w:r>
          </w:p>
        </w:tc>
        <w:tc>
          <w:tcPr>
            <w:tcW w:w="6613" w:type="dxa"/>
            <w:vAlign w:val="center"/>
          </w:tcPr>
          <w:p w14:paraId="27414E16">
            <w:pPr>
              <w:rPr>
                <w:rFonts w:ascii="宋体" w:hAnsi="宋体" w:cs="宋体"/>
                <w:color w:val="auto"/>
                <w:sz w:val="24"/>
                <w:highlight w:val="none"/>
              </w:rPr>
            </w:pPr>
            <w:r>
              <w:rPr>
                <w:rFonts w:hint="eastAsia" w:ascii="宋体" w:hAnsi="宋体" w:cs="宋体"/>
                <w:color w:val="auto"/>
                <w:sz w:val="24"/>
                <w:highlight w:val="none"/>
              </w:rPr>
              <w:t>无论报价和磋商的过程和结果如何，供应商自行承担所有与参加报价及磋商有关活动的全部费用。</w:t>
            </w:r>
          </w:p>
        </w:tc>
      </w:tr>
      <w:tr w14:paraId="49E4F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34" w:type="dxa"/>
            <w:vAlign w:val="center"/>
          </w:tcPr>
          <w:p w14:paraId="5F1EAE95">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1993" w:type="dxa"/>
            <w:vAlign w:val="center"/>
          </w:tcPr>
          <w:p w14:paraId="26E58DD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响应文件语言</w:t>
            </w:r>
          </w:p>
        </w:tc>
        <w:tc>
          <w:tcPr>
            <w:tcW w:w="6613" w:type="dxa"/>
            <w:vAlign w:val="center"/>
          </w:tcPr>
          <w:p w14:paraId="0C4C5597">
            <w:pPr>
              <w:bidi w:val="0"/>
              <w:jc w:val="both"/>
              <w:rPr>
                <w:color w:val="auto"/>
                <w:sz w:val="24"/>
                <w:szCs w:val="24"/>
                <w:highlight w:val="none"/>
              </w:rPr>
            </w:pPr>
            <w:r>
              <w:rPr>
                <w:rFonts w:hint="eastAsia"/>
                <w:color w:val="auto"/>
                <w:sz w:val="24"/>
                <w:szCs w:val="24"/>
                <w:highlight w:val="none"/>
              </w:rPr>
              <w:t>中文</w:t>
            </w:r>
          </w:p>
        </w:tc>
      </w:tr>
      <w:tr w14:paraId="7429F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4" w:type="dxa"/>
            <w:vAlign w:val="center"/>
          </w:tcPr>
          <w:p w14:paraId="117538F3">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993" w:type="dxa"/>
            <w:vAlign w:val="center"/>
          </w:tcPr>
          <w:p w14:paraId="10DA6638">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报价货币</w:t>
            </w:r>
          </w:p>
        </w:tc>
        <w:tc>
          <w:tcPr>
            <w:tcW w:w="6613" w:type="dxa"/>
            <w:vAlign w:val="center"/>
          </w:tcPr>
          <w:p w14:paraId="328B1DCC">
            <w:pPr>
              <w:bidi w:val="0"/>
              <w:jc w:val="both"/>
              <w:rPr>
                <w:color w:val="auto"/>
                <w:sz w:val="24"/>
                <w:szCs w:val="24"/>
                <w:highlight w:val="none"/>
              </w:rPr>
            </w:pPr>
            <w:r>
              <w:rPr>
                <w:rFonts w:hint="eastAsia"/>
                <w:color w:val="auto"/>
                <w:sz w:val="24"/>
                <w:szCs w:val="24"/>
                <w:highlight w:val="none"/>
              </w:rPr>
              <w:t>人民币</w:t>
            </w:r>
          </w:p>
        </w:tc>
      </w:tr>
      <w:tr w14:paraId="73F7CA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vAlign w:val="center"/>
          </w:tcPr>
          <w:p w14:paraId="77A7561D">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6.</w:t>
            </w:r>
          </w:p>
        </w:tc>
        <w:tc>
          <w:tcPr>
            <w:tcW w:w="1993" w:type="dxa"/>
            <w:vAlign w:val="center"/>
          </w:tcPr>
          <w:p w14:paraId="30DDFAB8">
            <w:pPr>
              <w:spacing w:beforeLines="50"/>
              <w:jc w:val="center"/>
              <w:rPr>
                <w:rFonts w:ascii="宋体" w:hAnsi="宋体" w:cs="宋体"/>
                <w:color w:val="auto"/>
                <w:sz w:val="24"/>
                <w:highlight w:val="none"/>
              </w:rPr>
            </w:pPr>
            <w:r>
              <w:rPr>
                <w:rFonts w:hint="eastAsia" w:ascii="宋体" w:hAnsi="宋体" w:cs="宋体"/>
                <w:color w:val="auto"/>
                <w:sz w:val="24"/>
                <w:highlight w:val="none"/>
              </w:rPr>
              <w:t>报价范围及说明</w:t>
            </w:r>
          </w:p>
        </w:tc>
        <w:tc>
          <w:tcPr>
            <w:tcW w:w="6613" w:type="dxa"/>
            <w:vAlign w:val="center"/>
          </w:tcPr>
          <w:p w14:paraId="22E3BD9C">
            <w:pPr>
              <w:keepNext w:val="0"/>
              <w:keepLines w:val="0"/>
              <w:widowControl/>
              <w:suppressLineNumbers w:val="0"/>
              <w:jc w:val="left"/>
              <w:rPr>
                <w:rFonts w:ascii="宋体" w:hAnsi="宋体" w:cs="宋体"/>
                <w:color w:val="auto"/>
                <w:sz w:val="24"/>
                <w:highlight w:val="none"/>
              </w:rPr>
            </w:pPr>
            <w:r>
              <w:rPr>
                <w:rFonts w:hint="eastAsia" w:ascii="宋体" w:hAnsi="宋体" w:cs="宋体"/>
                <w:color w:val="auto"/>
                <w:sz w:val="24"/>
                <w:highlight w:val="none"/>
              </w:rPr>
              <w:t>报价包括本项目所招标的服务、保险、税费、验收等（采购项目技术规格、参数及要求）</w:t>
            </w:r>
          </w:p>
        </w:tc>
      </w:tr>
      <w:tr w14:paraId="1C5FD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4" w:type="dxa"/>
            <w:vAlign w:val="center"/>
          </w:tcPr>
          <w:p w14:paraId="4ED8EC90">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7.</w:t>
            </w:r>
          </w:p>
        </w:tc>
        <w:tc>
          <w:tcPr>
            <w:tcW w:w="1993" w:type="dxa"/>
            <w:vAlign w:val="center"/>
          </w:tcPr>
          <w:p w14:paraId="30C1E6C6">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响应文件有效期</w:t>
            </w:r>
          </w:p>
        </w:tc>
        <w:tc>
          <w:tcPr>
            <w:tcW w:w="6613" w:type="dxa"/>
            <w:vAlign w:val="center"/>
          </w:tcPr>
          <w:p w14:paraId="6EE413AC">
            <w:pPr>
              <w:rPr>
                <w:rFonts w:ascii="宋体" w:hAnsi="宋体" w:cs="宋体"/>
                <w:color w:val="auto"/>
                <w:sz w:val="24"/>
                <w:highlight w:val="none"/>
              </w:rPr>
            </w:pPr>
            <w:r>
              <w:rPr>
                <w:rFonts w:hint="eastAsia" w:ascii="宋体" w:hAnsi="宋体" w:cs="宋体"/>
                <w:color w:val="auto"/>
                <w:sz w:val="24"/>
                <w:highlight w:val="none"/>
              </w:rPr>
              <w:t>响应文件递交截止期后60日内有效</w:t>
            </w:r>
          </w:p>
        </w:tc>
      </w:tr>
      <w:tr w14:paraId="1E816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512C2207">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8.</w:t>
            </w:r>
          </w:p>
        </w:tc>
        <w:tc>
          <w:tcPr>
            <w:tcW w:w="1993" w:type="dxa"/>
            <w:vAlign w:val="center"/>
          </w:tcPr>
          <w:p w14:paraId="52B926B7">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响应文件的组成</w:t>
            </w:r>
          </w:p>
        </w:tc>
        <w:tc>
          <w:tcPr>
            <w:tcW w:w="6613" w:type="dxa"/>
            <w:vAlign w:val="center"/>
          </w:tcPr>
          <w:p w14:paraId="4DCE783C">
            <w:pPr>
              <w:rPr>
                <w:rFonts w:ascii="宋体" w:hAnsi="宋体" w:cs="宋体"/>
                <w:color w:val="auto"/>
                <w:sz w:val="24"/>
                <w:highlight w:val="none"/>
              </w:rPr>
            </w:pPr>
            <w:r>
              <w:rPr>
                <w:rFonts w:hint="eastAsia" w:ascii="宋体" w:hAnsi="宋体" w:cs="宋体"/>
                <w:color w:val="auto"/>
                <w:sz w:val="24"/>
                <w:highlight w:val="none"/>
              </w:rPr>
              <w:t>供应商应按本磋商文件规定的格式，填写并提供相关文件或资料，本磋商文件第三部分要求的文件和资料也须一并提供。供应商还可根据自己的理解，提供其他必要的技术响应、样本资料及附件；</w:t>
            </w:r>
          </w:p>
        </w:tc>
      </w:tr>
      <w:tr w14:paraId="48D72E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0DC237B5">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9.</w:t>
            </w:r>
          </w:p>
        </w:tc>
        <w:tc>
          <w:tcPr>
            <w:tcW w:w="1993" w:type="dxa"/>
            <w:vAlign w:val="center"/>
          </w:tcPr>
          <w:p w14:paraId="095AF3C2">
            <w:pPr>
              <w:tabs>
                <w:tab w:val="left" w:pos="8640"/>
              </w:tabs>
              <w:spacing w:beforeLines="50"/>
              <w:ind w:left="-2" w:leftChars="-1"/>
              <w:jc w:val="center"/>
              <w:rPr>
                <w:rFonts w:ascii="宋体" w:hAnsi="宋体" w:cs="宋体"/>
                <w:color w:val="auto"/>
                <w:sz w:val="24"/>
                <w:highlight w:val="none"/>
              </w:rPr>
            </w:pPr>
            <w:r>
              <w:rPr>
                <w:rFonts w:hint="eastAsia" w:ascii="宋体" w:hAnsi="宋体" w:cs="宋体"/>
                <w:color w:val="auto"/>
                <w:sz w:val="24"/>
                <w:highlight w:val="none"/>
              </w:rPr>
              <w:t>响应文件封面要求</w:t>
            </w:r>
          </w:p>
        </w:tc>
        <w:tc>
          <w:tcPr>
            <w:tcW w:w="6613" w:type="dxa"/>
            <w:vAlign w:val="center"/>
          </w:tcPr>
          <w:p w14:paraId="738DE421">
            <w:pPr>
              <w:tabs>
                <w:tab w:val="left" w:pos="8640"/>
              </w:tabs>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14:paraId="2E1F4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52B4B32C">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10.</w:t>
            </w:r>
          </w:p>
        </w:tc>
        <w:tc>
          <w:tcPr>
            <w:tcW w:w="1993" w:type="dxa"/>
            <w:vAlign w:val="center"/>
          </w:tcPr>
          <w:p w14:paraId="3134B97A">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响应文件份数要求</w:t>
            </w:r>
          </w:p>
        </w:tc>
        <w:tc>
          <w:tcPr>
            <w:tcW w:w="6613" w:type="dxa"/>
            <w:vAlign w:val="center"/>
          </w:tcPr>
          <w:p w14:paraId="4CA67589">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加密的电子投标文件须在投标截止时间前成功上传</w:t>
            </w:r>
          </w:p>
        </w:tc>
      </w:tr>
      <w:tr w14:paraId="22141B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34" w:type="dxa"/>
            <w:vAlign w:val="center"/>
          </w:tcPr>
          <w:p w14:paraId="288CE999">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11.</w:t>
            </w:r>
          </w:p>
        </w:tc>
        <w:tc>
          <w:tcPr>
            <w:tcW w:w="1993" w:type="dxa"/>
            <w:vAlign w:val="center"/>
          </w:tcPr>
          <w:p w14:paraId="187A935A">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响应文件装订和密封要求</w:t>
            </w:r>
          </w:p>
        </w:tc>
        <w:tc>
          <w:tcPr>
            <w:tcW w:w="6613" w:type="dxa"/>
            <w:vAlign w:val="center"/>
          </w:tcPr>
          <w:p w14:paraId="5E23A48F">
            <w:pPr>
              <w:rPr>
                <w:rFonts w:ascii="宋体" w:hAnsi="宋体" w:cs="宋体"/>
                <w:color w:val="auto"/>
                <w:sz w:val="24"/>
                <w:highlight w:val="none"/>
              </w:rPr>
            </w:pPr>
            <w:r>
              <w:rPr>
                <w:rFonts w:hint="eastAsia" w:ascii="宋体" w:hAnsi="宋体" w:cs="宋体"/>
                <w:color w:val="auto"/>
                <w:sz w:val="24"/>
                <w:highlight w:val="none"/>
              </w:rPr>
              <w:t>无</w:t>
            </w:r>
          </w:p>
        </w:tc>
      </w:tr>
      <w:tr w14:paraId="53317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34" w:type="dxa"/>
            <w:vAlign w:val="center"/>
          </w:tcPr>
          <w:p w14:paraId="0213DF44">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12.</w:t>
            </w:r>
          </w:p>
        </w:tc>
        <w:tc>
          <w:tcPr>
            <w:tcW w:w="1993" w:type="dxa"/>
            <w:vAlign w:val="center"/>
          </w:tcPr>
          <w:p w14:paraId="40455ED9">
            <w:pPr>
              <w:spacing w:beforeLines="50"/>
              <w:jc w:val="center"/>
              <w:rPr>
                <w:rFonts w:ascii="宋体" w:hAnsi="宋体" w:cs="宋体"/>
                <w:color w:val="auto"/>
                <w:sz w:val="24"/>
                <w:highlight w:val="none"/>
              </w:rPr>
            </w:pPr>
            <w:r>
              <w:rPr>
                <w:rFonts w:hint="eastAsia" w:ascii="宋体" w:hAnsi="宋体" w:cs="宋体"/>
                <w:color w:val="auto"/>
                <w:sz w:val="24"/>
                <w:highlight w:val="none"/>
              </w:rPr>
              <w:t>竞争性磋商文件的澄清</w:t>
            </w:r>
          </w:p>
        </w:tc>
        <w:tc>
          <w:tcPr>
            <w:tcW w:w="6613" w:type="dxa"/>
            <w:vAlign w:val="center"/>
          </w:tcPr>
          <w:p w14:paraId="466FABB8">
            <w:pPr>
              <w:rPr>
                <w:rFonts w:ascii="宋体" w:hAnsi="宋体" w:cs="宋体"/>
                <w:color w:val="auto"/>
                <w:sz w:val="24"/>
                <w:highlight w:val="none"/>
              </w:rPr>
            </w:pPr>
            <w:r>
              <w:rPr>
                <w:rFonts w:hint="eastAsia" w:ascii="宋体" w:hAnsi="宋体" w:cs="宋体"/>
                <w:color w:val="auto"/>
                <w:sz w:val="24"/>
                <w:highlight w:val="none"/>
              </w:rPr>
              <w:t>对竞争性磋商文件进行</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澄清，以</w:t>
            </w:r>
            <w:r>
              <w:rPr>
                <w:rFonts w:hint="eastAsia" w:ascii="宋体" w:hAnsi="宋体" w:cs="宋体"/>
                <w:color w:val="auto"/>
                <w:sz w:val="24"/>
                <w:highlight w:val="none"/>
                <w:lang w:val="en-US" w:eastAsia="zh-CN"/>
              </w:rPr>
              <w:t>网上公告的方式</w:t>
            </w:r>
            <w:r>
              <w:rPr>
                <w:rFonts w:hint="eastAsia" w:ascii="宋体" w:hAnsi="宋体" w:cs="宋体"/>
                <w:color w:val="auto"/>
                <w:sz w:val="24"/>
                <w:highlight w:val="none"/>
              </w:rPr>
              <w:t>通知</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。澄清或修改的内容可能影响响应文件编制的，采购人、采购代理机构应当在提交响应文件截止时间至少5日前。</w:t>
            </w:r>
          </w:p>
        </w:tc>
      </w:tr>
      <w:tr w14:paraId="288B74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4" w:type="dxa"/>
            <w:vAlign w:val="center"/>
          </w:tcPr>
          <w:p w14:paraId="6DF53297">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13.</w:t>
            </w:r>
          </w:p>
        </w:tc>
        <w:tc>
          <w:tcPr>
            <w:tcW w:w="1993" w:type="dxa"/>
            <w:vAlign w:val="center"/>
          </w:tcPr>
          <w:p w14:paraId="089D85A1">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响应文件递交截止时间</w:t>
            </w:r>
          </w:p>
        </w:tc>
        <w:tc>
          <w:tcPr>
            <w:tcW w:w="6613" w:type="dxa"/>
            <w:vAlign w:val="center"/>
          </w:tcPr>
          <w:p w14:paraId="7B174595">
            <w:pPr>
              <w:ind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日上午 </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 xml:space="preserve">  （见磋商公告） </w:t>
            </w:r>
          </w:p>
        </w:tc>
      </w:tr>
      <w:tr w14:paraId="75F86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734" w:type="dxa"/>
            <w:vAlign w:val="center"/>
          </w:tcPr>
          <w:p w14:paraId="49FCCE52">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14.</w:t>
            </w:r>
          </w:p>
        </w:tc>
        <w:tc>
          <w:tcPr>
            <w:tcW w:w="1993" w:type="dxa"/>
            <w:vAlign w:val="center"/>
          </w:tcPr>
          <w:p w14:paraId="7D7C3BD7">
            <w:pPr>
              <w:spacing w:beforeLines="50"/>
              <w:jc w:val="center"/>
              <w:rPr>
                <w:rFonts w:ascii="宋体" w:hAnsi="宋体" w:cs="宋体"/>
                <w:color w:val="auto"/>
                <w:sz w:val="24"/>
                <w:highlight w:val="none"/>
              </w:rPr>
            </w:pPr>
            <w:r>
              <w:rPr>
                <w:rFonts w:hint="eastAsia" w:ascii="宋体" w:hAnsi="宋体" w:cs="宋体"/>
                <w:color w:val="auto"/>
                <w:sz w:val="24"/>
                <w:highlight w:val="none"/>
              </w:rPr>
              <w:t>响应文件递交地点</w:t>
            </w:r>
          </w:p>
        </w:tc>
        <w:tc>
          <w:tcPr>
            <w:tcW w:w="6613" w:type="dxa"/>
            <w:vAlign w:val="center"/>
          </w:tcPr>
          <w:p w14:paraId="60F8FC08">
            <w:pPr>
              <w:rPr>
                <w:rFonts w:hint="eastAsia" w:ascii="宋体" w:hAnsi="宋体" w:eastAsia="宋体"/>
                <w:color w:val="auto"/>
                <w:sz w:val="24"/>
                <w:highlight w:val="none"/>
                <w:lang w:val="en-US" w:eastAsia="zh-CN"/>
              </w:rPr>
            </w:pPr>
            <w:r>
              <w:rPr>
                <w:rFonts w:hint="eastAsia" w:ascii="宋体" w:hAnsi="宋体"/>
                <w:color w:val="auto"/>
                <w:sz w:val="24"/>
                <w:highlight w:val="none"/>
              </w:rPr>
              <w:t>周口市公共资源交易中心</w:t>
            </w:r>
            <w:r>
              <w:rPr>
                <w:rFonts w:hint="eastAsia" w:ascii="宋体" w:hAnsi="宋体"/>
                <w:color w:val="auto"/>
                <w:sz w:val="24"/>
                <w:highlight w:val="none"/>
                <w:lang w:val="en-US" w:eastAsia="zh-CN"/>
              </w:rPr>
              <w:t>网</w:t>
            </w:r>
          </w:p>
          <w:p w14:paraId="0C45BB5E">
            <w:pPr>
              <w:rPr>
                <w:rFonts w:hint="eastAsia" w:ascii="宋体" w:hAnsi="宋体" w:cs="宋体" w:eastAsiaTheme="minorEastAsia"/>
                <w:color w:val="auto"/>
                <w:sz w:val="24"/>
                <w:szCs w:val="24"/>
                <w:highlight w:val="none"/>
                <w:lang w:val="en-US" w:eastAsia="zh-CN"/>
              </w:rPr>
            </w:pPr>
            <w:r>
              <w:rPr>
                <w:rFonts w:hint="eastAsia" w:ascii="宋体" w:hAnsi="宋体"/>
                <w:color w:val="auto"/>
                <w:sz w:val="24"/>
                <w:highlight w:val="none"/>
              </w:rPr>
              <w:t>网址：周口市公共资源电子交易服务平台会员系统（网址</w:t>
            </w:r>
            <w:r>
              <w:rPr>
                <w:rFonts w:hint="eastAsia" w:asciiTheme="minorEastAsia" w:hAnsiTheme="minorEastAsia" w:eastAsiaTheme="minorEastAsia"/>
                <w:color w:val="auto"/>
                <w:highlight w:val="none"/>
              </w:rPr>
              <w:t>http://jyzx.zhoukou.gov.cn</w:t>
            </w:r>
            <w:r>
              <w:rPr>
                <w:rFonts w:hint="eastAsia" w:asciiTheme="minorEastAsia" w:hAnsiTheme="minorEastAsia" w:eastAsiaTheme="minorEastAsia"/>
                <w:color w:val="auto"/>
                <w:highlight w:val="none"/>
                <w:lang w:eastAsia="zh-CN"/>
              </w:rPr>
              <w:t>）</w:t>
            </w:r>
          </w:p>
          <w:p w14:paraId="74707F3B">
            <w:pPr>
              <w:spacing w:line="560" w:lineRule="exact"/>
              <w:rPr>
                <w:rFonts w:ascii="宋体" w:hAnsi="宋体" w:cs="宋体"/>
                <w:color w:val="auto"/>
                <w:sz w:val="24"/>
                <w:highlight w:val="none"/>
              </w:rPr>
            </w:pPr>
            <w:r>
              <w:rPr>
                <w:rFonts w:hint="eastAsia" w:ascii="宋体" w:hAnsi="宋体" w:eastAsia="宋体" w:cs="宋体"/>
                <w:color w:val="auto"/>
                <w:sz w:val="24"/>
                <w:szCs w:val="24"/>
                <w:highlight w:val="none"/>
              </w:rPr>
              <w:t>（本项目实行网上远程开标无须到现场提交响应文件）</w:t>
            </w:r>
          </w:p>
        </w:tc>
      </w:tr>
      <w:tr w14:paraId="541ED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348A4650">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15.</w:t>
            </w:r>
          </w:p>
        </w:tc>
        <w:tc>
          <w:tcPr>
            <w:tcW w:w="1993" w:type="dxa"/>
            <w:vAlign w:val="center"/>
          </w:tcPr>
          <w:p w14:paraId="451A35F6">
            <w:pPr>
              <w:spacing w:beforeLines="50"/>
              <w:jc w:val="center"/>
              <w:rPr>
                <w:rFonts w:ascii="宋体" w:hAnsi="宋体" w:cs="宋体"/>
                <w:color w:val="auto"/>
                <w:sz w:val="24"/>
                <w:highlight w:val="none"/>
              </w:rPr>
            </w:pPr>
            <w:r>
              <w:rPr>
                <w:rFonts w:hint="eastAsia" w:ascii="宋体" w:hAnsi="宋体" w:cs="宋体"/>
                <w:color w:val="auto"/>
                <w:sz w:val="24"/>
                <w:highlight w:val="none"/>
              </w:rPr>
              <w:t>磋商时间</w:t>
            </w:r>
          </w:p>
        </w:tc>
        <w:tc>
          <w:tcPr>
            <w:tcW w:w="6613" w:type="dxa"/>
            <w:vAlign w:val="center"/>
          </w:tcPr>
          <w:p w14:paraId="582BD0FA">
            <w:pPr>
              <w:tabs>
                <w:tab w:val="left" w:pos="8640"/>
              </w:tabs>
              <w:ind w:left="-2" w:leftChars="-1" w:firstLine="240" w:firstLineChars="100"/>
              <w:rPr>
                <w:rFonts w:ascii="宋体" w:hAnsi="宋体" w:cs="宋体"/>
                <w:color w:val="auto"/>
                <w:sz w:val="24"/>
                <w:highlight w:val="none"/>
              </w:rPr>
            </w:pP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日上午 </w:t>
            </w:r>
            <w:r>
              <w:rPr>
                <w:rFonts w:hint="eastAsia" w:ascii="宋体" w:hAnsi="宋体" w:cs="宋体"/>
                <w:color w:val="auto"/>
                <w:sz w:val="24"/>
                <w:highlight w:val="none"/>
                <w:lang w:val="en-US" w:eastAsia="zh-CN"/>
              </w:rPr>
              <w:t>10:00</w:t>
            </w:r>
            <w:r>
              <w:rPr>
                <w:rFonts w:hint="eastAsia" w:ascii="宋体" w:hAnsi="宋体" w:cs="宋体"/>
                <w:color w:val="auto"/>
                <w:sz w:val="24"/>
                <w:highlight w:val="none"/>
              </w:rPr>
              <w:t xml:space="preserve">    见磋商公告</w:t>
            </w:r>
          </w:p>
        </w:tc>
      </w:tr>
      <w:tr w14:paraId="2896A5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4" w:type="dxa"/>
            <w:vAlign w:val="center"/>
          </w:tcPr>
          <w:p w14:paraId="7CB10855">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16.</w:t>
            </w:r>
          </w:p>
        </w:tc>
        <w:tc>
          <w:tcPr>
            <w:tcW w:w="1993" w:type="dxa"/>
            <w:vAlign w:val="center"/>
          </w:tcPr>
          <w:p w14:paraId="43DCB5FA">
            <w:pPr>
              <w:spacing w:beforeLines="50"/>
              <w:jc w:val="center"/>
              <w:rPr>
                <w:rFonts w:ascii="宋体" w:hAnsi="宋体" w:cs="宋体"/>
                <w:color w:val="auto"/>
                <w:sz w:val="24"/>
                <w:highlight w:val="none"/>
              </w:rPr>
            </w:pPr>
            <w:r>
              <w:rPr>
                <w:rFonts w:hint="eastAsia" w:ascii="宋体" w:hAnsi="宋体" w:cs="宋体"/>
                <w:color w:val="auto"/>
                <w:sz w:val="24"/>
                <w:highlight w:val="none"/>
              </w:rPr>
              <w:t>磋商程序和内容</w:t>
            </w:r>
          </w:p>
        </w:tc>
        <w:tc>
          <w:tcPr>
            <w:tcW w:w="6613" w:type="dxa"/>
            <w:vAlign w:val="center"/>
          </w:tcPr>
          <w:p w14:paraId="67B4E971">
            <w:pPr>
              <w:tabs>
                <w:tab w:val="left" w:pos="8640"/>
              </w:tabs>
              <w:rPr>
                <w:rFonts w:ascii="宋体" w:hAnsi="宋体" w:cs="宋体"/>
                <w:color w:val="auto"/>
                <w:sz w:val="24"/>
                <w:highlight w:val="none"/>
              </w:rPr>
            </w:pPr>
            <w:r>
              <w:rPr>
                <w:rFonts w:hint="eastAsia" w:ascii="宋体" w:hAnsi="宋体" w:cs="宋体"/>
                <w:color w:val="auto"/>
                <w:sz w:val="24"/>
                <w:highlight w:val="none"/>
              </w:rPr>
              <w:t>详见磋商文件第二章</w:t>
            </w:r>
          </w:p>
        </w:tc>
      </w:tr>
      <w:tr w14:paraId="785B1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4" w:type="dxa"/>
            <w:vAlign w:val="center"/>
          </w:tcPr>
          <w:p w14:paraId="79A006FD">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17.</w:t>
            </w:r>
          </w:p>
        </w:tc>
        <w:tc>
          <w:tcPr>
            <w:tcW w:w="1993" w:type="dxa"/>
            <w:vAlign w:val="center"/>
          </w:tcPr>
          <w:p w14:paraId="74741FE7">
            <w:pPr>
              <w:spacing w:beforeLines="50"/>
              <w:jc w:val="center"/>
              <w:rPr>
                <w:rFonts w:ascii="宋体" w:hAnsi="宋体" w:cs="宋体"/>
                <w:color w:val="auto"/>
                <w:sz w:val="24"/>
                <w:highlight w:val="none"/>
              </w:rPr>
            </w:pPr>
            <w:r>
              <w:rPr>
                <w:rFonts w:hint="eastAsia" w:ascii="宋体" w:hAnsi="宋体" w:cs="宋体"/>
                <w:color w:val="auto"/>
                <w:sz w:val="24"/>
                <w:highlight w:val="none"/>
              </w:rPr>
              <w:t>授予合同</w:t>
            </w:r>
          </w:p>
        </w:tc>
        <w:tc>
          <w:tcPr>
            <w:tcW w:w="6613" w:type="dxa"/>
            <w:vAlign w:val="center"/>
          </w:tcPr>
          <w:p w14:paraId="75F1FB2B">
            <w:pPr>
              <w:tabs>
                <w:tab w:val="left" w:pos="8640"/>
              </w:tabs>
              <w:jc w:val="left"/>
              <w:rPr>
                <w:rFonts w:ascii="宋体" w:hAnsi="宋体" w:cs="宋体"/>
                <w:color w:val="auto"/>
                <w:sz w:val="24"/>
                <w:highlight w:val="none"/>
              </w:rPr>
            </w:pPr>
            <w:r>
              <w:rPr>
                <w:rFonts w:hint="eastAsia" w:ascii="宋体" w:hAnsi="宋体" w:cs="宋体"/>
                <w:color w:val="auto"/>
                <w:sz w:val="24"/>
                <w:highlight w:val="none"/>
              </w:rPr>
              <w:t>采购人根据磋商小组的推荐意见，确定成交供应商。采购代理机构向成交供应商发出成交通知书。</w:t>
            </w:r>
          </w:p>
        </w:tc>
      </w:tr>
      <w:tr w14:paraId="2562B0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34" w:type="dxa"/>
            <w:vAlign w:val="center"/>
          </w:tcPr>
          <w:p w14:paraId="23B8876F">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18.</w:t>
            </w:r>
          </w:p>
        </w:tc>
        <w:tc>
          <w:tcPr>
            <w:tcW w:w="1993" w:type="dxa"/>
            <w:vAlign w:val="center"/>
          </w:tcPr>
          <w:p w14:paraId="5AA9E8BD">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签订合同</w:t>
            </w:r>
          </w:p>
        </w:tc>
        <w:tc>
          <w:tcPr>
            <w:tcW w:w="6613" w:type="dxa"/>
            <w:vAlign w:val="center"/>
          </w:tcPr>
          <w:p w14:paraId="6EE02E87">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1）接到成交通知书30天内，成交供应商应与采购人签订采购合同。</w:t>
            </w:r>
          </w:p>
          <w:p w14:paraId="610243D2">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2）本磋商文件、响应文件及磋商、评审过程中有关澄清、承诺文件的内容，将作为签订合同的主要内容。</w:t>
            </w:r>
          </w:p>
        </w:tc>
      </w:tr>
      <w:tr w14:paraId="667CE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34" w:type="dxa"/>
            <w:vAlign w:val="center"/>
          </w:tcPr>
          <w:p w14:paraId="008501D5">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19.</w:t>
            </w:r>
          </w:p>
        </w:tc>
        <w:tc>
          <w:tcPr>
            <w:tcW w:w="1993" w:type="dxa"/>
            <w:vAlign w:val="center"/>
          </w:tcPr>
          <w:p w14:paraId="143A6529">
            <w:pPr>
              <w:spacing w:beforeLines="50"/>
              <w:ind w:firstLine="14" w:firstLineChars="6"/>
              <w:jc w:val="center"/>
              <w:rPr>
                <w:rFonts w:ascii="宋体" w:hAnsi="宋体" w:cs="宋体"/>
                <w:color w:val="auto"/>
                <w:sz w:val="24"/>
                <w:highlight w:val="none"/>
              </w:rPr>
            </w:pPr>
            <w:r>
              <w:rPr>
                <w:rFonts w:hint="eastAsia" w:ascii="宋体" w:hAnsi="宋体" w:cs="宋体"/>
                <w:color w:val="auto"/>
                <w:sz w:val="24"/>
                <w:highlight w:val="none"/>
              </w:rPr>
              <w:t>投标保证金</w:t>
            </w:r>
          </w:p>
        </w:tc>
        <w:tc>
          <w:tcPr>
            <w:tcW w:w="6613" w:type="dxa"/>
            <w:vAlign w:val="center"/>
          </w:tcPr>
          <w:p w14:paraId="1968BC10">
            <w:pPr>
              <w:tabs>
                <w:tab w:val="left" w:pos="8640"/>
              </w:tabs>
              <w:ind w:left="-2" w:leftChars="-1"/>
              <w:rPr>
                <w:rFonts w:ascii="宋体" w:hAnsi="宋体" w:cs="宋体"/>
                <w:color w:val="auto"/>
                <w:sz w:val="24"/>
                <w:highlight w:val="none"/>
              </w:rPr>
            </w:pPr>
            <w:r>
              <w:rPr>
                <w:rFonts w:hint="eastAsia" w:ascii="宋体" w:hAnsi="宋体" w:cs="宋体"/>
                <w:color w:val="auto"/>
                <w:sz w:val="24"/>
                <w:highlight w:val="none"/>
              </w:rPr>
              <w:t>本项目不需要交纳投标保证金</w:t>
            </w:r>
          </w:p>
        </w:tc>
      </w:tr>
      <w:tr w14:paraId="37AE0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34" w:type="dxa"/>
            <w:vAlign w:val="center"/>
          </w:tcPr>
          <w:p w14:paraId="044CA4F8">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20.</w:t>
            </w:r>
          </w:p>
        </w:tc>
        <w:tc>
          <w:tcPr>
            <w:tcW w:w="1993" w:type="dxa"/>
            <w:vAlign w:val="center"/>
          </w:tcPr>
          <w:p w14:paraId="09F8ED7A">
            <w:pPr>
              <w:jc w:val="center"/>
              <w:rPr>
                <w:rFonts w:ascii="宋体" w:hAnsi="宋体" w:cs="宋体"/>
                <w:color w:val="auto"/>
                <w:sz w:val="24"/>
                <w:highlight w:val="none"/>
              </w:rPr>
            </w:pPr>
            <w:r>
              <w:rPr>
                <w:rFonts w:hint="eastAsia" w:ascii="宋体" w:hAnsi="宋体" w:cs="宋体"/>
                <w:color w:val="auto"/>
                <w:sz w:val="24"/>
                <w:highlight w:val="none"/>
              </w:rPr>
              <w:t>服务期限</w:t>
            </w:r>
          </w:p>
        </w:tc>
        <w:tc>
          <w:tcPr>
            <w:tcW w:w="6613" w:type="dxa"/>
            <w:vAlign w:val="center"/>
          </w:tcPr>
          <w:p w14:paraId="2B99AE86">
            <w:pPr>
              <w:spacing w:line="360" w:lineRule="auto"/>
              <w:jc w:val="left"/>
              <w:rPr>
                <w:rFonts w:hint="default"/>
                <w:color w:val="auto"/>
                <w:highlight w:val="none"/>
                <w:lang w:val="en-US" w:eastAsia="zh-CN"/>
              </w:rPr>
            </w:pP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p>
        </w:tc>
      </w:tr>
      <w:tr w14:paraId="16263D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4" w:type="dxa"/>
            <w:vAlign w:val="center"/>
          </w:tcPr>
          <w:p w14:paraId="4B426DB1">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1993" w:type="dxa"/>
            <w:vAlign w:val="center"/>
          </w:tcPr>
          <w:p w14:paraId="2501349B">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6613" w:type="dxa"/>
            <w:vAlign w:val="center"/>
          </w:tcPr>
          <w:p w14:paraId="683C123A">
            <w:pPr>
              <w:pStyle w:val="9"/>
              <w:rPr>
                <w:rFonts w:hint="eastAsia"/>
                <w:color w:val="auto"/>
                <w:highlight w:val="none"/>
              </w:rPr>
            </w:pPr>
            <w:r>
              <w:rPr>
                <w:rFonts w:hint="eastAsia" w:ascii="宋体" w:hAnsi="宋体" w:cs="宋体"/>
                <w:color w:val="auto"/>
                <w:sz w:val="24"/>
                <w:szCs w:val="24"/>
                <w:highlight w:val="none"/>
                <w:lang w:val="en-US" w:eastAsia="zh-CN"/>
              </w:rPr>
              <w:t>提交初步设计时支付合同额的40%，提交施工图时支付60%。</w:t>
            </w:r>
          </w:p>
        </w:tc>
      </w:tr>
      <w:tr w14:paraId="5A0FA9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4" w:type="dxa"/>
            <w:vAlign w:val="center"/>
          </w:tcPr>
          <w:p w14:paraId="43CD2184">
            <w:pPr>
              <w:numPr>
                <w:ilvl w:val="0"/>
                <w:numId w:val="0"/>
              </w:numPr>
              <w:spacing w:beforeLines="50"/>
              <w:ind w:left="420" w:leftChars="0" w:hanging="42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w:t>
            </w:r>
          </w:p>
        </w:tc>
        <w:tc>
          <w:tcPr>
            <w:tcW w:w="1993" w:type="dxa"/>
            <w:vAlign w:val="center"/>
          </w:tcPr>
          <w:p w14:paraId="137866EF">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勘察现场</w:t>
            </w:r>
          </w:p>
        </w:tc>
        <w:tc>
          <w:tcPr>
            <w:tcW w:w="6613" w:type="dxa"/>
            <w:vAlign w:val="center"/>
          </w:tcPr>
          <w:p w14:paraId="59544D41">
            <w:pPr>
              <w:bidi w:val="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不组织</w:t>
            </w:r>
          </w:p>
        </w:tc>
      </w:tr>
      <w:tr w14:paraId="6ACE3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34" w:type="dxa"/>
            <w:vAlign w:val="center"/>
          </w:tcPr>
          <w:p w14:paraId="502EF420">
            <w:pPr>
              <w:numPr>
                <w:ilvl w:val="0"/>
                <w:numId w:val="0"/>
              </w:numPr>
              <w:tabs>
                <w:tab w:val="left" w:pos="420"/>
              </w:tabs>
              <w:spacing w:line="240" w:lineRule="auto"/>
              <w:ind w:left="0" w:lef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p>
        </w:tc>
        <w:tc>
          <w:tcPr>
            <w:tcW w:w="1993" w:type="dxa"/>
            <w:vAlign w:val="center"/>
          </w:tcPr>
          <w:p w14:paraId="54993B17">
            <w:pPr>
              <w:bidi w:val="0"/>
              <w:jc w:val="center"/>
              <w:rPr>
                <w:rFonts w:hint="default" w:ascii="宋体" w:hAnsi="宋体" w:eastAsia="宋体" w:cs="宋体"/>
                <w:b/>
                <w:bCs/>
                <w:color w:val="auto"/>
                <w:sz w:val="24"/>
                <w:highlight w:val="none"/>
                <w:lang w:val="en-US" w:eastAsia="zh-CN"/>
              </w:rPr>
            </w:pPr>
            <w:r>
              <w:rPr>
                <w:rFonts w:hint="eastAsia" w:asciiTheme="minorEastAsia" w:hAnsiTheme="minorEastAsia" w:eastAsiaTheme="minorEastAsia" w:cstheme="minorEastAsia"/>
                <w:b/>
                <w:bCs/>
                <w:color w:val="auto"/>
                <w:sz w:val="24"/>
                <w:szCs w:val="24"/>
                <w:highlight w:val="none"/>
              </w:rPr>
              <w:t>报价</w:t>
            </w:r>
          </w:p>
        </w:tc>
        <w:tc>
          <w:tcPr>
            <w:tcW w:w="6613" w:type="dxa"/>
            <w:vAlign w:val="center"/>
          </w:tcPr>
          <w:p w14:paraId="4DE27F0C">
            <w:pPr>
              <w:tabs>
                <w:tab w:val="left" w:pos="8640"/>
              </w:tabs>
              <w:spacing w:line="240" w:lineRule="auto"/>
              <w:jc w:val="left"/>
              <w:rPr>
                <w:rFonts w:hint="default"/>
                <w:color w:val="auto"/>
                <w:highlight w:val="none"/>
                <w:lang w:val="en-US" w:eastAsia="zh-CN"/>
              </w:rPr>
            </w:pPr>
            <w:r>
              <w:rPr>
                <w:rFonts w:hint="eastAsia" w:asciiTheme="minorEastAsia" w:hAnsiTheme="minorEastAsia" w:eastAsiaTheme="minorEastAsia" w:cstheme="minorEastAsia"/>
                <w:b/>
                <w:bCs/>
                <w:color w:val="auto"/>
                <w:sz w:val="24"/>
                <w:szCs w:val="24"/>
                <w:highlight w:val="none"/>
              </w:rPr>
              <w:t>一次报价</w:t>
            </w:r>
          </w:p>
        </w:tc>
      </w:tr>
      <w:tr w14:paraId="4EA53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4037B526">
            <w:pPr>
              <w:numPr>
                <w:ilvl w:val="0"/>
                <w:numId w:val="0"/>
              </w:numPr>
              <w:spacing w:beforeLines="50"/>
              <w:ind w:left="420" w:leftChars="0" w:hanging="420" w:firstLineChars="0"/>
              <w:jc w:val="center"/>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24.</w:t>
            </w:r>
          </w:p>
        </w:tc>
        <w:tc>
          <w:tcPr>
            <w:tcW w:w="1993" w:type="dxa"/>
            <w:vAlign w:val="center"/>
          </w:tcPr>
          <w:p w14:paraId="74300531">
            <w:pPr>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olor w:val="auto"/>
                <w:sz w:val="24"/>
                <w:szCs w:val="24"/>
                <w:highlight w:val="none"/>
              </w:rPr>
              <w:t>本项目所属行业</w:t>
            </w:r>
          </w:p>
        </w:tc>
        <w:tc>
          <w:tcPr>
            <w:tcW w:w="6613" w:type="dxa"/>
            <w:vAlign w:val="center"/>
          </w:tcPr>
          <w:p w14:paraId="587E6416">
            <w:p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color w:val="auto"/>
                <w:sz w:val="24"/>
                <w:szCs w:val="24"/>
                <w:highlight w:val="none"/>
                <w:lang w:val="en-US" w:eastAsia="zh-CN"/>
              </w:rPr>
              <w:t>其他未列明行业</w:t>
            </w:r>
            <w:r>
              <w:rPr>
                <w:rFonts w:hint="eastAsia" w:ascii="宋体" w:hAnsi="宋体"/>
                <w:color w:val="auto"/>
                <w:sz w:val="24"/>
                <w:szCs w:val="24"/>
                <w:highlight w:val="none"/>
                <w:lang w:eastAsia="zh-CN"/>
              </w:rPr>
              <w:t>。</w:t>
            </w:r>
          </w:p>
        </w:tc>
      </w:tr>
      <w:tr w14:paraId="289D3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2E49FFB4">
            <w:pPr>
              <w:numPr>
                <w:ilvl w:val="0"/>
                <w:numId w:val="0"/>
              </w:numPr>
              <w:spacing w:beforeLines="50"/>
              <w:ind w:left="420" w:leftChars="0" w:hanging="42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25</w:t>
            </w:r>
          </w:p>
        </w:tc>
        <w:tc>
          <w:tcPr>
            <w:tcW w:w="1993" w:type="dxa"/>
            <w:vAlign w:val="center"/>
          </w:tcPr>
          <w:p w14:paraId="68325E96">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其他</w:t>
            </w:r>
          </w:p>
        </w:tc>
        <w:tc>
          <w:tcPr>
            <w:tcW w:w="6613" w:type="dxa"/>
            <w:vAlign w:val="center"/>
          </w:tcPr>
          <w:p w14:paraId="6E8D79C4">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最终成果需按照采购人要求提供所需完整资料</w:t>
            </w:r>
          </w:p>
        </w:tc>
      </w:tr>
    </w:tbl>
    <w:p w14:paraId="764BC106">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3101E14">
      <w:pPr>
        <w:spacing w:line="72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一、总则</w:t>
      </w:r>
    </w:p>
    <w:p w14:paraId="69C174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1．适用范围</w:t>
      </w:r>
    </w:p>
    <w:p w14:paraId="37341006">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1.1本竞争性磋商文件仅适用于本次竞争性磋商邀请函中所述</w:t>
      </w:r>
      <w:r>
        <w:rPr>
          <w:rFonts w:hint="eastAsia" w:ascii="宋体" w:hAnsi="宋体" w:cs="宋体"/>
          <w:bCs/>
          <w:color w:val="auto"/>
          <w:sz w:val="24"/>
          <w:highlight w:val="none"/>
        </w:rPr>
        <w:t>项目。</w:t>
      </w:r>
    </w:p>
    <w:p w14:paraId="265861C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2．定义</w:t>
      </w:r>
    </w:p>
    <w:p w14:paraId="580A2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2.1“采购代理机构”：周口市公共资源交易中心政府采购中心。</w:t>
      </w:r>
    </w:p>
    <w:p w14:paraId="708066A0">
      <w:pPr>
        <w:tabs>
          <w:tab w:val="left" w:pos="0"/>
        </w:tabs>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2.2“采购人”：</w:t>
      </w:r>
      <w:r>
        <w:rPr>
          <w:rFonts w:hint="eastAsia" w:ascii="宋体" w:hAnsi="宋体" w:cs="宋体"/>
          <w:color w:val="auto"/>
          <w:sz w:val="24"/>
          <w:highlight w:val="none"/>
          <w:lang w:val="en-US" w:eastAsia="zh-CN"/>
        </w:rPr>
        <w:t>郸城县发展和改革委员会。</w:t>
      </w:r>
    </w:p>
    <w:p w14:paraId="58213B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2.3“供应商”系指按竞争性磋商文件规定取得竞争性磋商文件并参加竞争性磋商活动的法人、其他组织或者自然人。</w:t>
      </w:r>
    </w:p>
    <w:p w14:paraId="3B577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2.4“供应商代表”：系指代表供应商参加本次竞争性磋商活动的供应商的法定代表人或其委托代理人。</w:t>
      </w:r>
    </w:p>
    <w:p w14:paraId="1F35B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2.5“服务”：系指本项目所采购的服务及其他要求等。</w:t>
      </w:r>
    </w:p>
    <w:p w14:paraId="328365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2.6“法定代表人”系指法人单位（企业）法人营业执照（或事业法人登记证书上）上注明的法定代表人；如为其他组织或个体经营者参加竞争性磋商会的，指营业执照上注明的负责人或经营者。</w:t>
      </w:r>
    </w:p>
    <w:p w14:paraId="103B16B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2.7“委托代理人”系指法定代表人签署的委托人，系本企业员工。</w:t>
      </w:r>
    </w:p>
    <w:p w14:paraId="737D4A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“重大违法记录”系指供应商因违法经营受到刑事处罚或者责令停产停业、吊销许可证或者执照、较大数额罚款等行政处罚。</w:t>
      </w:r>
    </w:p>
    <w:p w14:paraId="03BA69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“不具备良好的商业信誉”是指：</w:t>
      </w:r>
    </w:p>
    <w:p w14:paraId="112963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（1）有重大违法记录的（满三年的除外）；</w:t>
      </w:r>
    </w:p>
    <w:p w14:paraId="359E13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（2）被各级财政部门列入政府采购严重违法失信行为信息记录的（期限已满的除外）；</w:t>
      </w:r>
    </w:p>
    <w:p w14:paraId="54FC49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（3）被各级政府采购监督管理部门禁止在一定期限内参加政府采购活动等处罚的（期限已满的除外）；</w:t>
      </w:r>
    </w:p>
    <w:p w14:paraId="30D1CC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（4）被各级法院列入失信名单的（已依法解除的除外）；</w:t>
      </w:r>
    </w:p>
    <w:p w14:paraId="29A4D2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（5）法律法规规定的其他情形。</w:t>
      </w:r>
    </w:p>
    <w:p w14:paraId="6D1204F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3.采购预算</w:t>
      </w:r>
    </w:p>
    <w:p w14:paraId="58911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3.1本次采购预算：见公告。</w:t>
      </w:r>
    </w:p>
    <w:p w14:paraId="079A640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4.合格的供应商</w:t>
      </w:r>
    </w:p>
    <w:p w14:paraId="0B8FE28D">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4.1符合供应商资格条件（详见第一部分</w:t>
      </w:r>
      <w:r>
        <w:rPr>
          <w:rFonts w:hint="eastAsia" w:asciiTheme="minorEastAsia" w:hAnsiTheme="minorEastAsia" w:cstheme="minorEastAsia"/>
          <w:color w:val="auto"/>
          <w:sz w:val="24"/>
          <w:highlight w:val="none"/>
          <w:lang w:val="en-US" w:eastAsia="zh-CN"/>
        </w:rPr>
        <w:t>申请人的</w:t>
      </w:r>
      <w:r>
        <w:rPr>
          <w:rFonts w:hint="eastAsia" w:asciiTheme="minorEastAsia" w:hAnsiTheme="minorEastAsia" w:eastAsiaTheme="minorEastAsia" w:cstheme="minorEastAsia"/>
          <w:color w:val="auto"/>
          <w:sz w:val="24"/>
          <w:highlight w:val="none"/>
        </w:rPr>
        <w:t>资格条件）</w:t>
      </w:r>
    </w:p>
    <w:p w14:paraId="3C58EF66">
      <w:pPr>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4.1.1</w:t>
      </w:r>
      <w:r>
        <w:rPr>
          <w:rFonts w:hint="eastAsia" w:ascii="宋体" w:hAnsi="宋体" w:eastAsia="宋体" w:cs="宋体"/>
          <w:color w:val="auto"/>
          <w:sz w:val="24"/>
          <w:szCs w:val="24"/>
          <w:highlight w:val="none"/>
        </w:rPr>
        <w:t>满足《中华人民共和国政府采购法》第二十二条规定</w:t>
      </w:r>
    </w:p>
    <w:p w14:paraId="4E63AF46">
      <w:pPr>
        <w:bidi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（1）具有独立承担民事责任的能力；（具有有效的营业执照）；</w:t>
      </w:r>
    </w:p>
    <w:p w14:paraId="5B497CB5">
      <w:pPr>
        <w:bidi w:val="0"/>
        <w:spacing w:line="360" w:lineRule="auto"/>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（2）具有良好的商业信誉和健全的财务会计制度；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提供2024年度审计报告，如为新成立公司可提供银行开具资信证明加公司财务制度）</w:t>
      </w:r>
    </w:p>
    <w:p w14:paraId="75709510">
      <w:pPr>
        <w:bidi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提供承诺函)；</w:t>
      </w:r>
    </w:p>
    <w:p w14:paraId="68C89BBD">
      <w:pPr>
        <w:bidi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（4）具有依法缴纳税收和社会保障资金的良好记录；（提供20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月以来</w:t>
      </w:r>
      <w:r>
        <w:rPr>
          <w:rFonts w:hint="eastAsia" w:ascii="宋体" w:hAnsi="宋体" w:eastAsia="宋体" w:cs="宋体"/>
          <w:color w:val="auto"/>
          <w:sz w:val="24"/>
          <w:szCs w:val="24"/>
          <w:highlight w:val="none"/>
        </w:rPr>
        <w:t>任意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个月依法缴纳税收和社会保障资金的凭证；依法免税或不需要缴纳社会保障资金的供应商，提供相应文件证明其依法免税或不需要缴纳社会保障资金）；</w:t>
      </w:r>
    </w:p>
    <w:p w14:paraId="6937CF1C">
      <w:pPr>
        <w:bidi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提供书面声明)；</w:t>
      </w:r>
    </w:p>
    <w:p w14:paraId="4F0F53C8">
      <w:pPr>
        <w:bidi w:val="0"/>
        <w:spacing w:line="360" w:lineRule="auto"/>
        <w:ind w:firstLine="240" w:firstLineChars="100"/>
        <w:jc w:val="left"/>
        <w:rPr>
          <w:rFonts w:hint="eastAsia" w:asciiTheme="minorEastAsia" w:hAnsiTheme="minorEastAsia" w:eastAsiaTheme="minorEastAsia" w:cstheme="minorEastAsia"/>
          <w:color w:val="auto"/>
          <w:sz w:val="24"/>
          <w:highlight w:val="none"/>
          <w:shd w:val="clear" w:color="auto" w:fill="FFFFFF"/>
        </w:rPr>
      </w:pPr>
      <w:r>
        <w:rPr>
          <w:rFonts w:hint="eastAsia" w:ascii="宋体" w:hAnsi="宋体" w:eastAsia="宋体" w:cs="宋体"/>
          <w:color w:val="auto"/>
          <w:sz w:val="24"/>
          <w:szCs w:val="24"/>
          <w:highlight w:val="none"/>
        </w:rPr>
        <w:t>（6）法律、行政法规规定的其他条件。</w:t>
      </w:r>
    </w:p>
    <w:p w14:paraId="232D6F8F">
      <w:pPr>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政府采购供应商诚信承诺书；</w:t>
      </w:r>
    </w:p>
    <w:p w14:paraId="620F258C">
      <w:pPr>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w:t>
      </w:r>
      <w:r>
        <w:rPr>
          <w:rFonts w:hint="eastAsia" w:ascii="宋体" w:hAnsi="宋体" w:eastAsia="宋体" w:cs="宋体"/>
          <w:color w:val="auto"/>
          <w:kern w:val="0"/>
          <w:sz w:val="24"/>
          <w:szCs w:val="24"/>
          <w:highlight w:val="none"/>
        </w:rPr>
        <w:t>供应商需提供自觉抵制政府采购领域商业贿赂行为保证书；</w:t>
      </w:r>
    </w:p>
    <w:p w14:paraId="5C989089">
      <w:pPr>
        <w:autoSpaceDE w:val="0"/>
        <w:autoSpaceDN w:val="0"/>
        <w:spacing w:after="120"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4.</w:t>
      </w:r>
      <w:r>
        <w:rPr>
          <w:rFonts w:hint="eastAsia" w:ascii="宋体" w:hAnsi="宋体" w:eastAsia="宋体" w:cs="宋体"/>
          <w:color w:val="auto"/>
          <w:kern w:val="0"/>
          <w:sz w:val="24"/>
          <w:szCs w:val="24"/>
          <w:highlight w:val="none"/>
        </w:rPr>
        <w:t>1.4 未被工商行政管理机关在全国企业信用信息公示系统中列入严重违法失信企业名单和经营异常名录，查询日期为公告发布之日起至投标截止之日止。</w:t>
      </w:r>
    </w:p>
    <w:p w14:paraId="3BEFBF46">
      <w:pPr>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供应商需提供售后服务体系与承诺。</w:t>
      </w:r>
    </w:p>
    <w:p w14:paraId="007BB8B9">
      <w:pPr>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4.3符合本竞争性磋商文件规定的供应商资格要求及项目要求的</w:t>
      </w:r>
      <w:r>
        <w:rPr>
          <w:rFonts w:hint="eastAsia" w:asciiTheme="minorEastAsia" w:hAnsiTheme="minorEastAsia" w:cstheme="minorEastAsia"/>
          <w:color w:val="auto"/>
          <w:sz w:val="24"/>
          <w:szCs w:val="24"/>
          <w:highlight w:val="none"/>
          <w:lang w:eastAsia="zh-CN"/>
        </w:rPr>
        <w:t>其他条件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并按照要求提供相关证明材料。</w:t>
      </w:r>
    </w:p>
    <w:p w14:paraId="0F986BB5">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4.4供应商应遵守国家</w:t>
      </w:r>
      <w:r>
        <w:rPr>
          <w:rFonts w:hint="eastAsia" w:asciiTheme="minorEastAsia" w:hAnsiTheme="minorEastAsia" w:cstheme="minorEastAsia"/>
          <w:color w:val="auto"/>
          <w:sz w:val="24"/>
          <w:highlight w:val="none"/>
          <w:lang w:eastAsia="zh-CN"/>
        </w:rPr>
        <w:t>法律法规</w:t>
      </w:r>
      <w:r>
        <w:rPr>
          <w:rFonts w:hint="eastAsia" w:asciiTheme="minorEastAsia" w:hAnsiTheme="minorEastAsia" w:eastAsiaTheme="minorEastAsia" w:cstheme="minorEastAsia"/>
          <w:color w:val="auto"/>
          <w:sz w:val="24"/>
          <w:highlight w:val="none"/>
        </w:rPr>
        <w:t>有关竞争性磋商的规定。</w:t>
      </w:r>
    </w:p>
    <w:p w14:paraId="39F040F8">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 凡通过磋商小组符合性审查的供应商均为合格供应商。未通过符合性审查的供应商将视为不响应本项目的竞争性磋商文件被否决。</w:t>
      </w:r>
    </w:p>
    <w:p w14:paraId="75F17572">
      <w:pPr>
        <w:autoSpaceDE w:val="0"/>
        <w:autoSpaceDN w:val="0"/>
        <w:adjustRightInd w:val="0"/>
        <w:snapToGrid w:val="0"/>
        <w:spacing w:line="360" w:lineRule="auto"/>
        <w:ind w:firstLine="480" w:firstLineChars="200"/>
        <w:rPr>
          <w:rFonts w:hint="eastAsia"/>
          <w:color w:val="auto"/>
          <w:highlight w:val="none"/>
        </w:rPr>
      </w:pPr>
      <w:r>
        <w:rPr>
          <w:rFonts w:hint="eastAsia" w:ascii="宋体" w:hAnsi="宋体" w:eastAsia="宋体" w:cs="宋体"/>
          <w:color w:val="auto"/>
          <w:spacing w:val="0"/>
          <w:position w:val="0"/>
          <w:sz w:val="24"/>
          <w:highlight w:val="none"/>
          <w:shd w:val="clear" w:fill="auto"/>
          <w:lang w:val="en-US" w:eastAsia="zh-CN"/>
        </w:rPr>
        <w:t xml:space="preserve">4.6 </w:t>
      </w:r>
      <w:r>
        <w:rPr>
          <w:rFonts w:hint="eastAsia" w:ascii="宋体" w:hAnsi="宋体" w:eastAsia="宋体" w:cs="宋体"/>
          <w:b w:val="0"/>
          <w:bCs w:val="0"/>
          <w:color w:val="auto"/>
          <w:spacing w:val="0"/>
          <w:position w:val="0"/>
          <w:sz w:val="24"/>
          <w:szCs w:val="22"/>
          <w:highlight w:val="none"/>
          <w:shd w:val="clear" w:fill="auto"/>
          <w:lang w:val="en-US" w:eastAsia="zh-CN"/>
        </w:rPr>
        <w:t>供应商应承诺</w:t>
      </w:r>
      <w:r>
        <w:rPr>
          <w:rFonts w:hint="eastAsia" w:ascii="宋体" w:hAnsi="宋体" w:eastAsia="宋体" w:cs="宋体"/>
          <w:color w:val="auto"/>
          <w:spacing w:val="0"/>
          <w:position w:val="0"/>
          <w:sz w:val="24"/>
          <w:highlight w:val="none"/>
          <w:shd w:val="clear" w:fill="auto"/>
          <w:lang w:eastAsia="zh-CN"/>
        </w:rPr>
        <w:t>若</w:t>
      </w:r>
      <w:r>
        <w:rPr>
          <w:rFonts w:hint="eastAsia" w:ascii="宋体" w:hAnsi="宋体" w:eastAsia="宋体" w:cs="宋体"/>
          <w:b w:val="0"/>
          <w:bCs w:val="0"/>
          <w:color w:val="auto"/>
          <w:spacing w:val="0"/>
          <w:position w:val="0"/>
          <w:sz w:val="24"/>
          <w:szCs w:val="22"/>
          <w:highlight w:val="none"/>
          <w:shd w:val="clear" w:fill="auto"/>
          <w:lang w:val="en-US" w:eastAsia="zh-CN"/>
        </w:rPr>
        <w:t>现场勘察，</w:t>
      </w:r>
      <w:r>
        <w:rPr>
          <w:rFonts w:hint="eastAsia" w:ascii="宋体" w:hAnsi="宋体" w:cs="仿宋_GB2312"/>
          <w:color w:val="auto"/>
          <w:kern w:val="0"/>
          <w:sz w:val="24"/>
          <w:highlight w:val="none"/>
        </w:rPr>
        <w:t>踏勘现场发生的费用自理</w:t>
      </w:r>
      <w:r>
        <w:rPr>
          <w:rFonts w:hint="eastAsia" w:ascii="宋体" w:hAnsi="宋体" w:cs="仿宋_GB2312"/>
          <w:color w:val="auto"/>
          <w:kern w:val="0"/>
          <w:sz w:val="24"/>
          <w:highlight w:val="none"/>
          <w:lang w:eastAsia="zh-CN"/>
        </w:rPr>
        <w:t>，</w:t>
      </w:r>
      <w:r>
        <w:rPr>
          <w:rFonts w:hint="eastAsia" w:ascii="宋体" w:hAnsi="宋体" w:eastAsia="宋体" w:cs="宋体"/>
          <w:b w:val="0"/>
          <w:bCs w:val="0"/>
          <w:color w:val="auto"/>
          <w:spacing w:val="0"/>
          <w:position w:val="0"/>
          <w:sz w:val="24"/>
          <w:szCs w:val="22"/>
          <w:highlight w:val="none"/>
          <w:shd w:val="clear" w:fill="auto"/>
          <w:lang w:val="en-US" w:eastAsia="zh-CN"/>
        </w:rPr>
        <w:t>勘察现场造成的人员伤亡及财产损失，由供应商自行承担。</w:t>
      </w:r>
    </w:p>
    <w:p w14:paraId="67832CFA">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注：单位负责人为同一人或者存在直接控股、管理关系的不同供应商，不得参加同一合同项下的政府采购活动。提供法定代表人签章的国家企业信用信息公示系统公告后网页查询扫描件并承诺。</w:t>
      </w:r>
    </w:p>
    <w:p w14:paraId="6B67F44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5.竞争性磋商文件的约束力 </w:t>
      </w:r>
    </w:p>
    <w:p w14:paraId="61F55A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5.l供应商一旦参加竞争性磋商，即被认为接受了本竞争性磋商文件中的所有条款和规定。</w:t>
      </w:r>
    </w:p>
    <w:p w14:paraId="79B439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5.2供应商如认为本竞争性磋商文件含有倾向性或排斥潜在供应商的条款而使自己的权益受到损害的，请以书面形式向采购人提出，否则，将视为对本竞争性磋商文件要求无任何异议，</w:t>
      </w:r>
      <w:r>
        <w:rPr>
          <w:rFonts w:hint="eastAsia" w:ascii="宋体" w:hAnsi="宋体" w:eastAsia="宋体" w:cs="宋体"/>
          <w:color w:val="auto"/>
          <w:spacing w:val="0"/>
          <w:position w:val="0"/>
          <w:sz w:val="24"/>
          <w:highlight w:val="none"/>
          <w:shd w:val="clear" w:fill="auto"/>
          <w:lang w:eastAsia="zh-CN"/>
        </w:rPr>
        <w:t>出具无异议承诺书，</w:t>
      </w:r>
      <w:r>
        <w:rPr>
          <w:rFonts w:hint="eastAsia" w:ascii="宋体" w:hAnsi="宋体" w:cs="宋体"/>
          <w:color w:val="auto"/>
          <w:sz w:val="24"/>
          <w:highlight w:val="none"/>
        </w:rPr>
        <w:t>并不得因此在竞争性磋商会开始后提出任何异议。</w:t>
      </w:r>
    </w:p>
    <w:p w14:paraId="382F5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5.3本磋商文件由采购人负责解释。</w:t>
      </w:r>
    </w:p>
    <w:p w14:paraId="308F79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二、竞争性磋商文件</w:t>
      </w:r>
    </w:p>
    <w:p w14:paraId="22A9376E">
      <w:pPr>
        <w:tabs>
          <w:tab w:val="left" w:pos="632"/>
          <w:tab w:val="left" w:pos="79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6．竞争性磋商文件的组成</w:t>
      </w:r>
    </w:p>
    <w:p w14:paraId="7633123B">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6.1竞争性磋商</w:t>
      </w:r>
      <w:r>
        <w:rPr>
          <w:rFonts w:hint="eastAsia" w:ascii="宋体" w:hAnsi="宋体" w:cs="宋体"/>
          <w:color w:val="auto"/>
          <w:sz w:val="24"/>
          <w:highlight w:val="none"/>
          <w:lang w:val="zh-CN"/>
        </w:rPr>
        <w:t>文件是用以阐明的采购需求、采购程序和合同格式等的规范性文件。竞争性磋商文件主要由以下部分组成：</w:t>
      </w:r>
    </w:p>
    <w:p w14:paraId="0CEE3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（1）竞争性磋商邀请函；</w:t>
      </w:r>
    </w:p>
    <w:p w14:paraId="7D8547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（2）供应商须知；</w:t>
      </w:r>
    </w:p>
    <w:p w14:paraId="05A6B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（3）采购需求；</w:t>
      </w:r>
    </w:p>
    <w:p w14:paraId="503EDB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（4）响应性文件内容及格式；</w:t>
      </w:r>
    </w:p>
    <w:p w14:paraId="25AD7E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（5）合同主要条款。</w:t>
      </w:r>
    </w:p>
    <w:p w14:paraId="74759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07B890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6.3供应商被视为充分熟悉本采购项目所在地的与履行合同有关的各种情况，包括自然环境、气候条件、劳动力及公用设施等，本竞争性磋商文件不再对上述情况进行描述。</w:t>
      </w:r>
    </w:p>
    <w:p w14:paraId="43D549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6.4供应商必须详阅竞争性磋商文件的所有条款、文件及表格格式等。供应商若未按竞争性磋商文件的要求和规范编制、提交响应性文件，将有可能导致响应性文件被拒绝接受或被视为无</w:t>
      </w:r>
      <w:r>
        <w:rPr>
          <w:rFonts w:hint="eastAsia" w:ascii="宋体" w:hAnsi="宋体" w:cs="宋体"/>
          <w:color w:val="auto"/>
          <w:spacing w:val="-20"/>
          <w:w w:val="50"/>
          <w:sz w:val="24"/>
          <w:highlight w:val="none"/>
          <w:lang w:val="en-US" w:eastAsia="zh-CN"/>
        </w:rPr>
        <w:t xml:space="preserve"> </w:t>
      </w:r>
      <w:r>
        <w:rPr>
          <w:rFonts w:hint="eastAsia" w:ascii="宋体" w:hAnsi="宋体" w:cs="宋体"/>
          <w:color w:val="auto"/>
          <w:sz w:val="24"/>
          <w:highlight w:val="none"/>
        </w:rPr>
        <w:t>效。</w:t>
      </w:r>
    </w:p>
    <w:p w14:paraId="61D995FC">
      <w:pPr>
        <w:widowControl/>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7.竞争性磋商文件的澄清与修改</w:t>
      </w:r>
    </w:p>
    <w:p w14:paraId="4340FC15">
      <w:pPr>
        <w:autoSpaceDE w:val="0"/>
        <w:autoSpaceDN w:val="0"/>
        <w:adjustRightIn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1D50F2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三、响应性文件的编制</w:t>
      </w:r>
    </w:p>
    <w:p w14:paraId="56AD5F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8.要求</w:t>
      </w:r>
    </w:p>
    <w:p w14:paraId="0AFFA5F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8.1供应商应仔细阅读、并充分理解竞争性磋商文件的所有内容，按照竞争性磋商文件的要求编制、提交响应性文件。响应性文件应对竞争性磋商文件的要求作出实质性响应，并</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所提供的全部资料的真实性、合法性，</w:t>
      </w:r>
      <w:r>
        <w:rPr>
          <w:rFonts w:hint="eastAsia" w:ascii="宋体" w:hAnsi="宋体" w:cs="宋体"/>
          <w:color w:val="auto"/>
          <w:sz w:val="24"/>
          <w:highlight w:val="none"/>
          <w:lang w:val="en-US" w:eastAsia="zh-CN"/>
        </w:rPr>
        <w:t>响应文件应编制页码与总页码，</w:t>
      </w:r>
      <w:r>
        <w:rPr>
          <w:rFonts w:hint="eastAsia" w:ascii="宋体" w:hAnsi="宋体" w:cs="宋体"/>
          <w:color w:val="auto"/>
          <w:sz w:val="24"/>
          <w:highlight w:val="none"/>
        </w:rPr>
        <w:t>否则其响应性文件将作为无效处理。</w:t>
      </w:r>
    </w:p>
    <w:p w14:paraId="18A049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8.2任何对竞争性磋商文件的忽略或误解不能作为响应性文件没有完全响应竞争性磋商文件的有效理由。</w:t>
      </w:r>
    </w:p>
    <w:p w14:paraId="19A6CC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8.3供应商没有按照竞争性磋商文件要求提供全部资料，或者供应商没有对竞争性磋商文件在各方面都作出实质性响应是供应商的风险，并可能导致其响应性文件被拒绝。</w:t>
      </w:r>
    </w:p>
    <w:p w14:paraId="5B40E6CC">
      <w:pPr>
        <w:autoSpaceDE w:val="0"/>
        <w:autoSpaceDN w:val="0"/>
        <w:adjustRightInd w:val="0"/>
        <w:spacing w:line="440" w:lineRule="exact"/>
        <w:ind w:firstLine="480" w:firstLineChars="200"/>
        <w:jc w:val="left"/>
        <w:rPr>
          <w:color w:val="auto"/>
          <w:highlight w:val="none"/>
        </w:rPr>
      </w:pPr>
      <w:r>
        <w:rPr>
          <w:rFonts w:hint="eastAsia" w:ascii="宋体" w:hAnsi="宋体" w:cs="仿宋_GB2312"/>
          <w:color w:val="auto"/>
          <w:kern w:val="0"/>
          <w:sz w:val="24"/>
          <w:highlight w:val="none"/>
          <w:lang w:val="en-US" w:eastAsia="zh-CN"/>
        </w:rPr>
        <w:t>8</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lang w:val="en-US" w:eastAsia="zh-CN"/>
        </w:rPr>
        <w:t>4</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eastAsia="zh-CN"/>
        </w:rPr>
        <w:t>供应商应书面保证</w:t>
      </w:r>
      <w:r>
        <w:rPr>
          <w:rFonts w:hint="eastAsia" w:ascii="宋体" w:hAnsi="宋体" w:cs="仿宋_GB2312"/>
          <w:color w:val="auto"/>
          <w:kern w:val="0"/>
          <w:sz w:val="24"/>
          <w:highlight w:val="none"/>
        </w:rPr>
        <w:t>准备和参加投标活动发生的费用自理</w:t>
      </w:r>
      <w:r>
        <w:rPr>
          <w:rFonts w:hint="eastAsia" w:ascii="宋体" w:hAnsi="宋体" w:cs="仿宋_GB2312"/>
          <w:color w:val="auto"/>
          <w:kern w:val="0"/>
          <w:sz w:val="24"/>
          <w:highlight w:val="none"/>
          <w:lang w:eastAsia="zh-CN"/>
        </w:rPr>
        <w:t>，</w:t>
      </w:r>
      <w:r>
        <w:rPr>
          <w:rFonts w:hint="eastAsia" w:ascii="宋体" w:hAnsi="宋体" w:cs="仿宋_GB2312"/>
          <w:color w:val="auto"/>
          <w:kern w:val="0"/>
          <w:sz w:val="24"/>
          <w:highlight w:val="none"/>
        </w:rPr>
        <w:t>招标</w:t>
      </w:r>
      <w:r>
        <w:rPr>
          <w:rFonts w:ascii="宋体" w:hAnsi="宋体" w:cs="仿宋_GB2312"/>
          <w:color w:val="auto"/>
          <w:kern w:val="0"/>
          <w:sz w:val="24"/>
          <w:highlight w:val="none"/>
        </w:rPr>
        <w:t>组织人在任何情况下均无义务和责任承担上述费用。</w:t>
      </w:r>
    </w:p>
    <w:p w14:paraId="4763CDFD">
      <w:pPr>
        <w:autoSpaceDE w:val="0"/>
        <w:autoSpaceDN w:val="0"/>
        <w:adjustRightInd w:val="0"/>
        <w:spacing w:line="440" w:lineRule="exact"/>
        <w:ind w:firstLine="480" w:firstLineChars="200"/>
        <w:jc w:val="left"/>
        <w:rPr>
          <w:rFonts w:hint="eastAsia" w:ascii="宋体" w:hAnsi="宋体" w:cs="宋体"/>
          <w:color w:val="auto"/>
          <w:sz w:val="24"/>
          <w:highlight w:val="none"/>
        </w:rPr>
      </w:pPr>
      <w:r>
        <w:rPr>
          <w:rFonts w:hint="eastAsia" w:ascii="宋体" w:hAnsi="宋体" w:cs="仿宋_GB2312"/>
          <w:color w:val="auto"/>
          <w:kern w:val="0"/>
          <w:sz w:val="24"/>
          <w:highlight w:val="none"/>
          <w:lang w:val="en-US" w:eastAsia="zh-CN"/>
        </w:rPr>
        <w:t>8</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lang w:val="en-US" w:eastAsia="zh-CN"/>
        </w:rPr>
        <w:t>5</w:t>
      </w:r>
      <w:r>
        <w:rPr>
          <w:rFonts w:hint="eastAsia" w:ascii="宋体" w:hAnsi="宋体" w:cs="仿宋_GB2312"/>
          <w:color w:val="auto"/>
          <w:kern w:val="0"/>
          <w:sz w:val="24"/>
          <w:highlight w:val="none"/>
        </w:rPr>
        <w:t xml:space="preserve"> 参与</w:t>
      </w:r>
      <w:r>
        <w:rPr>
          <w:rFonts w:hint="eastAsia" w:ascii="宋体" w:hAnsi="宋体" w:cs="仿宋_GB2312"/>
          <w:color w:val="auto"/>
          <w:kern w:val="0"/>
          <w:sz w:val="24"/>
          <w:highlight w:val="none"/>
          <w:lang w:eastAsia="zh-CN"/>
        </w:rPr>
        <w:t>本次采购</w:t>
      </w:r>
      <w:r>
        <w:rPr>
          <w:rFonts w:hint="eastAsia" w:ascii="宋体" w:hAnsi="宋体" w:cs="仿宋_GB2312"/>
          <w:color w:val="auto"/>
          <w:kern w:val="0"/>
          <w:sz w:val="24"/>
          <w:highlight w:val="none"/>
        </w:rPr>
        <w:t>活动的各方应</w:t>
      </w:r>
      <w:r>
        <w:rPr>
          <w:rFonts w:hint="eastAsia" w:ascii="宋体" w:hAnsi="宋体" w:cs="仿宋_GB2312"/>
          <w:color w:val="auto"/>
          <w:kern w:val="0"/>
          <w:sz w:val="24"/>
          <w:highlight w:val="none"/>
          <w:lang w:eastAsia="zh-CN"/>
        </w:rPr>
        <w:t>承诺</w:t>
      </w:r>
      <w:r>
        <w:rPr>
          <w:rFonts w:hint="eastAsia" w:ascii="宋体" w:hAnsi="宋体" w:cs="仿宋_GB2312"/>
          <w:color w:val="auto"/>
          <w:kern w:val="0"/>
          <w:sz w:val="24"/>
          <w:highlight w:val="none"/>
        </w:rPr>
        <w:t>对</w:t>
      </w:r>
      <w:r>
        <w:rPr>
          <w:rFonts w:hint="eastAsia" w:ascii="宋体" w:hAnsi="宋体" w:cs="仿宋_GB2312"/>
          <w:color w:val="auto"/>
          <w:kern w:val="0"/>
          <w:sz w:val="24"/>
          <w:highlight w:val="none"/>
          <w:lang w:eastAsia="zh-CN"/>
        </w:rPr>
        <w:t>采购</w:t>
      </w:r>
      <w:r>
        <w:rPr>
          <w:rFonts w:hint="eastAsia" w:ascii="宋体" w:hAnsi="宋体" w:cs="仿宋_GB2312"/>
          <w:color w:val="auto"/>
          <w:kern w:val="0"/>
          <w:sz w:val="24"/>
          <w:highlight w:val="none"/>
        </w:rPr>
        <w:t>文件中的商业和技术等秘密保密，违者应对由此造成的后果承担法律责任。</w:t>
      </w:r>
    </w:p>
    <w:p w14:paraId="443920ED">
      <w:pPr>
        <w:pStyle w:val="26"/>
        <w:rPr>
          <w:rFonts w:hint="eastAsia"/>
          <w:color w:val="auto"/>
          <w:highlight w:val="none"/>
        </w:rPr>
      </w:pPr>
    </w:p>
    <w:p w14:paraId="74B81AC5">
      <w:pPr>
        <w:widowControl/>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9.响应性文件的语言及度量衡 </w:t>
      </w:r>
    </w:p>
    <w:p w14:paraId="2F8A8E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9.1响应性文件以及供应商与采购代理机构之间的所有书面往来都应用简体中文书写。 </w:t>
      </w:r>
    </w:p>
    <w:p w14:paraId="725CB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9.2供应商使用其他语言的，以中文翻译为准。 </w:t>
      </w:r>
    </w:p>
    <w:p w14:paraId="6E6140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9.3关于计量单位，竞争性磋商文件已有明确规定的，使用竞争性磋商文件规定的计量单位；竞争性磋商文件没有规定的，应采用中华人民共和国法定计量单位。</w:t>
      </w:r>
    </w:p>
    <w:p w14:paraId="3C6E2B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9.4本竞争性磋商文件所表述的时间均为北京时间。</w:t>
      </w:r>
    </w:p>
    <w:p w14:paraId="3253D00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10.响应性文件的组成</w:t>
      </w:r>
    </w:p>
    <w:p w14:paraId="3705AE7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10.1响应性文件由</w:t>
      </w:r>
      <w:r>
        <w:rPr>
          <w:rFonts w:hint="eastAsia" w:ascii="宋体" w:hAnsi="宋体" w:cs="宋体"/>
          <w:bCs/>
          <w:color w:val="auto"/>
          <w:sz w:val="24"/>
          <w:highlight w:val="none"/>
          <w:u w:val="single"/>
        </w:rPr>
        <w:t>资格性证明材料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符合性证明材料</w:t>
      </w:r>
      <w:r>
        <w:rPr>
          <w:rFonts w:hint="eastAsia" w:ascii="宋体" w:hAnsi="宋体" w:cs="宋体"/>
          <w:bCs/>
          <w:color w:val="auto"/>
          <w:sz w:val="24"/>
          <w:highlight w:val="none"/>
        </w:rPr>
        <w:t>、</w:t>
      </w:r>
      <w:r>
        <w:rPr>
          <w:rFonts w:hint="eastAsia" w:ascii="宋体" w:hAnsi="宋体" w:cs="宋体"/>
          <w:bCs/>
          <w:color w:val="auto"/>
          <w:sz w:val="24"/>
          <w:highlight w:val="none"/>
          <w:u w:val="single"/>
        </w:rPr>
        <w:t>其他材料</w:t>
      </w:r>
      <w:r>
        <w:rPr>
          <w:rFonts w:hint="eastAsia" w:ascii="宋体" w:hAnsi="宋体" w:cs="宋体"/>
          <w:color w:val="auto"/>
          <w:sz w:val="24"/>
          <w:highlight w:val="none"/>
        </w:rPr>
        <w:t>三部分组成。具体内容和格式见竞争性磋商文件</w:t>
      </w:r>
      <w:r>
        <w:rPr>
          <w:rFonts w:hint="eastAsia" w:ascii="宋体" w:hAnsi="宋体" w:cs="宋体"/>
          <w:bCs/>
          <w:color w:val="auto"/>
          <w:sz w:val="24"/>
          <w:highlight w:val="none"/>
        </w:rPr>
        <w:t>第四章</w:t>
      </w:r>
      <w:r>
        <w:rPr>
          <w:rFonts w:hint="eastAsia" w:ascii="宋体" w:hAnsi="宋体" w:cs="宋体"/>
          <w:color w:val="auto"/>
          <w:sz w:val="24"/>
          <w:highlight w:val="none"/>
        </w:rPr>
        <w:t>。</w:t>
      </w:r>
    </w:p>
    <w:p w14:paraId="00F9333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11.响应性文件格式</w:t>
      </w:r>
    </w:p>
    <w:p w14:paraId="5547796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4B0AD91C">
      <w:pPr>
        <w:widowControl/>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12.竞争性磋商报价</w:t>
      </w:r>
    </w:p>
    <w:p w14:paraId="09060438">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12.1报价包括所投项目的服务、保险、税费、检测、验收和交付后约定期限内免费维保等工作所发生的一切应有费用。</w:t>
      </w:r>
    </w:p>
    <w:p w14:paraId="0FE2E5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12.2经过磋商后进行的报价为供应商的最终报价。</w:t>
      </w:r>
    </w:p>
    <w:p w14:paraId="292B46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12.3采购人不接受有选择的报价。</w:t>
      </w:r>
    </w:p>
    <w:p w14:paraId="65E438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12.4最终报价不得超过采购预算。</w:t>
      </w:r>
    </w:p>
    <w:p w14:paraId="21E30C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12.5报价均须以人民币为计算单位。</w:t>
      </w:r>
    </w:p>
    <w:p w14:paraId="6A27D4A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13．响应性文件有效期 </w:t>
      </w:r>
    </w:p>
    <w:p w14:paraId="32D60A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13.l响应性文件有效期为自竞争性磋商开始之日起60天，成交的响应性文件其有效期应延续至合同执行结束</w:t>
      </w:r>
      <w:r>
        <w:rPr>
          <w:rFonts w:hint="eastAsia" w:ascii="宋体" w:hAnsi="宋体" w:cs="宋体"/>
          <w:color w:val="auto"/>
          <w:sz w:val="24"/>
          <w:highlight w:val="none"/>
          <w:lang w:eastAsia="zh-CN"/>
        </w:rPr>
        <w:t>，</w:t>
      </w:r>
      <w:r>
        <w:rPr>
          <w:rFonts w:hint="eastAsia" w:ascii="宋体" w:hAnsi="宋体" w:cs="宋体"/>
          <w:color w:val="auto"/>
          <w:sz w:val="24"/>
          <w:highlight w:val="none"/>
        </w:rPr>
        <w:t>有效期短于此规定的响应性文件将被视为</w:t>
      </w:r>
      <w:r>
        <w:rPr>
          <w:rFonts w:hint="eastAsia" w:ascii="宋体" w:hAnsi="宋体" w:cs="宋体"/>
          <w:color w:val="auto"/>
          <w:sz w:val="24"/>
          <w:highlight w:val="none"/>
          <w:lang w:eastAsia="zh-CN"/>
        </w:rPr>
        <w:t>无</w:t>
      </w:r>
      <w:r>
        <w:rPr>
          <w:rFonts w:hint="eastAsia" w:ascii="宋体" w:hAnsi="宋体" w:cs="宋体"/>
          <w:color w:val="auto"/>
          <w:spacing w:val="-20"/>
          <w:w w:val="50"/>
          <w:sz w:val="24"/>
          <w:highlight w:val="none"/>
          <w:lang w:eastAsia="zh-CN"/>
        </w:rPr>
        <w:t xml:space="preserve"> </w:t>
      </w:r>
      <w:r>
        <w:rPr>
          <w:rFonts w:hint="eastAsia" w:ascii="宋体" w:hAnsi="宋体" w:cs="宋体"/>
          <w:color w:val="auto"/>
          <w:sz w:val="24"/>
          <w:highlight w:val="none"/>
          <w:lang w:eastAsia="zh-CN"/>
        </w:rPr>
        <w:t>效</w:t>
      </w:r>
      <w:r>
        <w:rPr>
          <w:rFonts w:hint="eastAsia" w:ascii="宋体" w:hAnsi="宋体" w:cs="宋体"/>
          <w:color w:val="auto"/>
          <w:sz w:val="24"/>
          <w:highlight w:val="none"/>
        </w:rPr>
        <w:t>。</w:t>
      </w:r>
    </w:p>
    <w:p w14:paraId="18764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13.2特殊情况下，采购人可于响应性文件有效期满之前书面要求供应商同意延长有效期，供应商应在采购人规定的期限内以书面形式予以答复。供应商答复不明确或逾期未答复的，均视为拒绝上述要求。</w:t>
      </w:r>
    </w:p>
    <w:p w14:paraId="7F0772C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14.响应性文件的签署、盖章</w:t>
      </w:r>
    </w:p>
    <w:p w14:paraId="027469D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14.1</w:t>
      </w:r>
      <w:r>
        <w:rPr>
          <w:rFonts w:hint="eastAsia" w:ascii="宋体" w:hAnsi="宋体" w:cs="宋体"/>
          <w:color w:val="auto"/>
          <w:sz w:val="24"/>
          <w:highlight w:val="none"/>
          <w:lang w:val="zh-CN"/>
        </w:rPr>
        <w:t>响应性文件中凡是要求签署和加盖公章处均须由供应商的法定代表人或其委托代理人签字并加盖供应商公章。本竞争性磋商文件所表述（指定）的签章是指签字和盖章，所表述（指定）的公章是指法人（供应商）行政公章，不包括专用章。</w:t>
      </w:r>
    </w:p>
    <w:p w14:paraId="019022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14.2响应性文件应无涂改和行间插字，除非这些改动是为改正供应商造成的必须修改的错误进行的。有改动时，修改处应由供应商代表签署证明或加盖公章，但非供应商出具的材料，供应商改动</w:t>
      </w:r>
      <w:r>
        <w:rPr>
          <w:rFonts w:hint="eastAsia" w:ascii="宋体" w:hAnsi="宋体" w:cs="宋体"/>
          <w:color w:val="auto"/>
          <w:sz w:val="24"/>
          <w:highlight w:val="none"/>
          <w:lang w:eastAsia="zh-CN"/>
        </w:rPr>
        <w:t>无</w:t>
      </w:r>
      <w:r>
        <w:rPr>
          <w:rFonts w:hint="eastAsia" w:ascii="宋体" w:hAnsi="宋体" w:cs="宋体"/>
          <w:color w:val="auto"/>
          <w:spacing w:val="-20"/>
          <w:w w:val="50"/>
          <w:sz w:val="24"/>
          <w:highlight w:val="none"/>
          <w:lang w:eastAsia="zh-CN"/>
        </w:rPr>
        <w:t xml:space="preserve"> </w:t>
      </w:r>
      <w:r>
        <w:rPr>
          <w:rFonts w:hint="eastAsia" w:ascii="宋体" w:hAnsi="宋体" w:cs="宋体"/>
          <w:color w:val="auto"/>
          <w:sz w:val="24"/>
          <w:highlight w:val="none"/>
          <w:lang w:eastAsia="zh-CN"/>
        </w:rPr>
        <w:t>效</w:t>
      </w:r>
      <w:r>
        <w:rPr>
          <w:rFonts w:hint="eastAsia" w:ascii="宋体" w:hAnsi="宋体" w:cs="宋体"/>
          <w:color w:val="auto"/>
          <w:sz w:val="24"/>
          <w:highlight w:val="none"/>
        </w:rPr>
        <w:t>。</w:t>
      </w:r>
    </w:p>
    <w:p w14:paraId="3B4ED2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14.3供应商提交的资料应证明其满足竞争性磋商文件要求，该文件可以是文字资料、图纸和数据等详细描述的资料。</w:t>
      </w:r>
    </w:p>
    <w:p w14:paraId="7A9866D4">
      <w:pPr>
        <w:spacing w:line="360" w:lineRule="auto"/>
        <w:ind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15、电子投标文件制作</w:t>
      </w:r>
    </w:p>
    <w:p w14:paraId="2E7F3D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见周口市公共资源交易中心</w:t>
      </w:r>
      <w:r>
        <w:rPr>
          <w:rFonts w:hint="eastAsia" w:ascii="宋体" w:hAnsi="宋体" w:cs="宋体"/>
          <w:color w:val="auto"/>
          <w:sz w:val="24"/>
          <w:highlight w:val="none"/>
          <w:lang w:val="en-US" w:eastAsia="zh-CN"/>
        </w:rPr>
        <w:t>网站下载中心版块</w:t>
      </w:r>
      <w:r>
        <w:rPr>
          <w:rFonts w:hint="eastAsia" w:ascii="宋体" w:hAnsi="宋体" w:cs="宋体"/>
          <w:color w:val="auto"/>
          <w:sz w:val="24"/>
          <w:highlight w:val="none"/>
        </w:rPr>
        <w:t>《投标单位-电子投标文件视频制作手册》的相关规定。</w:t>
      </w:r>
    </w:p>
    <w:p w14:paraId="069B3A99">
      <w:pPr>
        <w:numPr>
          <w:ilvl w:val="0"/>
          <w:numId w:val="2"/>
        </w:num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响应性文件的递交</w:t>
      </w:r>
    </w:p>
    <w:p w14:paraId="4A06EB3E">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加密的电子磋商响应文件，应在磋商截止时间前通过周口市公共资源交易中心会员系统上传；本项目实行网上远程开标，未加密的电子</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文件和纸质</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文件均不再提交。在解密投标</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开始时30分钟内进行解密，超时视为放弃递交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w:t>
      </w:r>
    </w:p>
    <w:p w14:paraId="0E4D904D">
      <w:pPr>
        <w:spacing w:line="360" w:lineRule="auto"/>
        <w:ind w:firstLine="55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加密的电子投标文件的递交</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见周口市公共资源交易中心</w:t>
      </w:r>
      <w:r>
        <w:rPr>
          <w:rFonts w:hint="eastAsia" w:ascii="宋体" w:hAnsi="宋体" w:eastAsia="宋体" w:cs="宋体"/>
          <w:color w:val="auto"/>
          <w:sz w:val="24"/>
          <w:highlight w:val="none"/>
          <w:lang w:val="en-US" w:eastAsia="zh-CN"/>
        </w:rPr>
        <w:t>网站下载中心版块</w:t>
      </w:r>
      <w:r>
        <w:rPr>
          <w:rFonts w:hint="eastAsia" w:ascii="宋体" w:hAnsi="宋体" w:eastAsia="宋体" w:cs="宋体"/>
          <w:color w:val="auto"/>
          <w:sz w:val="24"/>
          <w:highlight w:val="none"/>
        </w:rPr>
        <w:t>《投标单位-电子投标文件视频制作手册》的相关规定。</w:t>
      </w:r>
      <w:r>
        <w:rPr>
          <w:rFonts w:hint="eastAsia" w:ascii="宋体" w:hAnsi="宋体" w:cs="宋体"/>
          <w:color w:val="auto"/>
          <w:sz w:val="24"/>
          <w:highlight w:val="none"/>
        </w:rPr>
        <w:t>如未在招标文件规定的投标时间截止前上传网上</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文件，投标无效。</w:t>
      </w:r>
    </w:p>
    <w:p w14:paraId="586DB009">
      <w:pPr>
        <w:autoSpaceDE w:val="0"/>
        <w:autoSpaceDN w:val="0"/>
        <w:adjustRightIn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供应商须使用单位CA证书进行电子响应文件远程解密，详见周口市公共资源电子交易中心网站（网址：http://jyzx.zhoukou.gov.cn）</w:t>
      </w:r>
      <w:r>
        <w:rPr>
          <w:rFonts w:hint="eastAsia" w:ascii="宋体" w:hAnsi="宋体" w:cs="宋体"/>
          <w:color w:val="auto"/>
          <w:sz w:val="24"/>
          <w:highlight w:val="none"/>
          <w:lang w:val="en-US" w:eastAsia="zh-CN"/>
        </w:rPr>
        <w:t>办事指南</w:t>
      </w:r>
      <w:r>
        <w:rPr>
          <w:rFonts w:hint="eastAsia" w:ascii="宋体" w:hAnsi="宋体" w:eastAsia="宋体" w:cs="宋体"/>
          <w:bCs/>
          <w:color w:val="auto"/>
          <w:sz w:val="24"/>
          <w:highlight w:val="none"/>
          <w:lang w:val="en-US" w:eastAsia="zh-CN"/>
        </w:rPr>
        <w:t>《</w:t>
      </w:r>
      <w:r>
        <w:rPr>
          <w:rFonts w:hint="eastAsia" w:ascii="宋体" w:hAnsi="宋体" w:eastAsia="宋体" w:cs="宋体"/>
          <w:bCs/>
          <w:color w:val="auto"/>
          <w:sz w:val="24"/>
          <w:highlight w:val="none"/>
        </w:rPr>
        <w:t>不见面开标远程在线解密会员端操作手册操作指南</w:t>
      </w:r>
      <w:r>
        <w:rPr>
          <w:rFonts w:hint="eastAsia" w:ascii="宋体" w:hAnsi="宋体" w:eastAsia="宋体" w:cs="宋体"/>
          <w:bCs/>
          <w:color w:val="auto"/>
          <w:sz w:val="24"/>
          <w:highlight w:val="none"/>
          <w:lang w:val="en-US" w:eastAsia="zh-CN"/>
        </w:rPr>
        <w:t>》</w:t>
      </w:r>
      <w:r>
        <w:rPr>
          <w:rFonts w:hint="eastAsia" w:ascii="宋体" w:hAnsi="宋体" w:cs="宋体"/>
          <w:color w:val="auto"/>
          <w:sz w:val="24"/>
          <w:highlight w:val="none"/>
        </w:rPr>
        <w:t>。</w:t>
      </w:r>
    </w:p>
    <w:p w14:paraId="2897C26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16.响应性文件的递交</w:t>
      </w:r>
    </w:p>
    <w:p w14:paraId="64CF55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16.1供应商应在竞争性磋商邀请函中规定的截止日期和时间前，将响应性文件在会员系统成功上传，递交（接收）地点为竞争性磋商邀请函中规定的地址。</w:t>
      </w:r>
    </w:p>
    <w:p w14:paraId="5187B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16.2若采购人推迟了响应性文件接收截止时间，采购人和供应商受响应性文件接收截止时间制约的所有权利和义务均应以新的截止时间为准。 </w:t>
      </w:r>
    </w:p>
    <w:p w14:paraId="228DD996">
      <w:pPr>
        <w:pStyle w:val="64"/>
        <w:spacing w:line="360" w:lineRule="auto"/>
        <w:ind w:firstLine="482" w:firstLineChars="200"/>
        <w:rPr>
          <w:rFonts w:ascii="宋体" w:hAnsi="宋体"/>
          <w:b/>
          <w:color w:val="auto"/>
          <w:sz w:val="24"/>
          <w:szCs w:val="24"/>
          <w:highlight w:val="none"/>
        </w:rPr>
      </w:pPr>
      <w:r>
        <w:rPr>
          <w:rFonts w:hint="eastAsia" w:ascii="宋体" w:hAnsi="宋体"/>
          <w:b/>
          <w:bCs/>
          <w:color w:val="auto"/>
          <w:sz w:val="24"/>
          <w:szCs w:val="24"/>
          <w:highlight w:val="none"/>
        </w:rPr>
        <w:t>17</w:t>
      </w:r>
      <w:r>
        <w:rPr>
          <w:rFonts w:hint="eastAsia" w:ascii="宋体" w:hAnsi="宋体"/>
          <w:b/>
          <w:color w:val="auto"/>
          <w:sz w:val="24"/>
          <w:szCs w:val="24"/>
          <w:highlight w:val="none"/>
        </w:rPr>
        <w:t>.响应性文件的修改和撤回</w:t>
      </w:r>
    </w:p>
    <w:p w14:paraId="33EF6563">
      <w:pPr>
        <w:pStyle w:val="64"/>
        <w:spacing w:line="360" w:lineRule="auto"/>
        <w:ind w:left="279" w:leftChars="133" w:firstLine="240" w:firstLineChars="100"/>
        <w:rPr>
          <w:rFonts w:ascii="宋体" w:hAnsi="宋体"/>
          <w:b/>
          <w:bCs/>
          <w:color w:val="auto"/>
          <w:sz w:val="24"/>
          <w:szCs w:val="24"/>
          <w:highlight w:val="none"/>
        </w:rPr>
      </w:pPr>
      <w:r>
        <w:rPr>
          <w:rFonts w:hint="eastAsia" w:ascii="宋体" w:hAnsi="宋体"/>
          <w:color w:val="auto"/>
          <w:sz w:val="24"/>
          <w:szCs w:val="24"/>
          <w:highlight w:val="none"/>
        </w:rPr>
        <w:t>17.1供应商在提交响应性文件截止时间前，可以对已上传的响应文件进行撤回补充、修改或撤回，补充、修改之后进行再次上传，再次上传内容作为响应性文件的组成部分。</w:t>
      </w:r>
    </w:p>
    <w:p w14:paraId="12156376">
      <w:pPr>
        <w:pStyle w:val="6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17.2响应性文件的补充、修改文件应按照本竞争性磋商文件有关规定进行密封、签署，修改后的加密的电子投标文件须在投标截止时间前成功上传。 </w:t>
      </w:r>
    </w:p>
    <w:p w14:paraId="29C8F3CB">
      <w:pPr>
        <w:pStyle w:val="6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17.3供应商在响应性文件接收截止时间后不得修改、撤回响应性文件。供应商在响应性文件接收截止时间后修改响应性文件的，将被拒绝接受。</w:t>
      </w:r>
    </w:p>
    <w:p w14:paraId="3C9FF714">
      <w:pPr>
        <w:pStyle w:val="6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17.4供应商有下列情形之一的，采购人将拒绝接受其响应性文件：</w:t>
      </w:r>
    </w:p>
    <w:p w14:paraId="09EDB9FB">
      <w:pPr>
        <w:pStyle w:val="6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17.4.1在竞争性磋商文件规定的响应性文件接收截止时间之后递交响应性文件的；</w:t>
      </w:r>
    </w:p>
    <w:p w14:paraId="251A84A1">
      <w:pPr>
        <w:pStyle w:val="64"/>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17.4.2响应性文件未加盖骑缝章、未按竞争性磋商文件规定密封、签署、盖章的；</w:t>
      </w:r>
    </w:p>
    <w:p w14:paraId="5196D414">
      <w:pPr>
        <w:pStyle w:val="64"/>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17.4.3一个供应商不止递交一套响应性文件的。</w:t>
      </w:r>
    </w:p>
    <w:p w14:paraId="5A16A4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五、竞争性磋商</w:t>
      </w:r>
    </w:p>
    <w:p w14:paraId="38B0939D">
      <w:pPr>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rPr>
        <w:t>18.组建</w:t>
      </w:r>
      <w:r>
        <w:rPr>
          <w:rFonts w:hint="eastAsia" w:ascii="宋体" w:hAnsi="宋体" w:cs="宋体"/>
          <w:b/>
          <w:color w:val="auto"/>
          <w:sz w:val="24"/>
          <w:highlight w:val="none"/>
          <w:lang w:val="zh-CN"/>
        </w:rPr>
        <w:t>竞争性磋商小组</w:t>
      </w:r>
    </w:p>
    <w:p w14:paraId="1E8B96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18.1采购人根据采购项目的特点依法组建竞争性磋商小组。</w:t>
      </w:r>
    </w:p>
    <w:p w14:paraId="2AFBF91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18.2竞争性磋商小组</w:t>
      </w:r>
      <w:r>
        <w:rPr>
          <w:rFonts w:hint="eastAsia" w:ascii="宋体" w:hAnsi="宋体" w:cs="宋体"/>
          <w:bCs/>
          <w:color w:val="auto"/>
          <w:kern w:val="0"/>
          <w:sz w:val="24"/>
          <w:highlight w:val="none"/>
        </w:rPr>
        <w:t>确认竞争性磋商文件，并</w:t>
      </w:r>
      <w:r>
        <w:rPr>
          <w:rFonts w:hint="eastAsia" w:ascii="宋体" w:hAnsi="宋体" w:cs="宋体"/>
          <w:color w:val="auto"/>
          <w:kern w:val="0"/>
          <w:sz w:val="24"/>
          <w:highlight w:val="none"/>
        </w:rPr>
        <w:t>负责具体评审事务，根据有关法律法规和竞争性磋商文件规定的评审程序，按照评审方法及评审标准独立履行竞争性磋商小组职责。</w:t>
      </w:r>
    </w:p>
    <w:p w14:paraId="04F4561F">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供应商应承诺</w:t>
      </w:r>
      <w:r>
        <w:rPr>
          <w:rFonts w:hint="eastAsia" w:ascii="宋体" w:hAnsi="宋体" w:eastAsia="宋体" w:cs="宋体"/>
          <w:color w:val="auto"/>
          <w:kern w:val="0"/>
          <w:sz w:val="24"/>
          <w:highlight w:val="none"/>
        </w:rPr>
        <w:t>不得相互串通投标或者与</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人串通投标，不得向</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人或者评标委员会成员行贿谋取中标，不得以他人名义投标或者以其他方式弄虚作假骗取中标；投标人不得以任何方式干扰、影响评标工作。</w:t>
      </w:r>
    </w:p>
    <w:p w14:paraId="53DF4C4E">
      <w:pPr>
        <w:pStyle w:val="26"/>
        <w:rPr>
          <w:rFonts w:hint="default" w:eastAsia="宋体"/>
          <w:color w:val="auto"/>
          <w:highlight w:val="none"/>
          <w:lang w:val="en-US" w:eastAsia="zh-CN"/>
        </w:rPr>
      </w:pPr>
    </w:p>
    <w:p w14:paraId="750D7D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19.资格性和符合性审查</w:t>
      </w:r>
    </w:p>
    <w:p w14:paraId="1E723A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19.1资格性检查。竞争性磋商小组依据有关法律法规和竞争性磋商文件的规定，对响应性文件中资质证明等进行审查，</w:t>
      </w:r>
      <w:r>
        <w:rPr>
          <w:rFonts w:hint="eastAsia" w:ascii="宋体" w:hAnsi="宋体" w:cs="宋体"/>
          <w:color w:val="auto"/>
          <w:sz w:val="24"/>
          <w:highlight w:val="none"/>
          <w:lang w:val="en-US" w:eastAsia="zh-CN"/>
        </w:rPr>
        <w:t>所提供的资格证明材料应标注与原件一致字样，</w:t>
      </w:r>
      <w:r>
        <w:rPr>
          <w:rFonts w:hint="eastAsia" w:ascii="宋体" w:hAnsi="宋体" w:cs="宋体"/>
          <w:color w:val="auto"/>
          <w:sz w:val="24"/>
          <w:highlight w:val="none"/>
        </w:rPr>
        <w:t>审查每个供应商提交的资质证明材料是否齐全、完整、合法、有效。不同投标人在同一台计算机上制作的投标文件为投标文件无效。</w:t>
      </w:r>
    </w:p>
    <w:p w14:paraId="74AD34BE">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19.1.1资格性审查的内容包括：竞争性磋商文件规定的供应商资格条件；</w:t>
      </w:r>
    </w:p>
    <w:p w14:paraId="51EC4A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7459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19.2.1符合性审查的内容包括：</w:t>
      </w:r>
    </w:p>
    <w:p w14:paraId="53DD6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（1）响应性文件的有效性(签署情况等)；</w:t>
      </w:r>
    </w:p>
    <w:p w14:paraId="29AB8F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（2）响应性文件的完整性；</w:t>
      </w:r>
    </w:p>
    <w:p w14:paraId="0385DB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（3）对竞争性磋商文件的响应程度（是否存在重大负偏离等）。 </w:t>
      </w:r>
    </w:p>
    <w:p w14:paraId="0E30A9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以上资格性审查和符合性审查的内容只要有一条不满足，则响应性文件无效，将不进入竞争性磋商程序。</w:t>
      </w:r>
    </w:p>
    <w:p w14:paraId="4FFAA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注意事项：资格性、符合性证明材料见竞争性磋商文件第四章规定。</w:t>
      </w:r>
    </w:p>
    <w:p w14:paraId="5D2AA5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19.3实质性响应的响应性文件是指与竞争性磋商文件的全部条款、条件和规格相符，没有重大偏离；重大负偏离的认定须经竞争性磋商小组三分之二以上同意。</w:t>
      </w:r>
    </w:p>
    <w:p w14:paraId="5E6D84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52AD2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19.5如果响应性文件实质上没有响应竞争性磋商文件的要求，将作为</w:t>
      </w:r>
      <w:r>
        <w:rPr>
          <w:rFonts w:hint="eastAsia" w:ascii="宋体" w:hAnsi="宋体" w:cs="宋体"/>
          <w:color w:val="auto"/>
          <w:sz w:val="24"/>
          <w:highlight w:val="none"/>
          <w:lang w:eastAsia="zh-CN"/>
        </w:rPr>
        <w:t>无</w:t>
      </w:r>
      <w:r>
        <w:rPr>
          <w:rFonts w:hint="eastAsia" w:ascii="宋体" w:hAnsi="宋体" w:cs="宋体"/>
          <w:color w:val="auto"/>
          <w:spacing w:val="-20"/>
          <w:w w:val="50"/>
          <w:sz w:val="24"/>
          <w:highlight w:val="none"/>
          <w:lang w:eastAsia="zh-CN"/>
        </w:rPr>
        <w:t xml:space="preserve"> </w:t>
      </w:r>
      <w:r>
        <w:rPr>
          <w:rFonts w:hint="eastAsia" w:ascii="宋体" w:hAnsi="宋体" w:cs="宋体"/>
          <w:color w:val="auto"/>
          <w:sz w:val="24"/>
          <w:highlight w:val="none"/>
          <w:lang w:eastAsia="zh-CN"/>
        </w:rPr>
        <w:t>效</w:t>
      </w:r>
      <w:r>
        <w:rPr>
          <w:rFonts w:hint="eastAsia" w:ascii="宋体" w:hAnsi="宋体" w:cs="宋体"/>
          <w:color w:val="auto"/>
          <w:sz w:val="24"/>
          <w:highlight w:val="none"/>
        </w:rPr>
        <w:t>处理，供应商不得再对响应性文件进行任何修正从而使其响应性文件成为实质上响应的文件；</w:t>
      </w:r>
    </w:p>
    <w:p w14:paraId="3FF03D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19.6竞争性磋商小组审定响应性文件的响应性只根据响应性文件本身的内容而不寻求外部证据。</w:t>
      </w:r>
    </w:p>
    <w:p w14:paraId="0D5168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19.7凡有下列情况之一的，其响应性文件也被视为未实质性响应竞争性磋商文件，按照无效处理（不再参加竞争性磋商）：</w:t>
      </w:r>
    </w:p>
    <w:p w14:paraId="6F0AD4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w:t>
      </w:r>
      <w:r>
        <w:rPr>
          <w:rFonts w:hint="eastAsia" w:ascii="宋体" w:hAnsi="宋体" w:cs="宋体"/>
          <w:color w:val="auto"/>
          <w:sz w:val="24"/>
          <w:highlight w:val="none"/>
          <w:lang w:val="en-US" w:eastAsia="zh-CN"/>
        </w:rPr>
        <w:t>响应文件</w:t>
      </w:r>
      <w:r>
        <w:rPr>
          <w:rFonts w:hint="eastAsia" w:ascii="宋体" w:hAnsi="宋体" w:cs="宋体"/>
          <w:color w:val="auto"/>
          <w:sz w:val="24"/>
          <w:highlight w:val="none"/>
        </w:rPr>
        <w:t>未</w:t>
      </w:r>
      <w:r>
        <w:rPr>
          <w:rFonts w:hint="eastAsia" w:ascii="宋体" w:hAnsi="宋体" w:cs="宋体"/>
          <w:color w:val="auto"/>
          <w:sz w:val="24"/>
          <w:highlight w:val="none"/>
          <w:lang w:val="en-US" w:eastAsia="zh-CN"/>
        </w:rPr>
        <w:t>逐页签字盖章并加盖骑缝章</w:t>
      </w:r>
      <w:r>
        <w:rPr>
          <w:rFonts w:hint="eastAsia" w:ascii="宋体" w:hAnsi="宋体" w:cs="宋体"/>
          <w:color w:val="auto"/>
          <w:sz w:val="24"/>
          <w:highlight w:val="none"/>
          <w:lang w:val="zh-CN"/>
        </w:rPr>
        <w:t>；</w:t>
      </w:r>
    </w:p>
    <w:p w14:paraId="65B03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19.7.2资格证明文件不全的，或不符合竞争性磋商文件中规定的资格要求的；</w:t>
      </w:r>
    </w:p>
    <w:p w14:paraId="4F9720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19.7.3供应商代表未出具</w:t>
      </w:r>
      <w:r>
        <w:rPr>
          <w:rFonts w:hint="eastAsia" w:ascii="宋体" w:hAnsi="宋体" w:cs="宋体"/>
          <w:color w:val="auto"/>
          <w:sz w:val="24"/>
          <w:highlight w:val="none"/>
          <w:lang w:val="en-US" w:eastAsia="zh-CN"/>
        </w:rPr>
        <w:t>经其证件上签字确认的</w:t>
      </w:r>
      <w:r>
        <w:rPr>
          <w:rFonts w:hint="eastAsia" w:ascii="宋体" w:hAnsi="宋体" w:cs="宋体"/>
          <w:color w:val="auto"/>
          <w:sz w:val="24"/>
          <w:highlight w:val="none"/>
        </w:rPr>
        <w:t>有效身份证明，或与身份不符的；</w:t>
      </w:r>
    </w:p>
    <w:p w14:paraId="11C536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19.7.4响应性文件内容不齐全或内容虚假的；</w:t>
      </w:r>
    </w:p>
    <w:p w14:paraId="633F9EE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19.7.5响应性文件的内容修改处未按规定签名或盖章的；</w:t>
      </w:r>
    </w:p>
    <w:p w14:paraId="311232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19.7.6响应性文件的实质性内容未使用中文表述；</w:t>
      </w:r>
    </w:p>
    <w:p w14:paraId="72A4D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19.7.7</w:t>
      </w:r>
      <w:r>
        <w:rPr>
          <w:rFonts w:hint="eastAsia" w:ascii="宋体" w:hAnsi="宋体" w:eastAsia="宋体" w:cs="宋体"/>
          <w:color w:val="auto"/>
          <w:spacing w:val="0"/>
          <w:position w:val="0"/>
          <w:sz w:val="24"/>
          <w:highlight w:val="none"/>
          <w:shd w:val="clear" w:fill="auto"/>
          <w:lang w:eastAsia="zh-CN"/>
        </w:rPr>
        <w:t>供应商提供的营业执照未经法定代表人签字确认或</w:t>
      </w:r>
      <w:r>
        <w:rPr>
          <w:rFonts w:hint="eastAsia" w:ascii="宋体" w:hAnsi="宋体" w:cs="宋体"/>
          <w:color w:val="auto"/>
          <w:sz w:val="24"/>
          <w:highlight w:val="none"/>
        </w:rPr>
        <w:t>不符合竞争性磋商文件规定的实质性要求的；</w:t>
      </w:r>
    </w:p>
    <w:p w14:paraId="089798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19.7.8违反法律、行政法规、竞争性磋商文件规定的其他情形的。</w:t>
      </w:r>
    </w:p>
    <w:p w14:paraId="63CB998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不同供应商的电子投标（响应）文件上传计算机的网卡 MAC 地址、CPU 序列号和硬盘序列号等硬件信息相同的;</w:t>
      </w:r>
    </w:p>
    <w:p w14:paraId="3D37CA38">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不同供应商的投标（响应）文件由同一电子设备编制，打印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复印、</w:t>
      </w:r>
      <w:r>
        <w:rPr>
          <w:rFonts w:hint="eastAsia" w:ascii="宋体" w:hAnsi="宋体" w:eastAsia="宋体" w:cs="宋体"/>
          <w:color w:val="auto"/>
          <w:sz w:val="24"/>
          <w:highlight w:val="none"/>
        </w:rPr>
        <w:t>加密或者上传</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06AE48E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不同供应商的投标（响应）文件由同一人送达或者分发，或者不同供应商联系人为同一人或不同联系人的联系电话一致的；</w:t>
      </w:r>
    </w:p>
    <w:p w14:paraId="3E48903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不同供应商的投标（响应）文件的内容存在两处以上细节错误一致；</w:t>
      </w:r>
    </w:p>
    <w:p w14:paraId="1467A64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不同供应商的法定代表人、委托代理人、项目经理、项目负责人等由同一个单位缴纳社会保险或者领取报酬的；</w:t>
      </w:r>
    </w:p>
    <w:p w14:paraId="616DB705">
      <w:pPr>
        <w:spacing w:line="360" w:lineRule="auto"/>
        <w:ind w:firstLine="480" w:firstLineChars="200"/>
        <w:rPr>
          <w:color w:val="auto"/>
          <w:highlight w:val="none"/>
        </w:rPr>
      </w:pPr>
      <w:r>
        <w:rPr>
          <w:rFonts w:hint="eastAsia" w:ascii="宋体" w:hAnsi="宋体" w:cs="宋体"/>
          <w:color w:val="auto"/>
          <w:sz w:val="24"/>
          <w:highlight w:val="none"/>
        </w:rPr>
        <w:t>19.7.</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不同供应商投标（响应）文件中法定代表人或者负责人签字出自同一人之手</w:t>
      </w:r>
      <w:r>
        <w:rPr>
          <w:rFonts w:hint="eastAsia" w:ascii="宋体" w:hAnsi="宋体" w:eastAsia="宋体" w:cs="宋体"/>
          <w:color w:val="auto"/>
          <w:sz w:val="24"/>
          <w:highlight w:val="none"/>
          <w:lang w:eastAsia="zh-CN"/>
        </w:rPr>
        <w:t>。</w:t>
      </w:r>
    </w:p>
    <w:p w14:paraId="0484A7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19.8在评审过程中，竞争性磋商小组发现供应商有下列情形之一的，视为供应商相互串通，按照无效处理并依据法律、法规追究其相关责任。具体表现形式如下：</w:t>
      </w:r>
    </w:p>
    <w:p w14:paraId="5CE28C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19.8.1不同供应商的响应性文件互相混装的；</w:t>
      </w:r>
    </w:p>
    <w:p w14:paraId="32376C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19.8.2不同供应商授权同一人作为供应商委托代理人的；</w:t>
      </w:r>
    </w:p>
    <w:p w14:paraId="6BCEA4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19.8.3不同供应商的响应性文件载明的项目管理成员为同一人的；</w:t>
      </w:r>
    </w:p>
    <w:p w14:paraId="499986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19.8.4有证据证明供应商与采购人、采购代理机构或者其他供应商串通的其他情形；</w:t>
      </w:r>
    </w:p>
    <w:p w14:paraId="73D2D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19.8.5竞争性磋商小组认定的其他串通情形。</w:t>
      </w:r>
    </w:p>
    <w:tbl>
      <w:tblPr>
        <w:tblStyle w:val="28"/>
        <w:tblW w:w="0" w:type="auto"/>
        <w:jc w:val="center"/>
        <w:tblLayout w:type="autofit"/>
        <w:tblCellMar>
          <w:top w:w="0" w:type="dxa"/>
          <w:left w:w="10" w:type="dxa"/>
          <w:bottom w:w="0" w:type="dxa"/>
          <w:right w:w="10" w:type="dxa"/>
        </w:tblCellMar>
      </w:tblPr>
      <w:tblGrid>
        <w:gridCol w:w="703"/>
        <w:gridCol w:w="2640"/>
        <w:gridCol w:w="1913"/>
        <w:gridCol w:w="819"/>
        <w:gridCol w:w="2339"/>
      </w:tblGrid>
      <w:tr w14:paraId="7BCD96E0">
        <w:tblPrEx>
          <w:tblCellMar>
            <w:top w:w="0" w:type="dxa"/>
            <w:left w:w="10" w:type="dxa"/>
            <w:bottom w:w="0" w:type="dxa"/>
            <w:right w:w="10" w:type="dxa"/>
          </w:tblCellMar>
        </w:tblPrEx>
        <w:trPr>
          <w:cantSplit/>
          <w:trHeight w:val="567" w:hRule="atLeast"/>
          <w:jc w:val="center"/>
        </w:trPr>
        <w:tc>
          <w:tcPr>
            <w:tcW w:w="841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F260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项目符合性审查表</w:t>
            </w:r>
          </w:p>
        </w:tc>
      </w:tr>
      <w:tr w14:paraId="0AE25B68">
        <w:tblPrEx>
          <w:tblCellMar>
            <w:top w:w="0" w:type="dxa"/>
            <w:left w:w="10" w:type="dxa"/>
            <w:bottom w:w="0" w:type="dxa"/>
            <w:right w:w="10" w:type="dxa"/>
          </w:tblCellMar>
        </w:tblPrEx>
        <w:trPr>
          <w:trHeight w:val="9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29331">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79621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指标名称</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2E0DB7">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指标要求</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F3DEB8">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w:t>
            </w:r>
          </w:p>
          <w:p w14:paraId="378E86C7">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w:t>
            </w: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EE2DB">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投标文件格式及</w:t>
            </w:r>
          </w:p>
          <w:p w14:paraId="3A3900BC">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提交资料要求</w:t>
            </w:r>
          </w:p>
        </w:tc>
      </w:tr>
      <w:tr w14:paraId="06B749D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88AF09">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27F690">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ABB84">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8C417">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EFFAA8">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4B8CD4D8">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708D20">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3DC021">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法定代表人及身份证</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36D2D">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CB40D">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8C5EA3">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4B481BBF">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71571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0208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纳税凭证和社保证明</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97B9C">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557E9">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DC771">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11609B52">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FC77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BAADB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财务审计报告</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26141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84234B">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56739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4264196A">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163064">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A11BE3">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“信用中国”“中国政府采购网”查询</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DB784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6FB1D">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C5BB8B">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4B577AC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A4587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25BB1">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文件签字盖章格式</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13B192">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34BB2">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E60F05">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40501D93">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CEACC">
            <w:pPr>
              <w:bidi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AFE515">
            <w:pPr>
              <w:bidi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响应文件格式</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4BEE77">
            <w:pPr>
              <w:bidi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29A619">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1D4149">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1BA4A72C">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250ABD">
            <w:pPr>
              <w:bidi w:val="0"/>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lang w:val="en-US" w:eastAsia="zh-CN"/>
              </w:rPr>
              <w:t>8</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17AFB8">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合格供应商的声明函和承诺书</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6B854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D9809">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1DFC3C">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7A1FCDC0">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0CCA7">
            <w:pPr>
              <w:bidi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9</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ACD32D">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期</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2F97A">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1BDE1D">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5E39A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6E114BF6">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19CA9">
            <w:pPr>
              <w:bidi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10</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7A0825">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C47416">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094F8">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5A5BB9">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2C2F4BD1">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98E9FC">
            <w:pPr>
              <w:bidi w:val="0"/>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1</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FE5E9">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技术要求</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12016F">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7A549">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16957E">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017C60B7">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A4D31C">
            <w:pPr>
              <w:bidi w:val="0"/>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2</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F58E8F">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其他实质性要求</w:t>
            </w:r>
          </w:p>
        </w:tc>
        <w:tc>
          <w:tcPr>
            <w:tcW w:w="19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170ED3">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见磋商文件</w:t>
            </w:r>
          </w:p>
        </w:tc>
        <w:tc>
          <w:tcPr>
            <w:tcW w:w="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69458">
            <w:pPr>
              <w:bidi w:val="0"/>
              <w:spacing w:line="240" w:lineRule="auto"/>
              <w:jc w:val="center"/>
              <w:rPr>
                <w:rFonts w:hint="eastAsia" w:asciiTheme="minorEastAsia" w:hAnsiTheme="minorEastAsia" w:eastAsiaTheme="minorEastAsia" w:cstheme="minorEastAsia"/>
                <w:color w:val="auto"/>
                <w:sz w:val="24"/>
                <w:szCs w:val="24"/>
                <w:highlight w:val="none"/>
              </w:rPr>
            </w:pPr>
          </w:p>
        </w:tc>
        <w:tc>
          <w:tcPr>
            <w:tcW w:w="23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95247">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见</w:t>
            </w:r>
            <w:r>
              <w:rPr>
                <w:rFonts w:hint="eastAsia" w:asciiTheme="minorEastAsia" w:hAnsiTheme="minorEastAsia" w:cstheme="minorEastAsia"/>
                <w:color w:val="auto"/>
                <w:sz w:val="24"/>
                <w:szCs w:val="24"/>
                <w:highlight w:val="none"/>
                <w:lang w:val="en-US" w:eastAsia="zh-CN"/>
              </w:rPr>
              <w:t>磋商响应</w:t>
            </w:r>
            <w:r>
              <w:rPr>
                <w:rFonts w:hint="eastAsia" w:asciiTheme="minorEastAsia" w:hAnsiTheme="minorEastAsia" w:eastAsiaTheme="minorEastAsia" w:cstheme="minorEastAsia"/>
                <w:color w:val="auto"/>
                <w:sz w:val="24"/>
                <w:szCs w:val="24"/>
                <w:highlight w:val="none"/>
              </w:rPr>
              <w:t>文件</w:t>
            </w:r>
          </w:p>
        </w:tc>
      </w:tr>
      <w:tr w14:paraId="3B224FB1">
        <w:tblPrEx>
          <w:tblCellMar>
            <w:top w:w="0" w:type="dxa"/>
            <w:left w:w="10" w:type="dxa"/>
            <w:bottom w:w="0" w:type="dxa"/>
            <w:right w:w="10" w:type="dxa"/>
          </w:tblCellMar>
        </w:tblPrEx>
        <w:trPr>
          <w:trHeight w:val="567"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A9728F">
            <w:pPr>
              <w:bidi w:val="0"/>
              <w:spacing w:line="240" w:lineRule="auto"/>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cstheme="minorEastAsia"/>
                <w:color w:val="auto"/>
                <w:sz w:val="24"/>
                <w:szCs w:val="24"/>
                <w:highlight w:val="none"/>
                <w:lang w:val="en-US" w:eastAsia="zh-CN"/>
              </w:rPr>
              <w:t>3</w:t>
            </w:r>
          </w:p>
        </w:tc>
        <w:tc>
          <w:tcPr>
            <w:tcW w:w="26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1791DB">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507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08DE69">
            <w:pPr>
              <w:bidi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是否通过审查</w:t>
            </w:r>
          </w:p>
        </w:tc>
      </w:tr>
    </w:tbl>
    <w:p w14:paraId="5CCA542F">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20.响应性文件的澄清</w:t>
      </w:r>
    </w:p>
    <w:p w14:paraId="3FA004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14:paraId="6039A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7F2520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20.3供应商拒不进行澄清、说明、补正的，或者不能在竞争性磋商小组规定时间内作出书面澄清、说明、补正的，其响应性文件将被作为无效处理。</w:t>
      </w:r>
    </w:p>
    <w:p w14:paraId="35F7A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20.4供应商的书面澄清材料作为响应性文件的补充。 </w:t>
      </w:r>
    </w:p>
    <w:p w14:paraId="67218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20.5竞争性磋商小组不得接受供应商主动提出的澄清和解释。 </w:t>
      </w:r>
    </w:p>
    <w:p w14:paraId="57BC56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20.6并非每个供应商都将被询问、澄清。</w:t>
      </w:r>
    </w:p>
    <w:p w14:paraId="379F79A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21.竞争性磋商</w:t>
      </w:r>
    </w:p>
    <w:p w14:paraId="31F944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21.1资格性审查和符合性审查合格的供应商，将进入本次竞争性磋商程序。</w:t>
      </w:r>
    </w:p>
    <w:p w14:paraId="5C1E9D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21.2竞争性磋商将按照供应商的签到顺序进行。</w:t>
      </w:r>
    </w:p>
    <w:p w14:paraId="632173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21.3磋商内容包括：</w:t>
      </w:r>
    </w:p>
    <w:p w14:paraId="7EC689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21.3.1按照竞争性磋商文件中商务部分的内容，对照供应商提交的响应文件逐一进行比较各项指标和要求。</w:t>
      </w:r>
    </w:p>
    <w:p w14:paraId="7515B5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21.3.2按照竞争性磋商文件中技术部分的内容，对照供应商提交的响应文件逐一进行比较各项指标和要求。</w:t>
      </w:r>
    </w:p>
    <w:p w14:paraId="5D97DD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21.3.3按照竞争性磋商文件中合同条款部分的内容，对照供应商提交的响应文件逐一进行比较各项指标和要求。</w:t>
      </w:r>
    </w:p>
    <w:p w14:paraId="34C881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21.3.4在磋商中，磋商的任何一方不得透露与磋商有关的其他供应商的技术资料及其他信息。</w:t>
      </w:r>
    </w:p>
    <w:p w14:paraId="794E144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w:t>
      </w:r>
      <w:r>
        <w:rPr>
          <w:rFonts w:hint="eastAsia" w:ascii="宋体" w:hAnsi="宋体" w:cs="宋体"/>
          <w:color w:val="auto"/>
          <w:sz w:val="24"/>
          <w:highlight w:val="none"/>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1379EEB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21.4.1</w:t>
      </w:r>
      <w:r>
        <w:rPr>
          <w:rFonts w:hint="eastAsia" w:ascii="宋体" w:hAnsi="宋体" w:cs="宋体"/>
          <w:color w:val="auto"/>
          <w:sz w:val="24"/>
          <w:highlight w:val="none"/>
          <w:lang w:val="zh-CN"/>
        </w:rPr>
        <w:t>对竞争性磋商文件作出实质性变动是竞争性磋商文件的有效组成部分，竞争性磋商小组应当及时以书面形式同时通知所有参加竞争性磋商的供应商。</w:t>
      </w:r>
    </w:p>
    <w:p w14:paraId="27E8082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21.4.2供应商应当按照竞争性磋商文件的变动情况和竞争性磋商小组的要求重新提交响应性文件，并由其法定代表人或授权代表签字或者加盖公章。</w:t>
      </w:r>
    </w:p>
    <w:p w14:paraId="6589ECC1">
      <w:pPr>
        <w:spacing w:line="360" w:lineRule="auto"/>
        <w:ind w:firstLine="480" w:firstLineChars="200"/>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21.5报价</w:t>
      </w:r>
    </w:p>
    <w:p w14:paraId="41EDAA5F">
      <w:pPr>
        <w:spacing w:line="360" w:lineRule="auto"/>
        <w:ind w:firstLine="480" w:firstLineChars="200"/>
        <w:rPr>
          <w:rFonts w:hint="eastAsia" w:ascii="宋体" w:hAnsi="宋体" w:eastAsia="宋体" w:cs="宋体"/>
          <w:b w:val="0"/>
          <w:bCs w:val="0"/>
          <w:color w:val="auto"/>
          <w:sz w:val="24"/>
          <w:highlight w:val="none"/>
          <w:lang w:val="zh-CN"/>
        </w:rPr>
      </w:pPr>
      <w:r>
        <w:rPr>
          <w:rFonts w:hint="eastAsia" w:ascii="宋体" w:hAnsi="宋体" w:eastAsia="宋体" w:cs="宋体"/>
          <w:b w:val="0"/>
          <w:bCs w:val="0"/>
          <w:color w:val="auto"/>
          <w:sz w:val="24"/>
          <w:highlight w:val="none"/>
          <w:lang w:val="zh-CN"/>
        </w:rPr>
        <w:t>一次报价</w:t>
      </w:r>
      <w:r>
        <w:rPr>
          <w:rFonts w:hint="eastAsia" w:ascii="宋体" w:hAnsi="宋体" w:cs="宋体"/>
          <w:b w:val="0"/>
          <w:bCs w:val="0"/>
          <w:color w:val="auto"/>
          <w:sz w:val="24"/>
          <w:highlight w:val="none"/>
          <w:lang w:val="zh-CN"/>
        </w:rPr>
        <w:t>，</w:t>
      </w:r>
      <w:r>
        <w:rPr>
          <w:rFonts w:hint="eastAsia" w:ascii="宋体" w:hAnsi="宋体" w:eastAsia="宋体" w:cs="宋体"/>
          <w:b w:val="0"/>
          <w:bCs w:val="0"/>
          <w:color w:val="auto"/>
          <w:sz w:val="24"/>
          <w:highlight w:val="none"/>
          <w:lang w:val="zh-CN"/>
        </w:rPr>
        <w:t>依据</w:t>
      </w:r>
      <w:r>
        <w:rPr>
          <w:rFonts w:hint="eastAsia" w:ascii="宋体" w:hAnsi="宋体" w:eastAsia="宋体" w:cs="宋体"/>
          <w:b w:val="0"/>
          <w:bCs w:val="0"/>
          <w:color w:val="auto"/>
          <w:sz w:val="24"/>
          <w:highlight w:val="none"/>
          <w:lang w:val="en-US" w:eastAsia="zh-CN"/>
        </w:rPr>
        <w:t>是</w:t>
      </w:r>
      <w:r>
        <w:rPr>
          <w:rFonts w:hint="eastAsia" w:ascii="宋体" w:hAnsi="宋体" w:eastAsia="宋体" w:cs="宋体"/>
          <w:b w:val="0"/>
          <w:bCs w:val="0"/>
          <w:color w:val="auto"/>
          <w:sz w:val="24"/>
          <w:highlight w:val="none"/>
          <w:lang w:val="zh-CN"/>
        </w:rPr>
        <w:t>供应商的投标函和开标记</w:t>
      </w:r>
      <w:r>
        <w:rPr>
          <w:rFonts w:hint="eastAsia" w:ascii="宋体" w:hAnsi="宋体" w:cs="宋体"/>
          <w:b w:val="0"/>
          <w:bCs w:val="0"/>
          <w:color w:val="auto"/>
          <w:sz w:val="24"/>
          <w:highlight w:val="none"/>
          <w:lang w:val="en-US" w:eastAsia="zh-CN"/>
        </w:rPr>
        <w:t>录</w:t>
      </w:r>
      <w:r>
        <w:rPr>
          <w:rFonts w:hint="eastAsia" w:ascii="宋体" w:hAnsi="宋体" w:eastAsia="宋体" w:cs="宋体"/>
          <w:b w:val="0"/>
          <w:bCs w:val="0"/>
          <w:color w:val="auto"/>
          <w:sz w:val="24"/>
          <w:highlight w:val="none"/>
          <w:lang w:val="zh-CN"/>
        </w:rPr>
        <w:t>。</w:t>
      </w:r>
    </w:p>
    <w:p w14:paraId="473DE7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六、评定标准</w:t>
      </w:r>
    </w:p>
    <w:p w14:paraId="6D199A5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22.竞争性磋商过程及保密原则</w:t>
      </w:r>
    </w:p>
    <w:p w14:paraId="4DE75D1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22.1磋商小组采用综合评分法对有效供应商的响应文件和报价进行评审。磋商委员会按照投标人综合得分由高到低推荐中标候选人，采购人将从评委会推荐的中标候选人中依次选取成交供应商。</w:t>
      </w:r>
    </w:p>
    <w:p w14:paraId="5B2A87DA">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采购代理机构在评标结束后</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个工作日内将评标报告送采购人。采购人自收到评标报告之日起</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个工作日内，在评标报告确定的中标候选人名单中确定中标人。</w:t>
      </w:r>
    </w:p>
    <w:p w14:paraId="1942E0FE">
      <w:pPr>
        <w:pStyle w:val="16"/>
        <w:spacing w:after="0" w:line="360" w:lineRule="auto"/>
        <w:ind w:left="0" w:leftChars="0" w:firstLine="480" w:firstLineChars="200"/>
        <w:rPr>
          <w:rFonts w:ascii="宋体" w:hAnsi="宋体" w:cs="宋体"/>
          <w:bCs/>
          <w:color w:val="auto"/>
          <w:sz w:val="24"/>
          <w:highlight w:val="none"/>
        </w:rPr>
      </w:pPr>
      <w:r>
        <w:rPr>
          <w:rFonts w:hint="eastAsia" w:ascii="宋体" w:hAnsi="宋体" w:cs="宋体"/>
          <w:bCs/>
          <w:color w:val="auto"/>
          <w:sz w:val="24"/>
          <w:highlight w:val="none"/>
        </w:rPr>
        <w:t>22.2对通过初步审查的响应文件，采用百分制综合评分法进行评价。</w:t>
      </w:r>
    </w:p>
    <w:p w14:paraId="42B932FD">
      <w:pPr>
        <w:spacing w:line="360" w:lineRule="auto"/>
        <w:ind w:right="-92" w:rightChars="-44"/>
        <w:rPr>
          <w:rFonts w:ascii="宋体" w:hAnsi="宋体" w:cs="宋体"/>
          <w:color w:val="auto"/>
          <w:sz w:val="24"/>
          <w:highlight w:val="none"/>
        </w:rPr>
      </w:pPr>
      <w:r>
        <w:rPr>
          <w:rFonts w:hint="eastAsia" w:ascii="宋体" w:hAnsi="宋体" w:cs="宋体"/>
          <w:color w:val="auto"/>
          <w:sz w:val="24"/>
          <w:highlight w:val="none"/>
        </w:rPr>
        <w:t>评标方法：</w:t>
      </w:r>
    </w:p>
    <w:tbl>
      <w:tblPr>
        <w:tblStyle w:val="28"/>
        <w:tblW w:w="10022" w:type="dxa"/>
        <w:jc w:val="center"/>
        <w:tblLayout w:type="fixed"/>
        <w:tblCellMar>
          <w:top w:w="0" w:type="dxa"/>
          <w:left w:w="108" w:type="dxa"/>
          <w:bottom w:w="0" w:type="dxa"/>
          <w:right w:w="108" w:type="dxa"/>
        </w:tblCellMar>
      </w:tblPr>
      <w:tblGrid>
        <w:gridCol w:w="1190"/>
        <w:gridCol w:w="1667"/>
        <w:gridCol w:w="4599"/>
        <w:gridCol w:w="2566"/>
      </w:tblGrid>
      <w:tr w14:paraId="556FD680">
        <w:tblPrEx>
          <w:tblCellMar>
            <w:top w:w="0" w:type="dxa"/>
            <w:left w:w="108" w:type="dxa"/>
            <w:bottom w:w="0" w:type="dxa"/>
            <w:right w:w="108" w:type="dxa"/>
          </w:tblCellMar>
        </w:tblPrEx>
        <w:trPr>
          <w:trHeight w:val="65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14:paraId="379FF067">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评分指标</w:t>
            </w:r>
          </w:p>
        </w:tc>
        <w:tc>
          <w:tcPr>
            <w:tcW w:w="1667" w:type="dxa"/>
            <w:tcBorders>
              <w:top w:val="single" w:color="auto" w:sz="4" w:space="0"/>
              <w:left w:val="single" w:color="auto" w:sz="4" w:space="0"/>
              <w:bottom w:val="single" w:color="auto" w:sz="4" w:space="0"/>
              <w:right w:val="single" w:color="auto" w:sz="4" w:space="0"/>
            </w:tcBorders>
            <w:vAlign w:val="center"/>
          </w:tcPr>
          <w:p w14:paraId="4D6FBA4E">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4599" w:type="dxa"/>
            <w:tcBorders>
              <w:top w:val="single" w:color="auto" w:sz="4" w:space="0"/>
              <w:left w:val="single" w:color="auto" w:sz="4" w:space="0"/>
              <w:bottom w:val="single" w:color="auto" w:sz="4" w:space="0"/>
              <w:right w:val="single" w:color="auto" w:sz="4" w:space="0"/>
            </w:tcBorders>
            <w:vAlign w:val="center"/>
          </w:tcPr>
          <w:p w14:paraId="7B670404">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指标说明及评分标准</w:t>
            </w:r>
          </w:p>
        </w:tc>
        <w:tc>
          <w:tcPr>
            <w:tcW w:w="2566" w:type="dxa"/>
            <w:tcBorders>
              <w:top w:val="single" w:color="auto" w:sz="4" w:space="0"/>
              <w:left w:val="single" w:color="auto" w:sz="4" w:space="0"/>
              <w:bottom w:val="single" w:color="auto" w:sz="4" w:space="0"/>
              <w:right w:val="single" w:color="auto" w:sz="4" w:space="0"/>
            </w:tcBorders>
            <w:vAlign w:val="center"/>
          </w:tcPr>
          <w:p w14:paraId="79356CF0">
            <w:pPr>
              <w:widowControl/>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评分依据</w:t>
            </w:r>
          </w:p>
        </w:tc>
      </w:tr>
      <w:tr w14:paraId="2891F0FF">
        <w:tblPrEx>
          <w:tblCellMar>
            <w:top w:w="0" w:type="dxa"/>
            <w:left w:w="108" w:type="dxa"/>
            <w:bottom w:w="0" w:type="dxa"/>
            <w:right w:w="108" w:type="dxa"/>
          </w:tblCellMar>
        </w:tblPrEx>
        <w:trPr>
          <w:trHeight w:val="700"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14:paraId="29904410">
            <w:pPr>
              <w:widowControl/>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报价得分（</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0分）</w:t>
            </w:r>
          </w:p>
        </w:tc>
        <w:tc>
          <w:tcPr>
            <w:tcW w:w="1667" w:type="dxa"/>
            <w:tcBorders>
              <w:top w:val="single" w:color="auto" w:sz="4" w:space="0"/>
              <w:left w:val="single" w:color="auto" w:sz="4" w:space="0"/>
              <w:bottom w:val="single" w:color="auto" w:sz="4" w:space="0"/>
              <w:right w:val="single" w:color="auto" w:sz="4" w:space="0"/>
            </w:tcBorders>
            <w:vAlign w:val="center"/>
          </w:tcPr>
          <w:p w14:paraId="1235E98B">
            <w:pPr>
              <w:widowControl/>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0分）</w:t>
            </w:r>
          </w:p>
        </w:tc>
        <w:tc>
          <w:tcPr>
            <w:tcW w:w="7165" w:type="dxa"/>
            <w:gridSpan w:val="2"/>
            <w:tcBorders>
              <w:top w:val="single" w:color="auto" w:sz="4" w:space="0"/>
              <w:left w:val="single" w:color="auto" w:sz="4" w:space="0"/>
              <w:bottom w:val="single" w:color="auto" w:sz="4" w:space="0"/>
              <w:right w:val="single" w:color="auto" w:sz="4" w:space="0"/>
            </w:tcBorders>
            <w:vAlign w:val="center"/>
          </w:tcPr>
          <w:p w14:paraId="3C2CA8A4">
            <w:pPr>
              <w:ind w:firstLine="480" w:firstLineChars="20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满足磋商文件要求且最后报价最低的供应商的价格为磋商基准价，其价格分为满分。其他供应商的价格分统一按照下列公式计算：</w:t>
            </w:r>
          </w:p>
          <w:p w14:paraId="6BF78FF8">
            <w:pPr>
              <w:ind w:firstLine="480" w:firstLineChars="20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磋商报价得分=（磋商基准价/最后磋商报价）×价格权值×100</w:t>
            </w:r>
          </w:p>
          <w:p w14:paraId="14C3A946">
            <w:pPr>
              <w:tabs>
                <w:tab w:val="left" w:pos="5130"/>
              </w:tabs>
              <w:adjustRightInd w:val="0"/>
              <w:snapToGrid w:val="0"/>
              <w:spacing w:line="360" w:lineRule="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备注：价格分计算保留小数点后二位。</w:t>
            </w:r>
          </w:p>
          <w:p w14:paraId="43A820B6">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根据财政部、工信部关于印发《政府采购促进中小企业发展管理办法》的通知（财库〔2020〕46号 ）文件规定：</w:t>
            </w:r>
          </w:p>
          <w:p w14:paraId="6C49F08F">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（1）对小微企业报价给予20%扣除，请按照《政府采购促进中小企业发展管理办法》要求提供中小企业声明函。</w:t>
            </w:r>
          </w:p>
          <w:p w14:paraId="04B1C70C">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（2）关于监狱企业：视同小微企业。须提供由省级以上监狱管理局、戒毒管理局（含新疆生产建设兵团）出具的属于监狱企业的证明文件，否则不考虑价格扣除。</w:t>
            </w:r>
          </w:p>
          <w:p w14:paraId="2D2A89CA">
            <w:pPr>
              <w:pStyle w:val="26"/>
              <w:ind w:right="-21" w:firstLine="0" w:firstLineChars="0"/>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sz w:val="24"/>
                <w:szCs w:val="20"/>
                <w:highlight w:val="none"/>
                <w:lang w:val="en-US" w:eastAsia="zh-CN" w:bidi="ar-SA"/>
              </w:rPr>
              <w:t>（3）关于残疾人福利性单位：视同小微企业。须提供完整的“残疾人福利性单位声明函”，否则在价格评审时不予考虑价格扣除。残疾人福利性单位属于小型、微型企业的，不重复享受政策。</w:t>
            </w:r>
          </w:p>
          <w:p w14:paraId="104CBFAC">
            <w:pPr>
              <w:widowControl/>
              <w:snapToGrid w:val="0"/>
              <w:spacing w:line="276" w:lineRule="auto"/>
              <w:jc w:val="left"/>
              <w:rPr>
                <w:rFonts w:hint="eastAsia" w:ascii="宋体" w:hAnsi="宋体" w:eastAsia="宋体" w:cs="宋体"/>
                <w:color w:val="auto"/>
                <w:sz w:val="24"/>
                <w:highlight w:val="none"/>
              </w:rPr>
            </w:pPr>
            <w:r>
              <w:rPr>
                <w:rFonts w:hint="eastAsia" w:ascii="宋体" w:hAnsi="宋体" w:eastAsia="宋体" w:cs="宋体"/>
                <w:bCs/>
                <w:color w:val="auto"/>
                <w:kern w:val="2"/>
                <w:sz w:val="24"/>
                <w:szCs w:val="20"/>
                <w:highlight w:val="none"/>
                <w:lang w:val="en-US" w:eastAsia="zh-CN" w:bidi="ar-SA"/>
              </w:rPr>
              <w:t>（4）没有提供有效证明材料的供应商将被视为不接受投标总价的扣除，用原投标总价参与评审。</w:t>
            </w:r>
          </w:p>
        </w:tc>
      </w:tr>
      <w:tr w14:paraId="1F16C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1190" w:type="dxa"/>
            <w:vMerge w:val="restart"/>
            <w:tcBorders>
              <w:left w:val="single" w:color="auto" w:sz="4" w:space="0"/>
            </w:tcBorders>
            <w:noWrap w:val="0"/>
            <w:vAlign w:val="center"/>
          </w:tcPr>
          <w:p w14:paraId="2804A4D5">
            <w:pPr>
              <w:widowControl/>
              <w:jc w:val="left"/>
              <w:textAlignment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技术</w:t>
            </w:r>
            <w:r>
              <w:rPr>
                <w:rFonts w:hint="eastAsia" w:ascii="宋体" w:hAnsi="宋体" w:eastAsia="宋体" w:cs="宋体"/>
                <w:bCs/>
                <w:color w:val="auto"/>
                <w:sz w:val="24"/>
                <w:szCs w:val="24"/>
                <w:highlight w:val="none"/>
                <w:lang w:val="en-US" w:eastAsia="zh-CN"/>
              </w:rPr>
              <w:t>部分</w:t>
            </w:r>
          </w:p>
          <w:p w14:paraId="2F916BFC">
            <w:pPr>
              <w:pStyle w:val="26"/>
              <w:ind w:right="-21"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pacing w:val="-6"/>
                <w:sz w:val="24"/>
                <w:szCs w:val="24"/>
                <w:highlight w:val="none"/>
              </w:rPr>
              <w:t>(共</w:t>
            </w:r>
            <w:r>
              <w:rPr>
                <w:rFonts w:hint="eastAsia" w:ascii="宋体" w:hAnsi="宋体" w:cs="宋体"/>
                <w:bCs/>
                <w:color w:val="auto"/>
                <w:spacing w:val="-6"/>
                <w:sz w:val="24"/>
                <w:szCs w:val="24"/>
                <w:highlight w:val="none"/>
                <w:lang w:val="en-US" w:eastAsia="zh-CN"/>
              </w:rPr>
              <w:t>55</w:t>
            </w:r>
            <w:r>
              <w:rPr>
                <w:rFonts w:hint="eastAsia" w:ascii="宋体" w:hAnsi="宋体" w:eastAsia="宋体" w:cs="宋体"/>
                <w:bCs/>
                <w:color w:val="auto"/>
                <w:spacing w:val="-6"/>
                <w:sz w:val="24"/>
                <w:szCs w:val="24"/>
                <w:highlight w:val="none"/>
              </w:rPr>
              <w:t>分)</w:t>
            </w:r>
          </w:p>
        </w:tc>
        <w:tc>
          <w:tcPr>
            <w:tcW w:w="1667" w:type="dxa"/>
            <w:noWrap w:val="0"/>
            <w:vAlign w:val="center"/>
          </w:tcPr>
          <w:p w14:paraId="42F9FCB0">
            <w:pPr>
              <w:spacing w:after="120"/>
              <w:ind w:right="-21" w:rightChars="0"/>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4"/>
                <w:highlight w:val="none"/>
              </w:rPr>
              <w:t>设计方案及</w:t>
            </w:r>
            <w:r>
              <w:rPr>
                <w:rFonts w:ascii="宋体" w:hAnsi="宋体" w:cs="宋体"/>
                <w:color w:val="auto"/>
                <w:sz w:val="24"/>
                <w:highlight w:val="none"/>
              </w:rPr>
              <w:t>总体</w:t>
            </w:r>
            <w:r>
              <w:rPr>
                <w:rFonts w:hint="eastAsia" w:ascii="宋体" w:hAnsi="宋体" w:cs="宋体"/>
                <w:color w:val="auto"/>
                <w:sz w:val="24"/>
                <w:highlight w:val="none"/>
              </w:rPr>
              <w:t>设计</w:t>
            </w:r>
            <w:r>
              <w:rPr>
                <w:rFonts w:ascii="宋体" w:hAnsi="宋体" w:cs="宋体"/>
                <w:color w:val="auto"/>
                <w:sz w:val="24"/>
                <w:highlight w:val="none"/>
              </w:rPr>
              <w:t>思路</w:t>
            </w:r>
            <w:r>
              <w:rPr>
                <w:rFonts w:hint="eastAsia" w:ascii="宋体" w:hAnsi="宋体" w:cs="宋体"/>
                <w:color w:val="auto"/>
                <w:sz w:val="24"/>
                <w:highlight w:val="none"/>
              </w:rPr>
              <w:t>（15分）</w:t>
            </w:r>
          </w:p>
        </w:tc>
        <w:tc>
          <w:tcPr>
            <w:tcW w:w="7165" w:type="dxa"/>
            <w:gridSpan w:val="2"/>
            <w:tcBorders>
              <w:left w:val="single" w:color="auto" w:sz="4" w:space="0"/>
            </w:tcBorders>
            <w:noWrap w:val="0"/>
            <w:vAlign w:val="center"/>
          </w:tcPr>
          <w:p w14:paraId="2264B0DF">
            <w:pPr>
              <w:spacing w:after="120"/>
              <w:ind w:right="-21" w:rightChars="0"/>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cs="宋体"/>
                <w:color w:val="auto"/>
                <w:sz w:val="24"/>
                <w:highlight w:val="none"/>
              </w:rPr>
              <w:t>供应商</w:t>
            </w:r>
            <w:r>
              <w:rPr>
                <w:rFonts w:ascii="宋体" w:hAnsi="宋体" w:cs="宋体"/>
                <w:color w:val="auto"/>
                <w:sz w:val="24"/>
                <w:highlight w:val="none"/>
              </w:rPr>
              <w:t>提供</w:t>
            </w:r>
            <w:r>
              <w:rPr>
                <w:rFonts w:hint="eastAsia" w:ascii="宋体" w:hAnsi="宋体" w:cs="宋体"/>
                <w:color w:val="auto"/>
                <w:sz w:val="24"/>
                <w:highlight w:val="none"/>
              </w:rPr>
              <w:t>设计方案及</w:t>
            </w:r>
            <w:r>
              <w:rPr>
                <w:rFonts w:ascii="宋体" w:hAnsi="宋体" w:cs="宋体"/>
                <w:color w:val="auto"/>
                <w:sz w:val="24"/>
                <w:highlight w:val="none"/>
              </w:rPr>
              <w:t>总体</w:t>
            </w:r>
            <w:r>
              <w:rPr>
                <w:rFonts w:hint="eastAsia" w:ascii="宋体" w:hAnsi="宋体" w:cs="宋体"/>
                <w:color w:val="auto"/>
                <w:sz w:val="24"/>
                <w:highlight w:val="none"/>
              </w:rPr>
              <w:t>设计</w:t>
            </w:r>
            <w:r>
              <w:rPr>
                <w:rFonts w:ascii="宋体" w:hAnsi="宋体" w:cs="宋体"/>
                <w:color w:val="auto"/>
                <w:sz w:val="24"/>
                <w:highlight w:val="none"/>
              </w:rPr>
              <w:t>思路</w:t>
            </w:r>
            <w:r>
              <w:rPr>
                <w:rFonts w:hint="eastAsia" w:ascii="宋体" w:hAnsi="宋体" w:cs="宋体"/>
                <w:color w:val="auto"/>
                <w:sz w:val="24"/>
                <w:highlight w:val="none"/>
              </w:rPr>
              <w:t>的得15分，不提供不</w:t>
            </w:r>
            <w:r>
              <w:rPr>
                <w:rFonts w:ascii="宋体" w:hAnsi="宋体" w:cs="宋体"/>
                <w:color w:val="auto"/>
                <w:sz w:val="24"/>
                <w:highlight w:val="none"/>
              </w:rPr>
              <w:t>得分</w:t>
            </w:r>
            <w:r>
              <w:rPr>
                <w:rFonts w:hint="eastAsia" w:ascii="宋体" w:hAnsi="宋体" w:cs="宋体"/>
                <w:color w:val="auto"/>
                <w:sz w:val="24"/>
                <w:highlight w:val="none"/>
              </w:rPr>
              <w:t>。</w:t>
            </w:r>
          </w:p>
        </w:tc>
      </w:tr>
      <w:tr w14:paraId="3D7FE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190" w:type="dxa"/>
            <w:vMerge w:val="continue"/>
            <w:tcBorders>
              <w:left w:val="single" w:color="auto" w:sz="4" w:space="0"/>
            </w:tcBorders>
            <w:noWrap w:val="0"/>
            <w:vAlign w:val="center"/>
          </w:tcPr>
          <w:p w14:paraId="1FD04693">
            <w:pPr>
              <w:autoSpaceDE w:val="0"/>
              <w:autoSpaceDN w:val="0"/>
              <w:spacing w:line="400" w:lineRule="exact"/>
              <w:rPr>
                <w:rFonts w:hint="eastAsia" w:ascii="宋体" w:hAnsi="宋体" w:eastAsia="宋体" w:cs="宋体"/>
                <w:color w:val="auto"/>
                <w:sz w:val="24"/>
                <w:szCs w:val="24"/>
                <w:highlight w:val="none"/>
              </w:rPr>
            </w:pPr>
          </w:p>
        </w:tc>
        <w:tc>
          <w:tcPr>
            <w:tcW w:w="1667" w:type="dxa"/>
            <w:noWrap w:val="0"/>
            <w:vAlign w:val="center"/>
          </w:tcPr>
          <w:p w14:paraId="08028318">
            <w:pPr>
              <w:spacing w:after="120"/>
              <w:ind w:right="-21" w:rightChars="0"/>
              <w:rPr>
                <w:rFonts w:hint="eastAsia" w:ascii="宋体" w:hAnsi="宋体" w:eastAsia="宋体" w:cs="宋体"/>
                <w:color w:val="auto"/>
                <w:sz w:val="21"/>
                <w:szCs w:val="21"/>
                <w:highlight w:val="none"/>
                <w:lang w:val="en-US" w:eastAsia="zh-CN"/>
              </w:rPr>
            </w:pPr>
            <w:r>
              <w:rPr>
                <w:rFonts w:hint="eastAsia" w:ascii="宋体" w:hAnsi="宋体" w:cs="宋体"/>
                <w:color w:val="auto"/>
                <w:sz w:val="24"/>
                <w:highlight w:val="none"/>
              </w:rPr>
              <w:t>项目设计的特点、关键技术问题的认识及其对应措施（10分）</w:t>
            </w:r>
          </w:p>
        </w:tc>
        <w:tc>
          <w:tcPr>
            <w:tcW w:w="7165" w:type="dxa"/>
            <w:gridSpan w:val="2"/>
            <w:tcBorders>
              <w:left w:val="single" w:color="auto" w:sz="4" w:space="0"/>
            </w:tcBorders>
            <w:noWrap w:val="0"/>
            <w:vAlign w:val="center"/>
          </w:tcPr>
          <w:p w14:paraId="5BD5B23D">
            <w:pPr>
              <w:spacing w:after="120"/>
              <w:ind w:right="-21" w:rightChars="0"/>
              <w:rPr>
                <w:rFonts w:hint="eastAsia" w:ascii="Times New Roman" w:hAnsi="Times New Roman" w:eastAsia="宋体" w:cs="Times New Roman"/>
                <w:bCs/>
                <w:color w:val="auto"/>
                <w:kern w:val="2"/>
                <w:sz w:val="21"/>
                <w:szCs w:val="21"/>
                <w:highlight w:val="none"/>
                <w:lang w:val="en-US" w:eastAsia="zh-CN" w:bidi="ar-SA"/>
              </w:rPr>
            </w:pPr>
            <w:r>
              <w:rPr>
                <w:rFonts w:hint="eastAsia" w:ascii="宋体" w:hAnsi="宋体" w:cs="宋体"/>
                <w:color w:val="auto"/>
                <w:sz w:val="24"/>
                <w:highlight w:val="none"/>
              </w:rPr>
              <w:t>供应商提供项目设计的特点、关键技术问题的认识及其对应措施的</w:t>
            </w:r>
            <w:r>
              <w:rPr>
                <w:rFonts w:ascii="宋体" w:hAnsi="宋体" w:cs="宋体"/>
                <w:color w:val="auto"/>
                <w:sz w:val="24"/>
                <w:highlight w:val="none"/>
              </w:rPr>
              <w:t>得</w:t>
            </w:r>
            <w:r>
              <w:rPr>
                <w:rFonts w:hint="eastAsia" w:ascii="宋体" w:hAnsi="宋体" w:cs="宋体"/>
                <w:color w:val="auto"/>
                <w:sz w:val="24"/>
                <w:highlight w:val="none"/>
              </w:rPr>
              <w:t>10分，不提供不</w:t>
            </w:r>
            <w:r>
              <w:rPr>
                <w:rFonts w:ascii="宋体" w:hAnsi="宋体" w:cs="宋体"/>
                <w:color w:val="auto"/>
                <w:sz w:val="24"/>
                <w:highlight w:val="none"/>
              </w:rPr>
              <w:t>得分</w:t>
            </w:r>
            <w:r>
              <w:rPr>
                <w:rFonts w:hint="eastAsia" w:ascii="宋体" w:hAnsi="宋体" w:cs="宋体"/>
                <w:color w:val="auto"/>
                <w:sz w:val="24"/>
                <w:highlight w:val="none"/>
              </w:rPr>
              <w:t>。</w:t>
            </w:r>
          </w:p>
        </w:tc>
      </w:tr>
      <w:tr w14:paraId="11DC1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1190" w:type="dxa"/>
            <w:vMerge w:val="continue"/>
            <w:tcBorders>
              <w:left w:val="single" w:color="auto" w:sz="4" w:space="0"/>
            </w:tcBorders>
            <w:noWrap w:val="0"/>
            <w:vAlign w:val="center"/>
          </w:tcPr>
          <w:p w14:paraId="36E70680">
            <w:pPr>
              <w:autoSpaceDE w:val="0"/>
              <w:autoSpaceDN w:val="0"/>
              <w:spacing w:line="400" w:lineRule="exact"/>
              <w:rPr>
                <w:rFonts w:hint="eastAsia" w:ascii="宋体" w:hAnsi="宋体" w:eastAsia="宋体" w:cs="宋体"/>
                <w:color w:val="auto"/>
                <w:sz w:val="24"/>
                <w:szCs w:val="24"/>
                <w:highlight w:val="none"/>
              </w:rPr>
            </w:pPr>
          </w:p>
        </w:tc>
        <w:tc>
          <w:tcPr>
            <w:tcW w:w="1667" w:type="dxa"/>
            <w:noWrap w:val="0"/>
            <w:vAlign w:val="center"/>
          </w:tcPr>
          <w:p w14:paraId="259F4F9D">
            <w:pPr>
              <w:spacing w:after="120"/>
              <w:ind w:right="-21" w:rightChars="0"/>
              <w:rPr>
                <w:rFonts w:hint="eastAsia" w:ascii="宋体" w:hAnsi="宋体" w:eastAsia="宋体" w:cs="宋体"/>
                <w:color w:val="auto"/>
                <w:sz w:val="21"/>
                <w:szCs w:val="21"/>
                <w:highlight w:val="none"/>
                <w:lang w:eastAsia="zh-CN"/>
              </w:rPr>
            </w:pPr>
            <w:r>
              <w:rPr>
                <w:rFonts w:hint="eastAsia" w:ascii="宋体" w:hAnsi="宋体" w:cs="宋体"/>
                <w:color w:val="auto"/>
                <w:sz w:val="24"/>
                <w:highlight w:val="none"/>
              </w:rPr>
              <w:t>设计工作量及计划安排（10分）</w:t>
            </w:r>
          </w:p>
        </w:tc>
        <w:tc>
          <w:tcPr>
            <w:tcW w:w="7165" w:type="dxa"/>
            <w:gridSpan w:val="2"/>
            <w:tcBorders>
              <w:left w:val="single" w:color="auto" w:sz="4" w:space="0"/>
            </w:tcBorders>
            <w:noWrap w:val="0"/>
            <w:vAlign w:val="center"/>
          </w:tcPr>
          <w:p w14:paraId="15CA074C">
            <w:pPr>
              <w:spacing w:after="120"/>
              <w:ind w:right="-21" w:rightChars="0"/>
              <w:rPr>
                <w:rFonts w:hint="eastAsia" w:ascii="Times New Roman" w:hAnsi="Times New Roman" w:eastAsia="宋体" w:cs="Times New Roman"/>
                <w:bCs/>
                <w:color w:val="auto"/>
                <w:kern w:val="2"/>
                <w:sz w:val="21"/>
                <w:szCs w:val="21"/>
                <w:highlight w:val="none"/>
                <w:lang w:val="en-US" w:eastAsia="zh-CN" w:bidi="ar-SA"/>
              </w:rPr>
            </w:pPr>
            <w:r>
              <w:rPr>
                <w:rFonts w:hint="eastAsia" w:ascii="宋体" w:hAnsi="宋体" w:cs="宋体"/>
                <w:color w:val="auto"/>
                <w:sz w:val="24"/>
                <w:highlight w:val="none"/>
              </w:rPr>
              <w:t>供应商提供设计工作量及计划安排的得10分，不提供不</w:t>
            </w:r>
            <w:r>
              <w:rPr>
                <w:rFonts w:ascii="宋体" w:hAnsi="宋体" w:cs="宋体"/>
                <w:color w:val="auto"/>
                <w:sz w:val="24"/>
                <w:highlight w:val="none"/>
              </w:rPr>
              <w:t>得分</w:t>
            </w:r>
            <w:r>
              <w:rPr>
                <w:rFonts w:hint="eastAsia" w:ascii="宋体" w:hAnsi="宋体" w:cs="宋体"/>
                <w:color w:val="auto"/>
                <w:sz w:val="24"/>
                <w:highlight w:val="none"/>
              </w:rPr>
              <w:t>。</w:t>
            </w:r>
          </w:p>
        </w:tc>
      </w:tr>
      <w:tr w14:paraId="1E278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1190" w:type="dxa"/>
            <w:vMerge w:val="continue"/>
            <w:tcBorders>
              <w:left w:val="single" w:color="auto" w:sz="4" w:space="0"/>
            </w:tcBorders>
            <w:noWrap w:val="0"/>
            <w:vAlign w:val="center"/>
          </w:tcPr>
          <w:p w14:paraId="3411F4B0">
            <w:pPr>
              <w:adjustRightInd w:val="0"/>
              <w:snapToGrid w:val="0"/>
              <w:spacing w:line="360" w:lineRule="auto"/>
              <w:ind w:right="-10"/>
              <w:rPr>
                <w:rFonts w:hint="eastAsia" w:ascii="宋体" w:hAnsi="宋体" w:eastAsia="宋体" w:cs="宋体"/>
                <w:color w:val="auto"/>
                <w:sz w:val="24"/>
                <w:szCs w:val="24"/>
                <w:highlight w:val="none"/>
              </w:rPr>
            </w:pPr>
          </w:p>
        </w:tc>
        <w:tc>
          <w:tcPr>
            <w:tcW w:w="1667" w:type="dxa"/>
            <w:noWrap w:val="0"/>
            <w:vAlign w:val="center"/>
          </w:tcPr>
          <w:p w14:paraId="7E0C805A">
            <w:pPr>
              <w:spacing w:after="120"/>
              <w:ind w:right="-21" w:rightChars="0"/>
              <w:rPr>
                <w:rFonts w:hint="eastAsia" w:ascii="宋体" w:hAnsi="宋体" w:eastAsia="宋体" w:cs="宋体"/>
                <w:color w:val="auto"/>
                <w:sz w:val="21"/>
                <w:szCs w:val="21"/>
                <w:highlight w:val="none"/>
                <w:lang w:val="en-US" w:eastAsia="zh-CN"/>
              </w:rPr>
            </w:pPr>
            <w:r>
              <w:rPr>
                <w:rFonts w:hint="eastAsia" w:ascii="宋体" w:hAnsi="宋体" w:cs="宋体"/>
                <w:color w:val="auto"/>
                <w:sz w:val="24"/>
                <w:highlight w:val="none"/>
              </w:rPr>
              <w:t>设计的质量保证措施、进度保证措施（10分）</w:t>
            </w:r>
          </w:p>
        </w:tc>
        <w:tc>
          <w:tcPr>
            <w:tcW w:w="7165" w:type="dxa"/>
            <w:gridSpan w:val="2"/>
            <w:tcBorders>
              <w:left w:val="single" w:color="auto" w:sz="4" w:space="0"/>
            </w:tcBorders>
            <w:noWrap w:val="0"/>
            <w:vAlign w:val="center"/>
          </w:tcPr>
          <w:p w14:paraId="150B019F">
            <w:pPr>
              <w:spacing w:after="120"/>
              <w:ind w:right="-21" w:rightChars="0"/>
              <w:rPr>
                <w:rFonts w:hint="eastAsia"/>
                <w:color w:val="auto"/>
                <w:sz w:val="21"/>
                <w:szCs w:val="21"/>
                <w:highlight w:val="none"/>
                <w:lang w:val="en-US" w:eastAsia="zh-CN"/>
              </w:rPr>
            </w:pPr>
            <w:r>
              <w:rPr>
                <w:rFonts w:hint="eastAsia" w:ascii="宋体" w:hAnsi="宋体" w:cs="宋体"/>
                <w:color w:val="auto"/>
                <w:sz w:val="24"/>
                <w:highlight w:val="none"/>
              </w:rPr>
              <w:t>供应商提供设计的质量保证措施、进度保证措施的得10分，不提供不得分。</w:t>
            </w:r>
          </w:p>
        </w:tc>
      </w:tr>
      <w:tr w14:paraId="799E7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190" w:type="dxa"/>
            <w:vMerge w:val="continue"/>
            <w:tcBorders>
              <w:left w:val="single" w:color="auto" w:sz="4" w:space="0"/>
            </w:tcBorders>
            <w:noWrap w:val="0"/>
            <w:vAlign w:val="center"/>
          </w:tcPr>
          <w:p w14:paraId="6F901C4C">
            <w:pPr>
              <w:adjustRightInd w:val="0"/>
              <w:snapToGrid w:val="0"/>
              <w:spacing w:line="360" w:lineRule="auto"/>
              <w:ind w:right="-10"/>
              <w:rPr>
                <w:rFonts w:hint="eastAsia" w:ascii="宋体" w:hAnsi="宋体" w:eastAsia="宋体" w:cs="宋体"/>
                <w:color w:val="auto"/>
                <w:sz w:val="24"/>
                <w:szCs w:val="24"/>
                <w:highlight w:val="none"/>
              </w:rPr>
            </w:pPr>
          </w:p>
        </w:tc>
        <w:tc>
          <w:tcPr>
            <w:tcW w:w="1667" w:type="dxa"/>
            <w:noWrap w:val="0"/>
            <w:vAlign w:val="center"/>
          </w:tcPr>
          <w:p w14:paraId="11C7C40B">
            <w:pPr>
              <w:spacing w:after="120"/>
              <w:ind w:right="-21" w:rightChars="0"/>
              <w:rPr>
                <w:rFonts w:hint="eastAsia" w:ascii="宋体" w:hAnsi="宋体" w:eastAsia="宋体" w:cs="宋体"/>
                <w:color w:val="auto"/>
                <w:sz w:val="21"/>
                <w:szCs w:val="21"/>
                <w:highlight w:val="none"/>
                <w:lang w:val="en-US" w:eastAsia="zh-CN"/>
              </w:rPr>
            </w:pPr>
            <w:r>
              <w:rPr>
                <w:rFonts w:hint="eastAsia" w:ascii="宋体" w:hAnsi="宋体" w:cs="宋体"/>
                <w:color w:val="auto"/>
                <w:sz w:val="24"/>
                <w:highlight w:val="none"/>
              </w:rPr>
              <w:t>后续服务的安排及保证措施（10分）</w:t>
            </w:r>
          </w:p>
        </w:tc>
        <w:tc>
          <w:tcPr>
            <w:tcW w:w="7165" w:type="dxa"/>
            <w:gridSpan w:val="2"/>
            <w:tcBorders>
              <w:left w:val="single" w:color="auto" w:sz="4" w:space="0"/>
            </w:tcBorders>
            <w:noWrap w:val="0"/>
            <w:vAlign w:val="center"/>
          </w:tcPr>
          <w:p w14:paraId="0D3302FB">
            <w:pPr>
              <w:spacing w:after="120"/>
              <w:ind w:right="-21" w:rightChars="0"/>
              <w:rPr>
                <w:rFonts w:hint="eastAsia"/>
                <w:color w:val="auto"/>
                <w:sz w:val="21"/>
                <w:szCs w:val="21"/>
                <w:highlight w:val="none"/>
                <w:lang w:val="en-US" w:eastAsia="zh-CN"/>
              </w:rPr>
            </w:pPr>
            <w:r>
              <w:rPr>
                <w:rFonts w:hint="eastAsia" w:ascii="宋体" w:hAnsi="宋体" w:cs="宋体"/>
                <w:color w:val="auto"/>
                <w:sz w:val="24"/>
                <w:highlight w:val="none"/>
              </w:rPr>
              <w:t>供应商</w:t>
            </w:r>
            <w:r>
              <w:rPr>
                <w:rFonts w:ascii="宋体" w:hAnsi="宋体" w:cs="宋体"/>
                <w:color w:val="auto"/>
                <w:sz w:val="24"/>
                <w:highlight w:val="none"/>
              </w:rPr>
              <w:t>提供</w:t>
            </w:r>
            <w:r>
              <w:rPr>
                <w:rFonts w:hint="eastAsia" w:ascii="宋体" w:hAnsi="宋体" w:cs="宋体"/>
                <w:color w:val="auto"/>
                <w:sz w:val="24"/>
                <w:highlight w:val="none"/>
              </w:rPr>
              <w:t>后续服务的安排及保证措施的</w:t>
            </w:r>
            <w:r>
              <w:rPr>
                <w:rFonts w:ascii="宋体" w:hAnsi="宋体" w:cs="宋体"/>
                <w:color w:val="auto"/>
                <w:sz w:val="24"/>
                <w:highlight w:val="none"/>
              </w:rPr>
              <w:t>得</w:t>
            </w:r>
            <w:r>
              <w:rPr>
                <w:rFonts w:hint="eastAsia" w:ascii="宋体" w:hAnsi="宋体" w:cs="宋体"/>
                <w:color w:val="auto"/>
                <w:sz w:val="24"/>
                <w:highlight w:val="none"/>
              </w:rPr>
              <w:t>10分，不提供不得分。</w:t>
            </w:r>
          </w:p>
        </w:tc>
      </w:tr>
      <w:tr w14:paraId="543C9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0" w:hRule="atLeast"/>
          <w:jc w:val="center"/>
        </w:trPr>
        <w:tc>
          <w:tcPr>
            <w:tcW w:w="1190" w:type="dxa"/>
            <w:vMerge w:val="restart"/>
            <w:tcBorders>
              <w:left w:val="single" w:color="auto" w:sz="4" w:space="0"/>
            </w:tcBorders>
            <w:noWrap w:val="0"/>
            <w:vAlign w:val="center"/>
          </w:tcPr>
          <w:p w14:paraId="68C563FD">
            <w:pPr>
              <w:tabs>
                <w:tab w:val="left" w:pos="5130"/>
              </w:tabs>
              <w:adjustRightInd w:val="0"/>
              <w:snapToGrid w:val="0"/>
              <w:spacing w:line="360" w:lineRule="auto"/>
              <w:rPr>
                <w:rFonts w:hint="eastAsia" w:ascii="宋体" w:hAnsi="宋体" w:eastAsia="宋体" w:cs="宋体"/>
                <w:color w:val="auto"/>
                <w:sz w:val="24"/>
                <w:szCs w:val="24"/>
                <w:highlight w:val="none"/>
              </w:rPr>
            </w:pPr>
          </w:p>
          <w:p w14:paraId="2AFEF7E5">
            <w:pPr>
              <w:tabs>
                <w:tab w:val="left" w:pos="5130"/>
              </w:tabs>
              <w:adjustRightInd w:val="0"/>
              <w:snapToGrid w:val="0"/>
              <w:spacing w:line="360" w:lineRule="auto"/>
              <w:rPr>
                <w:rFonts w:hint="eastAsia" w:ascii="宋体" w:hAnsi="宋体" w:eastAsia="宋体" w:cs="宋体"/>
                <w:color w:val="auto"/>
                <w:sz w:val="24"/>
                <w:szCs w:val="24"/>
                <w:highlight w:val="none"/>
              </w:rPr>
            </w:pPr>
          </w:p>
          <w:p w14:paraId="546518BC">
            <w:pPr>
              <w:tabs>
                <w:tab w:val="left" w:pos="5130"/>
              </w:tabs>
              <w:adjustRightInd w:val="0"/>
              <w:snapToGrid w:val="0"/>
              <w:spacing w:line="360" w:lineRule="auto"/>
              <w:rPr>
                <w:rFonts w:hint="eastAsia" w:ascii="宋体" w:hAnsi="宋体" w:eastAsia="宋体" w:cs="宋体"/>
                <w:color w:val="auto"/>
                <w:sz w:val="24"/>
                <w:szCs w:val="24"/>
                <w:highlight w:val="none"/>
              </w:rPr>
            </w:pPr>
          </w:p>
          <w:p w14:paraId="2B0C3349">
            <w:pPr>
              <w:tabs>
                <w:tab w:val="left" w:pos="5130"/>
              </w:tabs>
              <w:adjustRightInd w:val="0"/>
              <w:snapToGrid w:val="0"/>
              <w:spacing w:line="360" w:lineRule="auto"/>
              <w:rPr>
                <w:rFonts w:hint="eastAsia" w:ascii="宋体" w:hAnsi="宋体" w:eastAsia="宋体" w:cs="宋体"/>
                <w:color w:val="auto"/>
                <w:sz w:val="24"/>
                <w:szCs w:val="24"/>
                <w:highlight w:val="none"/>
              </w:rPr>
            </w:pPr>
          </w:p>
          <w:p w14:paraId="0E6C7FEF">
            <w:pPr>
              <w:tabs>
                <w:tab w:val="left" w:pos="513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1306597A">
            <w:pPr>
              <w:autoSpaceDE w:val="0"/>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667" w:type="dxa"/>
            <w:noWrap w:val="0"/>
            <w:vAlign w:val="center"/>
          </w:tcPr>
          <w:p w14:paraId="43D9CC7E">
            <w:pPr>
              <w:spacing w:after="120"/>
              <w:ind w:right="-21"/>
              <w:rPr>
                <w:rFonts w:hint="eastAsia" w:ascii="宋体" w:hAnsi="宋体" w:cs="宋体"/>
                <w:color w:val="auto"/>
                <w:sz w:val="24"/>
                <w:highlight w:val="none"/>
              </w:rPr>
            </w:pPr>
            <w:r>
              <w:rPr>
                <w:rFonts w:hint="eastAsia" w:ascii="宋体" w:hAnsi="宋体" w:cs="宋体"/>
                <w:color w:val="auto"/>
                <w:sz w:val="24"/>
                <w:highlight w:val="none"/>
              </w:rPr>
              <w:t>企业业绩</w:t>
            </w:r>
          </w:p>
          <w:p w14:paraId="6CC4D257">
            <w:pPr>
              <w:spacing w:after="120"/>
              <w:ind w:right="-21" w:rightChars="0"/>
              <w:rPr>
                <w:rFonts w:hint="eastAsia" w:ascii="宋体" w:hAnsi="宋体" w:eastAsia="宋体" w:cs="宋体"/>
                <w:bCs/>
                <w:color w:val="auto"/>
                <w:sz w:val="24"/>
                <w:szCs w:val="24"/>
                <w:highlight w:val="none"/>
              </w:rPr>
            </w:pPr>
            <w:r>
              <w:rPr>
                <w:rFonts w:hint="eastAsia" w:ascii="宋体" w:hAnsi="宋体" w:cs="宋体"/>
                <w:color w:val="auto"/>
                <w:sz w:val="24"/>
                <w:highlight w:val="none"/>
              </w:rPr>
              <w:t>（6分）</w:t>
            </w:r>
          </w:p>
        </w:tc>
        <w:tc>
          <w:tcPr>
            <w:tcW w:w="7165" w:type="dxa"/>
            <w:gridSpan w:val="2"/>
            <w:tcBorders>
              <w:left w:val="single" w:color="auto" w:sz="4" w:space="0"/>
            </w:tcBorders>
            <w:noWrap w:val="0"/>
            <w:vAlign w:val="center"/>
          </w:tcPr>
          <w:p w14:paraId="6957310D">
            <w:pPr>
              <w:spacing w:after="120"/>
              <w:ind w:right="-21"/>
              <w:rPr>
                <w:rFonts w:hint="eastAsia" w:ascii="宋体" w:hAnsi="宋体" w:cs="宋体"/>
                <w:color w:val="auto"/>
                <w:sz w:val="24"/>
                <w:highlight w:val="none"/>
              </w:rPr>
            </w:pPr>
            <w:r>
              <w:rPr>
                <w:rFonts w:hint="eastAsia" w:ascii="宋体" w:hAnsi="宋体" w:cs="宋体"/>
                <w:color w:val="auto"/>
                <w:sz w:val="24"/>
                <w:highlight w:val="none"/>
              </w:rPr>
              <w:t>供应商自2022年1月1日以来（以合同签订日为准）承担过类似项目业绩的，每有一项得2分，最多得6分。</w:t>
            </w:r>
          </w:p>
          <w:p w14:paraId="081B5910">
            <w:pPr>
              <w:spacing w:after="120"/>
              <w:ind w:right="-21" w:righ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highlight w:val="none"/>
                <w:lang w:eastAsia="zh-CN"/>
              </w:rPr>
              <w:t>（</w:t>
            </w:r>
            <w:r>
              <w:rPr>
                <w:rFonts w:hint="eastAsia" w:ascii="宋体" w:hAnsi="宋体" w:cs="宋体"/>
                <w:color w:val="auto"/>
                <w:sz w:val="24"/>
                <w:highlight w:val="none"/>
              </w:rPr>
              <w:t>提供项目完整合同扫描件</w:t>
            </w:r>
            <w:r>
              <w:rPr>
                <w:rFonts w:hint="eastAsia" w:ascii="宋体" w:hAnsi="宋体" w:cs="宋体"/>
                <w:color w:val="auto"/>
                <w:sz w:val="24"/>
                <w:highlight w:val="none"/>
                <w:lang w:val="en-US" w:eastAsia="zh-CN"/>
              </w:rPr>
              <w:t>和中标通知书</w:t>
            </w:r>
            <w:r>
              <w:rPr>
                <w:rFonts w:hint="eastAsia" w:ascii="宋体" w:hAnsi="宋体" w:cs="宋体"/>
                <w:color w:val="auto"/>
                <w:sz w:val="24"/>
                <w:highlight w:val="none"/>
              </w:rPr>
              <w:t>，没有不得分）。</w:t>
            </w:r>
          </w:p>
        </w:tc>
      </w:tr>
      <w:tr w14:paraId="31B0D8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0" w:type="dxa"/>
            <w:vMerge w:val="continue"/>
            <w:tcBorders>
              <w:left w:val="single" w:color="auto" w:sz="4" w:space="0"/>
            </w:tcBorders>
            <w:noWrap w:val="0"/>
            <w:vAlign w:val="center"/>
          </w:tcPr>
          <w:p w14:paraId="7048E90A">
            <w:pPr>
              <w:autoSpaceDE w:val="0"/>
              <w:autoSpaceDN w:val="0"/>
              <w:spacing w:line="400" w:lineRule="exact"/>
              <w:rPr>
                <w:rFonts w:hint="eastAsia" w:ascii="宋体" w:hAnsi="宋体" w:eastAsia="宋体" w:cs="宋体"/>
                <w:color w:val="auto"/>
                <w:sz w:val="24"/>
                <w:szCs w:val="24"/>
                <w:highlight w:val="none"/>
              </w:rPr>
            </w:pPr>
          </w:p>
        </w:tc>
        <w:tc>
          <w:tcPr>
            <w:tcW w:w="1667" w:type="dxa"/>
            <w:noWrap w:val="0"/>
            <w:vAlign w:val="center"/>
          </w:tcPr>
          <w:p w14:paraId="73F91711">
            <w:pPr>
              <w:spacing w:after="120"/>
              <w:ind w:right="-21" w:rightChars="0"/>
              <w:rPr>
                <w:rFonts w:hint="default" w:ascii="宋体" w:hAnsi="宋体" w:eastAsia="宋体" w:cs="宋体"/>
                <w:bCs/>
                <w:color w:val="auto"/>
                <w:sz w:val="24"/>
                <w:szCs w:val="24"/>
                <w:highlight w:val="none"/>
                <w:lang w:val="en-US" w:eastAsia="zh-CN"/>
              </w:rPr>
            </w:pPr>
            <w:r>
              <w:rPr>
                <w:rFonts w:hint="eastAsia" w:ascii="宋体" w:hAnsi="宋体" w:cs="宋体"/>
                <w:color w:val="auto"/>
                <w:sz w:val="24"/>
                <w:highlight w:val="none"/>
              </w:rPr>
              <w:t>企业实力（</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tc>
        <w:tc>
          <w:tcPr>
            <w:tcW w:w="7165" w:type="dxa"/>
            <w:gridSpan w:val="2"/>
            <w:tcBorders>
              <w:left w:val="single" w:color="auto" w:sz="4" w:space="0"/>
            </w:tcBorders>
            <w:noWrap w:val="0"/>
            <w:vAlign w:val="top"/>
          </w:tcPr>
          <w:p w14:paraId="7D5907B8">
            <w:pPr>
              <w:pStyle w:val="95"/>
              <w:spacing w:after="120" w:line="269" w:lineRule="auto"/>
              <w:ind w:right="-21" w:firstLine="0" w:firstLineChars="0"/>
              <w:rPr>
                <w:rFonts w:hint="eastAsia" w:ascii="宋体" w:hAnsi="宋体"/>
                <w:color w:val="auto"/>
                <w:sz w:val="24"/>
                <w:highlight w:val="none"/>
              </w:rPr>
            </w:pPr>
            <w:r>
              <w:rPr>
                <w:rFonts w:hint="eastAsia" w:ascii="宋体" w:hAnsi="宋体"/>
                <w:color w:val="auto"/>
                <w:sz w:val="24"/>
                <w:highlight w:val="none"/>
              </w:rPr>
              <w:t>1、除项目负责人外：</w:t>
            </w:r>
          </w:p>
          <w:p w14:paraId="482A87CE">
            <w:pPr>
              <w:spacing w:after="120"/>
              <w:ind w:right="-21" w:righ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highlight w:val="none"/>
              </w:rPr>
              <w:t>其他项目组人员:建筑、结构、给排水(暖通)、电气、粮食工程等相关专业负责人，均应具备相应专业中级及以上技术职称或注册证书;各专业均具备的得10分;缺一专业人员扣2分，扣完为止。（以上人员不重复计分，</w:t>
            </w:r>
            <w:r>
              <w:rPr>
                <w:rFonts w:hint="eastAsia" w:ascii="宋体" w:hAnsi="宋体" w:cs="宋体"/>
                <w:color w:val="auto"/>
                <w:sz w:val="24"/>
                <w:highlight w:val="none"/>
                <w:lang w:eastAsia="zh-CN"/>
              </w:rPr>
              <w:t>专业以职称证或毕业证为准，</w:t>
            </w:r>
            <w:r>
              <w:rPr>
                <w:rFonts w:hint="eastAsia" w:ascii="宋体" w:hAnsi="宋体" w:cs="宋体"/>
                <w:color w:val="auto"/>
                <w:sz w:val="24"/>
                <w:highlight w:val="none"/>
              </w:rPr>
              <w:t>响应文件中须附职称证书、</w:t>
            </w:r>
            <w:r>
              <w:rPr>
                <w:rFonts w:hint="eastAsia" w:ascii="宋体" w:hAnsi="宋体" w:cs="宋体"/>
                <w:color w:val="auto"/>
                <w:sz w:val="24"/>
                <w:highlight w:val="none"/>
                <w:lang w:eastAsia="zh-CN"/>
              </w:rPr>
              <w:t>毕业证、</w:t>
            </w:r>
            <w:r>
              <w:rPr>
                <w:rFonts w:hint="eastAsia" w:ascii="宋体" w:hAnsi="宋体" w:cs="宋体"/>
                <w:color w:val="auto"/>
                <w:sz w:val="24"/>
                <w:highlight w:val="none"/>
              </w:rPr>
              <w:t>本单位近半年以来任意一个月为其缴纳社保证明材料，不足一个月的从入职当月起提供）。</w:t>
            </w:r>
          </w:p>
        </w:tc>
      </w:tr>
      <w:tr w14:paraId="11F13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190" w:type="dxa"/>
            <w:vMerge w:val="continue"/>
            <w:tcBorders>
              <w:left w:val="single" w:color="auto" w:sz="4" w:space="0"/>
              <w:bottom w:val="single" w:color="auto" w:sz="4" w:space="0"/>
            </w:tcBorders>
            <w:noWrap w:val="0"/>
            <w:vAlign w:val="center"/>
          </w:tcPr>
          <w:p w14:paraId="064C3EA6">
            <w:pPr>
              <w:autoSpaceDE w:val="0"/>
              <w:autoSpaceDN w:val="0"/>
              <w:spacing w:line="400" w:lineRule="exact"/>
              <w:rPr>
                <w:rFonts w:hint="eastAsia" w:ascii="宋体" w:hAnsi="宋体" w:eastAsia="宋体" w:cs="宋体"/>
                <w:color w:val="auto"/>
                <w:sz w:val="24"/>
                <w:szCs w:val="24"/>
                <w:highlight w:val="none"/>
              </w:rPr>
            </w:pPr>
          </w:p>
        </w:tc>
        <w:tc>
          <w:tcPr>
            <w:tcW w:w="1667" w:type="dxa"/>
            <w:tcBorders>
              <w:bottom w:val="single" w:color="auto" w:sz="4" w:space="0"/>
            </w:tcBorders>
            <w:shd w:val="clear" w:color="auto" w:fill="auto"/>
            <w:noWrap w:val="0"/>
            <w:vAlign w:val="center"/>
          </w:tcPr>
          <w:p w14:paraId="2BF5B8CB">
            <w:pPr>
              <w:spacing w:after="120"/>
              <w:ind w:right="-21" w:rightChars="0"/>
              <w:rPr>
                <w:rFonts w:hint="eastAsia" w:ascii="宋体" w:hAnsi="宋体" w:eastAsia="宋体" w:cs="宋体"/>
                <w:bCs/>
                <w:color w:val="auto"/>
                <w:kern w:val="2"/>
                <w:sz w:val="24"/>
                <w:szCs w:val="20"/>
                <w:highlight w:val="none"/>
                <w:lang w:val="en-US" w:eastAsia="zh-CN" w:bidi="ar-SA"/>
              </w:rPr>
            </w:pPr>
            <w:r>
              <w:rPr>
                <w:rFonts w:hint="eastAsia" w:ascii="宋体" w:hAnsi="宋体" w:cs="宋体"/>
                <w:color w:val="auto"/>
                <w:sz w:val="24"/>
                <w:highlight w:val="none"/>
              </w:rPr>
              <w:t>服务承诺（</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tc>
        <w:tc>
          <w:tcPr>
            <w:tcW w:w="7165" w:type="dxa"/>
            <w:gridSpan w:val="2"/>
            <w:tcBorders>
              <w:left w:val="single" w:color="auto" w:sz="4" w:space="0"/>
            </w:tcBorders>
            <w:shd w:val="clear" w:color="auto" w:fill="auto"/>
            <w:noWrap w:val="0"/>
            <w:vAlign w:val="center"/>
          </w:tcPr>
          <w:p w14:paraId="51D59692">
            <w:pPr>
              <w:widowControl/>
              <w:snapToGrid w:val="0"/>
              <w:spacing w:after="120" w:line="276" w:lineRule="auto"/>
              <w:jc w:val="left"/>
              <w:rPr>
                <w:rFonts w:hint="eastAsia" w:ascii="宋体" w:hAnsi="宋体" w:cs="宋体"/>
                <w:color w:val="auto"/>
                <w:sz w:val="24"/>
                <w:highlight w:val="none"/>
              </w:rPr>
            </w:pPr>
            <w:r>
              <w:rPr>
                <w:rFonts w:hint="eastAsia" w:ascii="宋体" w:hAnsi="宋体" w:cs="宋体"/>
                <w:color w:val="auto"/>
                <w:sz w:val="24"/>
                <w:highlight w:val="none"/>
              </w:rPr>
              <w:t>1. 供应商提供服从釆购人的工作安排，并积极配合工作，积极配合采购人完成相关成果文件的报审报批服务承诺的得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分，不提供不得分。</w:t>
            </w:r>
          </w:p>
          <w:p w14:paraId="109DE315">
            <w:pPr>
              <w:widowControl/>
              <w:snapToGrid w:val="0"/>
              <w:spacing w:line="276" w:lineRule="auto"/>
              <w:jc w:val="left"/>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 xml:space="preserve"> 供应商提供服务期内不更换团队人员承诺的得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分，不提供不得分。</w:t>
            </w:r>
          </w:p>
          <w:p w14:paraId="30157224">
            <w:pPr>
              <w:spacing w:after="120"/>
              <w:ind w:right="-21" w:rightChars="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 w:val="24"/>
                <w:highlight w:val="none"/>
              </w:rPr>
              <w:t>3.供应商提供对项目全部数据保密承诺的得3分，不提供不得分。</w:t>
            </w:r>
          </w:p>
        </w:tc>
      </w:tr>
    </w:tbl>
    <w:p w14:paraId="10E3CCA3">
      <w:pPr>
        <w:pStyle w:val="27"/>
        <w:ind w:firstLine="480"/>
        <w:rPr>
          <w:rFonts w:ascii="宋体" w:hAnsi="宋体" w:eastAsia="宋体" w:cs="宋体"/>
          <w:color w:val="auto"/>
          <w:sz w:val="24"/>
          <w:highlight w:val="none"/>
        </w:rPr>
      </w:pPr>
    </w:p>
    <w:p w14:paraId="470FA1B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最终得分为磋商小组所有成员计分的算术平均值，计算保留小数点两位，小数点后第三位四舍五入。</w:t>
      </w:r>
    </w:p>
    <w:p w14:paraId="32F70D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22.3磋商小组根据综合评分情况，按照评审得分由高到低顺序推荐成交候选供应商，并编写评审报告。综合得分相同的供应商，报价较低者优先；报价也相同的，由采购人自行确定。</w:t>
      </w:r>
    </w:p>
    <w:p w14:paraId="2B1584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EBA13C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22.5若供应商的报价高于项目预算，磋商小组有权根据采购人意见及其实际情况，拒绝该报价。</w:t>
      </w:r>
    </w:p>
    <w:p w14:paraId="5F8C86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D8D78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22.7在竞争性磋商期间，供应商不得向竞争性磋商小组成员询问其它供应商竞争性磋商情况，不得进行旨在影响成交结果的活动。</w:t>
      </w:r>
    </w:p>
    <w:p w14:paraId="7A023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22.8在竞争性磋商期间，采购人将有专门人员与供应商进行联络。</w:t>
      </w:r>
    </w:p>
    <w:p w14:paraId="14695E8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23.竞争性磋商终止</w:t>
      </w:r>
    </w:p>
    <w:p w14:paraId="6D981C82">
      <w:pPr>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23.1出现下列情形之一时，采购人有权宣布竞争性磋商终止，并将理由通知所有供应商：</w:t>
      </w:r>
    </w:p>
    <w:p w14:paraId="49FDF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（1）因情况变化，不再符合竞争性磋商适用情形的；</w:t>
      </w:r>
    </w:p>
    <w:p w14:paraId="4F762F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27C1B6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（3）在采购过程中符合磋商文件要求的供应商不足3家的；</w:t>
      </w:r>
    </w:p>
    <w:p w14:paraId="4E8686B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（4）在采购活动中因重大变故，采购任务取消的；</w:t>
      </w:r>
    </w:p>
    <w:p w14:paraId="47885B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七、成交通知</w:t>
      </w:r>
    </w:p>
    <w:p w14:paraId="7E23994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24.成交通知</w:t>
      </w:r>
    </w:p>
    <w:p w14:paraId="185B080D">
      <w:pPr>
        <w:pStyle w:val="4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24.1采购人应当自收到评审报告之日起5个工作日内在评审报告推荐的中标或者成交候选人中按顺序确定中标或者成交供应商。</w:t>
      </w:r>
    </w:p>
    <w:p w14:paraId="4E13E213">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w:t>
      </w:r>
      <w:r>
        <w:rPr>
          <w:rFonts w:hint="eastAsia" w:ascii="宋体" w:hAnsi="宋体" w:cs="宋体"/>
          <w:color w:val="auto"/>
          <w:sz w:val="24"/>
          <w:highlight w:val="none"/>
          <w:lang w:val="en-US" w:eastAsia="zh-CN"/>
        </w:rPr>
        <w:t>在发出成交公告后</w:t>
      </w:r>
      <w:r>
        <w:rPr>
          <w:rFonts w:hint="eastAsia" w:ascii="宋体" w:hAnsi="宋体" w:eastAsia="宋体" w:cs="宋体"/>
          <w:color w:val="auto"/>
          <w:sz w:val="24"/>
          <w:highlight w:val="none"/>
          <w:lang w:val="en-US" w:eastAsia="zh-CN"/>
        </w:rPr>
        <w:t>请采购人、中标人登录</w:t>
      </w:r>
      <w:r>
        <w:rPr>
          <w:rFonts w:hint="eastAsia" w:ascii="宋体" w:hAnsi="宋体" w:eastAsia="宋体" w:cs="宋体"/>
          <w:color w:val="auto"/>
          <w:sz w:val="24"/>
          <w:highlight w:val="none"/>
        </w:rPr>
        <w:t>周口市公共资源</w:t>
      </w:r>
      <w:r>
        <w:rPr>
          <w:rFonts w:hint="eastAsia" w:ascii="宋体" w:hAnsi="宋体" w:eastAsia="宋体" w:cs="宋体"/>
          <w:color w:val="auto"/>
          <w:sz w:val="24"/>
          <w:szCs w:val="24"/>
          <w:highlight w:val="none"/>
        </w:rPr>
        <w:t>交易</w:t>
      </w:r>
      <w:r>
        <w:rPr>
          <w:rFonts w:hint="eastAsia" w:ascii="宋体" w:hAnsi="宋体" w:eastAsia="宋体" w:cs="宋体"/>
          <w:color w:val="auto"/>
          <w:sz w:val="24"/>
          <w:highlight w:val="none"/>
          <w:lang w:eastAsia="zh-CN"/>
        </w:rPr>
        <w:t>中心网</w:t>
      </w:r>
      <w:r>
        <w:rPr>
          <w:rFonts w:hint="eastAsia" w:ascii="宋体" w:hAnsi="宋体" w:eastAsia="宋体" w:cs="宋体"/>
          <w:color w:val="auto"/>
          <w:sz w:val="24"/>
          <w:szCs w:val="24"/>
          <w:highlight w:val="none"/>
        </w:rPr>
        <w:t>（http://jyzx.zhoukou.gov.cn）</w:t>
      </w:r>
      <w:r>
        <w:rPr>
          <w:rFonts w:hint="eastAsia" w:ascii="宋体" w:hAnsi="宋体" w:eastAsia="宋体" w:cs="宋体"/>
          <w:color w:val="auto"/>
          <w:sz w:val="24"/>
          <w:szCs w:val="24"/>
          <w:highlight w:val="none"/>
          <w:lang w:val="en-US" w:eastAsia="zh-CN"/>
        </w:rPr>
        <w:t>自行下载</w:t>
      </w:r>
      <w:r>
        <w:rPr>
          <w:rFonts w:hint="eastAsia" w:cs="宋体"/>
          <w:color w:val="auto"/>
          <w:sz w:val="24"/>
          <w:highlight w:val="none"/>
          <w:lang w:val="en-US" w:eastAsia="zh-CN"/>
        </w:rPr>
        <w:t>成交</w:t>
      </w:r>
      <w:r>
        <w:rPr>
          <w:rFonts w:hint="eastAsia" w:ascii="宋体" w:hAnsi="宋体" w:eastAsia="宋体" w:cs="宋体"/>
          <w:color w:val="auto"/>
          <w:sz w:val="24"/>
          <w:highlight w:val="none"/>
        </w:rPr>
        <w:t>通知书。</w:t>
      </w:r>
    </w:p>
    <w:p w14:paraId="07794EA5">
      <w:pPr>
        <w:tabs>
          <w:tab w:val="left" w:pos="180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24.3成交通知书对采购人和成交供应商具有同等法律效力。成交通知书发出后，采购人改变成交结果，或者成交供应商放弃成交，应当承担相应的法律责任。</w:t>
      </w:r>
    </w:p>
    <w:p w14:paraId="19358A85">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八、合同授予</w:t>
      </w:r>
    </w:p>
    <w:p w14:paraId="6DC57824">
      <w:pPr>
        <w:tabs>
          <w:tab w:val="left" w:pos="162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25.签订合同及合同的执行</w:t>
      </w:r>
    </w:p>
    <w:p w14:paraId="413F62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25.1采购人、成交供应商按照竞争性磋商文件确定的合同文本签订政府采购合同。</w:t>
      </w:r>
    </w:p>
    <w:p w14:paraId="26343D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25.2采购人不得向成交供应商提出超过竞争性磋商文件以外的任何要求作为签订合同的条件，不得与成交供应商订立背离竞争性磋商文件确定的合同文本协议。</w:t>
      </w:r>
    </w:p>
    <w:p w14:paraId="0EF79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2368B6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九、质疑处理</w:t>
      </w:r>
    </w:p>
    <w:p w14:paraId="4D4B350E">
      <w:pPr>
        <w:bidi w:val="0"/>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26.质疑程序及处理</w:t>
      </w:r>
    </w:p>
    <w:p w14:paraId="5FB0B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w:t>
      </w:r>
      <w:r>
        <w:rPr>
          <w:rFonts w:hint="eastAsia" w:ascii="宋体" w:hAnsi="宋体" w:cs="宋体"/>
          <w:bCs/>
          <w:color w:val="auto"/>
          <w:sz w:val="24"/>
          <w:highlight w:val="none"/>
          <w:lang w:val="en-US" w:eastAsia="zh-CN"/>
        </w:rPr>
        <w:t>投标人认为采购过程、成交结果使自己的合法权益受到损害的，可以在知道或应当知道自己的权益受到损害之日起7个工作日内，由投标人授权代表（或法人代表）按照相关规定，向采购人提出质疑，逾期不予受理。如果对竞争性磋商文件没有异议，需在响应性文件中出具对竞争性磋商文件无异议承诺书，无此承诺将被视为无效。</w:t>
      </w:r>
    </w:p>
    <w:p w14:paraId="4A4E6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26.2采购人在收到供应商的书面质疑后七个工作日内做出答复，并以书面形式通知质疑供应商和其他供应商，但答复内容不得涉及商业秘密。</w:t>
      </w:r>
    </w:p>
    <w:p w14:paraId="79E9235F">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26.3</w:t>
      </w:r>
      <w:r>
        <w:rPr>
          <w:rFonts w:hint="eastAsia" w:ascii="宋体" w:hAnsi="宋体" w:cs="宋体"/>
          <w:bCs/>
          <w:color w:val="auto"/>
          <w:sz w:val="24"/>
          <w:highlight w:val="none"/>
        </w:rPr>
        <w:t>质疑供应商行使质疑权时，必须遵守“实事求是”和“谨慎性”原则，承担使用虚假材料或恶意方式质疑的法律责任，</w:t>
      </w:r>
      <w:r>
        <w:rPr>
          <w:rFonts w:hint="eastAsia" w:ascii="宋体" w:hAnsi="宋体" w:cs="宋体"/>
          <w:color w:val="auto"/>
          <w:sz w:val="24"/>
          <w:highlight w:val="none"/>
        </w:rPr>
        <w:t>采购人</w:t>
      </w:r>
      <w:r>
        <w:rPr>
          <w:rFonts w:hint="eastAsia" w:ascii="宋体" w:hAnsi="宋体" w:cs="宋体"/>
          <w:bCs/>
          <w:color w:val="auto"/>
          <w:sz w:val="24"/>
          <w:highlight w:val="none"/>
        </w:rPr>
        <w:t>将遵循“谁过错谁负担”的原则，由过错方提交相关的调查论证费用。</w:t>
      </w:r>
    </w:p>
    <w:p w14:paraId="60518E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3CF2004B">
      <w:pPr>
        <w:spacing w:line="360" w:lineRule="auto"/>
        <w:rPr>
          <w:rFonts w:ascii="宋体" w:hAnsi="宋体" w:cs="宋体"/>
          <w:color w:val="auto"/>
          <w:sz w:val="24"/>
          <w:highlight w:val="none"/>
        </w:rPr>
        <w:sectPr>
          <w:headerReference r:id="rId3" w:type="default"/>
          <w:footerReference r:id="rId4" w:type="default"/>
          <w:pgSz w:w="11907" w:h="16840"/>
          <w:pgMar w:top="2098" w:right="1474" w:bottom="1985" w:left="1588" w:header="851" w:footer="992" w:gutter="0"/>
          <w:cols w:space="720" w:num="1"/>
          <w:docGrid w:type="lines" w:linePitch="312" w:charSpace="0"/>
        </w:sectPr>
      </w:pPr>
    </w:p>
    <w:p w14:paraId="6769A1AE">
      <w:pPr>
        <w:pStyle w:val="2"/>
        <w:keepNext/>
        <w:keepLines/>
        <w:pageBreakBefore w:val="0"/>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rPr>
        <w:t>第三章</w:t>
      </w:r>
      <w:r>
        <w:rPr>
          <w:rFonts w:hint="eastAsia"/>
          <w:color w:val="auto"/>
          <w:highlight w:val="none"/>
          <w:lang w:val="en-US" w:eastAsia="zh-CN"/>
        </w:rPr>
        <w:t xml:space="preserve">  </w:t>
      </w:r>
      <w:r>
        <w:rPr>
          <w:rFonts w:hint="eastAsia"/>
          <w:color w:val="auto"/>
          <w:highlight w:val="none"/>
        </w:rPr>
        <w:t>采购项目内容及要求</w:t>
      </w:r>
    </w:p>
    <w:p w14:paraId="64C3D5C0">
      <w:pPr>
        <w:ind w:firstLine="480" w:firstLineChars="200"/>
        <w:rPr>
          <w:rStyle w:val="75"/>
          <w:rFonts w:hint="eastAsia" w:ascii="宋体" w:hAnsi="宋体" w:eastAsia="宋体" w:cs="宋体"/>
          <w:color w:val="auto"/>
          <w:sz w:val="24"/>
          <w:szCs w:val="24"/>
          <w:highlight w:val="none"/>
          <w:lang w:val="zh-CN"/>
        </w:rPr>
      </w:pPr>
      <w:r>
        <w:rPr>
          <w:rStyle w:val="75"/>
          <w:rFonts w:hint="eastAsia" w:ascii="宋体" w:hAnsi="宋体" w:eastAsia="宋体" w:cs="宋体"/>
          <w:color w:val="auto"/>
          <w:sz w:val="24"/>
          <w:szCs w:val="24"/>
          <w:highlight w:val="none"/>
          <w:lang w:val="en-US" w:eastAsia="zh-CN"/>
        </w:rPr>
        <w:t>一、</w:t>
      </w:r>
      <w:r>
        <w:rPr>
          <w:rStyle w:val="75"/>
          <w:rFonts w:hint="eastAsia" w:ascii="宋体" w:hAnsi="宋体" w:eastAsia="宋体" w:cs="宋体"/>
          <w:color w:val="auto"/>
          <w:sz w:val="24"/>
          <w:szCs w:val="24"/>
          <w:highlight w:val="none"/>
          <w:lang w:val="zh-CN"/>
        </w:rPr>
        <w:t>本项目采购内容：</w:t>
      </w:r>
    </w:p>
    <w:p w14:paraId="15CA2673">
      <w:pPr>
        <w:ind w:firstLine="480" w:firstLineChars="200"/>
        <w:rPr>
          <w:rStyle w:val="75"/>
          <w:rFonts w:hint="eastAsia" w:ascii="宋体" w:hAnsi="宋体" w:eastAsia="宋体" w:cs="宋体"/>
          <w:color w:val="auto"/>
          <w:kern w:val="2"/>
          <w:sz w:val="24"/>
          <w:szCs w:val="24"/>
          <w:highlight w:val="none"/>
          <w:lang w:val="zh-CN" w:eastAsia="zh-CN" w:bidi="ar-SA"/>
        </w:rPr>
      </w:pPr>
      <w:r>
        <w:rPr>
          <w:rStyle w:val="75"/>
          <w:rFonts w:hint="eastAsia" w:ascii="宋体" w:hAnsi="宋体" w:cs="宋体"/>
          <w:color w:val="auto"/>
          <w:kern w:val="2"/>
          <w:sz w:val="24"/>
          <w:szCs w:val="24"/>
          <w:highlight w:val="none"/>
          <w:lang w:val="en-US" w:eastAsia="zh-CN" w:bidi="ar-SA"/>
        </w:rPr>
        <w:t>7个库区</w:t>
      </w:r>
      <w:r>
        <w:rPr>
          <w:rStyle w:val="75"/>
          <w:rFonts w:hint="eastAsia" w:ascii="宋体" w:hAnsi="宋体" w:eastAsia="宋体" w:cs="宋体"/>
          <w:color w:val="auto"/>
          <w:kern w:val="2"/>
          <w:sz w:val="24"/>
          <w:szCs w:val="24"/>
          <w:highlight w:val="none"/>
          <w:lang w:val="zh-CN" w:eastAsia="zh-CN" w:bidi="ar-SA"/>
        </w:rPr>
        <w:t>新增总仓容9.92万吨</w:t>
      </w:r>
      <w:r>
        <w:rPr>
          <w:rStyle w:val="75"/>
          <w:rFonts w:hint="eastAsia" w:ascii="宋体" w:hAnsi="宋体" w:cs="宋体"/>
          <w:color w:val="auto"/>
          <w:kern w:val="2"/>
          <w:sz w:val="24"/>
          <w:szCs w:val="24"/>
          <w:highlight w:val="none"/>
          <w:lang w:val="zh-CN" w:eastAsia="zh-CN" w:bidi="ar-SA"/>
        </w:rPr>
        <w:t>修建性详细规划、初步设计及施工图设</w:t>
      </w:r>
      <w:r>
        <w:rPr>
          <w:rStyle w:val="75"/>
          <w:rFonts w:hint="eastAsia" w:ascii="宋体" w:hAnsi="宋体" w:cs="宋体"/>
          <w:color w:val="auto"/>
          <w:kern w:val="2"/>
          <w:sz w:val="24"/>
          <w:szCs w:val="24"/>
          <w:highlight w:val="none"/>
          <w:lang w:val="en-US" w:eastAsia="zh-CN" w:bidi="ar-SA"/>
        </w:rPr>
        <w:t>计</w:t>
      </w:r>
      <w:r>
        <w:rPr>
          <w:rStyle w:val="75"/>
          <w:rFonts w:hint="eastAsia" w:ascii="宋体" w:hAnsi="宋体" w:eastAsia="宋体" w:cs="宋体"/>
          <w:color w:val="auto"/>
          <w:kern w:val="2"/>
          <w:sz w:val="24"/>
          <w:szCs w:val="24"/>
          <w:highlight w:val="none"/>
          <w:lang w:val="zh-CN" w:eastAsia="zh-CN" w:bidi="ar-SA"/>
        </w:rPr>
        <w:t>其中：石槽粮油公司1.27万吨、巴集粮油公司0.64万吨、张完粮油公司0.75万吨、汲水粮油公司1.3万吨、胡集粮油公司1.71万吨、白马粮油公司1.5万吨、李楼粮油公司2.75万吨。</w:t>
      </w:r>
    </w:p>
    <w:p w14:paraId="1BF24E0F">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textAlignment w:val="auto"/>
        <w:rPr>
          <w:rStyle w:val="75"/>
          <w:rFonts w:hint="eastAsia" w:ascii="宋体" w:hAnsi="宋体" w:eastAsia="宋体" w:cs="宋体"/>
          <w:color w:val="auto"/>
          <w:sz w:val="24"/>
          <w:szCs w:val="24"/>
          <w:highlight w:val="none"/>
          <w:lang w:val="zh-CN"/>
        </w:rPr>
      </w:pPr>
      <w:r>
        <w:rPr>
          <w:rStyle w:val="75"/>
          <w:rFonts w:hint="eastAsia" w:ascii="宋体" w:hAnsi="宋体" w:eastAsia="宋体" w:cs="宋体"/>
          <w:color w:val="auto"/>
          <w:sz w:val="24"/>
          <w:szCs w:val="24"/>
          <w:highlight w:val="none"/>
          <w:lang w:val="zh-CN"/>
        </w:rPr>
        <w:t>服务内容及要求：</w:t>
      </w:r>
    </w:p>
    <w:p w14:paraId="4B2CBDB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Style w:val="75"/>
          <w:rFonts w:hint="eastAsia" w:ascii="宋体" w:hAnsi="宋体" w:cs="宋体"/>
          <w:color w:val="auto"/>
          <w:sz w:val="24"/>
          <w:szCs w:val="24"/>
          <w:highlight w:val="none"/>
          <w:lang w:val="zh-CN"/>
        </w:rPr>
      </w:pPr>
      <w:r>
        <w:rPr>
          <w:rStyle w:val="75"/>
          <w:rFonts w:hint="eastAsia" w:ascii="宋体" w:hAnsi="宋体" w:cs="宋体"/>
          <w:color w:val="auto"/>
          <w:sz w:val="24"/>
          <w:szCs w:val="24"/>
          <w:highlight w:val="none"/>
          <w:lang w:val="en-US" w:eastAsia="zh-CN"/>
        </w:rPr>
        <w:t>2</w:t>
      </w:r>
      <w:r>
        <w:rPr>
          <w:rStyle w:val="75"/>
          <w:rFonts w:hint="eastAsia" w:ascii="宋体" w:hAnsi="宋体" w:cs="宋体"/>
          <w:color w:val="auto"/>
          <w:sz w:val="24"/>
          <w:szCs w:val="24"/>
          <w:highlight w:val="none"/>
          <w:lang w:val="zh-CN"/>
        </w:rPr>
        <w:t>.1</w:t>
      </w:r>
      <w:r>
        <w:rPr>
          <w:rStyle w:val="75"/>
          <w:rFonts w:hint="eastAsia" w:ascii="宋体" w:hAnsi="宋体" w:cs="宋体"/>
          <w:color w:val="auto"/>
          <w:sz w:val="24"/>
          <w:szCs w:val="24"/>
          <w:highlight w:val="none"/>
        </w:rPr>
        <w:t>质量要求：</w:t>
      </w:r>
      <w:r>
        <w:rPr>
          <w:rStyle w:val="75"/>
          <w:rFonts w:hint="eastAsia" w:ascii="宋体" w:hAnsi="宋体" w:cs="宋体"/>
          <w:color w:val="auto"/>
          <w:sz w:val="24"/>
          <w:highlight w:val="none"/>
          <w:lang w:val="zh-CN"/>
        </w:rPr>
        <w:t>合格，应满足国家相关现行设计规范标准</w:t>
      </w:r>
      <w:r>
        <w:rPr>
          <w:rStyle w:val="75"/>
          <w:rFonts w:hint="eastAsia" w:ascii="宋体" w:hAnsi="宋体" w:cs="宋体"/>
          <w:color w:val="auto"/>
          <w:sz w:val="24"/>
          <w:szCs w:val="24"/>
          <w:highlight w:val="none"/>
        </w:rPr>
        <w:t>。</w:t>
      </w:r>
    </w:p>
    <w:p w14:paraId="50C6C08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75"/>
          <w:rFonts w:hint="eastAsia" w:ascii="宋体" w:hAnsi="宋体" w:cs="宋体"/>
          <w:color w:val="auto"/>
          <w:sz w:val="24"/>
          <w:szCs w:val="24"/>
          <w:highlight w:val="none"/>
          <w:lang w:val="zh-CN"/>
        </w:rPr>
      </w:pPr>
      <w:r>
        <w:rPr>
          <w:rStyle w:val="75"/>
          <w:rFonts w:hint="eastAsia" w:ascii="宋体" w:hAnsi="宋体" w:cs="宋体"/>
          <w:color w:val="auto"/>
          <w:sz w:val="24"/>
          <w:szCs w:val="24"/>
          <w:highlight w:val="none"/>
          <w:lang w:val="en-US" w:eastAsia="zh-CN"/>
        </w:rPr>
        <w:t>2</w:t>
      </w:r>
      <w:r>
        <w:rPr>
          <w:rStyle w:val="75"/>
          <w:rFonts w:hint="eastAsia" w:ascii="宋体" w:hAnsi="宋体" w:cs="宋体"/>
          <w:color w:val="auto"/>
          <w:sz w:val="24"/>
          <w:szCs w:val="24"/>
          <w:highlight w:val="none"/>
        </w:rPr>
        <w:t>.2服务</w:t>
      </w:r>
      <w:r>
        <w:rPr>
          <w:rStyle w:val="75"/>
          <w:rFonts w:hint="eastAsia" w:ascii="宋体" w:hAnsi="宋体" w:cs="宋体"/>
          <w:color w:val="auto"/>
          <w:sz w:val="24"/>
          <w:szCs w:val="24"/>
          <w:highlight w:val="none"/>
          <w:lang w:val="zh-CN"/>
        </w:rPr>
        <w:t>地点：采购人指定地点。</w:t>
      </w:r>
    </w:p>
    <w:p w14:paraId="008F90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Style w:val="75"/>
          <w:rFonts w:hint="eastAsia" w:ascii="宋体" w:hAnsi="宋体" w:cs="宋体"/>
          <w:color w:val="auto"/>
          <w:sz w:val="24"/>
          <w:szCs w:val="24"/>
          <w:highlight w:val="none"/>
          <w:lang w:val="zh-CN"/>
        </w:rPr>
      </w:pPr>
      <w:r>
        <w:rPr>
          <w:rStyle w:val="75"/>
          <w:rFonts w:hint="eastAsia" w:ascii="宋体" w:hAnsi="宋体" w:cs="宋体"/>
          <w:color w:val="auto"/>
          <w:sz w:val="24"/>
          <w:szCs w:val="24"/>
          <w:highlight w:val="none"/>
          <w:lang w:val="en-US" w:eastAsia="zh-CN"/>
        </w:rPr>
        <w:t>2</w:t>
      </w:r>
      <w:r>
        <w:rPr>
          <w:rStyle w:val="75"/>
          <w:rFonts w:hint="eastAsia" w:ascii="宋体" w:hAnsi="宋体" w:cs="宋体"/>
          <w:color w:val="auto"/>
          <w:sz w:val="24"/>
          <w:szCs w:val="24"/>
          <w:highlight w:val="none"/>
          <w:lang w:val="zh-CN"/>
        </w:rPr>
        <w:t>.</w:t>
      </w:r>
      <w:r>
        <w:rPr>
          <w:rStyle w:val="75"/>
          <w:rFonts w:hint="eastAsia" w:ascii="宋体" w:hAnsi="宋体" w:cs="宋体"/>
          <w:color w:val="auto"/>
          <w:sz w:val="24"/>
          <w:szCs w:val="24"/>
          <w:highlight w:val="none"/>
        </w:rPr>
        <w:t>3服务</w:t>
      </w:r>
      <w:r>
        <w:rPr>
          <w:rStyle w:val="75"/>
          <w:rFonts w:hint="eastAsia" w:ascii="宋体" w:hAnsi="宋体" w:cs="宋体"/>
          <w:color w:val="auto"/>
          <w:sz w:val="24"/>
          <w:szCs w:val="24"/>
          <w:highlight w:val="none"/>
          <w:lang w:val="zh-CN"/>
        </w:rPr>
        <w:t>期：</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日历天</w:t>
      </w:r>
      <w:r>
        <w:rPr>
          <w:rStyle w:val="75"/>
          <w:rFonts w:hint="eastAsia" w:ascii="宋体" w:hAnsi="宋体" w:cs="宋体"/>
          <w:color w:val="auto"/>
          <w:sz w:val="24"/>
          <w:szCs w:val="24"/>
          <w:highlight w:val="none"/>
          <w:lang w:val="zh-CN"/>
        </w:rPr>
        <w:t>。</w:t>
      </w:r>
    </w:p>
    <w:p w14:paraId="5ECF8739">
      <w:pPr>
        <w:keepNext w:val="0"/>
        <w:keepLines w:val="0"/>
        <w:pageBreakBefore w:val="0"/>
        <w:widowControl w:val="0"/>
        <w:kinsoku/>
        <w:wordWrap/>
        <w:overflowPunct/>
        <w:topLinePunct w:val="0"/>
        <w:autoSpaceDE/>
        <w:autoSpaceDN/>
        <w:bidi w:val="0"/>
        <w:spacing w:line="440" w:lineRule="exact"/>
        <w:ind w:firstLine="480" w:firstLineChars="200"/>
        <w:textAlignment w:val="auto"/>
        <w:rPr>
          <w:rStyle w:val="75"/>
          <w:rFonts w:hint="eastAsia" w:ascii="宋体" w:hAnsi="宋体" w:eastAsia="宋体" w:cs="宋体"/>
          <w:color w:val="auto"/>
          <w:sz w:val="24"/>
          <w:szCs w:val="24"/>
          <w:highlight w:val="none"/>
          <w:lang w:val="en-US" w:eastAsia="zh-CN"/>
        </w:rPr>
      </w:pPr>
      <w:r>
        <w:rPr>
          <w:rStyle w:val="75"/>
          <w:rFonts w:hint="eastAsia" w:ascii="宋体" w:hAnsi="宋体" w:cs="宋体"/>
          <w:color w:val="auto"/>
          <w:sz w:val="24"/>
          <w:szCs w:val="24"/>
          <w:highlight w:val="none"/>
          <w:lang w:val="en-US" w:eastAsia="zh-CN"/>
        </w:rPr>
        <w:t>2</w:t>
      </w:r>
      <w:r>
        <w:rPr>
          <w:rStyle w:val="75"/>
          <w:rFonts w:hint="eastAsia" w:ascii="宋体" w:hAnsi="宋体" w:cs="宋体"/>
          <w:color w:val="auto"/>
          <w:sz w:val="24"/>
          <w:szCs w:val="24"/>
          <w:highlight w:val="none"/>
          <w:lang w:val="zh-CN"/>
        </w:rPr>
        <w:t>.</w:t>
      </w:r>
      <w:r>
        <w:rPr>
          <w:rStyle w:val="75"/>
          <w:rFonts w:hint="eastAsia" w:ascii="宋体" w:hAnsi="宋体" w:cs="宋体"/>
          <w:color w:val="auto"/>
          <w:sz w:val="24"/>
          <w:szCs w:val="24"/>
          <w:highlight w:val="none"/>
        </w:rPr>
        <w:t>4</w:t>
      </w:r>
      <w:r>
        <w:rPr>
          <w:rStyle w:val="75"/>
          <w:rFonts w:hint="eastAsia" w:ascii="宋体" w:hAnsi="宋体" w:cs="宋体"/>
          <w:color w:val="auto"/>
          <w:sz w:val="24"/>
          <w:szCs w:val="24"/>
          <w:highlight w:val="none"/>
          <w:lang w:val="zh-CN"/>
        </w:rPr>
        <w:t>验收：由最终用户组织验收</w:t>
      </w:r>
    </w:p>
    <w:p w14:paraId="01DB97EC">
      <w:pPr>
        <w:pStyle w:val="2"/>
        <w:keepNext/>
        <w:keepLines/>
        <w:pageBreakBefore/>
        <w:widowControl w:val="0"/>
        <w:kinsoku/>
        <w:wordWrap/>
        <w:overflowPunct/>
        <w:topLinePunct w:val="0"/>
        <w:autoSpaceDE/>
        <w:autoSpaceDN/>
        <w:bidi w:val="0"/>
        <w:adjustRightInd/>
        <w:snapToGrid/>
        <w:textAlignment w:val="auto"/>
        <w:rPr>
          <w:color w:val="auto"/>
          <w:highlight w:val="none"/>
        </w:rPr>
      </w:pPr>
      <w:r>
        <w:rPr>
          <w:rFonts w:hint="eastAsia"/>
          <w:color w:val="auto"/>
          <w:highlight w:val="none"/>
        </w:rPr>
        <w:t>第四章  响应性文件内容及格式</w:t>
      </w:r>
    </w:p>
    <w:p w14:paraId="2B9EBAA6">
      <w:pPr>
        <w:widowControl/>
        <w:spacing w:line="520" w:lineRule="exact"/>
        <w:ind w:firstLine="480" w:firstLineChars="200"/>
        <w:jc w:val="center"/>
        <w:rPr>
          <w:rFonts w:ascii="宋体" w:hAnsi="宋体" w:cs="宋体"/>
          <w:color w:val="auto"/>
          <w:sz w:val="24"/>
          <w:highlight w:val="none"/>
        </w:rPr>
      </w:pPr>
    </w:p>
    <w:p w14:paraId="2CCCF7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注：请供应商按照以下文件的要求格式、内容，顺序制作响应性文件，并编制目录及页码，否则可能将影响对响应性文件的评价。 </w:t>
      </w:r>
    </w:p>
    <w:p w14:paraId="479D519C">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重要提示：</w:t>
      </w:r>
    </w:p>
    <w:p w14:paraId="2EA4A2F5">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．供应商在编制响应性文件时，对于给定格式的文件内容，必须按照给定的标准格式进行填报；对于没有给定标准格式的文件内容，可以由供应商自行设计。</w:t>
      </w:r>
    </w:p>
    <w:p w14:paraId="5029C27F">
      <w:pPr>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.法定代表人本人参加竞争性磋商的，不需提供授权委托书。</w:t>
      </w:r>
    </w:p>
    <w:p w14:paraId="3BFB4C9B">
      <w:pPr>
        <w:snapToGrid w:val="0"/>
        <w:jc w:val="left"/>
        <w:rPr>
          <w:rFonts w:ascii="宋体" w:hAnsi="宋体" w:cs="宋体"/>
          <w:color w:val="auto"/>
          <w:sz w:val="24"/>
          <w:highlight w:val="none"/>
        </w:rPr>
      </w:pPr>
    </w:p>
    <w:p w14:paraId="69AC166E">
      <w:pPr>
        <w:snapToGrid w:val="0"/>
        <w:jc w:val="left"/>
        <w:rPr>
          <w:rFonts w:ascii="宋体" w:hAnsi="宋体" w:cs="宋体"/>
          <w:color w:val="auto"/>
          <w:sz w:val="24"/>
          <w:highlight w:val="none"/>
        </w:rPr>
      </w:pPr>
    </w:p>
    <w:p w14:paraId="7BC0D374">
      <w:pPr>
        <w:snapToGrid w:val="0"/>
        <w:jc w:val="left"/>
        <w:rPr>
          <w:rFonts w:ascii="宋体" w:hAnsi="宋体" w:cs="宋体"/>
          <w:color w:val="auto"/>
          <w:sz w:val="24"/>
          <w:highlight w:val="none"/>
        </w:rPr>
      </w:pPr>
    </w:p>
    <w:p w14:paraId="4301427E">
      <w:pPr>
        <w:snapToGrid w:val="0"/>
        <w:jc w:val="left"/>
        <w:rPr>
          <w:rFonts w:ascii="宋体" w:hAnsi="宋体" w:cs="宋体"/>
          <w:color w:val="auto"/>
          <w:sz w:val="24"/>
          <w:highlight w:val="none"/>
        </w:rPr>
      </w:pPr>
    </w:p>
    <w:p w14:paraId="45893FCA">
      <w:pPr>
        <w:snapToGrid w:val="0"/>
        <w:jc w:val="left"/>
        <w:rPr>
          <w:rFonts w:ascii="宋体" w:hAnsi="宋体" w:cs="宋体"/>
          <w:color w:val="auto"/>
          <w:sz w:val="24"/>
          <w:highlight w:val="none"/>
        </w:rPr>
      </w:pPr>
    </w:p>
    <w:p w14:paraId="5443CC47">
      <w:pPr>
        <w:snapToGrid w:val="0"/>
        <w:jc w:val="left"/>
        <w:rPr>
          <w:rFonts w:ascii="宋体" w:hAnsi="宋体" w:cs="宋体"/>
          <w:color w:val="auto"/>
          <w:sz w:val="24"/>
          <w:highlight w:val="none"/>
        </w:rPr>
      </w:pPr>
    </w:p>
    <w:p w14:paraId="71F2ACE6">
      <w:pPr>
        <w:snapToGrid w:val="0"/>
        <w:jc w:val="left"/>
        <w:rPr>
          <w:rFonts w:ascii="宋体" w:hAnsi="宋体" w:cs="宋体"/>
          <w:color w:val="auto"/>
          <w:sz w:val="24"/>
          <w:highlight w:val="none"/>
        </w:rPr>
      </w:pPr>
    </w:p>
    <w:p w14:paraId="295CA4EB">
      <w:pPr>
        <w:snapToGrid w:val="0"/>
        <w:jc w:val="left"/>
        <w:rPr>
          <w:rFonts w:ascii="宋体" w:hAnsi="宋体" w:cs="宋体"/>
          <w:color w:val="auto"/>
          <w:sz w:val="24"/>
          <w:highlight w:val="none"/>
        </w:rPr>
      </w:pPr>
    </w:p>
    <w:p w14:paraId="69A674F2">
      <w:pPr>
        <w:snapToGrid w:val="0"/>
        <w:jc w:val="left"/>
        <w:rPr>
          <w:rFonts w:ascii="宋体" w:hAnsi="宋体" w:cs="宋体"/>
          <w:color w:val="auto"/>
          <w:sz w:val="24"/>
          <w:highlight w:val="none"/>
        </w:rPr>
      </w:pPr>
    </w:p>
    <w:p w14:paraId="48AA7074">
      <w:pPr>
        <w:snapToGrid w:val="0"/>
        <w:jc w:val="left"/>
        <w:rPr>
          <w:rFonts w:ascii="宋体" w:hAnsi="宋体" w:cs="宋体"/>
          <w:color w:val="auto"/>
          <w:sz w:val="24"/>
          <w:highlight w:val="none"/>
        </w:rPr>
      </w:pPr>
    </w:p>
    <w:p w14:paraId="279DE36C">
      <w:pPr>
        <w:snapToGrid w:val="0"/>
        <w:jc w:val="left"/>
        <w:rPr>
          <w:rFonts w:ascii="宋体" w:hAnsi="宋体" w:cs="宋体"/>
          <w:color w:val="auto"/>
          <w:sz w:val="24"/>
          <w:highlight w:val="none"/>
        </w:rPr>
      </w:pPr>
    </w:p>
    <w:p w14:paraId="2D8253C4">
      <w:pPr>
        <w:snapToGrid w:val="0"/>
        <w:jc w:val="left"/>
        <w:rPr>
          <w:rFonts w:ascii="宋体" w:hAnsi="宋体" w:cs="宋体"/>
          <w:color w:val="auto"/>
          <w:sz w:val="24"/>
          <w:highlight w:val="none"/>
        </w:rPr>
      </w:pPr>
    </w:p>
    <w:p w14:paraId="05AE6954">
      <w:pPr>
        <w:snapToGrid w:val="0"/>
        <w:jc w:val="left"/>
        <w:rPr>
          <w:rFonts w:ascii="宋体" w:hAnsi="宋体" w:cs="宋体"/>
          <w:color w:val="auto"/>
          <w:sz w:val="24"/>
          <w:highlight w:val="none"/>
        </w:rPr>
      </w:pPr>
    </w:p>
    <w:p w14:paraId="7936B597">
      <w:pPr>
        <w:snapToGrid w:val="0"/>
        <w:jc w:val="left"/>
        <w:rPr>
          <w:rFonts w:ascii="宋体" w:hAnsi="宋体" w:cs="宋体"/>
          <w:color w:val="auto"/>
          <w:sz w:val="24"/>
          <w:highlight w:val="none"/>
        </w:rPr>
      </w:pPr>
    </w:p>
    <w:p w14:paraId="762F34DE">
      <w:pPr>
        <w:pStyle w:val="27"/>
        <w:ind w:firstLine="480"/>
        <w:rPr>
          <w:rFonts w:ascii="宋体" w:hAnsi="宋体" w:eastAsia="宋体" w:cs="宋体"/>
          <w:color w:val="auto"/>
          <w:sz w:val="24"/>
          <w:highlight w:val="none"/>
        </w:rPr>
      </w:pPr>
    </w:p>
    <w:p w14:paraId="3E2C5C42">
      <w:pPr>
        <w:pStyle w:val="27"/>
        <w:ind w:firstLine="480"/>
        <w:rPr>
          <w:rFonts w:ascii="宋体" w:hAnsi="宋体" w:eastAsia="宋体" w:cs="宋体"/>
          <w:color w:val="auto"/>
          <w:sz w:val="24"/>
          <w:highlight w:val="none"/>
        </w:rPr>
      </w:pPr>
    </w:p>
    <w:p w14:paraId="4ACACB41">
      <w:pPr>
        <w:pStyle w:val="27"/>
        <w:ind w:firstLine="480"/>
        <w:rPr>
          <w:rFonts w:ascii="宋体" w:hAnsi="宋体" w:eastAsia="宋体" w:cs="宋体"/>
          <w:color w:val="auto"/>
          <w:sz w:val="24"/>
          <w:highlight w:val="none"/>
        </w:rPr>
      </w:pPr>
    </w:p>
    <w:p w14:paraId="3A9846BB">
      <w:pPr>
        <w:pStyle w:val="27"/>
        <w:ind w:firstLine="480"/>
        <w:rPr>
          <w:rFonts w:ascii="宋体" w:hAnsi="宋体" w:eastAsia="宋体" w:cs="宋体"/>
          <w:color w:val="auto"/>
          <w:sz w:val="24"/>
          <w:highlight w:val="none"/>
        </w:rPr>
      </w:pPr>
    </w:p>
    <w:p w14:paraId="04DE5867">
      <w:pPr>
        <w:snapToGrid w:val="0"/>
        <w:jc w:val="left"/>
        <w:rPr>
          <w:rFonts w:ascii="宋体" w:hAnsi="宋体" w:cs="宋体"/>
          <w:color w:val="auto"/>
          <w:sz w:val="24"/>
          <w:highlight w:val="none"/>
        </w:rPr>
      </w:pPr>
    </w:p>
    <w:p w14:paraId="4E3CA50C">
      <w:pPr>
        <w:snapToGrid w:val="0"/>
        <w:jc w:val="left"/>
        <w:rPr>
          <w:rFonts w:ascii="宋体" w:hAnsi="宋体" w:cs="宋体"/>
          <w:color w:val="auto"/>
          <w:sz w:val="24"/>
          <w:highlight w:val="none"/>
        </w:rPr>
      </w:pPr>
    </w:p>
    <w:p w14:paraId="3F7D1DE2">
      <w:pPr>
        <w:snapToGrid w:val="0"/>
        <w:jc w:val="left"/>
        <w:rPr>
          <w:rFonts w:ascii="宋体" w:hAnsi="宋体" w:cs="宋体"/>
          <w:color w:val="auto"/>
          <w:sz w:val="24"/>
          <w:highlight w:val="none"/>
        </w:rPr>
      </w:pPr>
    </w:p>
    <w:p w14:paraId="0FA7E482">
      <w:pPr>
        <w:snapToGrid w:val="0"/>
        <w:jc w:val="left"/>
        <w:rPr>
          <w:rFonts w:ascii="宋体" w:hAnsi="宋体" w:cs="宋体"/>
          <w:color w:val="auto"/>
          <w:sz w:val="24"/>
          <w:highlight w:val="none"/>
        </w:rPr>
      </w:pPr>
    </w:p>
    <w:p w14:paraId="06629225">
      <w:pPr>
        <w:snapToGrid w:val="0"/>
        <w:jc w:val="left"/>
        <w:rPr>
          <w:rFonts w:ascii="宋体" w:hAnsi="宋体" w:cs="宋体"/>
          <w:color w:val="auto"/>
          <w:sz w:val="24"/>
          <w:highlight w:val="none"/>
        </w:rPr>
      </w:pPr>
    </w:p>
    <w:p w14:paraId="0CC0A517">
      <w:pPr>
        <w:snapToGrid w:val="0"/>
        <w:jc w:val="left"/>
        <w:rPr>
          <w:rFonts w:ascii="宋体" w:hAnsi="宋体" w:cs="宋体"/>
          <w:color w:val="auto"/>
          <w:sz w:val="24"/>
          <w:highlight w:val="none"/>
        </w:rPr>
      </w:pPr>
    </w:p>
    <w:p w14:paraId="1DC281C9">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0E443F2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w:t>
      </w:r>
    </w:p>
    <w:p w14:paraId="754783E9">
      <w:pPr>
        <w:widowControl/>
        <w:jc w:val="center"/>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企业营业执照副本</w:t>
      </w:r>
      <w:r>
        <w:rPr>
          <w:rFonts w:hint="eastAsia" w:ascii="宋体" w:hAnsi="宋体" w:cs="宋体"/>
          <w:color w:val="auto"/>
          <w:sz w:val="24"/>
          <w:highlight w:val="none"/>
          <w:lang w:val="en-US" w:eastAsia="zh-CN"/>
        </w:rPr>
        <w:t>及</w:t>
      </w:r>
      <w:r>
        <w:rPr>
          <w:rFonts w:hint="eastAsia" w:ascii="宋体" w:hAnsi="宋体" w:cs="宋体"/>
          <w:color w:val="auto"/>
          <w:kern w:val="0"/>
          <w:sz w:val="24"/>
          <w:highlight w:val="none"/>
        </w:rPr>
        <w:t>资格性证明材料</w:t>
      </w:r>
    </w:p>
    <w:p w14:paraId="52AC3783">
      <w:pPr>
        <w:pStyle w:val="44"/>
        <w:rPr>
          <w:rFonts w:hint="eastAsia"/>
          <w:color w:val="auto"/>
          <w:highlight w:val="none"/>
          <w:lang w:eastAsia="zh-CN"/>
        </w:rPr>
      </w:pPr>
    </w:p>
    <w:p w14:paraId="683D6E77">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60CDEBDB">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1</w:t>
      </w:r>
    </w:p>
    <w:p w14:paraId="72ED59E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法定代表人身份证明书</w:t>
      </w:r>
    </w:p>
    <w:p w14:paraId="753590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（法定代表人参加竞争性磋商的，出具此证明书）</w:t>
      </w:r>
    </w:p>
    <w:p w14:paraId="398C4F0F">
      <w:pPr>
        <w:spacing w:line="360" w:lineRule="auto"/>
        <w:ind w:firstLine="480" w:firstLineChars="200"/>
        <w:rPr>
          <w:rFonts w:ascii="宋体" w:hAnsi="宋体" w:cs="宋体"/>
          <w:color w:val="auto"/>
          <w:sz w:val="24"/>
          <w:highlight w:val="none"/>
        </w:rPr>
      </w:pPr>
    </w:p>
    <w:p w14:paraId="619143BD">
      <w:pPr>
        <w:spacing w:line="360" w:lineRule="auto"/>
        <w:ind w:firstLine="1440" w:firstLineChars="600"/>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同志，系我单位法定代表人，任</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职务。</w:t>
      </w:r>
    </w:p>
    <w:p w14:paraId="0A6F0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0A2CC2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附：联系地址：               </w:t>
      </w:r>
    </w:p>
    <w:p w14:paraId="5F125814">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联系电话：</w:t>
      </w:r>
    </w:p>
    <w:tbl>
      <w:tblPr>
        <w:tblStyle w:val="28"/>
        <w:tblpPr w:leftFromText="180" w:rightFromText="180" w:vertAnchor="text" w:horzAnchor="page" w:tblpX="1975" w:tblpY="469"/>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1"/>
      </w:tblGrid>
      <w:tr w14:paraId="0807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203" w:type="dxa"/>
          </w:tcPr>
          <w:p w14:paraId="03EE763D">
            <w:pPr>
              <w:pStyle w:val="26"/>
              <w:ind w:right="-21" w:firstLine="5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身份证正面</w:t>
            </w:r>
          </w:p>
        </w:tc>
        <w:tc>
          <w:tcPr>
            <w:tcW w:w="4211" w:type="dxa"/>
          </w:tcPr>
          <w:p w14:paraId="1918F807">
            <w:pPr>
              <w:pStyle w:val="26"/>
              <w:ind w:right="-21" w:firstLine="54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身份证反面</w:t>
            </w:r>
          </w:p>
        </w:tc>
      </w:tr>
    </w:tbl>
    <w:p w14:paraId="49F14D69">
      <w:pPr>
        <w:spacing w:line="360" w:lineRule="auto"/>
        <w:ind w:firstLine="960" w:firstLineChars="400"/>
        <w:rPr>
          <w:rFonts w:ascii="宋体" w:hAnsi="宋体" w:cs="宋体"/>
          <w:color w:val="auto"/>
          <w:sz w:val="24"/>
          <w:highlight w:val="none"/>
        </w:rPr>
      </w:pPr>
    </w:p>
    <w:p w14:paraId="534466BE">
      <w:pPr>
        <w:spacing w:line="360" w:lineRule="auto"/>
        <w:ind w:firstLine="3840" w:firstLineChars="1600"/>
        <w:rPr>
          <w:rFonts w:ascii="宋体" w:hAnsi="宋体" w:cs="宋体"/>
          <w:color w:val="auto"/>
          <w:sz w:val="24"/>
          <w:highlight w:val="none"/>
        </w:rPr>
      </w:pPr>
    </w:p>
    <w:p w14:paraId="3AF7E511">
      <w:pPr>
        <w:spacing w:line="360" w:lineRule="auto"/>
        <w:ind w:firstLine="3840" w:firstLineChars="1600"/>
        <w:rPr>
          <w:rFonts w:ascii="宋体" w:hAnsi="宋体" w:cs="宋体"/>
          <w:color w:val="auto"/>
          <w:sz w:val="24"/>
          <w:highlight w:val="none"/>
        </w:rPr>
      </w:pPr>
    </w:p>
    <w:p w14:paraId="7A4AC8F6">
      <w:pPr>
        <w:spacing w:line="360" w:lineRule="auto"/>
        <w:jc w:val="center"/>
        <w:rPr>
          <w:rFonts w:ascii="宋体" w:hAnsi="宋体" w:cs="宋体"/>
          <w:color w:val="auto"/>
          <w:sz w:val="24"/>
          <w:highlight w:val="none"/>
        </w:rPr>
      </w:pPr>
    </w:p>
    <w:p w14:paraId="4C8D3175">
      <w:pPr>
        <w:spacing w:line="360" w:lineRule="auto"/>
        <w:jc w:val="center"/>
        <w:rPr>
          <w:rFonts w:ascii="宋体" w:hAnsi="宋体" w:cs="宋体"/>
          <w:color w:val="auto"/>
          <w:sz w:val="24"/>
          <w:highlight w:val="none"/>
        </w:rPr>
      </w:pPr>
    </w:p>
    <w:p w14:paraId="1DBE28B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4F10B0A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3AC58FB">
      <w:pPr>
        <w:spacing w:line="360" w:lineRule="auto"/>
        <w:jc w:val="center"/>
        <w:rPr>
          <w:rFonts w:ascii="宋体" w:hAnsi="宋体" w:cs="宋体"/>
          <w:color w:val="auto"/>
          <w:sz w:val="24"/>
          <w:highlight w:val="none"/>
        </w:rPr>
      </w:pPr>
    </w:p>
    <w:p w14:paraId="7F34FACA">
      <w:pPr>
        <w:spacing w:line="360" w:lineRule="auto"/>
        <w:jc w:val="center"/>
        <w:rPr>
          <w:rFonts w:ascii="宋体" w:hAnsi="宋体" w:cs="宋体"/>
          <w:color w:val="auto"/>
          <w:sz w:val="24"/>
          <w:highlight w:val="none"/>
        </w:rPr>
      </w:pPr>
    </w:p>
    <w:p w14:paraId="470C3044">
      <w:pPr>
        <w:spacing w:line="360" w:lineRule="auto"/>
        <w:jc w:val="center"/>
        <w:rPr>
          <w:rFonts w:ascii="宋体" w:hAnsi="宋体" w:cs="宋体"/>
          <w:color w:val="auto"/>
          <w:sz w:val="24"/>
          <w:highlight w:val="none"/>
        </w:rPr>
      </w:pPr>
    </w:p>
    <w:p w14:paraId="08861F05">
      <w:pPr>
        <w:pStyle w:val="44"/>
        <w:ind w:firstLine="240"/>
        <w:rPr>
          <w:rFonts w:ascii="宋体" w:hAnsi="宋体" w:cs="宋体"/>
          <w:color w:val="auto"/>
          <w:sz w:val="24"/>
          <w:highlight w:val="none"/>
        </w:rPr>
      </w:pPr>
    </w:p>
    <w:p w14:paraId="31DD0909">
      <w:pPr>
        <w:pStyle w:val="44"/>
        <w:ind w:firstLine="240"/>
        <w:rPr>
          <w:rFonts w:ascii="宋体" w:hAnsi="宋体" w:cs="宋体"/>
          <w:color w:val="auto"/>
          <w:sz w:val="24"/>
          <w:highlight w:val="none"/>
        </w:rPr>
      </w:pPr>
    </w:p>
    <w:p w14:paraId="4468151A">
      <w:pPr>
        <w:pStyle w:val="44"/>
        <w:ind w:firstLine="240"/>
        <w:rPr>
          <w:rFonts w:ascii="宋体" w:hAnsi="宋体" w:cs="宋体"/>
          <w:color w:val="auto"/>
          <w:sz w:val="24"/>
          <w:highlight w:val="none"/>
        </w:rPr>
      </w:pPr>
    </w:p>
    <w:p w14:paraId="357E6BD6">
      <w:pPr>
        <w:pStyle w:val="44"/>
        <w:ind w:firstLine="240"/>
        <w:rPr>
          <w:rFonts w:ascii="宋体" w:hAnsi="宋体" w:cs="宋体"/>
          <w:color w:val="auto"/>
          <w:sz w:val="24"/>
          <w:highlight w:val="none"/>
        </w:rPr>
      </w:pPr>
    </w:p>
    <w:p w14:paraId="03CC9BFF">
      <w:pPr>
        <w:pStyle w:val="44"/>
        <w:ind w:firstLine="240"/>
        <w:rPr>
          <w:rFonts w:ascii="宋体" w:hAnsi="宋体" w:cs="宋体"/>
          <w:color w:val="auto"/>
          <w:sz w:val="24"/>
          <w:highlight w:val="none"/>
        </w:rPr>
      </w:pPr>
    </w:p>
    <w:p w14:paraId="375BFB8A">
      <w:pPr>
        <w:pStyle w:val="44"/>
        <w:ind w:firstLine="240"/>
        <w:rPr>
          <w:rFonts w:ascii="宋体" w:hAnsi="宋体" w:cs="宋体"/>
          <w:color w:val="auto"/>
          <w:sz w:val="24"/>
          <w:highlight w:val="none"/>
        </w:rPr>
      </w:pPr>
    </w:p>
    <w:p w14:paraId="69985AD1">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格式2-</w:t>
      </w:r>
      <w:r>
        <w:rPr>
          <w:rFonts w:hint="eastAsia" w:ascii="宋体" w:hAnsi="宋体" w:cs="宋体"/>
          <w:color w:val="auto"/>
          <w:sz w:val="24"/>
          <w:highlight w:val="none"/>
          <w:lang w:val="en-US" w:eastAsia="zh-CN"/>
        </w:rPr>
        <w:t>2</w:t>
      </w:r>
    </w:p>
    <w:p w14:paraId="44A63B51">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授权委托书</w:t>
      </w:r>
    </w:p>
    <w:p w14:paraId="41CAF3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（委托代理人参加竞争性磋商的，出具此证明书）</w:t>
      </w:r>
    </w:p>
    <w:p w14:paraId="2C16EAEC">
      <w:pPr>
        <w:spacing w:line="360" w:lineRule="auto"/>
        <w:ind w:firstLine="480" w:firstLineChars="200"/>
        <w:rPr>
          <w:rFonts w:ascii="宋体" w:hAnsi="宋体" w:cs="宋体"/>
          <w:color w:val="auto"/>
          <w:sz w:val="24"/>
          <w:highlight w:val="none"/>
        </w:rPr>
      </w:pPr>
    </w:p>
    <w:p w14:paraId="05534F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委托人授权</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（被委托人的姓名、职务）为委托人的委托代理人，就项目编号为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的项目及合同的执行，以本单位名义处理一切与之有关的事务。</w:t>
      </w:r>
    </w:p>
    <w:p w14:paraId="3C502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本授权书于</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日签字生效，特此声明。</w:t>
      </w:r>
    </w:p>
    <w:p w14:paraId="479EBD1C">
      <w:pPr>
        <w:spacing w:line="360" w:lineRule="auto"/>
        <w:rPr>
          <w:rFonts w:ascii="宋体" w:hAnsi="宋体" w:cs="宋体"/>
          <w:color w:val="auto"/>
          <w:sz w:val="24"/>
          <w:highlight w:val="none"/>
        </w:rPr>
      </w:pPr>
    </w:p>
    <w:p w14:paraId="590F61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w:t>
      </w:r>
    </w:p>
    <w:p w14:paraId="4EAE18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电子签章：       </w:t>
      </w:r>
    </w:p>
    <w:p w14:paraId="532F64E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被委托人：</w:t>
      </w:r>
    </w:p>
    <w:p w14:paraId="4A9DCD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tbl>
      <w:tblPr>
        <w:tblStyle w:val="28"/>
        <w:tblpPr w:leftFromText="180" w:rightFromText="180" w:vertAnchor="text" w:horzAnchor="page" w:tblpX="1975" w:tblpY="469"/>
        <w:tblOverlap w:val="never"/>
        <w:tblW w:w="8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4291"/>
      </w:tblGrid>
      <w:tr w14:paraId="5F8A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4123" w:type="dxa"/>
          </w:tcPr>
          <w:p w14:paraId="219DAE17">
            <w:pPr>
              <w:pStyle w:val="26"/>
              <w:ind w:right="-21" w:firstLine="54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身份证正面</w:t>
            </w:r>
          </w:p>
        </w:tc>
        <w:tc>
          <w:tcPr>
            <w:tcW w:w="4291" w:type="dxa"/>
          </w:tcPr>
          <w:p w14:paraId="24FB44E0">
            <w:pPr>
              <w:pStyle w:val="26"/>
              <w:ind w:right="-21" w:firstLine="54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身份证反面</w:t>
            </w:r>
          </w:p>
        </w:tc>
      </w:tr>
    </w:tbl>
    <w:p w14:paraId="466107D7">
      <w:pPr>
        <w:spacing w:line="360" w:lineRule="auto"/>
        <w:ind w:firstLine="480" w:firstLineChars="200"/>
        <w:rPr>
          <w:rFonts w:ascii="宋体" w:hAnsi="宋体" w:cs="宋体"/>
          <w:color w:val="auto"/>
          <w:sz w:val="24"/>
          <w:highlight w:val="none"/>
        </w:rPr>
      </w:pPr>
    </w:p>
    <w:p w14:paraId="5711ACE3">
      <w:pPr>
        <w:spacing w:line="360" w:lineRule="auto"/>
        <w:ind w:firstLine="480" w:firstLineChars="200"/>
        <w:rPr>
          <w:rFonts w:ascii="宋体" w:hAnsi="宋体" w:cs="宋体"/>
          <w:color w:val="auto"/>
          <w:sz w:val="24"/>
          <w:highlight w:val="none"/>
        </w:rPr>
      </w:pPr>
    </w:p>
    <w:p w14:paraId="18A92F31">
      <w:pPr>
        <w:spacing w:line="360" w:lineRule="auto"/>
        <w:jc w:val="center"/>
        <w:rPr>
          <w:rFonts w:hint="eastAsia" w:ascii="宋体" w:hAnsi="宋体" w:cs="宋体"/>
          <w:color w:val="auto"/>
          <w:sz w:val="24"/>
          <w:highlight w:val="none"/>
        </w:rPr>
      </w:pPr>
    </w:p>
    <w:p w14:paraId="78010B51">
      <w:pPr>
        <w:spacing w:line="360" w:lineRule="auto"/>
        <w:jc w:val="center"/>
        <w:rPr>
          <w:rFonts w:hint="eastAsia" w:ascii="宋体" w:hAnsi="宋体" w:cs="宋体"/>
          <w:color w:val="auto"/>
          <w:sz w:val="24"/>
          <w:highlight w:val="none"/>
        </w:rPr>
      </w:pPr>
    </w:p>
    <w:p w14:paraId="006EA9CF">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4121D0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14940D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66E4D829">
      <w:pPr>
        <w:pStyle w:val="44"/>
        <w:rPr>
          <w:color w:val="auto"/>
          <w:highlight w:val="none"/>
        </w:rPr>
      </w:pPr>
    </w:p>
    <w:p w14:paraId="52B86B9F">
      <w:pPr>
        <w:pStyle w:val="44"/>
        <w:rPr>
          <w:color w:val="auto"/>
          <w:highlight w:val="none"/>
        </w:rPr>
      </w:pPr>
    </w:p>
    <w:p w14:paraId="770B4EB7">
      <w:pPr>
        <w:pStyle w:val="44"/>
        <w:rPr>
          <w:color w:val="auto"/>
          <w:highlight w:val="none"/>
        </w:rPr>
      </w:pPr>
    </w:p>
    <w:p w14:paraId="28638CAC">
      <w:pPr>
        <w:pStyle w:val="44"/>
        <w:rPr>
          <w:color w:val="auto"/>
          <w:highlight w:val="none"/>
        </w:rPr>
      </w:pPr>
    </w:p>
    <w:p w14:paraId="65BF74EA">
      <w:pPr>
        <w:pStyle w:val="44"/>
        <w:rPr>
          <w:color w:val="auto"/>
          <w:highlight w:val="none"/>
        </w:rPr>
      </w:pPr>
    </w:p>
    <w:p w14:paraId="3494B549">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格式2-3政府采购法第二十二条及参加政府采购活动前三年内无重大违法记录的书面声明</w:t>
      </w:r>
    </w:p>
    <w:p w14:paraId="0792568D">
      <w:pPr>
        <w:spacing w:line="360" w:lineRule="auto"/>
        <w:jc w:val="left"/>
        <w:rPr>
          <w:rFonts w:ascii="宋体" w:hAnsi="宋体" w:cs="宋体"/>
          <w:color w:val="auto"/>
          <w:sz w:val="24"/>
          <w:highlight w:val="none"/>
        </w:rPr>
      </w:pPr>
    </w:p>
    <w:p w14:paraId="51019577">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01B5D12F">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格式3</w:t>
      </w:r>
    </w:p>
    <w:p w14:paraId="62A32363">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投标函</w:t>
      </w:r>
    </w:p>
    <w:p w14:paraId="691CA4B1">
      <w:pPr>
        <w:pStyle w:val="25"/>
        <w:shd w:val="clear" w:color="auto" w:fill="FFFFFF"/>
        <w:adjustRightInd w:val="0"/>
        <w:snapToGrid w:val="0"/>
        <w:spacing w:before="0" w:beforeAutospacing="0" w:after="0" w:afterAutospacing="0" w:line="360" w:lineRule="auto"/>
        <w:rPr>
          <w:rFonts w:ascii="宋体" w:hAnsi="宋体" w:cs="宋体"/>
          <w:color w:val="auto"/>
          <w:kern w:val="0"/>
          <w:sz w:val="24"/>
          <w:highlight w:val="none"/>
        </w:rPr>
      </w:pPr>
      <w:r>
        <w:rPr>
          <w:rFonts w:hint="eastAsia" w:cs="宋体"/>
          <w:color w:val="auto"/>
          <w:szCs w:val="24"/>
          <w:highlight w:val="none"/>
        </w:rPr>
        <w:t>致：</w:t>
      </w:r>
      <w:r>
        <w:rPr>
          <w:rFonts w:hint="eastAsia" w:ascii="宋体" w:hAnsi="宋体" w:eastAsia="宋体" w:cs="宋体"/>
          <w:b w:val="0"/>
          <w:color w:val="auto"/>
          <w:kern w:val="2"/>
          <w:sz w:val="24"/>
          <w:highlight w:val="none"/>
          <w:lang w:val="en-US" w:eastAsia="zh-CN" w:bidi="ar-SA"/>
        </w:rPr>
        <w:t>（采购人或采购代理机构）</w:t>
      </w:r>
    </w:p>
    <w:p w14:paraId="78B331DF">
      <w:pPr>
        <w:keepNext w:val="0"/>
        <w:keepLines w:val="0"/>
        <w:widowControl/>
        <w:suppressLineNumbers w:val="0"/>
        <w:jc w:val="left"/>
        <w:rPr>
          <w:rFonts w:ascii="宋体" w:hAnsi="宋体"/>
          <w:color w:val="auto"/>
          <w:sz w:val="24"/>
          <w:szCs w:val="24"/>
          <w:highlight w:val="none"/>
        </w:rPr>
      </w:pPr>
      <w:r>
        <w:rPr>
          <w:rFonts w:hint="eastAsia" w:ascii="宋体" w:hAnsi="宋体"/>
          <w:color w:val="auto"/>
          <w:sz w:val="24"/>
          <w:szCs w:val="24"/>
          <w:highlight w:val="none"/>
        </w:rPr>
        <w:t>根据贵方</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（本项目名称）</w:t>
      </w:r>
      <w:r>
        <w:rPr>
          <w:rFonts w:hint="eastAsia" w:ascii="宋体" w:hAnsi="宋体"/>
          <w:color w:val="auto"/>
          <w:sz w:val="24"/>
          <w:szCs w:val="24"/>
          <w:highlight w:val="none"/>
        </w:rPr>
        <w:t>项目的竞争性磋商邀请（项目编号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(全名、职务)</w:t>
      </w:r>
      <w:r>
        <w:rPr>
          <w:rFonts w:hint="eastAsia" w:ascii="宋体" w:hAnsi="宋体"/>
          <w:color w:val="auto"/>
          <w:sz w:val="24"/>
          <w:szCs w:val="24"/>
          <w:highlight w:val="none"/>
        </w:rPr>
        <w:t>代表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供应商名称、地址</w:t>
      </w:r>
      <w:r>
        <w:rPr>
          <w:rFonts w:hint="eastAsia" w:ascii="宋体" w:hAnsi="宋体"/>
          <w:color w:val="auto"/>
          <w:sz w:val="24"/>
          <w:szCs w:val="24"/>
          <w:highlight w:val="none"/>
          <w:u w:val="none"/>
        </w:rPr>
        <w:t>)</w:t>
      </w:r>
      <w:r>
        <w:rPr>
          <w:rFonts w:hint="eastAsia" w:ascii="宋体" w:hAnsi="宋体"/>
          <w:color w:val="auto"/>
          <w:sz w:val="24"/>
          <w:szCs w:val="24"/>
          <w:highlight w:val="none"/>
          <w:u w:val="none"/>
          <w:lang w:val="en-US" w:eastAsia="zh-CN"/>
        </w:rPr>
        <w:t>签字并</w:t>
      </w:r>
      <w:r>
        <w:rPr>
          <w:rFonts w:hint="eastAsia" w:ascii="宋体" w:hAnsi="宋体"/>
          <w:color w:val="auto"/>
          <w:sz w:val="24"/>
          <w:szCs w:val="24"/>
          <w:highlight w:val="none"/>
        </w:rPr>
        <w:t>提交投标文件，报价为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元</w:t>
      </w:r>
      <w:r>
        <w:rPr>
          <w:rFonts w:hint="eastAsia" w:ascii="宋体" w:hAnsi="宋体"/>
          <w:color w:val="auto"/>
          <w:sz w:val="24"/>
          <w:szCs w:val="24"/>
          <w:highlight w:val="none"/>
          <w:u w:val="none"/>
        </w:rPr>
        <w:t>，</w:t>
      </w:r>
      <w:r>
        <w:rPr>
          <w:rFonts w:hint="eastAsia" w:ascii="宋体" w:hAnsi="宋体"/>
          <w:color w:val="auto"/>
          <w:sz w:val="24"/>
          <w:szCs w:val="24"/>
          <w:highlight w:val="none"/>
        </w:rPr>
        <w:t>并对之负法律责任。</w:t>
      </w:r>
    </w:p>
    <w:p w14:paraId="086B91A7">
      <w:pPr>
        <w:ind w:firstLine="568" w:firstLineChars="237"/>
        <w:rPr>
          <w:rFonts w:ascii="宋体" w:hAnsi="宋体" w:cs="宋体"/>
          <w:color w:val="auto"/>
          <w:sz w:val="24"/>
          <w:highlight w:val="none"/>
        </w:rPr>
      </w:pPr>
      <w:r>
        <w:rPr>
          <w:rFonts w:hint="eastAsia" w:ascii="宋体" w:hAnsi="宋体" w:cs="宋体"/>
          <w:color w:val="auto"/>
          <w:sz w:val="24"/>
          <w:highlight w:val="none"/>
        </w:rPr>
        <w:t>据此函，宣布同意如下：</w:t>
      </w:r>
    </w:p>
    <w:p w14:paraId="307672B8">
      <w:pPr>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(1)我们完全理解贵方不一定要接受最低报价，并同意本文件规定的</w:t>
      </w:r>
      <w:r>
        <w:rPr>
          <w:rFonts w:hint="eastAsia" w:ascii="宋体" w:hAnsi="宋体" w:cs="宋体"/>
          <w:color w:val="auto"/>
          <w:sz w:val="24"/>
          <w:highlight w:val="none"/>
          <w:lang w:val="en-US" w:eastAsia="zh-CN"/>
        </w:rPr>
        <w:t>服务期。</w:t>
      </w:r>
    </w:p>
    <w:p w14:paraId="2DB7C538">
      <w:pPr>
        <w:ind w:firstLine="480" w:firstLineChars="200"/>
        <w:rPr>
          <w:rFonts w:ascii="宋体" w:hAnsi="宋体" w:cs="宋体"/>
          <w:color w:val="auto"/>
          <w:sz w:val="24"/>
          <w:highlight w:val="none"/>
        </w:rPr>
      </w:pPr>
      <w:r>
        <w:rPr>
          <w:rFonts w:hint="eastAsia" w:ascii="宋体" w:hAnsi="宋体" w:cs="宋体"/>
          <w:color w:val="auto"/>
          <w:sz w:val="24"/>
          <w:highlight w:val="none"/>
        </w:rPr>
        <w:t>(2)我们已详细审核全部竞争性磋商文件，我们知道必须放弃提出含糊不清或误解的问题的权利。</w:t>
      </w:r>
    </w:p>
    <w:p w14:paraId="2EBB836B">
      <w:pPr>
        <w:numPr>
          <w:ilvl w:val="0"/>
          <w:numId w:val="4"/>
        </w:numPr>
        <w:ind w:firstLine="480" w:firstLineChars="200"/>
        <w:rPr>
          <w:rFonts w:ascii="宋体" w:hAnsi="宋体" w:cs="宋体"/>
          <w:color w:val="auto"/>
          <w:sz w:val="24"/>
          <w:highlight w:val="none"/>
        </w:rPr>
      </w:pPr>
      <w:r>
        <w:rPr>
          <w:rFonts w:hint="eastAsia" w:ascii="宋体" w:hAnsi="宋体" w:cs="宋体"/>
          <w:color w:val="auto"/>
          <w:sz w:val="24"/>
          <w:highlight w:val="none"/>
        </w:rPr>
        <w:t>同意向贵方提供贵方可能另外要求的与其竞争性磋商有关的任何证据和资料。投标函按统一格式填写，由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加盖公章，并由</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法定代表人或其授权代表人签</w:t>
      </w:r>
      <w:r>
        <w:rPr>
          <w:rFonts w:hint="eastAsia" w:ascii="宋体" w:hAnsi="宋体" w:cs="宋体"/>
          <w:color w:val="auto"/>
          <w:spacing w:val="-20"/>
          <w:w w:val="50"/>
          <w:sz w:val="24"/>
          <w:highlight w:val="none"/>
          <w:lang w:val="en-US" w:eastAsia="zh-CN"/>
        </w:rPr>
        <w:t xml:space="preserve"> </w:t>
      </w:r>
      <w:r>
        <w:rPr>
          <w:rFonts w:hint="eastAsia" w:ascii="宋体" w:hAnsi="宋体" w:cs="宋体"/>
          <w:color w:val="auto"/>
          <w:sz w:val="24"/>
          <w:highlight w:val="none"/>
        </w:rPr>
        <w:t>字和盖</w:t>
      </w:r>
      <w:r>
        <w:rPr>
          <w:rFonts w:hint="eastAsia" w:ascii="宋体" w:hAnsi="宋体" w:cs="宋体"/>
          <w:color w:val="auto"/>
          <w:spacing w:val="-20"/>
          <w:w w:val="50"/>
          <w:sz w:val="24"/>
          <w:highlight w:val="none"/>
          <w:lang w:val="en-US" w:eastAsia="zh-CN"/>
        </w:rPr>
        <w:t xml:space="preserve"> </w:t>
      </w:r>
      <w:r>
        <w:rPr>
          <w:rFonts w:hint="eastAsia" w:ascii="宋体" w:hAnsi="宋体" w:cs="宋体"/>
          <w:color w:val="auto"/>
          <w:sz w:val="24"/>
          <w:highlight w:val="none"/>
        </w:rPr>
        <w:t>章。</w:t>
      </w:r>
    </w:p>
    <w:p w14:paraId="47C7A3FE">
      <w:pPr>
        <w:ind w:firstLine="480" w:firstLineChars="200"/>
        <w:rPr>
          <w:rFonts w:ascii="宋体" w:hAnsi="宋体" w:cs="宋体"/>
          <w:color w:val="auto"/>
          <w:sz w:val="24"/>
          <w:highlight w:val="none"/>
        </w:rPr>
      </w:pPr>
      <w:r>
        <w:rPr>
          <w:rFonts w:hint="eastAsia" w:ascii="宋体" w:hAnsi="宋体" w:cs="宋体"/>
          <w:color w:val="auto"/>
          <w:sz w:val="24"/>
          <w:highlight w:val="none"/>
        </w:rPr>
        <w:t>(4)一旦我们成交，我们将严格履行合同责任和义务。</w:t>
      </w:r>
    </w:p>
    <w:p w14:paraId="6C6AE382">
      <w:pPr>
        <w:ind w:firstLine="480" w:firstLineChars="200"/>
        <w:rPr>
          <w:rFonts w:ascii="宋体" w:hAnsi="宋体" w:cs="宋体"/>
          <w:color w:val="auto"/>
          <w:sz w:val="24"/>
          <w:highlight w:val="none"/>
        </w:rPr>
      </w:pPr>
      <w:r>
        <w:rPr>
          <w:rFonts w:hint="eastAsia" w:ascii="宋体" w:hAnsi="宋体" w:cs="宋体"/>
          <w:color w:val="auto"/>
          <w:sz w:val="24"/>
          <w:highlight w:val="none"/>
        </w:rPr>
        <w:t>(5)我们完全理解不向未成交人解释未成交理由的义务。</w:t>
      </w:r>
    </w:p>
    <w:p w14:paraId="70F171A1">
      <w:pPr>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w:t>
      </w:r>
      <w:r>
        <w:rPr>
          <w:rFonts w:hint="eastAsia" w:ascii="宋体" w:hAnsi="宋体" w:cs="宋体"/>
          <w:color w:val="auto"/>
          <w:sz w:val="24"/>
          <w:highlight w:val="none"/>
          <w:lang w:val="zh-CN"/>
        </w:rPr>
        <w:t>如果我们的谈判响应文件被接受，我们将履行谈判文件中规定的每一项要求，按期、按质、按量履行合同。</w:t>
      </w:r>
    </w:p>
    <w:p w14:paraId="1327870F">
      <w:pPr>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我方愿按《中华人民共和国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lang w:val="zh-CN"/>
        </w:rPr>
        <w:t>》履行我方的全部责任。</w:t>
      </w:r>
    </w:p>
    <w:p w14:paraId="0ADC6A33">
      <w:pPr>
        <w:ind w:firstLine="480" w:firstLineChars="200"/>
        <w:rPr>
          <w:rFonts w:ascii="宋体" w:hAnsi="宋体" w:cs="宋体"/>
          <w:color w:val="auto"/>
          <w:sz w:val="24"/>
          <w:highlight w:val="none"/>
        </w:rPr>
      </w:pPr>
      <w:r>
        <w:rPr>
          <w:rFonts w:hint="eastAsia" w:ascii="宋体" w:hAnsi="宋体" w:cs="宋体"/>
          <w:color w:val="auto"/>
          <w:sz w:val="24"/>
          <w:highlight w:val="none"/>
        </w:rPr>
        <w:t>(8)与本次竞争性磋商有关的正式通讯地址为：</w:t>
      </w:r>
    </w:p>
    <w:p w14:paraId="53CAA8B4">
      <w:pPr>
        <w:ind w:firstLine="480" w:firstLineChars="200"/>
        <w:rPr>
          <w:rFonts w:ascii="宋体" w:hAnsi="宋体" w:cs="宋体"/>
          <w:color w:val="auto"/>
          <w:sz w:val="24"/>
          <w:highlight w:val="none"/>
        </w:rPr>
      </w:pPr>
      <w:r>
        <w:rPr>
          <w:rFonts w:hint="eastAsia" w:ascii="宋体" w:hAnsi="宋体" w:cs="宋体"/>
          <w:color w:val="auto"/>
          <w:sz w:val="24"/>
          <w:highlight w:val="none"/>
        </w:rPr>
        <w:t>地 址：                  邮 编：</w:t>
      </w:r>
    </w:p>
    <w:p w14:paraId="6A30E9DD">
      <w:pPr>
        <w:ind w:firstLine="480" w:firstLineChars="200"/>
        <w:rPr>
          <w:rFonts w:ascii="宋体" w:hAnsi="宋体" w:cs="宋体"/>
          <w:color w:val="auto"/>
          <w:sz w:val="24"/>
          <w:highlight w:val="none"/>
        </w:rPr>
      </w:pPr>
      <w:r>
        <w:rPr>
          <w:rFonts w:hint="eastAsia" w:ascii="宋体" w:hAnsi="宋体" w:cs="宋体"/>
          <w:color w:val="auto"/>
          <w:sz w:val="24"/>
          <w:highlight w:val="none"/>
        </w:rPr>
        <w:t>电 话：                  电子信箱：</w:t>
      </w:r>
    </w:p>
    <w:p w14:paraId="37266828">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我们保证：</w:t>
      </w:r>
    </w:p>
    <w:p w14:paraId="28C15384">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(1)不提供虚假材料谋取成交；</w:t>
      </w:r>
    </w:p>
    <w:p w14:paraId="5A28C8AF">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(2)不以不正当手段抵毁、排挤其他供应商；</w:t>
      </w:r>
    </w:p>
    <w:p w14:paraId="3800BEBA">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(3)不与采购人和其它供应商恶意串通；</w:t>
      </w:r>
    </w:p>
    <w:p w14:paraId="4ABF0FA8">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(4)不向采购人和采购代理机构提供不正当利益；</w:t>
      </w:r>
    </w:p>
    <w:p w14:paraId="34ECBF08">
      <w:pPr>
        <w:ind w:firstLine="480" w:firstLineChars="200"/>
        <w:jc w:val="left"/>
        <w:rPr>
          <w:rFonts w:ascii="宋体" w:hAnsi="宋体" w:cs="宋体"/>
          <w:color w:val="auto"/>
          <w:sz w:val="24"/>
          <w:highlight w:val="none"/>
        </w:rPr>
      </w:pPr>
      <w:r>
        <w:rPr>
          <w:rFonts w:hint="eastAsia" w:ascii="宋体" w:hAnsi="宋体" w:cs="宋体"/>
          <w:color w:val="auto"/>
          <w:sz w:val="24"/>
          <w:highlight w:val="none"/>
        </w:rPr>
        <w:t>(5)不拒绝有关部门监督检查或提供虚假情况。</w:t>
      </w:r>
    </w:p>
    <w:p w14:paraId="1B8B412F">
      <w:pPr>
        <w:spacing w:line="560" w:lineRule="exact"/>
        <w:jc w:val="left"/>
        <w:rPr>
          <w:rFonts w:ascii="宋体" w:hAnsi="宋体" w:cs="宋体"/>
          <w:color w:val="auto"/>
          <w:sz w:val="24"/>
          <w:highlight w:val="none"/>
        </w:rPr>
      </w:pPr>
    </w:p>
    <w:p w14:paraId="76BB2EB6">
      <w:pPr>
        <w:spacing w:line="5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联系人：              联系电话：</w:t>
      </w:r>
    </w:p>
    <w:p w14:paraId="68AA600E">
      <w:pPr>
        <w:spacing w:line="360" w:lineRule="auto"/>
        <w:jc w:val="left"/>
        <w:rPr>
          <w:rFonts w:ascii="宋体" w:hAnsi="宋体" w:cs="宋体"/>
          <w:color w:val="auto"/>
          <w:sz w:val="24"/>
          <w:highlight w:val="none"/>
        </w:rPr>
      </w:pPr>
    </w:p>
    <w:p w14:paraId="676ECC71">
      <w:pPr>
        <w:spacing w:line="360" w:lineRule="auto"/>
        <w:jc w:val="left"/>
        <w:rPr>
          <w:rFonts w:ascii="宋体" w:hAnsi="宋体" w:cs="宋体"/>
          <w:color w:val="auto"/>
          <w:sz w:val="24"/>
          <w:highlight w:val="none"/>
        </w:rPr>
      </w:pPr>
    </w:p>
    <w:p w14:paraId="57A362F9">
      <w:pPr>
        <w:spacing w:line="360" w:lineRule="auto"/>
        <w:jc w:val="left"/>
        <w:rPr>
          <w:rFonts w:ascii="宋体" w:hAnsi="宋体" w:cs="宋体"/>
          <w:color w:val="auto"/>
          <w:sz w:val="24"/>
          <w:highlight w:val="none"/>
        </w:rPr>
      </w:pPr>
    </w:p>
    <w:p w14:paraId="787F23E6">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1BB8525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C80A712">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287B7571">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格式4</w:t>
      </w:r>
    </w:p>
    <w:p w14:paraId="6BEA11C1">
      <w:pPr>
        <w:bidi w:val="0"/>
        <w:jc w:val="center"/>
        <w:rPr>
          <w:color w:val="auto"/>
          <w:sz w:val="24"/>
          <w:szCs w:val="24"/>
          <w:highlight w:val="none"/>
        </w:rPr>
      </w:pPr>
      <w:bookmarkStart w:id="4" w:name="_Toc197934561"/>
      <w:bookmarkStart w:id="5" w:name="_Toc495414231"/>
      <w:r>
        <w:rPr>
          <w:rFonts w:hint="eastAsia"/>
          <w:color w:val="auto"/>
          <w:sz w:val="24"/>
          <w:szCs w:val="24"/>
          <w:highlight w:val="none"/>
        </w:rPr>
        <w:t>报价一览表</w:t>
      </w:r>
      <w:bookmarkEnd w:id="4"/>
      <w:bookmarkEnd w:id="5"/>
    </w:p>
    <w:tbl>
      <w:tblPr>
        <w:tblStyle w:val="2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EEA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7ABC8CA">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667" w:type="dxa"/>
            <w:tcBorders>
              <w:top w:val="single" w:color="auto" w:sz="4" w:space="0"/>
              <w:bottom w:val="single" w:color="auto" w:sz="4" w:space="0"/>
              <w:right w:val="single" w:color="auto" w:sz="4" w:space="0"/>
            </w:tcBorders>
            <w:vAlign w:val="center"/>
          </w:tcPr>
          <w:p w14:paraId="185A525C">
            <w:pPr>
              <w:spacing w:line="360" w:lineRule="exact"/>
              <w:jc w:val="center"/>
              <w:rPr>
                <w:rFonts w:ascii="宋体" w:hAnsi="宋体" w:cs="宋体"/>
                <w:color w:val="auto"/>
                <w:sz w:val="24"/>
                <w:highlight w:val="none"/>
              </w:rPr>
            </w:pPr>
          </w:p>
        </w:tc>
      </w:tr>
      <w:tr w14:paraId="4FC2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FD8D21A">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投标人全称</w:t>
            </w:r>
          </w:p>
        </w:tc>
        <w:tc>
          <w:tcPr>
            <w:tcW w:w="6667" w:type="dxa"/>
            <w:tcBorders>
              <w:top w:val="nil"/>
            </w:tcBorders>
            <w:vAlign w:val="center"/>
          </w:tcPr>
          <w:p w14:paraId="13FFE42B">
            <w:pPr>
              <w:spacing w:line="360" w:lineRule="auto"/>
              <w:rPr>
                <w:rFonts w:ascii="宋体" w:hAnsi="宋体" w:cs="宋体"/>
                <w:color w:val="auto"/>
                <w:sz w:val="24"/>
                <w:highlight w:val="none"/>
              </w:rPr>
            </w:pPr>
          </w:p>
        </w:tc>
      </w:tr>
      <w:tr w14:paraId="1617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A399A7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最终投标报价（包：）</w:t>
            </w:r>
          </w:p>
          <w:p w14:paraId="31C4E9B6">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（人民币）</w:t>
            </w:r>
          </w:p>
        </w:tc>
        <w:tc>
          <w:tcPr>
            <w:tcW w:w="6667" w:type="dxa"/>
            <w:tcBorders>
              <w:top w:val="nil"/>
            </w:tcBorders>
            <w:vAlign w:val="center"/>
          </w:tcPr>
          <w:p w14:paraId="2A08544E">
            <w:pPr>
              <w:spacing w:line="360" w:lineRule="auto"/>
              <w:ind w:right="-670"/>
              <w:rPr>
                <w:rFonts w:ascii="宋体" w:hAnsi="宋体" w:cs="宋体"/>
                <w:color w:val="auto"/>
                <w:sz w:val="24"/>
                <w:highlight w:val="none"/>
              </w:rPr>
            </w:pPr>
            <w:r>
              <w:rPr>
                <w:rFonts w:hint="eastAsia" w:ascii="宋体" w:hAnsi="宋体" w:cs="宋体"/>
                <w:color w:val="auto"/>
                <w:sz w:val="24"/>
                <w:highlight w:val="none"/>
              </w:rPr>
              <w:t xml:space="preserve">投标总价：       大写：           </w:t>
            </w:r>
          </w:p>
        </w:tc>
      </w:tr>
      <w:tr w14:paraId="1E4B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6E00AC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c>
          <w:tcPr>
            <w:tcW w:w="6667" w:type="dxa"/>
            <w:tcBorders>
              <w:top w:val="nil"/>
            </w:tcBorders>
            <w:vAlign w:val="center"/>
          </w:tcPr>
          <w:p w14:paraId="74B3F268">
            <w:pPr>
              <w:spacing w:line="360" w:lineRule="auto"/>
              <w:jc w:val="left"/>
              <w:rPr>
                <w:rFonts w:ascii="宋体" w:hAnsi="宋体" w:cs="宋体"/>
                <w:color w:val="auto"/>
                <w:sz w:val="24"/>
                <w:highlight w:val="none"/>
              </w:rPr>
            </w:pPr>
          </w:p>
        </w:tc>
      </w:tr>
    </w:tbl>
    <w:p w14:paraId="014349B0">
      <w:pPr>
        <w:spacing w:line="360" w:lineRule="auto"/>
        <w:ind w:firstLine="3840" w:firstLineChars="1600"/>
        <w:rPr>
          <w:rFonts w:hint="eastAsia" w:ascii="宋体" w:hAnsi="宋体" w:cs="宋体"/>
          <w:color w:val="auto"/>
          <w:sz w:val="24"/>
          <w:highlight w:val="none"/>
          <w:lang w:val="en-US" w:eastAsia="zh-CN"/>
        </w:rPr>
      </w:pPr>
    </w:p>
    <w:p w14:paraId="28A671CD">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7322CD2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备注：</w:t>
      </w:r>
    </w:p>
    <w:p w14:paraId="70A19959">
      <w:pPr>
        <w:spacing w:line="360" w:lineRule="auto"/>
        <w:rPr>
          <w:rFonts w:ascii="宋体" w:hAnsi="宋体" w:cs="宋体"/>
          <w:color w:val="auto"/>
          <w:sz w:val="24"/>
          <w:highlight w:val="none"/>
        </w:rPr>
      </w:pPr>
      <w:r>
        <w:rPr>
          <w:rFonts w:hint="eastAsia" w:ascii="宋体" w:hAnsi="宋体" w:cs="宋体"/>
          <w:color w:val="auto"/>
          <w:sz w:val="24"/>
          <w:highlight w:val="none"/>
        </w:rPr>
        <w:t>1、此表用于开标会唱标之用。</w:t>
      </w:r>
    </w:p>
    <w:p w14:paraId="3C22447E">
      <w:pPr>
        <w:spacing w:line="360" w:lineRule="auto"/>
        <w:rPr>
          <w:rFonts w:ascii="宋体" w:hAnsi="宋体" w:cs="宋体"/>
          <w:color w:val="auto"/>
          <w:sz w:val="24"/>
          <w:highlight w:val="none"/>
        </w:rPr>
      </w:pPr>
      <w:r>
        <w:rPr>
          <w:rFonts w:hint="eastAsia" w:ascii="宋体" w:hAnsi="宋体" w:cs="宋体"/>
          <w:color w:val="auto"/>
          <w:sz w:val="24"/>
          <w:highlight w:val="none"/>
        </w:rPr>
        <w:t>2、表中最终投标报价即为优惠后报价，并作为评审及定标依据。任何有选择或有条件的最终投标报价，或者表中某一包填写多个报价，均为无效报价。</w:t>
      </w:r>
    </w:p>
    <w:p w14:paraId="16109063">
      <w:pPr>
        <w:spacing w:line="360" w:lineRule="auto"/>
        <w:jc w:val="left"/>
        <w:rPr>
          <w:rFonts w:ascii="宋体" w:hAnsi="宋体" w:cs="宋体"/>
          <w:color w:val="auto"/>
          <w:sz w:val="24"/>
          <w:highlight w:val="none"/>
        </w:rPr>
      </w:pPr>
      <w:bookmarkStart w:id="6" w:name="_Toc495414234"/>
      <w:bookmarkStart w:id="7" w:name="_Toc220232409"/>
    </w:p>
    <w:p w14:paraId="3A76BE3E">
      <w:pPr>
        <w:pStyle w:val="44"/>
        <w:ind w:firstLine="240"/>
        <w:rPr>
          <w:rFonts w:ascii="宋体" w:hAnsi="宋体" w:cs="宋体"/>
          <w:color w:val="auto"/>
          <w:sz w:val="24"/>
          <w:highlight w:val="none"/>
        </w:rPr>
      </w:pPr>
    </w:p>
    <w:p w14:paraId="49CE9863">
      <w:pPr>
        <w:pStyle w:val="44"/>
        <w:ind w:firstLine="240"/>
        <w:rPr>
          <w:rFonts w:ascii="宋体" w:hAnsi="宋体" w:cs="宋体"/>
          <w:color w:val="auto"/>
          <w:sz w:val="24"/>
          <w:highlight w:val="none"/>
        </w:rPr>
      </w:pPr>
    </w:p>
    <w:p w14:paraId="6F5DAD79">
      <w:pPr>
        <w:pStyle w:val="44"/>
        <w:ind w:firstLine="240"/>
        <w:rPr>
          <w:rFonts w:ascii="宋体" w:hAnsi="宋体" w:cs="宋体"/>
          <w:color w:val="auto"/>
          <w:sz w:val="24"/>
          <w:highlight w:val="none"/>
        </w:rPr>
      </w:pPr>
    </w:p>
    <w:p w14:paraId="5B7AB584">
      <w:pPr>
        <w:pStyle w:val="44"/>
        <w:ind w:firstLine="240"/>
        <w:rPr>
          <w:rFonts w:ascii="宋体" w:hAnsi="宋体" w:cs="宋体"/>
          <w:color w:val="auto"/>
          <w:sz w:val="24"/>
          <w:highlight w:val="none"/>
        </w:rPr>
      </w:pPr>
    </w:p>
    <w:p w14:paraId="1F77AECA">
      <w:pPr>
        <w:pStyle w:val="44"/>
        <w:ind w:firstLine="240"/>
        <w:rPr>
          <w:rFonts w:ascii="宋体" w:hAnsi="宋体" w:cs="宋体"/>
          <w:color w:val="auto"/>
          <w:sz w:val="24"/>
          <w:highlight w:val="none"/>
        </w:rPr>
      </w:pPr>
    </w:p>
    <w:p w14:paraId="5826C772">
      <w:pPr>
        <w:spacing w:line="360" w:lineRule="auto"/>
        <w:jc w:val="left"/>
        <w:rPr>
          <w:rFonts w:hint="eastAsia" w:ascii="宋体" w:hAnsi="宋体" w:cs="宋体"/>
          <w:color w:val="auto"/>
          <w:sz w:val="24"/>
          <w:highlight w:val="none"/>
        </w:rPr>
      </w:pPr>
    </w:p>
    <w:p w14:paraId="2340291C">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6A508E77">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格式5</w:t>
      </w:r>
    </w:p>
    <w:bookmarkEnd w:id="6"/>
    <w:bookmarkEnd w:id="7"/>
    <w:p w14:paraId="445976D9">
      <w:pPr>
        <w:pStyle w:val="4"/>
        <w:jc w:val="center"/>
        <w:rPr>
          <w:rFonts w:ascii="宋体" w:hAnsi="宋体" w:cs="宋体"/>
          <w:b w:val="0"/>
          <w:color w:val="auto"/>
          <w:sz w:val="24"/>
          <w:szCs w:val="24"/>
          <w:highlight w:val="none"/>
        </w:rPr>
      </w:pPr>
      <w:r>
        <w:rPr>
          <w:rFonts w:hint="eastAsia" w:ascii="宋体" w:hAnsi="宋体" w:cs="宋体"/>
          <w:b w:val="0"/>
          <w:color w:val="auto"/>
          <w:sz w:val="24"/>
          <w:szCs w:val="24"/>
          <w:highlight w:val="none"/>
        </w:rPr>
        <w:t>投标分项报价表</w:t>
      </w:r>
    </w:p>
    <w:tbl>
      <w:tblPr>
        <w:tblStyle w:val="2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205"/>
        <w:gridCol w:w="957"/>
        <w:gridCol w:w="840"/>
        <w:gridCol w:w="1260"/>
        <w:gridCol w:w="1340"/>
        <w:gridCol w:w="1347"/>
      </w:tblGrid>
      <w:tr w14:paraId="656F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vAlign w:val="center"/>
          </w:tcPr>
          <w:p w14:paraId="5E3FACE6">
            <w:pPr>
              <w:pStyle w:val="68"/>
              <w:widowControl w:val="0"/>
              <w:spacing w:before="0" w:beforeAutospacing="0" w:after="0" w:afterAutospacing="0" w:line="340" w:lineRule="exact"/>
              <w:rPr>
                <w:rFonts w:cs="宋体"/>
                <w:b w:val="0"/>
                <w:bCs w:val="0"/>
                <w:color w:val="auto"/>
                <w:kern w:val="2"/>
                <w:sz w:val="24"/>
                <w:szCs w:val="24"/>
                <w:highlight w:val="none"/>
              </w:rPr>
            </w:pPr>
            <w:r>
              <w:rPr>
                <w:rFonts w:hint="eastAsia" w:cs="宋体"/>
                <w:b w:val="0"/>
                <w:bCs w:val="0"/>
                <w:color w:val="auto"/>
                <w:kern w:val="2"/>
                <w:sz w:val="24"/>
                <w:szCs w:val="24"/>
                <w:highlight w:val="none"/>
              </w:rPr>
              <w:t>序号</w:t>
            </w:r>
          </w:p>
        </w:tc>
        <w:tc>
          <w:tcPr>
            <w:tcW w:w="2205" w:type="dxa"/>
            <w:vAlign w:val="center"/>
          </w:tcPr>
          <w:p w14:paraId="554D2DB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服务项目名称</w:t>
            </w:r>
          </w:p>
        </w:tc>
        <w:tc>
          <w:tcPr>
            <w:tcW w:w="957" w:type="dxa"/>
            <w:vAlign w:val="center"/>
          </w:tcPr>
          <w:p w14:paraId="40EAF9A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840" w:type="dxa"/>
            <w:vAlign w:val="center"/>
          </w:tcPr>
          <w:p w14:paraId="65863ECA">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60" w:type="dxa"/>
            <w:vAlign w:val="center"/>
          </w:tcPr>
          <w:p w14:paraId="3B1F9C0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单价</w:t>
            </w:r>
          </w:p>
        </w:tc>
        <w:tc>
          <w:tcPr>
            <w:tcW w:w="1340" w:type="dxa"/>
            <w:vAlign w:val="center"/>
          </w:tcPr>
          <w:p w14:paraId="45A291F9">
            <w:pPr>
              <w:spacing w:line="340" w:lineRule="exact"/>
              <w:jc w:val="center"/>
              <w:rPr>
                <w:rFonts w:ascii="宋体" w:hAnsi="宋体" w:cs="宋体"/>
                <w:color w:val="auto"/>
                <w:sz w:val="24"/>
                <w:highlight w:val="none"/>
              </w:rPr>
            </w:pPr>
            <w:r>
              <w:rPr>
                <w:rFonts w:hint="eastAsia" w:ascii="宋体" w:hAnsi="宋体" w:cs="宋体"/>
                <w:bCs/>
                <w:color w:val="auto"/>
                <w:sz w:val="24"/>
                <w:highlight w:val="none"/>
              </w:rPr>
              <w:t>小计</w:t>
            </w:r>
          </w:p>
        </w:tc>
        <w:tc>
          <w:tcPr>
            <w:tcW w:w="1347" w:type="dxa"/>
            <w:vAlign w:val="center"/>
          </w:tcPr>
          <w:p w14:paraId="2A67521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14:paraId="6F4D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Borders>
              <w:bottom w:val="single" w:color="auto" w:sz="4" w:space="0"/>
            </w:tcBorders>
          </w:tcPr>
          <w:p w14:paraId="70BBB01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205" w:type="dxa"/>
          </w:tcPr>
          <w:p w14:paraId="4713A4D8">
            <w:pPr>
              <w:spacing w:line="340" w:lineRule="exact"/>
              <w:rPr>
                <w:rFonts w:ascii="宋体" w:hAnsi="宋体" w:cs="宋体"/>
                <w:color w:val="auto"/>
                <w:sz w:val="24"/>
                <w:highlight w:val="none"/>
              </w:rPr>
            </w:pPr>
          </w:p>
        </w:tc>
        <w:tc>
          <w:tcPr>
            <w:tcW w:w="957" w:type="dxa"/>
          </w:tcPr>
          <w:p w14:paraId="235FC77D">
            <w:pPr>
              <w:spacing w:line="340" w:lineRule="exact"/>
              <w:rPr>
                <w:rFonts w:ascii="宋体" w:hAnsi="宋体" w:cs="宋体"/>
                <w:color w:val="auto"/>
                <w:sz w:val="24"/>
                <w:highlight w:val="none"/>
              </w:rPr>
            </w:pPr>
          </w:p>
        </w:tc>
        <w:tc>
          <w:tcPr>
            <w:tcW w:w="840" w:type="dxa"/>
          </w:tcPr>
          <w:p w14:paraId="3469CEAE">
            <w:pPr>
              <w:spacing w:line="340" w:lineRule="exact"/>
              <w:rPr>
                <w:rFonts w:ascii="宋体" w:hAnsi="宋体" w:cs="宋体"/>
                <w:color w:val="auto"/>
                <w:sz w:val="24"/>
                <w:highlight w:val="none"/>
              </w:rPr>
            </w:pPr>
          </w:p>
        </w:tc>
        <w:tc>
          <w:tcPr>
            <w:tcW w:w="1260" w:type="dxa"/>
          </w:tcPr>
          <w:p w14:paraId="0333E72F">
            <w:pPr>
              <w:spacing w:line="340" w:lineRule="exact"/>
              <w:rPr>
                <w:rFonts w:ascii="宋体" w:hAnsi="宋体" w:cs="宋体"/>
                <w:color w:val="auto"/>
                <w:sz w:val="24"/>
                <w:highlight w:val="none"/>
              </w:rPr>
            </w:pPr>
          </w:p>
        </w:tc>
        <w:tc>
          <w:tcPr>
            <w:tcW w:w="1340" w:type="dxa"/>
          </w:tcPr>
          <w:p w14:paraId="161EDCF0">
            <w:pPr>
              <w:spacing w:line="340" w:lineRule="exact"/>
              <w:rPr>
                <w:rFonts w:ascii="宋体" w:hAnsi="宋体" w:cs="宋体"/>
                <w:color w:val="auto"/>
                <w:sz w:val="24"/>
                <w:highlight w:val="none"/>
              </w:rPr>
            </w:pPr>
          </w:p>
        </w:tc>
        <w:tc>
          <w:tcPr>
            <w:tcW w:w="1347" w:type="dxa"/>
          </w:tcPr>
          <w:p w14:paraId="5923CA70">
            <w:pPr>
              <w:spacing w:line="340" w:lineRule="exact"/>
              <w:rPr>
                <w:rFonts w:ascii="宋体" w:hAnsi="宋体" w:cs="宋体"/>
                <w:color w:val="auto"/>
                <w:sz w:val="24"/>
                <w:highlight w:val="none"/>
              </w:rPr>
            </w:pPr>
          </w:p>
        </w:tc>
      </w:tr>
      <w:tr w14:paraId="7A9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788E240">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205" w:type="dxa"/>
          </w:tcPr>
          <w:p w14:paraId="08AC9E26">
            <w:pPr>
              <w:spacing w:line="340" w:lineRule="exact"/>
              <w:rPr>
                <w:rFonts w:ascii="宋体" w:hAnsi="宋体" w:cs="宋体"/>
                <w:color w:val="auto"/>
                <w:sz w:val="24"/>
                <w:highlight w:val="none"/>
              </w:rPr>
            </w:pPr>
          </w:p>
        </w:tc>
        <w:tc>
          <w:tcPr>
            <w:tcW w:w="957" w:type="dxa"/>
          </w:tcPr>
          <w:p w14:paraId="2A332E7F">
            <w:pPr>
              <w:spacing w:line="340" w:lineRule="exact"/>
              <w:rPr>
                <w:rFonts w:ascii="宋体" w:hAnsi="宋体" w:cs="宋体"/>
                <w:color w:val="auto"/>
                <w:sz w:val="24"/>
                <w:highlight w:val="none"/>
              </w:rPr>
            </w:pPr>
          </w:p>
        </w:tc>
        <w:tc>
          <w:tcPr>
            <w:tcW w:w="840" w:type="dxa"/>
          </w:tcPr>
          <w:p w14:paraId="17FF9A03">
            <w:pPr>
              <w:spacing w:line="340" w:lineRule="exact"/>
              <w:rPr>
                <w:rFonts w:ascii="宋体" w:hAnsi="宋体" w:cs="宋体"/>
                <w:color w:val="auto"/>
                <w:sz w:val="24"/>
                <w:highlight w:val="none"/>
              </w:rPr>
            </w:pPr>
          </w:p>
        </w:tc>
        <w:tc>
          <w:tcPr>
            <w:tcW w:w="1260" w:type="dxa"/>
          </w:tcPr>
          <w:p w14:paraId="61F4FD0B">
            <w:pPr>
              <w:spacing w:line="340" w:lineRule="exact"/>
              <w:rPr>
                <w:rFonts w:ascii="宋体" w:hAnsi="宋体" w:cs="宋体"/>
                <w:color w:val="auto"/>
                <w:sz w:val="24"/>
                <w:highlight w:val="none"/>
              </w:rPr>
            </w:pPr>
          </w:p>
        </w:tc>
        <w:tc>
          <w:tcPr>
            <w:tcW w:w="1340" w:type="dxa"/>
          </w:tcPr>
          <w:p w14:paraId="13C1DC15">
            <w:pPr>
              <w:spacing w:line="340" w:lineRule="exact"/>
              <w:rPr>
                <w:rFonts w:ascii="宋体" w:hAnsi="宋体" w:cs="宋体"/>
                <w:color w:val="auto"/>
                <w:sz w:val="24"/>
                <w:highlight w:val="none"/>
              </w:rPr>
            </w:pPr>
          </w:p>
        </w:tc>
        <w:tc>
          <w:tcPr>
            <w:tcW w:w="1347" w:type="dxa"/>
          </w:tcPr>
          <w:p w14:paraId="2680D767">
            <w:pPr>
              <w:spacing w:line="340" w:lineRule="exact"/>
              <w:rPr>
                <w:rFonts w:ascii="宋体" w:hAnsi="宋体" w:cs="宋体"/>
                <w:color w:val="auto"/>
                <w:sz w:val="24"/>
                <w:highlight w:val="none"/>
              </w:rPr>
            </w:pPr>
          </w:p>
        </w:tc>
      </w:tr>
      <w:tr w14:paraId="7636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252F49E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205" w:type="dxa"/>
          </w:tcPr>
          <w:p w14:paraId="0294B8EA">
            <w:pPr>
              <w:spacing w:line="340" w:lineRule="exact"/>
              <w:rPr>
                <w:rFonts w:ascii="宋体" w:hAnsi="宋体" w:cs="宋体"/>
                <w:color w:val="auto"/>
                <w:sz w:val="24"/>
                <w:highlight w:val="none"/>
              </w:rPr>
            </w:pPr>
          </w:p>
        </w:tc>
        <w:tc>
          <w:tcPr>
            <w:tcW w:w="957" w:type="dxa"/>
          </w:tcPr>
          <w:p w14:paraId="64AD6FC6">
            <w:pPr>
              <w:spacing w:line="340" w:lineRule="exact"/>
              <w:rPr>
                <w:rFonts w:ascii="宋体" w:hAnsi="宋体" w:cs="宋体"/>
                <w:color w:val="auto"/>
                <w:sz w:val="24"/>
                <w:highlight w:val="none"/>
              </w:rPr>
            </w:pPr>
          </w:p>
        </w:tc>
        <w:tc>
          <w:tcPr>
            <w:tcW w:w="840" w:type="dxa"/>
          </w:tcPr>
          <w:p w14:paraId="05C9357F">
            <w:pPr>
              <w:spacing w:line="340" w:lineRule="exact"/>
              <w:rPr>
                <w:rFonts w:ascii="宋体" w:hAnsi="宋体" w:cs="宋体"/>
                <w:color w:val="auto"/>
                <w:sz w:val="24"/>
                <w:highlight w:val="none"/>
              </w:rPr>
            </w:pPr>
          </w:p>
        </w:tc>
        <w:tc>
          <w:tcPr>
            <w:tcW w:w="1260" w:type="dxa"/>
          </w:tcPr>
          <w:p w14:paraId="2D98FC9C">
            <w:pPr>
              <w:spacing w:line="340" w:lineRule="exact"/>
              <w:rPr>
                <w:rFonts w:ascii="宋体" w:hAnsi="宋体" w:cs="宋体"/>
                <w:color w:val="auto"/>
                <w:sz w:val="24"/>
                <w:highlight w:val="none"/>
              </w:rPr>
            </w:pPr>
          </w:p>
        </w:tc>
        <w:tc>
          <w:tcPr>
            <w:tcW w:w="1340" w:type="dxa"/>
          </w:tcPr>
          <w:p w14:paraId="0C6D81B6">
            <w:pPr>
              <w:spacing w:line="340" w:lineRule="exact"/>
              <w:rPr>
                <w:rFonts w:ascii="宋体" w:hAnsi="宋体" w:cs="宋体"/>
                <w:color w:val="auto"/>
                <w:sz w:val="24"/>
                <w:highlight w:val="none"/>
              </w:rPr>
            </w:pPr>
          </w:p>
        </w:tc>
        <w:tc>
          <w:tcPr>
            <w:tcW w:w="1347" w:type="dxa"/>
          </w:tcPr>
          <w:p w14:paraId="09BBF26C">
            <w:pPr>
              <w:spacing w:line="340" w:lineRule="exact"/>
              <w:rPr>
                <w:rFonts w:ascii="宋体" w:hAnsi="宋体" w:cs="宋体"/>
                <w:color w:val="auto"/>
                <w:sz w:val="24"/>
                <w:highlight w:val="none"/>
              </w:rPr>
            </w:pPr>
          </w:p>
        </w:tc>
      </w:tr>
      <w:tr w14:paraId="6339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2E320323">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205" w:type="dxa"/>
          </w:tcPr>
          <w:p w14:paraId="4AF7CE05">
            <w:pPr>
              <w:spacing w:line="340" w:lineRule="exact"/>
              <w:rPr>
                <w:rFonts w:ascii="宋体" w:hAnsi="宋体" w:cs="宋体"/>
                <w:color w:val="auto"/>
                <w:sz w:val="24"/>
                <w:highlight w:val="none"/>
              </w:rPr>
            </w:pPr>
          </w:p>
        </w:tc>
        <w:tc>
          <w:tcPr>
            <w:tcW w:w="957" w:type="dxa"/>
          </w:tcPr>
          <w:p w14:paraId="125DD762">
            <w:pPr>
              <w:spacing w:line="340" w:lineRule="exact"/>
              <w:rPr>
                <w:rFonts w:ascii="宋体" w:hAnsi="宋体" w:cs="宋体"/>
                <w:color w:val="auto"/>
                <w:sz w:val="24"/>
                <w:highlight w:val="none"/>
              </w:rPr>
            </w:pPr>
          </w:p>
        </w:tc>
        <w:tc>
          <w:tcPr>
            <w:tcW w:w="840" w:type="dxa"/>
          </w:tcPr>
          <w:p w14:paraId="0989E6E4">
            <w:pPr>
              <w:spacing w:line="340" w:lineRule="exact"/>
              <w:rPr>
                <w:rFonts w:ascii="宋体" w:hAnsi="宋体" w:cs="宋体"/>
                <w:color w:val="auto"/>
                <w:sz w:val="24"/>
                <w:highlight w:val="none"/>
              </w:rPr>
            </w:pPr>
          </w:p>
        </w:tc>
        <w:tc>
          <w:tcPr>
            <w:tcW w:w="1260" w:type="dxa"/>
          </w:tcPr>
          <w:p w14:paraId="37651B84">
            <w:pPr>
              <w:spacing w:line="340" w:lineRule="exact"/>
              <w:rPr>
                <w:rFonts w:ascii="宋体" w:hAnsi="宋体" w:cs="宋体"/>
                <w:color w:val="auto"/>
                <w:sz w:val="24"/>
                <w:highlight w:val="none"/>
              </w:rPr>
            </w:pPr>
          </w:p>
        </w:tc>
        <w:tc>
          <w:tcPr>
            <w:tcW w:w="1340" w:type="dxa"/>
          </w:tcPr>
          <w:p w14:paraId="41D6EB04">
            <w:pPr>
              <w:spacing w:line="340" w:lineRule="exact"/>
              <w:rPr>
                <w:rFonts w:ascii="宋体" w:hAnsi="宋体" w:cs="宋体"/>
                <w:color w:val="auto"/>
                <w:sz w:val="24"/>
                <w:highlight w:val="none"/>
              </w:rPr>
            </w:pPr>
          </w:p>
        </w:tc>
        <w:tc>
          <w:tcPr>
            <w:tcW w:w="1347" w:type="dxa"/>
          </w:tcPr>
          <w:p w14:paraId="7DBDB877">
            <w:pPr>
              <w:spacing w:line="340" w:lineRule="exact"/>
              <w:rPr>
                <w:rFonts w:ascii="宋体" w:hAnsi="宋体" w:cs="宋体"/>
                <w:color w:val="auto"/>
                <w:sz w:val="24"/>
                <w:highlight w:val="none"/>
              </w:rPr>
            </w:pPr>
          </w:p>
        </w:tc>
      </w:tr>
      <w:tr w14:paraId="0403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0592DB4">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205" w:type="dxa"/>
          </w:tcPr>
          <w:p w14:paraId="60377062">
            <w:pPr>
              <w:spacing w:line="340" w:lineRule="exact"/>
              <w:rPr>
                <w:rFonts w:ascii="宋体" w:hAnsi="宋体" w:cs="宋体"/>
                <w:color w:val="auto"/>
                <w:sz w:val="24"/>
                <w:highlight w:val="none"/>
              </w:rPr>
            </w:pPr>
          </w:p>
        </w:tc>
        <w:tc>
          <w:tcPr>
            <w:tcW w:w="957" w:type="dxa"/>
          </w:tcPr>
          <w:p w14:paraId="7070CF57">
            <w:pPr>
              <w:spacing w:line="340" w:lineRule="exact"/>
              <w:rPr>
                <w:rFonts w:ascii="宋体" w:hAnsi="宋体" w:cs="宋体"/>
                <w:color w:val="auto"/>
                <w:sz w:val="24"/>
                <w:highlight w:val="none"/>
              </w:rPr>
            </w:pPr>
          </w:p>
        </w:tc>
        <w:tc>
          <w:tcPr>
            <w:tcW w:w="840" w:type="dxa"/>
          </w:tcPr>
          <w:p w14:paraId="0CC41DC7">
            <w:pPr>
              <w:spacing w:line="340" w:lineRule="exact"/>
              <w:rPr>
                <w:rFonts w:ascii="宋体" w:hAnsi="宋体" w:cs="宋体"/>
                <w:color w:val="auto"/>
                <w:sz w:val="24"/>
                <w:highlight w:val="none"/>
              </w:rPr>
            </w:pPr>
          </w:p>
        </w:tc>
        <w:tc>
          <w:tcPr>
            <w:tcW w:w="1260" w:type="dxa"/>
          </w:tcPr>
          <w:p w14:paraId="4B3E47E0">
            <w:pPr>
              <w:spacing w:line="340" w:lineRule="exact"/>
              <w:rPr>
                <w:rFonts w:ascii="宋体" w:hAnsi="宋体" w:cs="宋体"/>
                <w:color w:val="auto"/>
                <w:sz w:val="24"/>
                <w:highlight w:val="none"/>
              </w:rPr>
            </w:pPr>
          </w:p>
        </w:tc>
        <w:tc>
          <w:tcPr>
            <w:tcW w:w="1340" w:type="dxa"/>
          </w:tcPr>
          <w:p w14:paraId="18A471C0">
            <w:pPr>
              <w:spacing w:line="340" w:lineRule="exact"/>
              <w:rPr>
                <w:rFonts w:ascii="宋体" w:hAnsi="宋体" w:cs="宋体"/>
                <w:color w:val="auto"/>
                <w:sz w:val="24"/>
                <w:highlight w:val="none"/>
              </w:rPr>
            </w:pPr>
          </w:p>
        </w:tc>
        <w:tc>
          <w:tcPr>
            <w:tcW w:w="1347" w:type="dxa"/>
          </w:tcPr>
          <w:p w14:paraId="5DB5683D">
            <w:pPr>
              <w:spacing w:line="340" w:lineRule="exact"/>
              <w:rPr>
                <w:rFonts w:ascii="宋体" w:hAnsi="宋体" w:cs="宋体"/>
                <w:color w:val="auto"/>
                <w:sz w:val="24"/>
                <w:highlight w:val="none"/>
              </w:rPr>
            </w:pPr>
          </w:p>
        </w:tc>
      </w:tr>
      <w:tr w14:paraId="769E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6E7A95DD">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205" w:type="dxa"/>
          </w:tcPr>
          <w:p w14:paraId="33B8161B">
            <w:pPr>
              <w:spacing w:line="340" w:lineRule="exact"/>
              <w:rPr>
                <w:rFonts w:ascii="宋体" w:hAnsi="宋体" w:cs="宋体"/>
                <w:color w:val="auto"/>
                <w:sz w:val="24"/>
                <w:highlight w:val="none"/>
              </w:rPr>
            </w:pPr>
          </w:p>
        </w:tc>
        <w:tc>
          <w:tcPr>
            <w:tcW w:w="957" w:type="dxa"/>
          </w:tcPr>
          <w:p w14:paraId="46C7B964">
            <w:pPr>
              <w:spacing w:line="340" w:lineRule="exact"/>
              <w:rPr>
                <w:rFonts w:ascii="宋体" w:hAnsi="宋体" w:cs="宋体"/>
                <w:color w:val="auto"/>
                <w:sz w:val="24"/>
                <w:highlight w:val="none"/>
              </w:rPr>
            </w:pPr>
          </w:p>
        </w:tc>
        <w:tc>
          <w:tcPr>
            <w:tcW w:w="840" w:type="dxa"/>
          </w:tcPr>
          <w:p w14:paraId="4FDEEC36">
            <w:pPr>
              <w:spacing w:line="340" w:lineRule="exact"/>
              <w:rPr>
                <w:rFonts w:ascii="宋体" w:hAnsi="宋体" w:cs="宋体"/>
                <w:color w:val="auto"/>
                <w:sz w:val="24"/>
                <w:highlight w:val="none"/>
              </w:rPr>
            </w:pPr>
          </w:p>
        </w:tc>
        <w:tc>
          <w:tcPr>
            <w:tcW w:w="1260" w:type="dxa"/>
          </w:tcPr>
          <w:p w14:paraId="60681F3B">
            <w:pPr>
              <w:spacing w:line="340" w:lineRule="exact"/>
              <w:rPr>
                <w:rFonts w:ascii="宋体" w:hAnsi="宋体" w:cs="宋体"/>
                <w:color w:val="auto"/>
                <w:sz w:val="24"/>
                <w:highlight w:val="none"/>
              </w:rPr>
            </w:pPr>
          </w:p>
        </w:tc>
        <w:tc>
          <w:tcPr>
            <w:tcW w:w="1340" w:type="dxa"/>
          </w:tcPr>
          <w:p w14:paraId="30B9EA45">
            <w:pPr>
              <w:spacing w:line="340" w:lineRule="exact"/>
              <w:rPr>
                <w:rFonts w:ascii="宋体" w:hAnsi="宋体" w:cs="宋体"/>
                <w:color w:val="auto"/>
                <w:sz w:val="24"/>
                <w:highlight w:val="none"/>
              </w:rPr>
            </w:pPr>
          </w:p>
        </w:tc>
        <w:tc>
          <w:tcPr>
            <w:tcW w:w="1347" w:type="dxa"/>
          </w:tcPr>
          <w:p w14:paraId="61AAEAB0">
            <w:pPr>
              <w:spacing w:line="340" w:lineRule="exact"/>
              <w:rPr>
                <w:rFonts w:ascii="宋体" w:hAnsi="宋体" w:cs="宋体"/>
                <w:color w:val="auto"/>
                <w:sz w:val="24"/>
                <w:highlight w:val="none"/>
              </w:rPr>
            </w:pPr>
          </w:p>
        </w:tc>
      </w:tr>
      <w:tr w14:paraId="1987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AD618A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205" w:type="dxa"/>
          </w:tcPr>
          <w:p w14:paraId="26CB1547">
            <w:pPr>
              <w:spacing w:line="340" w:lineRule="exact"/>
              <w:rPr>
                <w:rFonts w:ascii="宋体" w:hAnsi="宋体" w:cs="宋体"/>
                <w:color w:val="auto"/>
                <w:sz w:val="24"/>
                <w:highlight w:val="none"/>
              </w:rPr>
            </w:pPr>
          </w:p>
        </w:tc>
        <w:tc>
          <w:tcPr>
            <w:tcW w:w="957" w:type="dxa"/>
          </w:tcPr>
          <w:p w14:paraId="62E2ACDB">
            <w:pPr>
              <w:spacing w:line="340" w:lineRule="exact"/>
              <w:rPr>
                <w:rFonts w:ascii="宋体" w:hAnsi="宋体" w:cs="宋体"/>
                <w:color w:val="auto"/>
                <w:sz w:val="24"/>
                <w:highlight w:val="none"/>
              </w:rPr>
            </w:pPr>
          </w:p>
        </w:tc>
        <w:tc>
          <w:tcPr>
            <w:tcW w:w="840" w:type="dxa"/>
          </w:tcPr>
          <w:p w14:paraId="30E8E3F3">
            <w:pPr>
              <w:spacing w:line="340" w:lineRule="exact"/>
              <w:rPr>
                <w:rFonts w:ascii="宋体" w:hAnsi="宋体" w:cs="宋体"/>
                <w:color w:val="auto"/>
                <w:sz w:val="24"/>
                <w:highlight w:val="none"/>
              </w:rPr>
            </w:pPr>
          </w:p>
        </w:tc>
        <w:tc>
          <w:tcPr>
            <w:tcW w:w="1260" w:type="dxa"/>
          </w:tcPr>
          <w:p w14:paraId="4EF24C12">
            <w:pPr>
              <w:spacing w:line="340" w:lineRule="exact"/>
              <w:rPr>
                <w:rFonts w:ascii="宋体" w:hAnsi="宋体" w:cs="宋体"/>
                <w:color w:val="auto"/>
                <w:sz w:val="24"/>
                <w:highlight w:val="none"/>
              </w:rPr>
            </w:pPr>
          </w:p>
        </w:tc>
        <w:tc>
          <w:tcPr>
            <w:tcW w:w="1340" w:type="dxa"/>
          </w:tcPr>
          <w:p w14:paraId="0072383D">
            <w:pPr>
              <w:spacing w:line="340" w:lineRule="exact"/>
              <w:rPr>
                <w:rFonts w:ascii="宋体" w:hAnsi="宋体" w:cs="宋体"/>
                <w:color w:val="auto"/>
                <w:sz w:val="24"/>
                <w:highlight w:val="none"/>
              </w:rPr>
            </w:pPr>
          </w:p>
        </w:tc>
        <w:tc>
          <w:tcPr>
            <w:tcW w:w="1347" w:type="dxa"/>
          </w:tcPr>
          <w:p w14:paraId="700198AE">
            <w:pPr>
              <w:spacing w:line="340" w:lineRule="exact"/>
              <w:rPr>
                <w:rFonts w:ascii="宋体" w:hAnsi="宋体" w:cs="宋体"/>
                <w:color w:val="auto"/>
                <w:sz w:val="24"/>
                <w:highlight w:val="none"/>
              </w:rPr>
            </w:pPr>
          </w:p>
        </w:tc>
      </w:tr>
      <w:tr w14:paraId="21B7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40" w:type="dxa"/>
          </w:tcPr>
          <w:p w14:paraId="066EBB79">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205" w:type="dxa"/>
          </w:tcPr>
          <w:p w14:paraId="344138D2">
            <w:pPr>
              <w:spacing w:line="340" w:lineRule="exact"/>
              <w:rPr>
                <w:rFonts w:ascii="宋体" w:hAnsi="宋体" w:cs="宋体"/>
                <w:color w:val="auto"/>
                <w:sz w:val="24"/>
                <w:highlight w:val="none"/>
              </w:rPr>
            </w:pPr>
          </w:p>
        </w:tc>
        <w:tc>
          <w:tcPr>
            <w:tcW w:w="957" w:type="dxa"/>
          </w:tcPr>
          <w:p w14:paraId="17BFBEEE">
            <w:pPr>
              <w:spacing w:line="340" w:lineRule="exact"/>
              <w:rPr>
                <w:rFonts w:ascii="宋体" w:hAnsi="宋体" w:cs="宋体"/>
                <w:color w:val="auto"/>
                <w:sz w:val="24"/>
                <w:highlight w:val="none"/>
              </w:rPr>
            </w:pPr>
          </w:p>
        </w:tc>
        <w:tc>
          <w:tcPr>
            <w:tcW w:w="840" w:type="dxa"/>
          </w:tcPr>
          <w:p w14:paraId="56ABCC89">
            <w:pPr>
              <w:spacing w:line="340" w:lineRule="exact"/>
              <w:rPr>
                <w:rFonts w:ascii="宋体" w:hAnsi="宋体" w:cs="宋体"/>
                <w:color w:val="auto"/>
                <w:sz w:val="24"/>
                <w:highlight w:val="none"/>
              </w:rPr>
            </w:pPr>
          </w:p>
        </w:tc>
        <w:tc>
          <w:tcPr>
            <w:tcW w:w="1260" w:type="dxa"/>
          </w:tcPr>
          <w:p w14:paraId="46F357F7">
            <w:pPr>
              <w:spacing w:line="340" w:lineRule="exact"/>
              <w:rPr>
                <w:rFonts w:ascii="宋体" w:hAnsi="宋体" w:cs="宋体"/>
                <w:color w:val="auto"/>
                <w:sz w:val="24"/>
                <w:highlight w:val="none"/>
              </w:rPr>
            </w:pPr>
          </w:p>
        </w:tc>
        <w:tc>
          <w:tcPr>
            <w:tcW w:w="1340" w:type="dxa"/>
          </w:tcPr>
          <w:p w14:paraId="63429CCD">
            <w:pPr>
              <w:spacing w:line="340" w:lineRule="exact"/>
              <w:rPr>
                <w:rFonts w:ascii="宋体" w:hAnsi="宋体" w:cs="宋体"/>
                <w:color w:val="auto"/>
                <w:sz w:val="24"/>
                <w:highlight w:val="none"/>
              </w:rPr>
            </w:pPr>
          </w:p>
        </w:tc>
        <w:tc>
          <w:tcPr>
            <w:tcW w:w="1347" w:type="dxa"/>
          </w:tcPr>
          <w:p w14:paraId="5E1E916A">
            <w:pPr>
              <w:spacing w:line="340" w:lineRule="exact"/>
              <w:rPr>
                <w:rFonts w:ascii="宋体" w:hAnsi="宋体" w:cs="宋体"/>
                <w:color w:val="auto"/>
                <w:sz w:val="24"/>
                <w:highlight w:val="none"/>
              </w:rPr>
            </w:pPr>
          </w:p>
        </w:tc>
      </w:tr>
      <w:tr w14:paraId="3132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4AEB021E">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05" w:type="dxa"/>
          </w:tcPr>
          <w:p w14:paraId="450619C5">
            <w:pPr>
              <w:spacing w:line="340" w:lineRule="exact"/>
              <w:rPr>
                <w:rFonts w:ascii="宋体" w:hAnsi="宋体" w:cs="宋体"/>
                <w:color w:val="auto"/>
                <w:sz w:val="24"/>
                <w:highlight w:val="none"/>
              </w:rPr>
            </w:pPr>
          </w:p>
        </w:tc>
        <w:tc>
          <w:tcPr>
            <w:tcW w:w="957" w:type="dxa"/>
          </w:tcPr>
          <w:p w14:paraId="31D938E2">
            <w:pPr>
              <w:spacing w:line="340" w:lineRule="exact"/>
              <w:rPr>
                <w:rFonts w:ascii="宋体" w:hAnsi="宋体" w:cs="宋体"/>
                <w:color w:val="auto"/>
                <w:sz w:val="24"/>
                <w:highlight w:val="none"/>
              </w:rPr>
            </w:pPr>
          </w:p>
        </w:tc>
        <w:tc>
          <w:tcPr>
            <w:tcW w:w="840" w:type="dxa"/>
          </w:tcPr>
          <w:p w14:paraId="7E71B962">
            <w:pPr>
              <w:spacing w:line="340" w:lineRule="exact"/>
              <w:rPr>
                <w:rFonts w:ascii="宋体" w:hAnsi="宋体" w:cs="宋体"/>
                <w:color w:val="auto"/>
                <w:sz w:val="24"/>
                <w:highlight w:val="none"/>
              </w:rPr>
            </w:pPr>
          </w:p>
        </w:tc>
        <w:tc>
          <w:tcPr>
            <w:tcW w:w="1260" w:type="dxa"/>
          </w:tcPr>
          <w:p w14:paraId="1FDBF55D">
            <w:pPr>
              <w:spacing w:line="340" w:lineRule="exact"/>
              <w:rPr>
                <w:rFonts w:ascii="宋体" w:hAnsi="宋体" w:cs="宋体"/>
                <w:color w:val="auto"/>
                <w:sz w:val="24"/>
                <w:highlight w:val="none"/>
              </w:rPr>
            </w:pPr>
          </w:p>
        </w:tc>
        <w:tc>
          <w:tcPr>
            <w:tcW w:w="1340" w:type="dxa"/>
          </w:tcPr>
          <w:p w14:paraId="132190A4">
            <w:pPr>
              <w:spacing w:line="340" w:lineRule="exact"/>
              <w:rPr>
                <w:rFonts w:ascii="宋体" w:hAnsi="宋体" w:cs="宋体"/>
                <w:color w:val="auto"/>
                <w:sz w:val="24"/>
                <w:highlight w:val="none"/>
              </w:rPr>
            </w:pPr>
          </w:p>
        </w:tc>
        <w:tc>
          <w:tcPr>
            <w:tcW w:w="1347" w:type="dxa"/>
          </w:tcPr>
          <w:p w14:paraId="3A24A567">
            <w:pPr>
              <w:spacing w:line="340" w:lineRule="exact"/>
              <w:rPr>
                <w:rFonts w:ascii="宋体" w:hAnsi="宋体" w:cs="宋体"/>
                <w:color w:val="auto"/>
                <w:sz w:val="24"/>
                <w:highlight w:val="none"/>
              </w:rPr>
            </w:pPr>
          </w:p>
        </w:tc>
      </w:tr>
      <w:tr w14:paraId="33B4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B2CE36B">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05" w:type="dxa"/>
          </w:tcPr>
          <w:p w14:paraId="11B73B40">
            <w:pPr>
              <w:spacing w:line="340" w:lineRule="exact"/>
              <w:rPr>
                <w:rFonts w:ascii="宋体" w:hAnsi="宋体" w:cs="宋体"/>
                <w:color w:val="auto"/>
                <w:sz w:val="24"/>
                <w:highlight w:val="none"/>
              </w:rPr>
            </w:pPr>
          </w:p>
        </w:tc>
        <w:tc>
          <w:tcPr>
            <w:tcW w:w="957" w:type="dxa"/>
          </w:tcPr>
          <w:p w14:paraId="4B9AB84D">
            <w:pPr>
              <w:spacing w:line="340" w:lineRule="exact"/>
              <w:rPr>
                <w:rFonts w:ascii="宋体" w:hAnsi="宋体" w:cs="宋体"/>
                <w:color w:val="auto"/>
                <w:sz w:val="24"/>
                <w:highlight w:val="none"/>
              </w:rPr>
            </w:pPr>
          </w:p>
        </w:tc>
        <w:tc>
          <w:tcPr>
            <w:tcW w:w="840" w:type="dxa"/>
          </w:tcPr>
          <w:p w14:paraId="764E9EF7">
            <w:pPr>
              <w:spacing w:line="340" w:lineRule="exact"/>
              <w:rPr>
                <w:rFonts w:ascii="宋体" w:hAnsi="宋体" w:cs="宋体"/>
                <w:color w:val="auto"/>
                <w:sz w:val="24"/>
                <w:highlight w:val="none"/>
              </w:rPr>
            </w:pPr>
          </w:p>
        </w:tc>
        <w:tc>
          <w:tcPr>
            <w:tcW w:w="1260" w:type="dxa"/>
          </w:tcPr>
          <w:p w14:paraId="6D328B57">
            <w:pPr>
              <w:spacing w:line="340" w:lineRule="exact"/>
              <w:rPr>
                <w:rFonts w:ascii="宋体" w:hAnsi="宋体" w:cs="宋体"/>
                <w:color w:val="auto"/>
                <w:sz w:val="24"/>
                <w:highlight w:val="none"/>
              </w:rPr>
            </w:pPr>
          </w:p>
        </w:tc>
        <w:tc>
          <w:tcPr>
            <w:tcW w:w="1340" w:type="dxa"/>
          </w:tcPr>
          <w:p w14:paraId="63263D5C">
            <w:pPr>
              <w:spacing w:line="340" w:lineRule="exact"/>
              <w:rPr>
                <w:rFonts w:ascii="宋体" w:hAnsi="宋体" w:cs="宋体"/>
                <w:color w:val="auto"/>
                <w:sz w:val="24"/>
                <w:highlight w:val="none"/>
              </w:rPr>
            </w:pPr>
          </w:p>
        </w:tc>
        <w:tc>
          <w:tcPr>
            <w:tcW w:w="1347" w:type="dxa"/>
          </w:tcPr>
          <w:p w14:paraId="4E3CD54A">
            <w:pPr>
              <w:spacing w:line="340" w:lineRule="exact"/>
              <w:rPr>
                <w:rFonts w:ascii="宋体" w:hAnsi="宋体" w:cs="宋体"/>
                <w:color w:val="auto"/>
                <w:sz w:val="24"/>
                <w:highlight w:val="none"/>
              </w:rPr>
            </w:pPr>
          </w:p>
        </w:tc>
      </w:tr>
      <w:tr w14:paraId="425B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629F0C37">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205" w:type="dxa"/>
          </w:tcPr>
          <w:p w14:paraId="2B5FD874">
            <w:pPr>
              <w:spacing w:line="340" w:lineRule="exact"/>
              <w:rPr>
                <w:rFonts w:ascii="宋体" w:hAnsi="宋体" w:cs="宋体"/>
                <w:color w:val="auto"/>
                <w:sz w:val="24"/>
                <w:highlight w:val="none"/>
              </w:rPr>
            </w:pPr>
          </w:p>
        </w:tc>
        <w:tc>
          <w:tcPr>
            <w:tcW w:w="957" w:type="dxa"/>
          </w:tcPr>
          <w:p w14:paraId="486893EB">
            <w:pPr>
              <w:spacing w:line="340" w:lineRule="exact"/>
              <w:rPr>
                <w:rFonts w:ascii="宋体" w:hAnsi="宋体" w:cs="宋体"/>
                <w:color w:val="auto"/>
                <w:sz w:val="24"/>
                <w:highlight w:val="none"/>
              </w:rPr>
            </w:pPr>
          </w:p>
        </w:tc>
        <w:tc>
          <w:tcPr>
            <w:tcW w:w="840" w:type="dxa"/>
          </w:tcPr>
          <w:p w14:paraId="08B211E5">
            <w:pPr>
              <w:spacing w:line="340" w:lineRule="exact"/>
              <w:rPr>
                <w:rFonts w:ascii="宋体" w:hAnsi="宋体" w:cs="宋体"/>
                <w:color w:val="auto"/>
                <w:sz w:val="24"/>
                <w:highlight w:val="none"/>
              </w:rPr>
            </w:pPr>
          </w:p>
        </w:tc>
        <w:tc>
          <w:tcPr>
            <w:tcW w:w="1260" w:type="dxa"/>
          </w:tcPr>
          <w:p w14:paraId="224C08CC">
            <w:pPr>
              <w:spacing w:line="340" w:lineRule="exact"/>
              <w:rPr>
                <w:rFonts w:ascii="宋体" w:hAnsi="宋体" w:cs="宋体"/>
                <w:color w:val="auto"/>
                <w:sz w:val="24"/>
                <w:highlight w:val="none"/>
              </w:rPr>
            </w:pPr>
          </w:p>
        </w:tc>
        <w:tc>
          <w:tcPr>
            <w:tcW w:w="1340" w:type="dxa"/>
          </w:tcPr>
          <w:p w14:paraId="53EFDF6D">
            <w:pPr>
              <w:spacing w:line="340" w:lineRule="exact"/>
              <w:rPr>
                <w:rFonts w:ascii="宋体" w:hAnsi="宋体" w:cs="宋体"/>
                <w:color w:val="auto"/>
                <w:sz w:val="24"/>
                <w:highlight w:val="none"/>
              </w:rPr>
            </w:pPr>
          </w:p>
        </w:tc>
        <w:tc>
          <w:tcPr>
            <w:tcW w:w="1347" w:type="dxa"/>
          </w:tcPr>
          <w:p w14:paraId="0821427D">
            <w:pPr>
              <w:spacing w:line="340" w:lineRule="exact"/>
              <w:rPr>
                <w:rFonts w:ascii="宋体" w:hAnsi="宋体" w:cs="宋体"/>
                <w:color w:val="auto"/>
                <w:sz w:val="24"/>
                <w:highlight w:val="none"/>
              </w:rPr>
            </w:pPr>
          </w:p>
        </w:tc>
      </w:tr>
      <w:tr w14:paraId="0649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9192E41">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205" w:type="dxa"/>
          </w:tcPr>
          <w:p w14:paraId="4EB5FB52">
            <w:pPr>
              <w:spacing w:line="340" w:lineRule="exact"/>
              <w:rPr>
                <w:rFonts w:ascii="宋体" w:hAnsi="宋体" w:cs="宋体"/>
                <w:color w:val="auto"/>
                <w:sz w:val="24"/>
                <w:highlight w:val="none"/>
              </w:rPr>
            </w:pPr>
          </w:p>
        </w:tc>
        <w:tc>
          <w:tcPr>
            <w:tcW w:w="957" w:type="dxa"/>
          </w:tcPr>
          <w:p w14:paraId="27FC3397">
            <w:pPr>
              <w:spacing w:line="340" w:lineRule="exact"/>
              <w:rPr>
                <w:rFonts w:ascii="宋体" w:hAnsi="宋体" w:cs="宋体"/>
                <w:color w:val="auto"/>
                <w:sz w:val="24"/>
                <w:highlight w:val="none"/>
              </w:rPr>
            </w:pPr>
          </w:p>
        </w:tc>
        <w:tc>
          <w:tcPr>
            <w:tcW w:w="840" w:type="dxa"/>
          </w:tcPr>
          <w:p w14:paraId="18D6988C">
            <w:pPr>
              <w:spacing w:line="340" w:lineRule="exact"/>
              <w:rPr>
                <w:rFonts w:ascii="宋体" w:hAnsi="宋体" w:cs="宋体"/>
                <w:color w:val="auto"/>
                <w:sz w:val="24"/>
                <w:highlight w:val="none"/>
              </w:rPr>
            </w:pPr>
          </w:p>
        </w:tc>
        <w:tc>
          <w:tcPr>
            <w:tcW w:w="1260" w:type="dxa"/>
          </w:tcPr>
          <w:p w14:paraId="4D93C7E8">
            <w:pPr>
              <w:spacing w:line="340" w:lineRule="exact"/>
              <w:rPr>
                <w:rFonts w:ascii="宋体" w:hAnsi="宋体" w:cs="宋体"/>
                <w:color w:val="auto"/>
                <w:sz w:val="24"/>
                <w:highlight w:val="none"/>
              </w:rPr>
            </w:pPr>
          </w:p>
        </w:tc>
        <w:tc>
          <w:tcPr>
            <w:tcW w:w="1340" w:type="dxa"/>
          </w:tcPr>
          <w:p w14:paraId="31023BE6">
            <w:pPr>
              <w:spacing w:line="340" w:lineRule="exact"/>
              <w:rPr>
                <w:rFonts w:ascii="宋体" w:hAnsi="宋体" w:cs="宋体"/>
                <w:color w:val="auto"/>
                <w:sz w:val="24"/>
                <w:highlight w:val="none"/>
              </w:rPr>
            </w:pPr>
          </w:p>
        </w:tc>
        <w:tc>
          <w:tcPr>
            <w:tcW w:w="1347" w:type="dxa"/>
          </w:tcPr>
          <w:p w14:paraId="0044B9BB">
            <w:pPr>
              <w:spacing w:line="340" w:lineRule="exact"/>
              <w:rPr>
                <w:rFonts w:ascii="宋体" w:hAnsi="宋体" w:cs="宋体"/>
                <w:color w:val="auto"/>
                <w:sz w:val="24"/>
                <w:highlight w:val="none"/>
              </w:rPr>
            </w:pPr>
          </w:p>
        </w:tc>
      </w:tr>
      <w:tr w14:paraId="064A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0814A8CC">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205" w:type="dxa"/>
          </w:tcPr>
          <w:p w14:paraId="421316C4">
            <w:pPr>
              <w:spacing w:line="340" w:lineRule="exact"/>
              <w:rPr>
                <w:rFonts w:ascii="宋体" w:hAnsi="宋体" w:cs="宋体"/>
                <w:color w:val="auto"/>
                <w:sz w:val="24"/>
                <w:highlight w:val="none"/>
              </w:rPr>
            </w:pPr>
          </w:p>
        </w:tc>
        <w:tc>
          <w:tcPr>
            <w:tcW w:w="957" w:type="dxa"/>
          </w:tcPr>
          <w:p w14:paraId="417667A3">
            <w:pPr>
              <w:spacing w:line="340" w:lineRule="exact"/>
              <w:rPr>
                <w:rFonts w:ascii="宋体" w:hAnsi="宋体" w:cs="宋体"/>
                <w:color w:val="auto"/>
                <w:sz w:val="24"/>
                <w:highlight w:val="none"/>
              </w:rPr>
            </w:pPr>
          </w:p>
        </w:tc>
        <w:tc>
          <w:tcPr>
            <w:tcW w:w="840" w:type="dxa"/>
          </w:tcPr>
          <w:p w14:paraId="008A2F56">
            <w:pPr>
              <w:spacing w:line="340" w:lineRule="exact"/>
              <w:rPr>
                <w:rFonts w:ascii="宋体" w:hAnsi="宋体" w:cs="宋体"/>
                <w:color w:val="auto"/>
                <w:sz w:val="24"/>
                <w:highlight w:val="none"/>
              </w:rPr>
            </w:pPr>
          </w:p>
        </w:tc>
        <w:tc>
          <w:tcPr>
            <w:tcW w:w="1260" w:type="dxa"/>
          </w:tcPr>
          <w:p w14:paraId="5B5B6967">
            <w:pPr>
              <w:spacing w:line="340" w:lineRule="exact"/>
              <w:rPr>
                <w:rFonts w:ascii="宋体" w:hAnsi="宋体" w:cs="宋体"/>
                <w:color w:val="auto"/>
                <w:sz w:val="24"/>
                <w:highlight w:val="none"/>
              </w:rPr>
            </w:pPr>
          </w:p>
        </w:tc>
        <w:tc>
          <w:tcPr>
            <w:tcW w:w="1340" w:type="dxa"/>
          </w:tcPr>
          <w:p w14:paraId="5FBDC60D">
            <w:pPr>
              <w:spacing w:line="340" w:lineRule="exact"/>
              <w:rPr>
                <w:rFonts w:ascii="宋体" w:hAnsi="宋体" w:cs="宋体"/>
                <w:color w:val="auto"/>
                <w:sz w:val="24"/>
                <w:highlight w:val="none"/>
              </w:rPr>
            </w:pPr>
          </w:p>
        </w:tc>
        <w:tc>
          <w:tcPr>
            <w:tcW w:w="1347" w:type="dxa"/>
          </w:tcPr>
          <w:p w14:paraId="62C3D51B">
            <w:pPr>
              <w:spacing w:line="340" w:lineRule="exact"/>
              <w:rPr>
                <w:rFonts w:ascii="宋体" w:hAnsi="宋体" w:cs="宋体"/>
                <w:color w:val="auto"/>
                <w:sz w:val="24"/>
                <w:highlight w:val="none"/>
              </w:rPr>
            </w:pPr>
          </w:p>
        </w:tc>
      </w:tr>
      <w:tr w14:paraId="6764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F190A3D">
            <w:pPr>
              <w:spacing w:line="340" w:lineRule="exact"/>
              <w:jc w:val="center"/>
              <w:rPr>
                <w:rFonts w:ascii="宋体" w:hAnsi="宋体" w:cs="宋体"/>
                <w:color w:val="auto"/>
                <w:sz w:val="24"/>
                <w:highlight w:val="none"/>
              </w:rPr>
            </w:pPr>
          </w:p>
        </w:tc>
        <w:tc>
          <w:tcPr>
            <w:tcW w:w="2205" w:type="dxa"/>
            <w:vAlign w:val="center"/>
          </w:tcPr>
          <w:p w14:paraId="1C07745C">
            <w:pPr>
              <w:pStyle w:val="69"/>
              <w:spacing w:line="340" w:lineRule="exact"/>
              <w:rPr>
                <w:rFonts w:ascii="宋体" w:hAnsi="宋体" w:cs="宋体"/>
                <w:color w:val="auto"/>
                <w:szCs w:val="24"/>
                <w:highlight w:val="none"/>
              </w:rPr>
            </w:pPr>
            <w:r>
              <w:rPr>
                <w:rFonts w:hint="eastAsia" w:ascii="宋体" w:hAnsi="宋体" w:cs="宋体"/>
                <w:color w:val="auto"/>
                <w:szCs w:val="24"/>
                <w:highlight w:val="none"/>
              </w:rPr>
              <w:t>其他费用</w:t>
            </w:r>
          </w:p>
        </w:tc>
        <w:tc>
          <w:tcPr>
            <w:tcW w:w="957" w:type="dxa"/>
          </w:tcPr>
          <w:p w14:paraId="05453754">
            <w:pPr>
              <w:spacing w:line="340" w:lineRule="exact"/>
              <w:rPr>
                <w:rFonts w:ascii="宋体" w:hAnsi="宋体" w:cs="宋体"/>
                <w:color w:val="auto"/>
                <w:sz w:val="24"/>
                <w:highlight w:val="none"/>
              </w:rPr>
            </w:pPr>
          </w:p>
        </w:tc>
        <w:tc>
          <w:tcPr>
            <w:tcW w:w="840" w:type="dxa"/>
          </w:tcPr>
          <w:p w14:paraId="674BA63A">
            <w:pPr>
              <w:spacing w:line="340" w:lineRule="exact"/>
              <w:rPr>
                <w:rFonts w:ascii="宋体" w:hAnsi="宋体" w:cs="宋体"/>
                <w:color w:val="auto"/>
                <w:sz w:val="24"/>
                <w:highlight w:val="none"/>
              </w:rPr>
            </w:pPr>
          </w:p>
        </w:tc>
        <w:tc>
          <w:tcPr>
            <w:tcW w:w="1260" w:type="dxa"/>
          </w:tcPr>
          <w:p w14:paraId="698E03D7">
            <w:pPr>
              <w:spacing w:line="340" w:lineRule="exact"/>
              <w:rPr>
                <w:rFonts w:ascii="宋体" w:hAnsi="宋体" w:cs="宋体"/>
                <w:color w:val="auto"/>
                <w:sz w:val="24"/>
                <w:highlight w:val="none"/>
              </w:rPr>
            </w:pPr>
          </w:p>
        </w:tc>
        <w:tc>
          <w:tcPr>
            <w:tcW w:w="1340" w:type="dxa"/>
          </w:tcPr>
          <w:p w14:paraId="5B100D0A">
            <w:pPr>
              <w:spacing w:line="340" w:lineRule="exact"/>
              <w:rPr>
                <w:rFonts w:ascii="宋体" w:hAnsi="宋体" w:cs="宋体"/>
                <w:color w:val="auto"/>
                <w:sz w:val="24"/>
                <w:highlight w:val="none"/>
              </w:rPr>
            </w:pPr>
          </w:p>
        </w:tc>
        <w:tc>
          <w:tcPr>
            <w:tcW w:w="1347" w:type="dxa"/>
          </w:tcPr>
          <w:p w14:paraId="39FD549B">
            <w:pPr>
              <w:spacing w:line="340" w:lineRule="exact"/>
              <w:rPr>
                <w:rFonts w:ascii="宋体" w:hAnsi="宋体" w:cs="宋体"/>
                <w:color w:val="auto"/>
                <w:sz w:val="24"/>
                <w:highlight w:val="none"/>
              </w:rPr>
            </w:pPr>
          </w:p>
        </w:tc>
      </w:tr>
      <w:tr w14:paraId="2F3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1F92DF34">
            <w:pPr>
              <w:spacing w:line="340" w:lineRule="exact"/>
              <w:jc w:val="center"/>
              <w:rPr>
                <w:rFonts w:ascii="宋体" w:hAnsi="宋体" w:cs="宋体"/>
                <w:color w:val="auto"/>
                <w:sz w:val="24"/>
                <w:highlight w:val="none"/>
              </w:rPr>
            </w:pPr>
          </w:p>
        </w:tc>
        <w:tc>
          <w:tcPr>
            <w:tcW w:w="2205" w:type="dxa"/>
          </w:tcPr>
          <w:p w14:paraId="1F02F5B8">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657E2C4A">
            <w:pPr>
              <w:spacing w:line="340" w:lineRule="exact"/>
              <w:rPr>
                <w:rFonts w:ascii="宋体" w:hAnsi="宋体" w:cs="宋体"/>
                <w:color w:val="auto"/>
                <w:sz w:val="24"/>
                <w:highlight w:val="none"/>
              </w:rPr>
            </w:pPr>
          </w:p>
        </w:tc>
        <w:tc>
          <w:tcPr>
            <w:tcW w:w="840" w:type="dxa"/>
          </w:tcPr>
          <w:p w14:paraId="239381B2">
            <w:pPr>
              <w:spacing w:line="340" w:lineRule="exact"/>
              <w:rPr>
                <w:rFonts w:ascii="宋体" w:hAnsi="宋体" w:cs="宋体"/>
                <w:color w:val="auto"/>
                <w:sz w:val="24"/>
                <w:highlight w:val="none"/>
              </w:rPr>
            </w:pPr>
          </w:p>
        </w:tc>
        <w:tc>
          <w:tcPr>
            <w:tcW w:w="1260" w:type="dxa"/>
          </w:tcPr>
          <w:p w14:paraId="102B324B">
            <w:pPr>
              <w:spacing w:line="340" w:lineRule="exact"/>
              <w:rPr>
                <w:rFonts w:ascii="宋体" w:hAnsi="宋体" w:cs="宋体"/>
                <w:color w:val="auto"/>
                <w:sz w:val="24"/>
                <w:highlight w:val="none"/>
              </w:rPr>
            </w:pPr>
          </w:p>
        </w:tc>
        <w:tc>
          <w:tcPr>
            <w:tcW w:w="1340" w:type="dxa"/>
          </w:tcPr>
          <w:p w14:paraId="2C68D3E8">
            <w:pPr>
              <w:spacing w:line="340" w:lineRule="exact"/>
              <w:rPr>
                <w:rFonts w:ascii="宋体" w:hAnsi="宋体" w:cs="宋体"/>
                <w:color w:val="auto"/>
                <w:sz w:val="24"/>
                <w:highlight w:val="none"/>
              </w:rPr>
            </w:pPr>
          </w:p>
        </w:tc>
        <w:tc>
          <w:tcPr>
            <w:tcW w:w="1347" w:type="dxa"/>
          </w:tcPr>
          <w:p w14:paraId="66258DFB">
            <w:pPr>
              <w:spacing w:line="340" w:lineRule="exact"/>
              <w:rPr>
                <w:rFonts w:ascii="宋体" w:hAnsi="宋体" w:cs="宋体"/>
                <w:color w:val="auto"/>
                <w:sz w:val="24"/>
                <w:highlight w:val="none"/>
              </w:rPr>
            </w:pPr>
          </w:p>
        </w:tc>
      </w:tr>
      <w:tr w14:paraId="623B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3DC1F21E">
            <w:pPr>
              <w:spacing w:line="340" w:lineRule="exact"/>
              <w:jc w:val="center"/>
              <w:rPr>
                <w:rFonts w:ascii="宋体" w:hAnsi="宋体" w:cs="宋体"/>
                <w:color w:val="auto"/>
                <w:sz w:val="24"/>
                <w:highlight w:val="none"/>
              </w:rPr>
            </w:pPr>
          </w:p>
        </w:tc>
        <w:tc>
          <w:tcPr>
            <w:tcW w:w="2205" w:type="dxa"/>
          </w:tcPr>
          <w:p w14:paraId="7BD72519">
            <w:pPr>
              <w:pStyle w:val="69"/>
              <w:spacing w:line="340" w:lineRule="exact"/>
              <w:rPr>
                <w:rFonts w:ascii="宋体" w:hAnsi="宋体" w:cs="宋体"/>
                <w:color w:val="auto"/>
                <w:szCs w:val="24"/>
                <w:highlight w:val="none"/>
              </w:rPr>
            </w:pPr>
            <w:r>
              <w:rPr>
                <w:rFonts w:hint="eastAsia" w:ascii="宋体" w:hAnsi="宋体" w:cs="宋体"/>
                <w:color w:val="auto"/>
                <w:szCs w:val="24"/>
                <w:highlight w:val="none"/>
              </w:rPr>
              <w:t>…</w:t>
            </w:r>
          </w:p>
        </w:tc>
        <w:tc>
          <w:tcPr>
            <w:tcW w:w="957" w:type="dxa"/>
          </w:tcPr>
          <w:p w14:paraId="0EAACE01">
            <w:pPr>
              <w:spacing w:line="340" w:lineRule="exact"/>
              <w:rPr>
                <w:rFonts w:ascii="宋体" w:hAnsi="宋体" w:cs="宋体"/>
                <w:color w:val="auto"/>
                <w:sz w:val="24"/>
                <w:highlight w:val="none"/>
              </w:rPr>
            </w:pPr>
          </w:p>
        </w:tc>
        <w:tc>
          <w:tcPr>
            <w:tcW w:w="840" w:type="dxa"/>
          </w:tcPr>
          <w:p w14:paraId="304CFC0F">
            <w:pPr>
              <w:spacing w:line="340" w:lineRule="exact"/>
              <w:rPr>
                <w:rFonts w:ascii="宋体" w:hAnsi="宋体" w:cs="宋体"/>
                <w:color w:val="auto"/>
                <w:sz w:val="24"/>
                <w:highlight w:val="none"/>
              </w:rPr>
            </w:pPr>
          </w:p>
        </w:tc>
        <w:tc>
          <w:tcPr>
            <w:tcW w:w="1260" w:type="dxa"/>
          </w:tcPr>
          <w:p w14:paraId="0F1DEDA7">
            <w:pPr>
              <w:spacing w:line="340" w:lineRule="exact"/>
              <w:rPr>
                <w:rFonts w:ascii="宋体" w:hAnsi="宋体" w:cs="宋体"/>
                <w:color w:val="auto"/>
                <w:sz w:val="24"/>
                <w:highlight w:val="none"/>
              </w:rPr>
            </w:pPr>
          </w:p>
        </w:tc>
        <w:tc>
          <w:tcPr>
            <w:tcW w:w="1340" w:type="dxa"/>
          </w:tcPr>
          <w:p w14:paraId="3092733D">
            <w:pPr>
              <w:spacing w:line="340" w:lineRule="exact"/>
              <w:rPr>
                <w:rFonts w:ascii="宋体" w:hAnsi="宋体" w:cs="宋体"/>
                <w:color w:val="auto"/>
                <w:sz w:val="24"/>
                <w:highlight w:val="none"/>
              </w:rPr>
            </w:pPr>
          </w:p>
        </w:tc>
        <w:tc>
          <w:tcPr>
            <w:tcW w:w="1347" w:type="dxa"/>
          </w:tcPr>
          <w:p w14:paraId="68B5442B">
            <w:pPr>
              <w:spacing w:line="340" w:lineRule="exact"/>
              <w:rPr>
                <w:rFonts w:ascii="宋体" w:hAnsi="宋体" w:cs="宋体"/>
                <w:color w:val="auto"/>
                <w:sz w:val="24"/>
                <w:highlight w:val="none"/>
              </w:rPr>
            </w:pPr>
          </w:p>
        </w:tc>
      </w:tr>
      <w:tr w14:paraId="44F4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5F099818">
            <w:pPr>
              <w:spacing w:line="340" w:lineRule="exact"/>
              <w:jc w:val="center"/>
              <w:rPr>
                <w:rFonts w:ascii="宋体" w:hAnsi="宋体" w:cs="宋体"/>
                <w:color w:val="auto"/>
                <w:sz w:val="24"/>
                <w:highlight w:val="none"/>
              </w:rPr>
            </w:pPr>
          </w:p>
        </w:tc>
        <w:tc>
          <w:tcPr>
            <w:tcW w:w="2205" w:type="dxa"/>
          </w:tcPr>
          <w:p w14:paraId="6616C135">
            <w:pPr>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957" w:type="dxa"/>
          </w:tcPr>
          <w:p w14:paraId="2827D331">
            <w:pPr>
              <w:spacing w:line="340" w:lineRule="exact"/>
              <w:rPr>
                <w:rFonts w:ascii="宋体" w:hAnsi="宋体" w:cs="宋体"/>
                <w:color w:val="auto"/>
                <w:sz w:val="24"/>
                <w:highlight w:val="none"/>
              </w:rPr>
            </w:pPr>
          </w:p>
        </w:tc>
        <w:tc>
          <w:tcPr>
            <w:tcW w:w="840" w:type="dxa"/>
          </w:tcPr>
          <w:p w14:paraId="74834901">
            <w:pPr>
              <w:spacing w:line="340" w:lineRule="exact"/>
              <w:rPr>
                <w:rFonts w:ascii="宋体" w:hAnsi="宋体" w:cs="宋体"/>
                <w:color w:val="auto"/>
                <w:sz w:val="24"/>
                <w:highlight w:val="none"/>
              </w:rPr>
            </w:pPr>
          </w:p>
        </w:tc>
        <w:tc>
          <w:tcPr>
            <w:tcW w:w="1260" w:type="dxa"/>
          </w:tcPr>
          <w:p w14:paraId="4939C9E2">
            <w:pPr>
              <w:spacing w:line="340" w:lineRule="exact"/>
              <w:rPr>
                <w:rFonts w:ascii="宋体" w:hAnsi="宋体" w:cs="宋体"/>
                <w:color w:val="auto"/>
                <w:sz w:val="24"/>
                <w:highlight w:val="none"/>
              </w:rPr>
            </w:pPr>
          </w:p>
        </w:tc>
        <w:tc>
          <w:tcPr>
            <w:tcW w:w="1340" w:type="dxa"/>
          </w:tcPr>
          <w:p w14:paraId="57C9128F">
            <w:pPr>
              <w:spacing w:line="340" w:lineRule="exact"/>
              <w:rPr>
                <w:rFonts w:ascii="宋体" w:hAnsi="宋体" w:cs="宋体"/>
                <w:color w:val="auto"/>
                <w:sz w:val="24"/>
                <w:highlight w:val="none"/>
              </w:rPr>
            </w:pPr>
          </w:p>
        </w:tc>
        <w:tc>
          <w:tcPr>
            <w:tcW w:w="1347" w:type="dxa"/>
          </w:tcPr>
          <w:p w14:paraId="474A22A8">
            <w:pPr>
              <w:spacing w:line="340" w:lineRule="exact"/>
              <w:rPr>
                <w:rFonts w:ascii="宋体" w:hAnsi="宋体" w:cs="宋体"/>
                <w:color w:val="auto"/>
                <w:sz w:val="24"/>
                <w:highlight w:val="none"/>
              </w:rPr>
            </w:pPr>
          </w:p>
        </w:tc>
      </w:tr>
      <w:tr w14:paraId="234E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40" w:type="dxa"/>
          </w:tcPr>
          <w:p w14:paraId="7D3611B9">
            <w:pPr>
              <w:spacing w:line="340" w:lineRule="exact"/>
              <w:jc w:val="center"/>
              <w:rPr>
                <w:rFonts w:ascii="宋体" w:hAnsi="宋体" w:cs="宋体"/>
                <w:color w:val="auto"/>
                <w:sz w:val="24"/>
                <w:highlight w:val="none"/>
              </w:rPr>
            </w:pPr>
          </w:p>
        </w:tc>
        <w:tc>
          <w:tcPr>
            <w:tcW w:w="2205" w:type="dxa"/>
            <w:vAlign w:val="center"/>
          </w:tcPr>
          <w:p w14:paraId="5D524B8D">
            <w:pPr>
              <w:pStyle w:val="69"/>
              <w:spacing w:line="340" w:lineRule="exact"/>
              <w:rPr>
                <w:rFonts w:ascii="宋体" w:hAnsi="宋体" w:cs="宋体"/>
                <w:color w:val="auto"/>
                <w:szCs w:val="24"/>
                <w:highlight w:val="none"/>
              </w:rPr>
            </w:pPr>
            <w:r>
              <w:rPr>
                <w:rFonts w:hint="eastAsia" w:ascii="宋体" w:hAnsi="宋体" w:cs="宋体"/>
                <w:color w:val="auto"/>
                <w:szCs w:val="24"/>
                <w:highlight w:val="none"/>
              </w:rPr>
              <w:t>合计</w:t>
            </w:r>
          </w:p>
        </w:tc>
        <w:tc>
          <w:tcPr>
            <w:tcW w:w="957" w:type="dxa"/>
          </w:tcPr>
          <w:p w14:paraId="0DD90589">
            <w:pPr>
              <w:spacing w:line="340" w:lineRule="exact"/>
              <w:rPr>
                <w:rFonts w:ascii="宋体" w:hAnsi="宋体" w:cs="宋体"/>
                <w:color w:val="auto"/>
                <w:sz w:val="24"/>
                <w:highlight w:val="none"/>
              </w:rPr>
            </w:pPr>
          </w:p>
        </w:tc>
        <w:tc>
          <w:tcPr>
            <w:tcW w:w="840" w:type="dxa"/>
          </w:tcPr>
          <w:p w14:paraId="6D30D4E5">
            <w:pPr>
              <w:spacing w:line="340" w:lineRule="exact"/>
              <w:rPr>
                <w:rFonts w:ascii="宋体" w:hAnsi="宋体" w:cs="宋体"/>
                <w:color w:val="auto"/>
                <w:sz w:val="24"/>
                <w:highlight w:val="none"/>
              </w:rPr>
            </w:pPr>
          </w:p>
        </w:tc>
        <w:tc>
          <w:tcPr>
            <w:tcW w:w="1260" w:type="dxa"/>
          </w:tcPr>
          <w:p w14:paraId="75223192">
            <w:pPr>
              <w:spacing w:line="340" w:lineRule="exact"/>
              <w:rPr>
                <w:rFonts w:ascii="宋体" w:hAnsi="宋体" w:cs="宋体"/>
                <w:color w:val="auto"/>
                <w:sz w:val="24"/>
                <w:highlight w:val="none"/>
              </w:rPr>
            </w:pPr>
          </w:p>
        </w:tc>
        <w:tc>
          <w:tcPr>
            <w:tcW w:w="1340" w:type="dxa"/>
          </w:tcPr>
          <w:p w14:paraId="24A69038">
            <w:pPr>
              <w:spacing w:line="340" w:lineRule="exact"/>
              <w:rPr>
                <w:rFonts w:ascii="宋体" w:hAnsi="宋体" w:cs="宋体"/>
                <w:color w:val="auto"/>
                <w:sz w:val="24"/>
                <w:highlight w:val="none"/>
              </w:rPr>
            </w:pPr>
          </w:p>
        </w:tc>
        <w:tc>
          <w:tcPr>
            <w:tcW w:w="1347" w:type="dxa"/>
          </w:tcPr>
          <w:p w14:paraId="286AFA3B">
            <w:pPr>
              <w:spacing w:line="340" w:lineRule="exact"/>
              <w:rPr>
                <w:rFonts w:ascii="宋体" w:hAnsi="宋体" w:cs="宋体"/>
                <w:color w:val="auto"/>
                <w:sz w:val="24"/>
                <w:highlight w:val="none"/>
              </w:rPr>
            </w:pPr>
          </w:p>
        </w:tc>
      </w:tr>
    </w:tbl>
    <w:p w14:paraId="6869D793">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0EB0228D">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1C05489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备注：</w:t>
      </w:r>
    </w:p>
    <w:p w14:paraId="70E6CD9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表中所列内容为对应本项目需求的全部要求。如有漏项或缺项，投标人承担全部责任。</w:t>
      </w:r>
    </w:p>
    <w:p w14:paraId="5486A31C">
      <w:pPr>
        <w:pStyle w:val="44"/>
        <w:rPr>
          <w:rFonts w:hint="eastAsia" w:ascii="宋体" w:hAnsi="宋体" w:cs="宋体"/>
          <w:color w:val="auto"/>
          <w:sz w:val="24"/>
          <w:highlight w:val="none"/>
        </w:rPr>
      </w:pPr>
    </w:p>
    <w:p w14:paraId="30ACEEE5">
      <w:pPr>
        <w:pStyle w:val="44"/>
        <w:rPr>
          <w:rFonts w:hint="eastAsia" w:ascii="宋体" w:hAnsi="宋体" w:cs="宋体"/>
          <w:color w:val="auto"/>
          <w:sz w:val="24"/>
          <w:highlight w:val="none"/>
        </w:rPr>
      </w:pPr>
    </w:p>
    <w:p w14:paraId="4F45F6B4">
      <w:pPr>
        <w:pStyle w:val="44"/>
        <w:rPr>
          <w:rFonts w:hint="eastAsia" w:ascii="宋体" w:hAnsi="宋体" w:cs="宋体"/>
          <w:color w:val="auto"/>
          <w:sz w:val="24"/>
          <w:highlight w:val="none"/>
        </w:rPr>
      </w:pPr>
    </w:p>
    <w:p w14:paraId="72364356">
      <w:pPr>
        <w:pStyle w:val="44"/>
        <w:rPr>
          <w:rFonts w:hint="eastAsia" w:ascii="宋体" w:hAnsi="宋体" w:cs="宋体"/>
          <w:color w:val="auto"/>
          <w:sz w:val="24"/>
          <w:highlight w:val="none"/>
        </w:rPr>
      </w:pPr>
    </w:p>
    <w:p w14:paraId="05213BB4">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格式6               </w:t>
      </w:r>
      <w:r>
        <w:rPr>
          <w:rFonts w:hint="eastAsia" w:ascii="宋体" w:hAnsi="宋体" w:cs="宋体"/>
          <w:b/>
          <w:color w:val="auto"/>
          <w:sz w:val="24"/>
          <w:highlight w:val="none"/>
        </w:rPr>
        <w:t>技术参数响应表</w:t>
      </w:r>
    </w:p>
    <w:p w14:paraId="4E10F47E">
      <w:pPr>
        <w:rPr>
          <w:rFonts w:ascii="宋体" w:hAnsi="宋体" w:cs="宋体"/>
          <w:color w:val="auto"/>
          <w:sz w:val="24"/>
          <w:highlight w:val="none"/>
        </w:rPr>
      </w:pPr>
    </w:p>
    <w:p w14:paraId="77EFBD01">
      <w:pPr>
        <w:rPr>
          <w:rFonts w:ascii="宋体" w:hAnsi="宋体" w:cs="宋体"/>
          <w:color w:val="auto"/>
          <w:sz w:val="24"/>
          <w:highlight w:val="none"/>
        </w:rPr>
      </w:pPr>
    </w:p>
    <w:tbl>
      <w:tblPr>
        <w:tblStyle w:val="28"/>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23"/>
        <w:gridCol w:w="3490"/>
        <w:gridCol w:w="2810"/>
        <w:gridCol w:w="1336"/>
      </w:tblGrid>
      <w:tr w14:paraId="34E6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937" w:type="dxa"/>
            <w:gridSpan w:val="3"/>
            <w:tcBorders>
              <w:top w:val="single" w:color="auto" w:sz="4" w:space="0"/>
              <w:left w:val="single" w:color="auto" w:sz="4" w:space="0"/>
              <w:bottom w:val="single" w:color="auto" w:sz="4" w:space="0"/>
              <w:right w:val="single" w:color="auto" w:sz="4" w:space="0"/>
            </w:tcBorders>
            <w:vAlign w:val="center"/>
          </w:tcPr>
          <w:p w14:paraId="5881A158">
            <w:pPr>
              <w:pStyle w:val="14"/>
              <w:jc w:val="center"/>
              <w:rPr>
                <w:rFonts w:hAnsi="宋体" w:cs="宋体"/>
                <w:bCs/>
                <w:color w:val="auto"/>
                <w:sz w:val="24"/>
                <w:szCs w:val="24"/>
                <w:highlight w:val="none"/>
              </w:rPr>
            </w:pPr>
            <w:r>
              <w:rPr>
                <w:rFonts w:hint="eastAsia" w:hAnsi="宋体" w:cs="宋体"/>
                <w:bCs/>
                <w:color w:val="auto"/>
                <w:sz w:val="24"/>
                <w:szCs w:val="24"/>
                <w:highlight w:val="none"/>
              </w:rPr>
              <w:t>按招标文件规定填写</w:t>
            </w:r>
          </w:p>
        </w:tc>
        <w:tc>
          <w:tcPr>
            <w:tcW w:w="4146" w:type="dxa"/>
            <w:gridSpan w:val="2"/>
            <w:tcBorders>
              <w:top w:val="single" w:color="auto" w:sz="4" w:space="0"/>
              <w:left w:val="nil"/>
              <w:bottom w:val="single" w:color="auto" w:sz="4" w:space="0"/>
              <w:right w:val="single" w:color="auto" w:sz="4" w:space="0"/>
            </w:tcBorders>
            <w:vAlign w:val="center"/>
          </w:tcPr>
          <w:p w14:paraId="69EC8CB4">
            <w:pPr>
              <w:pStyle w:val="14"/>
              <w:jc w:val="center"/>
              <w:rPr>
                <w:rFonts w:hAnsi="宋体" w:cs="宋体"/>
                <w:bCs/>
                <w:color w:val="auto"/>
                <w:sz w:val="24"/>
                <w:szCs w:val="24"/>
                <w:highlight w:val="none"/>
              </w:rPr>
            </w:pPr>
            <w:r>
              <w:rPr>
                <w:rFonts w:hint="eastAsia" w:hAnsi="宋体" w:cs="宋体"/>
                <w:bCs/>
                <w:color w:val="auto"/>
                <w:sz w:val="24"/>
                <w:szCs w:val="24"/>
                <w:highlight w:val="none"/>
              </w:rPr>
              <w:t>按投标人所投内容填写</w:t>
            </w:r>
          </w:p>
        </w:tc>
      </w:tr>
      <w:tr w14:paraId="067B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24" w:type="dxa"/>
            <w:tcBorders>
              <w:top w:val="single" w:color="auto" w:sz="4" w:space="0"/>
              <w:left w:val="single" w:color="auto" w:sz="4" w:space="0"/>
              <w:bottom w:val="single" w:color="auto" w:sz="4" w:space="0"/>
              <w:right w:val="single" w:color="auto" w:sz="4" w:space="0"/>
            </w:tcBorders>
            <w:vAlign w:val="center"/>
          </w:tcPr>
          <w:p w14:paraId="4DFCCB5D">
            <w:pPr>
              <w:pStyle w:val="14"/>
              <w:jc w:val="center"/>
              <w:rPr>
                <w:rFonts w:hAnsi="宋体" w:cs="宋体"/>
                <w:bCs/>
                <w:color w:val="auto"/>
                <w:sz w:val="24"/>
                <w:szCs w:val="24"/>
                <w:highlight w:val="none"/>
              </w:rPr>
            </w:pPr>
            <w:r>
              <w:rPr>
                <w:rFonts w:hint="eastAsia" w:hAnsi="宋体" w:cs="宋体"/>
                <w:bCs/>
                <w:color w:val="auto"/>
                <w:sz w:val="24"/>
                <w:szCs w:val="24"/>
                <w:highlight w:val="none"/>
              </w:rPr>
              <w:t>序号</w:t>
            </w:r>
          </w:p>
        </w:tc>
        <w:tc>
          <w:tcPr>
            <w:tcW w:w="723" w:type="dxa"/>
            <w:tcBorders>
              <w:top w:val="single" w:color="auto" w:sz="4" w:space="0"/>
              <w:left w:val="nil"/>
              <w:bottom w:val="single" w:color="auto" w:sz="4" w:space="0"/>
              <w:right w:val="single" w:color="auto" w:sz="4" w:space="0"/>
            </w:tcBorders>
            <w:vAlign w:val="center"/>
          </w:tcPr>
          <w:p w14:paraId="24632087">
            <w:pPr>
              <w:pStyle w:val="14"/>
              <w:jc w:val="center"/>
              <w:rPr>
                <w:rFonts w:hAnsi="宋体" w:cs="宋体"/>
                <w:bCs/>
                <w:color w:val="auto"/>
                <w:sz w:val="24"/>
                <w:szCs w:val="24"/>
                <w:highlight w:val="none"/>
              </w:rPr>
            </w:pPr>
            <w:r>
              <w:rPr>
                <w:rFonts w:hint="eastAsia" w:hAnsi="宋体" w:cs="宋体"/>
                <w:bCs/>
                <w:color w:val="auto"/>
                <w:sz w:val="24"/>
                <w:szCs w:val="24"/>
                <w:highlight w:val="none"/>
              </w:rPr>
              <w:t>品名</w:t>
            </w:r>
          </w:p>
        </w:tc>
        <w:tc>
          <w:tcPr>
            <w:tcW w:w="3490" w:type="dxa"/>
            <w:tcBorders>
              <w:top w:val="single" w:color="auto" w:sz="4" w:space="0"/>
              <w:left w:val="nil"/>
              <w:bottom w:val="single" w:color="auto" w:sz="4" w:space="0"/>
              <w:right w:val="single" w:color="auto" w:sz="4" w:space="0"/>
            </w:tcBorders>
            <w:vAlign w:val="center"/>
          </w:tcPr>
          <w:p w14:paraId="55171FF1">
            <w:pPr>
              <w:pStyle w:val="14"/>
              <w:jc w:val="center"/>
              <w:rPr>
                <w:rFonts w:hAnsi="宋体" w:cs="宋体"/>
                <w:bCs/>
                <w:color w:val="auto"/>
                <w:sz w:val="24"/>
                <w:szCs w:val="24"/>
                <w:highlight w:val="none"/>
              </w:rPr>
            </w:pPr>
            <w:r>
              <w:rPr>
                <w:rFonts w:hint="eastAsia" w:hAnsi="宋体" w:cs="宋体"/>
                <w:color w:val="auto"/>
                <w:sz w:val="24"/>
                <w:szCs w:val="24"/>
                <w:highlight w:val="none"/>
              </w:rPr>
              <w:t>磋商文件服务要求及其他要求</w:t>
            </w:r>
          </w:p>
        </w:tc>
        <w:tc>
          <w:tcPr>
            <w:tcW w:w="2810" w:type="dxa"/>
            <w:tcBorders>
              <w:top w:val="single" w:color="auto" w:sz="4" w:space="0"/>
              <w:left w:val="nil"/>
              <w:bottom w:val="single" w:color="auto" w:sz="4" w:space="0"/>
              <w:right w:val="single" w:color="auto" w:sz="4" w:space="0"/>
            </w:tcBorders>
            <w:vAlign w:val="center"/>
          </w:tcPr>
          <w:p w14:paraId="33B5A6F6">
            <w:pPr>
              <w:pStyle w:val="14"/>
              <w:jc w:val="center"/>
              <w:rPr>
                <w:rFonts w:hAnsi="宋体" w:cs="宋体"/>
                <w:bCs/>
                <w:color w:val="auto"/>
                <w:sz w:val="24"/>
                <w:szCs w:val="24"/>
                <w:highlight w:val="none"/>
              </w:rPr>
            </w:pPr>
            <w:r>
              <w:rPr>
                <w:rFonts w:hint="eastAsia" w:hAnsi="宋体" w:cs="宋体"/>
                <w:color w:val="auto"/>
                <w:sz w:val="24"/>
                <w:szCs w:val="24"/>
                <w:highlight w:val="none"/>
              </w:rPr>
              <w:t>响应</w:t>
            </w:r>
          </w:p>
        </w:tc>
        <w:tc>
          <w:tcPr>
            <w:tcW w:w="1336" w:type="dxa"/>
            <w:tcBorders>
              <w:top w:val="single" w:color="auto" w:sz="4" w:space="0"/>
              <w:left w:val="nil"/>
              <w:bottom w:val="single" w:color="auto" w:sz="4" w:space="0"/>
              <w:right w:val="single" w:color="auto" w:sz="4" w:space="0"/>
            </w:tcBorders>
            <w:vAlign w:val="center"/>
          </w:tcPr>
          <w:p w14:paraId="09C9600B">
            <w:pPr>
              <w:pStyle w:val="14"/>
              <w:jc w:val="center"/>
              <w:rPr>
                <w:rFonts w:hAnsi="宋体" w:cs="宋体"/>
                <w:bCs/>
                <w:color w:val="auto"/>
                <w:sz w:val="24"/>
                <w:szCs w:val="24"/>
                <w:highlight w:val="none"/>
              </w:rPr>
            </w:pPr>
            <w:r>
              <w:rPr>
                <w:rFonts w:hint="eastAsia" w:hAnsi="宋体" w:cs="宋体"/>
                <w:bCs/>
                <w:color w:val="auto"/>
                <w:sz w:val="24"/>
                <w:szCs w:val="24"/>
                <w:highlight w:val="none"/>
              </w:rPr>
              <w:t>偏离说明</w:t>
            </w:r>
          </w:p>
        </w:tc>
      </w:tr>
      <w:tr w14:paraId="0158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631CF1A9">
            <w:pPr>
              <w:jc w:val="center"/>
              <w:rPr>
                <w:rFonts w:ascii="宋体" w:hAnsi="宋体" w:cs="宋体"/>
                <w:color w:val="auto"/>
                <w:sz w:val="24"/>
                <w:highlight w:val="none"/>
              </w:rPr>
            </w:pPr>
            <w:r>
              <w:rPr>
                <w:rFonts w:hint="eastAsia" w:ascii="宋体" w:hAnsi="宋体" w:cs="宋体"/>
                <w:color w:val="auto"/>
                <w:sz w:val="24"/>
                <w:highlight w:val="none"/>
              </w:rPr>
              <w:t>1</w:t>
            </w:r>
          </w:p>
        </w:tc>
        <w:tc>
          <w:tcPr>
            <w:tcW w:w="723" w:type="dxa"/>
            <w:tcBorders>
              <w:top w:val="single" w:color="auto" w:sz="4" w:space="0"/>
              <w:left w:val="nil"/>
              <w:bottom w:val="single" w:color="auto" w:sz="4" w:space="0"/>
              <w:right w:val="single" w:color="auto" w:sz="4" w:space="0"/>
            </w:tcBorders>
            <w:vAlign w:val="center"/>
          </w:tcPr>
          <w:p w14:paraId="2BAFCFB8">
            <w:pPr>
              <w:widowControl/>
              <w:jc w:val="left"/>
              <w:rPr>
                <w:rFonts w:ascii="宋体" w:hAnsi="宋体" w:cs="宋体"/>
                <w:color w:val="auto"/>
                <w:kern w:val="0"/>
                <w:sz w:val="24"/>
                <w:highlight w:val="none"/>
              </w:rPr>
            </w:pPr>
          </w:p>
        </w:tc>
        <w:tc>
          <w:tcPr>
            <w:tcW w:w="3490" w:type="dxa"/>
            <w:tcBorders>
              <w:top w:val="single" w:color="auto" w:sz="4" w:space="0"/>
              <w:left w:val="nil"/>
              <w:bottom w:val="single" w:color="auto" w:sz="4" w:space="0"/>
              <w:right w:val="single" w:color="auto" w:sz="4" w:space="0"/>
            </w:tcBorders>
          </w:tcPr>
          <w:p w14:paraId="5C5DE8EF">
            <w:pPr>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tcPr>
          <w:p w14:paraId="5810397A">
            <w:pPr>
              <w:widowControl/>
              <w:rPr>
                <w:rFonts w:ascii="宋体" w:hAnsi="宋体" w:cs="宋体"/>
                <w:color w:val="auto"/>
                <w:kern w:val="0"/>
                <w:sz w:val="24"/>
                <w:highlight w:val="none"/>
              </w:rPr>
            </w:pPr>
          </w:p>
        </w:tc>
        <w:tc>
          <w:tcPr>
            <w:tcW w:w="1336" w:type="dxa"/>
            <w:tcBorders>
              <w:top w:val="single" w:color="auto" w:sz="4" w:space="0"/>
              <w:left w:val="nil"/>
              <w:bottom w:val="single" w:color="auto" w:sz="4" w:space="0"/>
              <w:right w:val="single" w:color="auto" w:sz="4" w:space="0"/>
            </w:tcBorders>
            <w:vAlign w:val="center"/>
          </w:tcPr>
          <w:p w14:paraId="673B3BA8">
            <w:pPr>
              <w:jc w:val="center"/>
              <w:rPr>
                <w:rFonts w:ascii="宋体" w:hAnsi="宋体" w:cs="宋体"/>
                <w:color w:val="auto"/>
                <w:sz w:val="24"/>
                <w:highlight w:val="none"/>
              </w:rPr>
            </w:pPr>
          </w:p>
        </w:tc>
      </w:tr>
      <w:tr w14:paraId="4CD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27068C">
            <w:pPr>
              <w:jc w:val="center"/>
              <w:rPr>
                <w:rFonts w:ascii="宋体" w:hAnsi="宋体" w:cs="宋体"/>
                <w:color w:val="auto"/>
                <w:sz w:val="24"/>
                <w:highlight w:val="none"/>
              </w:rPr>
            </w:pPr>
            <w:r>
              <w:rPr>
                <w:rFonts w:hint="eastAsia" w:ascii="宋体" w:hAnsi="宋体" w:cs="宋体"/>
                <w:color w:val="auto"/>
                <w:sz w:val="24"/>
                <w:highlight w:val="none"/>
              </w:rPr>
              <w:t>2</w:t>
            </w:r>
          </w:p>
        </w:tc>
        <w:tc>
          <w:tcPr>
            <w:tcW w:w="723" w:type="dxa"/>
            <w:tcBorders>
              <w:top w:val="single" w:color="auto" w:sz="4" w:space="0"/>
              <w:left w:val="nil"/>
              <w:bottom w:val="single" w:color="auto" w:sz="4" w:space="0"/>
              <w:right w:val="single" w:color="auto" w:sz="4" w:space="0"/>
            </w:tcBorders>
            <w:vAlign w:val="center"/>
          </w:tcPr>
          <w:p w14:paraId="61827AC7">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3A4F9579">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12813364">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19C2A70E">
            <w:pPr>
              <w:jc w:val="center"/>
              <w:rPr>
                <w:rFonts w:ascii="宋体" w:hAnsi="宋体" w:cs="宋体"/>
                <w:color w:val="auto"/>
                <w:sz w:val="24"/>
                <w:highlight w:val="none"/>
              </w:rPr>
            </w:pPr>
          </w:p>
        </w:tc>
      </w:tr>
      <w:tr w14:paraId="3C23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40979D5">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4FBD7E51">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77E0E91A">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3BE173E5">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786D34D1">
            <w:pPr>
              <w:jc w:val="center"/>
              <w:rPr>
                <w:rFonts w:ascii="宋体" w:hAnsi="宋体" w:cs="宋体"/>
                <w:color w:val="auto"/>
                <w:sz w:val="24"/>
                <w:highlight w:val="none"/>
              </w:rPr>
            </w:pPr>
          </w:p>
        </w:tc>
      </w:tr>
      <w:tr w14:paraId="406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5F220E0A">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7DB0D1FC">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761EED64">
            <w:pPr>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61C3FEE6">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496B0E20">
            <w:pPr>
              <w:jc w:val="center"/>
              <w:rPr>
                <w:rFonts w:ascii="宋体" w:hAnsi="宋体" w:cs="宋体"/>
                <w:color w:val="auto"/>
                <w:sz w:val="24"/>
                <w:highlight w:val="none"/>
              </w:rPr>
            </w:pPr>
          </w:p>
        </w:tc>
      </w:tr>
      <w:tr w14:paraId="6C49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3C6E95D1">
            <w:pPr>
              <w:rPr>
                <w:rFonts w:ascii="宋体" w:hAnsi="宋体" w:cs="宋体"/>
                <w:color w:val="auto"/>
                <w:sz w:val="24"/>
                <w:highlight w:val="none"/>
              </w:rPr>
            </w:pPr>
          </w:p>
        </w:tc>
        <w:tc>
          <w:tcPr>
            <w:tcW w:w="723" w:type="dxa"/>
            <w:tcBorders>
              <w:top w:val="single" w:color="auto" w:sz="4" w:space="0"/>
              <w:left w:val="nil"/>
              <w:bottom w:val="single" w:color="auto" w:sz="4" w:space="0"/>
              <w:right w:val="single" w:color="auto" w:sz="4" w:space="0"/>
            </w:tcBorders>
            <w:vAlign w:val="center"/>
          </w:tcPr>
          <w:p w14:paraId="7A36E80D">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0B632CF1">
            <w:pPr>
              <w:ind w:left="240" w:hanging="240" w:hangingChars="100"/>
              <w:jc w:val="left"/>
              <w:rPr>
                <w:rFonts w:ascii="宋体" w:hAnsi="宋体" w:cs="宋体"/>
                <w:color w:val="auto"/>
                <w:sz w:val="24"/>
                <w:highlight w:val="none"/>
              </w:rPr>
            </w:pPr>
          </w:p>
        </w:tc>
        <w:tc>
          <w:tcPr>
            <w:tcW w:w="2810" w:type="dxa"/>
            <w:tcBorders>
              <w:top w:val="single" w:color="auto" w:sz="4" w:space="0"/>
              <w:left w:val="nil"/>
              <w:bottom w:val="single" w:color="auto" w:sz="4" w:space="0"/>
              <w:right w:val="single" w:color="auto" w:sz="4" w:space="0"/>
            </w:tcBorders>
            <w:vAlign w:val="center"/>
          </w:tcPr>
          <w:p w14:paraId="2213E31B">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599B7B97">
            <w:pPr>
              <w:jc w:val="center"/>
              <w:rPr>
                <w:rFonts w:ascii="宋体" w:hAnsi="宋体" w:cs="宋体"/>
                <w:color w:val="auto"/>
                <w:sz w:val="24"/>
                <w:highlight w:val="none"/>
              </w:rPr>
            </w:pPr>
          </w:p>
        </w:tc>
      </w:tr>
      <w:tr w14:paraId="1F87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4" w:type="dxa"/>
            <w:tcBorders>
              <w:top w:val="single" w:color="auto" w:sz="4" w:space="0"/>
              <w:left w:val="single" w:color="auto" w:sz="4" w:space="0"/>
              <w:bottom w:val="single" w:color="auto" w:sz="4" w:space="0"/>
              <w:right w:val="single" w:color="auto" w:sz="4" w:space="0"/>
            </w:tcBorders>
            <w:vAlign w:val="center"/>
          </w:tcPr>
          <w:p w14:paraId="0C481BC7">
            <w:pPr>
              <w:jc w:val="center"/>
              <w:rPr>
                <w:rFonts w:ascii="宋体" w:hAnsi="宋体" w:cs="宋体"/>
                <w:color w:val="auto"/>
                <w:sz w:val="24"/>
                <w:highlight w:val="none"/>
              </w:rPr>
            </w:pPr>
            <w:r>
              <w:rPr>
                <w:rFonts w:hint="eastAsia" w:ascii="宋体" w:hAnsi="宋体" w:cs="宋体"/>
                <w:color w:val="auto"/>
                <w:sz w:val="24"/>
                <w:highlight w:val="none"/>
              </w:rPr>
              <w:t>....</w:t>
            </w:r>
          </w:p>
        </w:tc>
        <w:tc>
          <w:tcPr>
            <w:tcW w:w="723" w:type="dxa"/>
            <w:tcBorders>
              <w:top w:val="single" w:color="auto" w:sz="4" w:space="0"/>
              <w:left w:val="nil"/>
              <w:bottom w:val="single" w:color="auto" w:sz="4" w:space="0"/>
              <w:right w:val="single" w:color="auto" w:sz="4" w:space="0"/>
            </w:tcBorders>
            <w:vAlign w:val="center"/>
          </w:tcPr>
          <w:p w14:paraId="3A0A3378">
            <w:pPr>
              <w:jc w:val="center"/>
              <w:rPr>
                <w:rFonts w:ascii="宋体" w:hAnsi="宋体" w:cs="宋体"/>
                <w:color w:val="auto"/>
                <w:sz w:val="24"/>
                <w:highlight w:val="none"/>
              </w:rPr>
            </w:pPr>
          </w:p>
        </w:tc>
        <w:tc>
          <w:tcPr>
            <w:tcW w:w="3490" w:type="dxa"/>
            <w:tcBorders>
              <w:top w:val="single" w:color="auto" w:sz="4" w:space="0"/>
              <w:left w:val="nil"/>
              <w:bottom w:val="single" w:color="auto" w:sz="4" w:space="0"/>
              <w:right w:val="single" w:color="auto" w:sz="4" w:space="0"/>
            </w:tcBorders>
            <w:vAlign w:val="center"/>
          </w:tcPr>
          <w:p w14:paraId="322A5BE8">
            <w:pPr>
              <w:ind w:left="240" w:hanging="240" w:hangingChars="100"/>
              <w:jc w:val="left"/>
              <w:rPr>
                <w:rFonts w:ascii="宋体" w:hAnsi="宋体" w:cs="宋体"/>
                <w:color w:val="auto"/>
                <w:sz w:val="24"/>
                <w:highlight w:val="none"/>
              </w:rPr>
            </w:pPr>
            <w:r>
              <w:rPr>
                <w:rFonts w:hint="eastAsia" w:ascii="宋体" w:hAnsi="宋体" w:cs="宋体"/>
                <w:color w:val="auto"/>
                <w:sz w:val="24"/>
                <w:highlight w:val="none"/>
              </w:rPr>
              <w:t>.....</w:t>
            </w:r>
          </w:p>
        </w:tc>
        <w:tc>
          <w:tcPr>
            <w:tcW w:w="2810" w:type="dxa"/>
            <w:tcBorders>
              <w:top w:val="single" w:color="auto" w:sz="4" w:space="0"/>
              <w:left w:val="nil"/>
              <w:bottom w:val="single" w:color="auto" w:sz="4" w:space="0"/>
              <w:right w:val="single" w:color="auto" w:sz="4" w:space="0"/>
            </w:tcBorders>
            <w:vAlign w:val="center"/>
          </w:tcPr>
          <w:p w14:paraId="3B2AB1C7">
            <w:pPr>
              <w:ind w:left="240" w:hanging="240" w:hangingChars="100"/>
              <w:jc w:val="left"/>
              <w:rPr>
                <w:rFonts w:ascii="宋体" w:hAnsi="宋体" w:cs="宋体"/>
                <w:color w:val="auto"/>
                <w:sz w:val="24"/>
                <w:highlight w:val="none"/>
              </w:rPr>
            </w:pPr>
          </w:p>
        </w:tc>
        <w:tc>
          <w:tcPr>
            <w:tcW w:w="1336" w:type="dxa"/>
            <w:tcBorders>
              <w:top w:val="single" w:color="auto" w:sz="4" w:space="0"/>
              <w:left w:val="nil"/>
              <w:bottom w:val="single" w:color="auto" w:sz="4" w:space="0"/>
              <w:right w:val="single" w:color="auto" w:sz="4" w:space="0"/>
            </w:tcBorders>
            <w:vAlign w:val="center"/>
          </w:tcPr>
          <w:p w14:paraId="3773F0C3">
            <w:pPr>
              <w:jc w:val="center"/>
              <w:rPr>
                <w:rFonts w:ascii="宋体" w:hAnsi="宋体" w:cs="宋体"/>
                <w:color w:val="auto"/>
                <w:sz w:val="24"/>
                <w:highlight w:val="none"/>
              </w:rPr>
            </w:pPr>
          </w:p>
        </w:tc>
      </w:tr>
    </w:tbl>
    <w:p w14:paraId="3A5651C3">
      <w:pPr>
        <w:rPr>
          <w:rFonts w:ascii="宋体" w:hAnsi="宋体" w:cs="宋体"/>
          <w:color w:val="auto"/>
          <w:sz w:val="24"/>
          <w:highlight w:val="none"/>
        </w:rPr>
      </w:pPr>
    </w:p>
    <w:p w14:paraId="1B78AA17">
      <w:pPr>
        <w:rPr>
          <w:rFonts w:ascii="宋体" w:hAnsi="宋体" w:cs="宋体"/>
          <w:color w:val="auto"/>
          <w:sz w:val="24"/>
          <w:highlight w:val="none"/>
        </w:rPr>
      </w:pPr>
      <w:r>
        <w:rPr>
          <w:rFonts w:hint="eastAsia" w:ascii="宋体" w:hAnsi="宋体" w:cs="宋体"/>
          <w:color w:val="auto"/>
          <w:sz w:val="24"/>
          <w:highlight w:val="none"/>
        </w:rPr>
        <w:t>(可根据需求自行更改)</w:t>
      </w:r>
    </w:p>
    <w:p w14:paraId="220CD0DC">
      <w:pPr>
        <w:rPr>
          <w:rFonts w:ascii="宋体" w:hAnsi="宋体" w:cs="宋体"/>
          <w:color w:val="auto"/>
          <w:sz w:val="24"/>
          <w:highlight w:val="none"/>
        </w:rPr>
      </w:pPr>
    </w:p>
    <w:p w14:paraId="5127943E">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34D1C7E7">
      <w:pPr>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3F96EC61">
      <w:pPr>
        <w:spacing w:line="360" w:lineRule="auto"/>
        <w:rPr>
          <w:rFonts w:ascii="宋体" w:hAnsi="宋体" w:cs="宋体"/>
          <w:b/>
          <w:color w:val="auto"/>
          <w:sz w:val="24"/>
          <w:highlight w:val="none"/>
        </w:rPr>
      </w:pPr>
    </w:p>
    <w:p w14:paraId="41B91C76">
      <w:pPr>
        <w:spacing w:line="360" w:lineRule="auto"/>
        <w:rPr>
          <w:rFonts w:ascii="宋体" w:hAnsi="宋体" w:cs="宋体"/>
          <w:b/>
          <w:color w:val="auto"/>
          <w:sz w:val="24"/>
          <w:highlight w:val="none"/>
        </w:rPr>
      </w:pPr>
    </w:p>
    <w:p w14:paraId="1DA6F698">
      <w:pPr>
        <w:spacing w:line="360" w:lineRule="auto"/>
        <w:jc w:val="left"/>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13B7F349">
      <w:pPr>
        <w:spacing w:line="360" w:lineRule="auto"/>
        <w:jc w:val="left"/>
        <w:rPr>
          <w:rFonts w:ascii="宋体" w:hAnsi="宋体" w:cs="宋体"/>
          <w:color w:val="auto"/>
          <w:sz w:val="24"/>
          <w:highlight w:val="none"/>
        </w:rPr>
      </w:pPr>
      <w:r>
        <w:rPr>
          <w:rFonts w:hint="eastAsia" w:ascii="宋体" w:hAnsi="宋体" w:cs="宋体"/>
          <w:color w:val="auto"/>
          <w:sz w:val="24"/>
          <w:highlight w:val="none"/>
        </w:rPr>
        <w:t>格式7</w:t>
      </w:r>
    </w:p>
    <w:p w14:paraId="0E57F803">
      <w:pPr>
        <w:pStyle w:val="27"/>
        <w:ind w:firstLine="480"/>
        <w:rPr>
          <w:rFonts w:ascii="宋体" w:hAnsi="宋体" w:eastAsia="宋体" w:cs="宋体"/>
          <w:color w:val="auto"/>
          <w:sz w:val="24"/>
          <w:highlight w:val="none"/>
        </w:rPr>
      </w:pPr>
    </w:p>
    <w:p w14:paraId="2F3DE646">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服务方案及服务承诺</w:t>
      </w:r>
    </w:p>
    <w:p w14:paraId="171ABD81">
      <w:pPr>
        <w:spacing w:line="380" w:lineRule="exact"/>
        <w:jc w:val="center"/>
        <w:rPr>
          <w:rFonts w:ascii="宋体" w:hAnsi="宋体" w:cs="宋体"/>
          <w:color w:val="auto"/>
          <w:sz w:val="24"/>
          <w:highlight w:val="none"/>
        </w:rPr>
      </w:pPr>
    </w:p>
    <w:p w14:paraId="3B97EF9A">
      <w:pPr>
        <w:spacing w:line="380" w:lineRule="exact"/>
        <w:ind w:firstLine="360" w:firstLineChars="150"/>
        <w:rPr>
          <w:rFonts w:ascii="宋体" w:hAnsi="宋体" w:cs="宋体"/>
          <w:color w:val="auto"/>
          <w:sz w:val="24"/>
          <w:highlight w:val="none"/>
        </w:rPr>
      </w:pPr>
    </w:p>
    <w:p w14:paraId="7E22E79F">
      <w:pPr>
        <w:pStyle w:val="47"/>
        <w:rPr>
          <w:rFonts w:ascii="宋体" w:hAnsi="宋体" w:cs="宋体"/>
          <w:color w:val="auto"/>
          <w:sz w:val="24"/>
          <w:szCs w:val="24"/>
          <w:highlight w:val="none"/>
        </w:rPr>
      </w:pPr>
    </w:p>
    <w:p w14:paraId="06B1AB27">
      <w:pPr>
        <w:pStyle w:val="47"/>
        <w:rPr>
          <w:rFonts w:ascii="宋体" w:hAnsi="宋体" w:cs="宋体"/>
          <w:color w:val="auto"/>
          <w:sz w:val="24"/>
          <w:szCs w:val="24"/>
          <w:highlight w:val="none"/>
        </w:rPr>
      </w:pPr>
    </w:p>
    <w:p w14:paraId="79BE314E">
      <w:pPr>
        <w:pStyle w:val="47"/>
        <w:rPr>
          <w:rFonts w:ascii="宋体" w:hAnsi="宋体" w:cs="宋体"/>
          <w:color w:val="auto"/>
          <w:sz w:val="24"/>
          <w:szCs w:val="24"/>
          <w:highlight w:val="none"/>
        </w:rPr>
      </w:pPr>
    </w:p>
    <w:p w14:paraId="72F4EA08">
      <w:pPr>
        <w:pStyle w:val="47"/>
        <w:rPr>
          <w:rFonts w:ascii="宋体" w:hAnsi="宋体" w:cs="宋体"/>
          <w:color w:val="auto"/>
          <w:sz w:val="24"/>
          <w:szCs w:val="24"/>
          <w:highlight w:val="none"/>
        </w:rPr>
      </w:pPr>
    </w:p>
    <w:p w14:paraId="1F15AD48">
      <w:pPr>
        <w:pStyle w:val="47"/>
        <w:rPr>
          <w:rFonts w:ascii="宋体" w:hAnsi="宋体" w:cs="宋体"/>
          <w:color w:val="auto"/>
          <w:sz w:val="24"/>
          <w:szCs w:val="24"/>
          <w:highlight w:val="none"/>
        </w:rPr>
      </w:pPr>
    </w:p>
    <w:p w14:paraId="2FE7F137">
      <w:pPr>
        <w:pStyle w:val="47"/>
        <w:rPr>
          <w:rFonts w:ascii="宋体" w:hAnsi="宋体" w:cs="宋体"/>
          <w:color w:val="auto"/>
          <w:sz w:val="24"/>
          <w:szCs w:val="24"/>
          <w:highlight w:val="none"/>
        </w:rPr>
      </w:pPr>
    </w:p>
    <w:p w14:paraId="70B357C1">
      <w:pPr>
        <w:spacing w:line="380" w:lineRule="exact"/>
        <w:rPr>
          <w:rFonts w:ascii="宋体" w:hAnsi="宋体" w:cs="宋体"/>
          <w:color w:val="auto"/>
          <w:sz w:val="24"/>
          <w:highlight w:val="none"/>
        </w:rPr>
      </w:pPr>
    </w:p>
    <w:p w14:paraId="155E2B2B">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36B8340C">
      <w:pPr>
        <w:spacing w:line="380" w:lineRule="exact"/>
        <w:ind w:right="640" w:firstLine="1560" w:firstLineChars="650"/>
        <w:rPr>
          <w:rFonts w:ascii="宋体" w:hAnsi="宋体" w:cs="宋体"/>
          <w:color w:val="auto"/>
          <w:sz w:val="24"/>
          <w:highlight w:val="none"/>
        </w:rPr>
      </w:pPr>
    </w:p>
    <w:p w14:paraId="51C6E38D">
      <w:pPr>
        <w:spacing w:line="380" w:lineRule="exact"/>
        <w:ind w:right="640" w:firstLine="4680" w:firstLineChars="1950"/>
        <w:rPr>
          <w:rFonts w:ascii="宋体" w:hAnsi="宋体" w:cs="宋体"/>
          <w:color w:val="auto"/>
          <w:sz w:val="24"/>
          <w:highlight w:val="none"/>
        </w:rPr>
      </w:pPr>
    </w:p>
    <w:p w14:paraId="47D19154">
      <w:pPr>
        <w:spacing w:line="380" w:lineRule="exact"/>
        <w:jc w:val="center"/>
        <w:rPr>
          <w:rFonts w:ascii="宋体" w:hAnsi="宋体" w:cs="宋体"/>
          <w:color w:val="auto"/>
          <w:sz w:val="24"/>
          <w:highlight w:val="none"/>
        </w:rPr>
      </w:pPr>
    </w:p>
    <w:p w14:paraId="73C85EE1">
      <w:pPr>
        <w:spacing w:line="38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      年   月    日</w:t>
      </w:r>
    </w:p>
    <w:p w14:paraId="162632D4">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31AD1791">
      <w:pPr>
        <w:spacing w:line="380" w:lineRule="exact"/>
        <w:jc w:val="center"/>
        <w:rPr>
          <w:rFonts w:hint="eastAsia" w:ascii="宋体" w:hAnsi="宋体" w:eastAsia="宋体" w:cs="宋体"/>
          <w:color w:val="auto"/>
          <w:sz w:val="24"/>
          <w:highlight w:val="none"/>
        </w:rPr>
        <w:sectPr>
          <w:pgSz w:w="11907" w:h="16840"/>
          <w:pgMar w:top="1440" w:right="1588" w:bottom="1440" w:left="1588" w:header="851" w:footer="992" w:gutter="0"/>
          <w:cols w:space="720" w:num="1"/>
          <w:docGrid w:type="lines" w:linePitch="312" w:charSpace="0"/>
        </w:sectPr>
      </w:pPr>
    </w:p>
    <w:p w14:paraId="6BC4051B">
      <w:pPr>
        <w:spacing w:line="38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格式8</w:t>
      </w:r>
    </w:p>
    <w:p w14:paraId="02439FF4">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合格供应商的声明函和承诺书</w:t>
      </w:r>
    </w:p>
    <w:p w14:paraId="7A201D8A">
      <w:pPr>
        <w:spacing w:line="360" w:lineRule="auto"/>
        <w:rPr>
          <w:rFonts w:ascii="宋体" w:hAnsi="宋体" w:cs="宋体"/>
          <w:color w:val="auto"/>
          <w:sz w:val="24"/>
          <w:highlight w:val="none"/>
        </w:rPr>
      </w:pPr>
    </w:p>
    <w:p w14:paraId="1FC7C8AA">
      <w:pPr>
        <w:spacing w:line="360" w:lineRule="auto"/>
        <w:jc w:val="center"/>
        <w:rPr>
          <w:rFonts w:ascii="宋体" w:hAnsi="宋体" w:cs="宋体"/>
          <w:b/>
          <w:bCs/>
          <w:color w:val="auto"/>
          <w:sz w:val="24"/>
          <w:highlight w:val="none"/>
        </w:rPr>
      </w:pPr>
    </w:p>
    <w:p w14:paraId="01443F52">
      <w:pPr>
        <w:pStyle w:val="47"/>
        <w:rPr>
          <w:color w:val="auto"/>
          <w:highlight w:val="none"/>
        </w:rPr>
      </w:pPr>
    </w:p>
    <w:p w14:paraId="4761946F">
      <w:pPr>
        <w:spacing w:line="360" w:lineRule="auto"/>
        <w:jc w:val="center"/>
        <w:rPr>
          <w:rFonts w:ascii="宋体" w:hAnsi="宋体" w:cs="宋体"/>
          <w:b/>
          <w:color w:val="auto"/>
          <w:sz w:val="24"/>
          <w:highlight w:val="none"/>
        </w:rPr>
      </w:pPr>
    </w:p>
    <w:p w14:paraId="4F26A822">
      <w:pPr>
        <w:spacing w:line="360" w:lineRule="auto"/>
        <w:jc w:val="center"/>
        <w:rPr>
          <w:rFonts w:ascii="宋体" w:hAnsi="宋体" w:cs="宋体"/>
          <w:b/>
          <w:color w:val="auto"/>
          <w:sz w:val="24"/>
          <w:highlight w:val="none"/>
        </w:rPr>
      </w:pPr>
    </w:p>
    <w:p w14:paraId="69E289DE">
      <w:pPr>
        <w:spacing w:line="360" w:lineRule="auto"/>
        <w:jc w:val="center"/>
        <w:rPr>
          <w:rFonts w:ascii="宋体" w:hAnsi="宋体" w:cs="宋体"/>
          <w:b/>
          <w:color w:val="auto"/>
          <w:sz w:val="24"/>
          <w:highlight w:val="none"/>
        </w:rPr>
      </w:pPr>
    </w:p>
    <w:p w14:paraId="4F6C0A0C">
      <w:pPr>
        <w:spacing w:line="360" w:lineRule="auto"/>
        <w:jc w:val="center"/>
        <w:rPr>
          <w:rFonts w:ascii="宋体" w:hAnsi="宋体" w:cs="宋体"/>
          <w:b/>
          <w:color w:val="auto"/>
          <w:sz w:val="24"/>
          <w:highlight w:val="none"/>
        </w:rPr>
      </w:pPr>
    </w:p>
    <w:p w14:paraId="7311F40A">
      <w:pPr>
        <w:spacing w:line="360" w:lineRule="auto"/>
        <w:jc w:val="center"/>
        <w:rPr>
          <w:rFonts w:ascii="宋体" w:hAnsi="宋体" w:cs="宋体"/>
          <w:b/>
          <w:color w:val="auto"/>
          <w:sz w:val="24"/>
          <w:highlight w:val="none"/>
        </w:rPr>
      </w:pPr>
    </w:p>
    <w:p w14:paraId="68D2D227">
      <w:pPr>
        <w:spacing w:line="360" w:lineRule="auto"/>
        <w:jc w:val="center"/>
        <w:rPr>
          <w:rFonts w:ascii="宋体" w:hAnsi="宋体" w:cs="宋体"/>
          <w:b/>
          <w:color w:val="auto"/>
          <w:sz w:val="24"/>
          <w:highlight w:val="none"/>
        </w:rPr>
      </w:pPr>
    </w:p>
    <w:p w14:paraId="6B10BFE3">
      <w:pPr>
        <w:spacing w:line="360" w:lineRule="auto"/>
        <w:jc w:val="center"/>
        <w:rPr>
          <w:rFonts w:ascii="宋体" w:hAnsi="宋体" w:cs="宋体"/>
          <w:b/>
          <w:color w:val="auto"/>
          <w:sz w:val="24"/>
          <w:highlight w:val="none"/>
        </w:rPr>
      </w:pPr>
    </w:p>
    <w:p w14:paraId="388E7746">
      <w:pPr>
        <w:spacing w:line="360" w:lineRule="auto"/>
        <w:jc w:val="center"/>
        <w:rPr>
          <w:rFonts w:ascii="宋体" w:hAnsi="宋体" w:cs="宋体"/>
          <w:b/>
          <w:color w:val="auto"/>
          <w:sz w:val="24"/>
          <w:highlight w:val="none"/>
        </w:rPr>
      </w:pPr>
    </w:p>
    <w:p w14:paraId="38DF132A">
      <w:pPr>
        <w:spacing w:line="360" w:lineRule="auto"/>
        <w:jc w:val="center"/>
        <w:rPr>
          <w:rFonts w:ascii="宋体" w:hAnsi="宋体" w:cs="宋体"/>
          <w:b/>
          <w:color w:val="auto"/>
          <w:sz w:val="24"/>
          <w:highlight w:val="none"/>
        </w:rPr>
      </w:pPr>
    </w:p>
    <w:p w14:paraId="2E3044A8">
      <w:pPr>
        <w:spacing w:line="360" w:lineRule="auto"/>
        <w:jc w:val="center"/>
        <w:rPr>
          <w:rFonts w:ascii="宋体" w:hAnsi="宋体" w:cs="宋体"/>
          <w:b/>
          <w:color w:val="auto"/>
          <w:sz w:val="24"/>
          <w:highlight w:val="none"/>
        </w:rPr>
      </w:pPr>
    </w:p>
    <w:p w14:paraId="07B6FC4F">
      <w:pPr>
        <w:spacing w:line="360" w:lineRule="auto"/>
        <w:jc w:val="center"/>
        <w:rPr>
          <w:rFonts w:ascii="宋体" w:hAnsi="宋体" w:cs="宋体"/>
          <w:b/>
          <w:color w:val="auto"/>
          <w:sz w:val="24"/>
          <w:highlight w:val="none"/>
        </w:rPr>
      </w:pPr>
    </w:p>
    <w:p w14:paraId="17664CE0">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电子</w:t>
      </w:r>
      <w:r>
        <w:rPr>
          <w:rFonts w:hint="eastAsia" w:ascii="宋体" w:hAnsi="宋体" w:cs="宋体"/>
          <w:color w:val="auto"/>
          <w:sz w:val="24"/>
          <w:highlight w:val="none"/>
          <w:lang w:val="en-US" w:eastAsia="zh-CN"/>
        </w:rPr>
        <w:t>公</w:t>
      </w:r>
      <w:r>
        <w:rPr>
          <w:rFonts w:hint="eastAsia" w:ascii="宋体" w:hAnsi="宋体" w:cs="宋体"/>
          <w:color w:val="auto"/>
          <w:sz w:val="24"/>
          <w:highlight w:val="none"/>
        </w:rPr>
        <w:t xml:space="preserve">章： </w:t>
      </w:r>
    </w:p>
    <w:p w14:paraId="1139EDF4">
      <w:pPr>
        <w:spacing w:line="380" w:lineRule="exact"/>
        <w:ind w:right="640" w:firstLine="1560" w:firstLineChars="650"/>
        <w:rPr>
          <w:rFonts w:ascii="宋体" w:hAnsi="宋体" w:cs="宋体"/>
          <w:color w:val="auto"/>
          <w:sz w:val="24"/>
          <w:highlight w:val="none"/>
        </w:rPr>
      </w:pPr>
    </w:p>
    <w:p w14:paraId="481E94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1D0E2827">
      <w:pPr>
        <w:spacing w:line="360" w:lineRule="auto"/>
        <w:rPr>
          <w:rFonts w:hint="eastAsia" w:ascii="宋体" w:hAnsi="宋体" w:cs="宋体"/>
          <w:color w:val="auto"/>
          <w:sz w:val="24"/>
          <w:highlight w:val="none"/>
        </w:rPr>
      </w:pPr>
    </w:p>
    <w:p w14:paraId="22E6081B">
      <w:pPr>
        <w:spacing w:line="360" w:lineRule="auto"/>
        <w:rPr>
          <w:rFonts w:hint="eastAsia" w:ascii="宋体" w:hAnsi="宋体" w:cs="宋体"/>
          <w:color w:val="auto"/>
          <w:sz w:val="24"/>
          <w:highlight w:val="none"/>
        </w:rPr>
      </w:pPr>
    </w:p>
    <w:p w14:paraId="7EE0F331">
      <w:pPr>
        <w:spacing w:line="360" w:lineRule="auto"/>
        <w:rPr>
          <w:rFonts w:hint="eastAsia" w:ascii="宋体" w:hAnsi="宋体" w:cs="宋体"/>
          <w:color w:val="auto"/>
          <w:sz w:val="24"/>
          <w:highlight w:val="none"/>
        </w:rPr>
      </w:pPr>
    </w:p>
    <w:p w14:paraId="7364BA55">
      <w:pPr>
        <w:spacing w:line="360" w:lineRule="auto"/>
        <w:rPr>
          <w:rFonts w:hint="eastAsia" w:ascii="宋体" w:hAnsi="宋体" w:cs="宋体"/>
          <w:color w:val="auto"/>
          <w:sz w:val="24"/>
          <w:highlight w:val="none"/>
        </w:rPr>
      </w:pPr>
    </w:p>
    <w:p w14:paraId="719CD30F">
      <w:pPr>
        <w:spacing w:line="380" w:lineRule="exact"/>
        <w:jc w:val="center"/>
        <w:rPr>
          <w:rFonts w:hint="eastAsia" w:ascii="宋体" w:hAnsi="宋体" w:eastAsia="宋体" w:cs="宋体"/>
          <w:color w:val="auto"/>
          <w:sz w:val="24"/>
          <w:highlight w:val="none"/>
        </w:rPr>
      </w:pPr>
    </w:p>
    <w:p w14:paraId="4926D47C">
      <w:pPr>
        <w:spacing w:line="380" w:lineRule="exact"/>
        <w:jc w:val="center"/>
        <w:rPr>
          <w:rFonts w:hint="eastAsia" w:ascii="宋体" w:hAnsi="宋体" w:eastAsia="宋体" w:cs="宋体"/>
          <w:color w:val="auto"/>
          <w:sz w:val="24"/>
          <w:highlight w:val="none"/>
        </w:rPr>
      </w:pPr>
    </w:p>
    <w:p w14:paraId="13CF1920">
      <w:pPr>
        <w:spacing w:line="380" w:lineRule="exact"/>
        <w:jc w:val="center"/>
        <w:rPr>
          <w:rFonts w:hint="eastAsia" w:ascii="宋体" w:hAnsi="宋体" w:eastAsia="宋体" w:cs="宋体"/>
          <w:color w:val="auto"/>
          <w:sz w:val="24"/>
          <w:highlight w:val="none"/>
        </w:rPr>
      </w:pPr>
    </w:p>
    <w:p w14:paraId="757A5C74">
      <w:pPr>
        <w:spacing w:line="380" w:lineRule="exact"/>
        <w:jc w:val="center"/>
        <w:rPr>
          <w:rFonts w:hint="eastAsia" w:ascii="宋体" w:hAnsi="宋体" w:eastAsia="宋体" w:cs="宋体"/>
          <w:color w:val="auto"/>
          <w:sz w:val="24"/>
          <w:highlight w:val="none"/>
        </w:rPr>
      </w:pPr>
    </w:p>
    <w:p w14:paraId="1DBF03C3">
      <w:pPr>
        <w:spacing w:line="380" w:lineRule="exact"/>
        <w:jc w:val="center"/>
        <w:rPr>
          <w:rFonts w:hint="eastAsia" w:ascii="宋体" w:hAnsi="宋体" w:eastAsia="宋体" w:cs="宋体"/>
          <w:color w:val="auto"/>
          <w:sz w:val="24"/>
          <w:highlight w:val="none"/>
        </w:rPr>
      </w:pPr>
    </w:p>
    <w:p w14:paraId="3D85B58E">
      <w:pPr>
        <w:spacing w:line="380" w:lineRule="exact"/>
        <w:jc w:val="center"/>
        <w:rPr>
          <w:rFonts w:hint="eastAsia" w:ascii="宋体" w:hAnsi="宋体" w:eastAsia="宋体" w:cs="宋体"/>
          <w:color w:val="auto"/>
          <w:sz w:val="24"/>
          <w:highlight w:val="none"/>
        </w:rPr>
      </w:pPr>
    </w:p>
    <w:p w14:paraId="21A2AD40">
      <w:pPr>
        <w:spacing w:line="380" w:lineRule="exact"/>
        <w:jc w:val="center"/>
        <w:rPr>
          <w:rFonts w:hint="eastAsia" w:ascii="宋体" w:hAnsi="宋体" w:eastAsia="宋体" w:cs="宋体"/>
          <w:color w:val="auto"/>
          <w:sz w:val="24"/>
          <w:highlight w:val="none"/>
        </w:rPr>
      </w:pPr>
    </w:p>
    <w:p w14:paraId="2C43C48D">
      <w:pPr>
        <w:spacing w:line="380" w:lineRule="exact"/>
        <w:jc w:val="center"/>
        <w:rPr>
          <w:rFonts w:hint="eastAsia" w:ascii="宋体" w:hAnsi="宋体" w:eastAsia="宋体" w:cs="宋体"/>
          <w:color w:val="auto"/>
          <w:sz w:val="24"/>
          <w:highlight w:val="none"/>
        </w:rPr>
      </w:pPr>
    </w:p>
    <w:p w14:paraId="102EA882">
      <w:pPr>
        <w:spacing w:line="380" w:lineRule="exact"/>
        <w:jc w:val="center"/>
        <w:rPr>
          <w:rFonts w:hint="eastAsia" w:ascii="宋体" w:hAnsi="宋体" w:eastAsia="宋体" w:cs="宋体"/>
          <w:color w:val="auto"/>
          <w:sz w:val="24"/>
          <w:highlight w:val="none"/>
        </w:rPr>
      </w:pPr>
    </w:p>
    <w:p w14:paraId="165B238E">
      <w:pPr>
        <w:spacing w:line="38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格式9</w:t>
      </w:r>
    </w:p>
    <w:p w14:paraId="4F68A90D">
      <w:pPr>
        <w:spacing w:line="38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中小企业声明函（工程、服务）</w:t>
      </w:r>
    </w:p>
    <w:p w14:paraId="2F3DF7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b/>
          <w:bCs/>
          <w:color w:val="auto"/>
          <w:sz w:val="32"/>
          <w:szCs w:val="32"/>
          <w:highlight w:val="none"/>
        </w:rPr>
      </w:pPr>
    </w:p>
    <w:p w14:paraId="60D86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eastAsia="宋体" w:cs="宋体"/>
          <w:color w:val="auto"/>
          <w:sz w:val="24"/>
          <w:szCs w:val="24"/>
          <w:highlight w:val="none"/>
          <w:u w:val="single"/>
        </w:rPr>
        <w:t>（或者：服务全部由符合政策要求的中小企业承接）</w:t>
      </w:r>
      <w:r>
        <w:rPr>
          <w:rFonts w:hint="eastAsia" w:ascii="宋体" w:hAnsi="宋体" w:eastAsia="宋体" w:cs="宋体"/>
          <w:color w:val="auto"/>
          <w:sz w:val="24"/>
          <w:szCs w:val="24"/>
          <w:highlight w:val="none"/>
        </w:rPr>
        <w:t>。相关企业</w:t>
      </w:r>
      <w:r>
        <w:rPr>
          <w:rFonts w:hint="eastAsia" w:ascii="宋体" w:hAnsi="宋体" w:eastAsia="宋体" w:cs="宋体"/>
          <w:color w:val="auto"/>
          <w:sz w:val="24"/>
          <w:szCs w:val="24"/>
          <w:highlight w:val="none"/>
          <w:u w:val="single"/>
        </w:rPr>
        <w:t>（含联合 体中的中小企业、签订分包意向协议的中小企业）</w:t>
      </w:r>
      <w:r>
        <w:rPr>
          <w:rFonts w:hint="eastAsia" w:ascii="宋体" w:hAnsi="宋体" w:eastAsia="宋体" w:cs="宋体"/>
          <w:color w:val="auto"/>
          <w:sz w:val="24"/>
          <w:szCs w:val="24"/>
          <w:highlight w:val="none"/>
        </w:rPr>
        <w:t>的具体情 况如下：</w:t>
      </w:r>
    </w:p>
    <w:p w14:paraId="0F5BF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承建（承接）企业为（企业名称），从业人员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万元1，属于（中型企业、小型企业、微型企业）； </w:t>
      </w:r>
    </w:p>
    <w:p w14:paraId="604283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 小型企业、微型企业）</w:t>
      </w:r>
      <w:r>
        <w:rPr>
          <w:rFonts w:hint="eastAsia" w:ascii="宋体" w:hAnsi="宋体" w:eastAsia="宋体" w:cs="宋体"/>
          <w:color w:val="auto"/>
          <w:sz w:val="24"/>
          <w:szCs w:val="24"/>
          <w:highlight w:val="none"/>
        </w:rPr>
        <w:t>； ……</w:t>
      </w:r>
    </w:p>
    <w:p w14:paraId="74A077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 为大企业的情形，也不存在与大企业的负责人为同一人的情形。</w:t>
      </w:r>
    </w:p>
    <w:p w14:paraId="4CA975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本企业对上述声明内容的真实性负责。如有虚假，将依法承担相应责任。 </w:t>
      </w:r>
    </w:p>
    <w:p w14:paraId="3EBDD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E563F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0" w:firstLine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14:paraId="57C1D770">
      <w:pPr>
        <w:pStyle w:val="47"/>
        <w:rPr>
          <w:rFonts w:hint="eastAsia" w:ascii="宋体" w:hAnsi="宋体" w:eastAsia="宋体" w:cs="宋体"/>
          <w:color w:val="auto"/>
          <w:sz w:val="24"/>
          <w:szCs w:val="24"/>
          <w:highlight w:val="none"/>
        </w:rPr>
      </w:pPr>
    </w:p>
    <w:p w14:paraId="2D0DC1D8">
      <w:pPr>
        <w:pStyle w:val="5"/>
        <w:rPr>
          <w:rFonts w:hint="eastAsia" w:ascii="宋体" w:hAnsi="宋体" w:eastAsia="宋体" w:cs="宋体"/>
          <w:color w:val="auto"/>
          <w:sz w:val="24"/>
          <w:szCs w:val="24"/>
          <w:highlight w:val="none"/>
        </w:rPr>
      </w:pPr>
    </w:p>
    <w:p w14:paraId="3D67CA84">
      <w:pPr>
        <w:rPr>
          <w:rFonts w:hint="eastAsia" w:ascii="宋体" w:hAnsi="宋体" w:eastAsia="宋体" w:cs="宋体"/>
          <w:color w:val="auto"/>
          <w:sz w:val="24"/>
          <w:szCs w:val="24"/>
          <w:highlight w:val="none"/>
        </w:rPr>
      </w:pPr>
    </w:p>
    <w:p w14:paraId="62D8551B">
      <w:pPr>
        <w:pStyle w:val="47"/>
        <w:rPr>
          <w:rFonts w:hint="eastAsia" w:ascii="宋体" w:hAnsi="宋体" w:eastAsia="宋体" w:cs="宋体"/>
          <w:color w:val="auto"/>
          <w:sz w:val="24"/>
          <w:szCs w:val="24"/>
          <w:highlight w:val="none"/>
        </w:rPr>
      </w:pPr>
    </w:p>
    <w:p w14:paraId="44D6163A">
      <w:pPr>
        <w:pStyle w:val="5"/>
        <w:rPr>
          <w:rFonts w:hint="eastAsia"/>
          <w:color w:val="auto"/>
          <w:highlight w:val="none"/>
        </w:rPr>
      </w:pPr>
    </w:p>
    <w:p w14:paraId="74F63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注：1.从业人员、营业收入、资产总额填报上一年度数据，无上一年度数据的新成立企业可不填报。</w:t>
      </w:r>
    </w:p>
    <w:p w14:paraId="779003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2.本项目如是只面向中小企业采购的应当必须提供。</w:t>
      </w:r>
    </w:p>
    <w:p w14:paraId="5AA2641B">
      <w:pPr>
        <w:spacing w:line="360" w:lineRule="auto"/>
        <w:jc w:val="center"/>
        <w:rPr>
          <w:rFonts w:ascii="宋体" w:hAnsi="宋体" w:cs="宋体"/>
          <w:b/>
          <w:bCs/>
          <w:color w:val="auto"/>
          <w:sz w:val="24"/>
          <w:highlight w:val="none"/>
        </w:rPr>
      </w:pPr>
    </w:p>
    <w:p w14:paraId="02C94BF1">
      <w:pPr>
        <w:spacing w:line="360" w:lineRule="auto"/>
        <w:jc w:val="center"/>
        <w:rPr>
          <w:rFonts w:ascii="宋体" w:hAnsi="宋体" w:cs="宋体"/>
          <w:b/>
          <w:bCs/>
          <w:color w:val="auto"/>
          <w:sz w:val="24"/>
          <w:highlight w:val="none"/>
        </w:rPr>
      </w:pPr>
    </w:p>
    <w:p w14:paraId="20836067">
      <w:pPr>
        <w:pStyle w:val="47"/>
        <w:rPr>
          <w:rFonts w:ascii="宋体" w:hAnsi="宋体" w:cs="宋体"/>
          <w:b/>
          <w:bCs/>
          <w:color w:val="auto"/>
          <w:sz w:val="24"/>
          <w:highlight w:val="none"/>
        </w:rPr>
      </w:pPr>
    </w:p>
    <w:p w14:paraId="5380AD0C">
      <w:pPr>
        <w:pStyle w:val="5"/>
        <w:rPr>
          <w:color w:val="auto"/>
          <w:highlight w:val="none"/>
        </w:rPr>
      </w:pPr>
    </w:p>
    <w:p w14:paraId="36CD02C1">
      <w:pPr>
        <w:spacing w:line="360" w:lineRule="auto"/>
        <w:rPr>
          <w:rFonts w:hint="eastAsia" w:ascii="宋体" w:hAnsi="宋体" w:cs="宋体"/>
          <w:color w:val="auto"/>
          <w:sz w:val="24"/>
          <w:highlight w:val="none"/>
        </w:rPr>
      </w:pPr>
    </w:p>
    <w:p w14:paraId="4D694C67">
      <w:pPr>
        <w:spacing w:line="360" w:lineRule="auto"/>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027428A1">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10</w:t>
      </w:r>
    </w:p>
    <w:p w14:paraId="4C1B3F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其他资料</w:t>
      </w:r>
    </w:p>
    <w:p w14:paraId="479B5F1B">
      <w:pPr>
        <w:pStyle w:val="44"/>
        <w:ind w:firstLine="240"/>
        <w:rPr>
          <w:rFonts w:ascii="宋体" w:hAnsi="宋体" w:cs="宋体"/>
          <w:color w:val="auto"/>
          <w:sz w:val="24"/>
          <w:highlight w:val="none"/>
        </w:rPr>
      </w:pPr>
    </w:p>
    <w:p w14:paraId="3A9AF436">
      <w:pPr>
        <w:spacing w:line="360" w:lineRule="auto"/>
        <w:rPr>
          <w:rFonts w:hint="eastAsia" w:ascii="宋体" w:hAnsi="宋体" w:cs="宋体"/>
          <w:color w:val="auto"/>
          <w:sz w:val="24"/>
          <w:highlight w:val="none"/>
        </w:rPr>
        <w:sectPr>
          <w:pgSz w:w="11907" w:h="16840"/>
          <w:pgMar w:top="1440" w:right="1588" w:bottom="1440" w:left="1588" w:header="851" w:footer="992" w:gutter="0"/>
          <w:cols w:space="720" w:num="1"/>
          <w:docGrid w:type="lines" w:linePitch="312" w:charSpace="0"/>
        </w:sectPr>
      </w:pPr>
    </w:p>
    <w:p w14:paraId="4D046DC2">
      <w:pPr>
        <w:spacing w:line="360" w:lineRule="auto"/>
        <w:rPr>
          <w:rFonts w:hint="default" w:eastAsia="宋体"/>
          <w:color w:val="auto"/>
          <w:highlight w:val="none"/>
          <w:lang w:val="en-US" w:eastAsia="zh-CN"/>
        </w:rPr>
      </w:pPr>
      <w:r>
        <w:rPr>
          <w:rFonts w:hint="eastAsia" w:ascii="宋体" w:hAnsi="宋体" w:cs="宋体"/>
          <w:color w:val="auto"/>
          <w:sz w:val="24"/>
          <w:highlight w:val="none"/>
        </w:rPr>
        <w:t>格式</w:t>
      </w:r>
      <w:r>
        <w:rPr>
          <w:rFonts w:hint="eastAsia" w:ascii="宋体" w:hAnsi="宋体" w:cs="宋体"/>
          <w:color w:val="auto"/>
          <w:sz w:val="24"/>
          <w:highlight w:val="none"/>
          <w:lang w:val="en-US" w:eastAsia="zh-CN"/>
        </w:rPr>
        <w:t>11</w:t>
      </w:r>
    </w:p>
    <w:p w14:paraId="6958A310">
      <w:pPr>
        <w:spacing w:line="380" w:lineRule="exact"/>
        <w:jc w:val="center"/>
        <w:rPr>
          <w:rStyle w:val="75"/>
          <w:rFonts w:ascii="宋体"/>
          <w:b/>
          <w:bCs/>
          <w:color w:val="auto"/>
          <w:sz w:val="28"/>
          <w:szCs w:val="28"/>
          <w:highlight w:val="none"/>
        </w:rPr>
      </w:pPr>
      <w:r>
        <w:rPr>
          <w:rStyle w:val="75"/>
          <w:rFonts w:hint="eastAsia" w:ascii="宋体" w:hAnsi="宋体" w:cs="宋体"/>
          <w:b/>
          <w:bCs/>
          <w:color w:val="auto"/>
          <w:sz w:val="28"/>
          <w:szCs w:val="28"/>
          <w:highlight w:val="none"/>
        </w:rPr>
        <w:t>政府采购供应商诚信承诺书</w:t>
      </w:r>
    </w:p>
    <w:p w14:paraId="6D700D18">
      <w:pPr>
        <w:spacing w:line="380" w:lineRule="exact"/>
        <w:jc w:val="center"/>
        <w:rPr>
          <w:rStyle w:val="75"/>
          <w:rFonts w:ascii="宋体"/>
          <w:b/>
          <w:bCs/>
          <w:color w:val="auto"/>
          <w:sz w:val="24"/>
          <w:highlight w:val="none"/>
        </w:rPr>
      </w:pPr>
    </w:p>
    <w:p w14:paraId="2D3DEFD5">
      <w:pPr>
        <w:spacing w:line="38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6812F3D6">
      <w:pPr>
        <w:spacing w:line="380" w:lineRule="exact"/>
        <w:rPr>
          <w:rFonts w:ascii="宋体" w:hAnsi="宋体" w:cs="宋体"/>
          <w:color w:val="auto"/>
          <w:sz w:val="24"/>
          <w:highlight w:val="none"/>
        </w:rPr>
      </w:pPr>
      <w:r>
        <w:rPr>
          <w:rFonts w:hint="eastAsia" w:ascii="宋体" w:hAnsi="宋体" w:cs="宋体"/>
          <w:color w:val="auto"/>
          <w:sz w:val="24"/>
          <w:highlight w:val="none"/>
        </w:rPr>
        <w:t>（一）提供虚假材料谋取中标;</w:t>
      </w:r>
    </w:p>
    <w:p w14:paraId="1B988B95">
      <w:pPr>
        <w:spacing w:line="380" w:lineRule="exact"/>
        <w:rPr>
          <w:rFonts w:ascii="宋体" w:hAnsi="宋体" w:cs="宋体"/>
          <w:color w:val="auto"/>
          <w:sz w:val="24"/>
          <w:highlight w:val="none"/>
        </w:rPr>
      </w:pPr>
      <w:r>
        <w:rPr>
          <w:rFonts w:hint="eastAsia" w:ascii="宋体" w:hAnsi="宋体" w:cs="宋体"/>
          <w:color w:val="auto"/>
          <w:sz w:val="24"/>
          <w:highlight w:val="none"/>
        </w:rPr>
        <w:t>（二）采取不正当手段诋毁、排挤其他供应商;</w:t>
      </w:r>
    </w:p>
    <w:p w14:paraId="32D247E5">
      <w:pPr>
        <w:spacing w:line="380" w:lineRule="exact"/>
        <w:rPr>
          <w:rFonts w:ascii="宋体" w:hAnsi="宋体" w:cs="宋体"/>
          <w:color w:val="auto"/>
          <w:sz w:val="24"/>
          <w:highlight w:val="none"/>
        </w:rPr>
      </w:pPr>
      <w:r>
        <w:rPr>
          <w:rFonts w:hint="eastAsia" w:ascii="宋体" w:hAnsi="宋体" w:cs="宋体"/>
          <w:color w:val="auto"/>
          <w:sz w:val="24"/>
          <w:highlight w:val="none"/>
        </w:rPr>
        <w:t>（三）与招标采购单位、其他投标人恶意串通;</w:t>
      </w:r>
    </w:p>
    <w:p w14:paraId="0DCF9565">
      <w:pPr>
        <w:spacing w:line="380" w:lineRule="exact"/>
        <w:rPr>
          <w:rFonts w:ascii="宋体" w:hAnsi="宋体" w:cs="宋体"/>
          <w:color w:val="auto"/>
          <w:sz w:val="24"/>
          <w:highlight w:val="none"/>
        </w:rPr>
      </w:pPr>
      <w:r>
        <w:rPr>
          <w:rFonts w:hint="eastAsia" w:ascii="宋体" w:hAnsi="宋体" w:cs="宋体"/>
          <w:color w:val="auto"/>
          <w:sz w:val="24"/>
          <w:highlight w:val="none"/>
        </w:rPr>
        <w:t>（四）向招标采购单位或提供其他不正当利益;</w:t>
      </w:r>
    </w:p>
    <w:p w14:paraId="5F91450F">
      <w:pPr>
        <w:spacing w:line="380" w:lineRule="exact"/>
        <w:rPr>
          <w:rFonts w:ascii="宋体" w:hAnsi="宋体" w:cs="宋体"/>
          <w:color w:val="auto"/>
          <w:sz w:val="24"/>
          <w:highlight w:val="none"/>
        </w:rPr>
      </w:pPr>
      <w:r>
        <w:rPr>
          <w:rFonts w:hint="eastAsia" w:ascii="宋体" w:hAnsi="宋体" w:cs="宋体"/>
          <w:color w:val="auto"/>
          <w:sz w:val="24"/>
          <w:highlight w:val="none"/>
        </w:rPr>
        <w:t>（五）在招标过程中与招标采购单位进行协商谈判、不按照招标文件和投标文件订立合同，或者与采购人另立背离合同实质性内容协议;</w:t>
      </w:r>
    </w:p>
    <w:p w14:paraId="11A6FEC4">
      <w:pPr>
        <w:spacing w:line="380" w:lineRule="exact"/>
        <w:rPr>
          <w:rFonts w:ascii="宋体" w:hAnsi="宋体" w:cs="宋体"/>
          <w:color w:val="auto"/>
          <w:sz w:val="24"/>
          <w:highlight w:val="none"/>
        </w:rPr>
      </w:pPr>
      <w:r>
        <w:rPr>
          <w:rFonts w:hint="eastAsia" w:ascii="宋体" w:hAnsi="宋体" w:cs="宋体"/>
          <w:color w:val="auto"/>
          <w:sz w:val="24"/>
          <w:highlight w:val="none"/>
        </w:rPr>
        <w:t>（六）开标后擅自撤销投标，影响招标继续进行的或领取招标文件纳投标保证金后不投标导致废标;</w:t>
      </w:r>
    </w:p>
    <w:p w14:paraId="632AD8E4">
      <w:pPr>
        <w:spacing w:line="380" w:lineRule="exact"/>
        <w:rPr>
          <w:rFonts w:ascii="宋体" w:hAnsi="宋体" w:cs="宋体"/>
          <w:color w:val="auto"/>
          <w:sz w:val="24"/>
          <w:highlight w:val="none"/>
        </w:rPr>
      </w:pPr>
      <w:r>
        <w:rPr>
          <w:rFonts w:hint="eastAsia" w:ascii="宋体" w:hAnsi="宋体" w:cs="宋体"/>
          <w:color w:val="auto"/>
          <w:sz w:val="24"/>
          <w:highlight w:val="none"/>
        </w:rPr>
        <w:t>（七）中标后无正当理由，在规定时间内不与采购单位签订合同;</w:t>
      </w:r>
    </w:p>
    <w:p w14:paraId="11FF8989">
      <w:pPr>
        <w:spacing w:line="380" w:lineRule="exact"/>
        <w:rPr>
          <w:rFonts w:ascii="宋体" w:hAnsi="宋体" w:cs="宋体"/>
          <w:color w:val="auto"/>
          <w:sz w:val="24"/>
          <w:highlight w:val="none"/>
        </w:rPr>
      </w:pPr>
      <w:r>
        <w:rPr>
          <w:rFonts w:hint="eastAsia" w:ascii="宋体" w:hAnsi="宋体" w:cs="宋体"/>
          <w:color w:val="auto"/>
          <w:sz w:val="24"/>
          <w:highlight w:val="none"/>
        </w:rPr>
        <w:t>（八）将中标项目转让给他人或非法分包他人;</w:t>
      </w:r>
    </w:p>
    <w:p w14:paraId="635C193A">
      <w:pPr>
        <w:spacing w:line="380" w:lineRule="exact"/>
        <w:rPr>
          <w:rFonts w:ascii="宋体" w:hAnsi="宋体" w:cs="宋体"/>
          <w:color w:val="auto"/>
          <w:sz w:val="24"/>
          <w:highlight w:val="none"/>
        </w:rPr>
      </w:pPr>
      <w:r>
        <w:rPr>
          <w:rFonts w:hint="eastAsia" w:ascii="宋体" w:hAnsi="宋体" w:cs="宋体"/>
          <w:color w:val="auto"/>
          <w:sz w:val="24"/>
          <w:highlight w:val="none"/>
        </w:rPr>
        <w:t>（九）无正当理由，拒绝履行合同义务;</w:t>
      </w:r>
    </w:p>
    <w:p w14:paraId="621F82F7">
      <w:pPr>
        <w:spacing w:line="380" w:lineRule="exact"/>
        <w:rPr>
          <w:rFonts w:ascii="宋体" w:hAnsi="宋体" w:cs="宋体"/>
          <w:color w:val="auto"/>
          <w:sz w:val="24"/>
          <w:highlight w:val="none"/>
        </w:rPr>
      </w:pPr>
      <w:r>
        <w:rPr>
          <w:rFonts w:hint="eastAsia" w:ascii="宋体" w:hAnsi="宋体" w:cs="宋体"/>
          <w:color w:val="auto"/>
          <w:sz w:val="24"/>
          <w:highlight w:val="none"/>
        </w:rPr>
        <w:t>（十）无正当理由放弃中标（成交）项目;</w:t>
      </w:r>
    </w:p>
    <w:p w14:paraId="2AFF765B">
      <w:pPr>
        <w:spacing w:line="380" w:lineRule="exac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擅</w:t>
      </w:r>
      <w:r>
        <w:rPr>
          <w:rFonts w:hint="eastAsia" w:ascii="宋体" w:hAnsi="宋体" w:cs="宋体"/>
          <w:color w:val="auto"/>
          <w:sz w:val="24"/>
          <w:highlight w:val="none"/>
        </w:rPr>
        <w:t>自或与与采购人串通或接受采购人要求，在履约合同中通过减少货物数量，更换品牌、降低配置、技术要求、质量和服务标准等，却仍按原合同进行虚假验收或终止政府采购合同;</w:t>
      </w:r>
    </w:p>
    <w:p w14:paraId="748D8599">
      <w:pPr>
        <w:spacing w:line="380" w:lineRule="exact"/>
        <w:rPr>
          <w:rFonts w:ascii="宋体" w:hAnsi="宋体" w:cs="宋体"/>
          <w:color w:val="auto"/>
          <w:sz w:val="24"/>
          <w:highlight w:val="none"/>
        </w:rPr>
      </w:pPr>
      <w:r>
        <w:rPr>
          <w:rFonts w:hint="eastAsia" w:ascii="宋体" w:hAnsi="宋体" w:cs="宋体"/>
          <w:color w:val="auto"/>
          <w:sz w:val="24"/>
          <w:highlight w:val="none"/>
        </w:rPr>
        <w:t>（十二）与采购人串通，对尚未履约完毕的采购项目出具虚假验收报告；</w:t>
      </w:r>
    </w:p>
    <w:p w14:paraId="4F3F8654">
      <w:pPr>
        <w:spacing w:line="380" w:lineRule="exact"/>
        <w:rPr>
          <w:rFonts w:ascii="宋体" w:hAnsi="宋体" w:cs="宋体"/>
          <w:color w:val="auto"/>
          <w:sz w:val="24"/>
          <w:highlight w:val="none"/>
        </w:rPr>
      </w:pPr>
      <w:r>
        <w:rPr>
          <w:rFonts w:hint="eastAsia" w:ascii="宋体" w:hAnsi="宋体" w:cs="宋体"/>
          <w:color w:val="auto"/>
          <w:sz w:val="24"/>
          <w:highlight w:val="none"/>
        </w:rPr>
        <w:t>（十三）无不可抗力因素，拒绝提供售后服务、售后服务态度恶劣、故意提高维修配件价格（高于市场平均价）；</w:t>
      </w:r>
    </w:p>
    <w:p w14:paraId="0B382591">
      <w:pPr>
        <w:spacing w:line="380" w:lineRule="exact"/>
        <w:rPr>
          <w:rFonts w:ascii="宋体" w:hAnsi="宋体" w:cs="宋体"/>
          <w:color w:val="auto"/>
          <w:sz w:val="24"/>
          <w:highlight w:val="none"/>
        </w:rPr>
      </w:pPr>
      <w:r>
        <w:rPr>
          <w:rFonts w:hint="eastAsia" w:ascii="宋体" w:hAnsi="宋体" w:cs="宋体"/>
          <w:color w:val="auto"/>
          <w:sz w:val="24"/>
          <w:highlight w:val="none"/>
        </w:rPr>
        <w:t>（十四）开标后对招标文件的相关内容再进行质疑；</w:t>
      </w:r>
    </w:p>
    <w:p w14:paraId="57EFBC84">
      <w:pPr>
        <w:spacing w:line="380" w:lineRule="exact"/>
        <w:rPr>
          <w:rFonts w:ascii="宋体" w:hAnsi="宋体" w:cs="宋体"/>
          <w:color w:val="auto"/>
          <w:sz w:val="24"/>
          <w:highlight w:val="none"/>
        </w:rPr>
      </w:pPr>
      <w:r>
        <w:rPr>
          <w:rFonts w:hint="eastAsia" w:ascii="宋体" w:hAnsi="宋体" w:cs="宋体"/>
          <w:color w:val="auto"/>
          <w:sz w:val="24"/>
          <w:highlight w:val="none"/>
        </w:rPr>
        <w:t>（十五）恶意投诉的行为：投诉经查无实据的、捏造事实或者提供虚假设诉材料；</w:t>
      </w:r>
    </w:p>
    <w:p w14:paraId="69ED3D81">
      <w:pPr>
        <w:spacing w:line="380" w:lineRule="exact"/>
        <w:rPr>
          <w:rFonts w:ascii="宋体" w:hAnsi="宋体" w:cs="宋体"/>
          <w:color w:val="auto"/>
          <w:sz w:val="24"/>
          <w:highlight w:val="none"/>
        </w:rPr>
      </w:pPr>
      <w:r>
        <w:rPr>
          <w:rFonts w:hint="eastAsia" w:ascii="宋体" w:hAnsi="宋体" w:cs="宋体"/>
          <w:color w:val="auto"/>
          <w:sz w:val="24"/>
          <w:highlight w:val="none"/>
        </w:rPr>
        <w:t>（十六）拒绝有关部门监督检查或者提供虚假情况；</w:t>
      </w:r>
    </w:p>
    <w:p w14:paraId="2FB3D2AB">
      <w:pPr>
        <w:spacing w:line="380" w:lineRule="exact"/>
        <w:rPr>
          <w:rFonts w:ascii="宋体" w:hAnsi="宋体" w:cs="宋体"/>
          <w:color w:val="auto"/>
          <w:sz w:val="24"/>
          <w:highlight w:val="none"/>
        </w:rPr>
      </w:pPr>
      <w:r>
        <w:rPr>
          <w:rFonts w:hint="eastAsia" w:ascii="宋体" w:hAnsi="宋体" w:cs="宋体"/>
          <w:color w:val="auto"/>
          <w:sz w:val="24"/>
          <w:highlight w:val="none"/>
        </w:rPr>
        <w:t>（十七）政府采购监管部门认定的其他政府采购活动中的不诚信行为。</w:t>
      </w:r>
    </w:p>
    <w:p w14:paraId="089479DE">
      <w:pPr>
        <w:spacing w:line="380" w:lineRule="exact"/>
        <w:ind w:firstLine="3360" w:firstLineChars="1400"/>
        <w:rPr>
          <w:rFonts w:ascii="宋体" w:hAnsi="宋体" w:cs="宋体"/>
          <w:color w:val="auto"/>
          <w:sz w:val="24"/>
          <w:highlight w:val="none"/>
        </w:rPr>
      </w:pPr>
    </w:p>
    <w:p w14:paraId="1CC97C99">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供应商名称：（盖章）</w:t>
      </w:r>
    </w:p>
    <w:p w14:paraId="122C0C52">
      <w:pPr>
        <w:spacing w:line="380" w:lineRule="exact"/>
        <w:ind w:firstLine="3360" w:firstLineChars="1400"/>
        <w:rPr>
          <w:rFonts w:ascii="宋体" w:hAnsi="宋体" w:cs="宋体"/>
          <w:color w:val="auto"/>
          <w:sz w:val="24"/>
          <w:highlight w:val="none"/>
        </w:rPr>
      </w:pPr>
      <w:r>
        <w:rPr>
          <w:rFonts w:hint="eastAsia" w:ascii="宋体" w:hAnsi="宋体" w:cs="宋体"/>
          <w:color w:val="auto"/>
          <w:sz w:val="24"/>
          <w:highlight w:val="none"/>
        </w:rPr>
        <w:t>法</w:t>
      </w:r>
      <w:r>
        <w:rPr>
          <w:rFonts w:hint="eastAsia" w:ascii="宋体" w:hAnsi="宋体" w:cs="宋体"/>
          <w:color w:val="auto"/>
          <w:sz w:val="24"/>
          <w:highlight w:val="none"/>
          <w:lang w:val="en-US" w:eastAsia="zh-CN"/>
        </w:rPr>
        <w:t>定代</w:t>
      </w:r>
      <w:r>
        <w:rPr>
          <w:rFonts w:hint="eastAsia" w:ascii="宋体" w:hAnsi="宋体" w:cs="宋体"/>
          <w:color w:val="auto"/>
          <w:sz w:val="24"/>
          <w:highlight w:val="none"/>
        </w:rPr>
        <w:t>表人</w:t>
      </w:r>
      <w:r>
        <w:rPr>
          <w:rFonts w:ascii="宋体" w:hAnsi="宋体" w:eastAsia="宋体" w:cs="宋体"/>
          <w:color w:val="auto"/>
          <w:spacing w:val="0"/>
          <w:position w:val="0"/>
          <w:sz w:val="24"/>
          <w:highlight w:val="none"/>
          <w:shd w:val="clear" w:fill="auto"/>
        </w:rPr>
        <w:t>：</w:t>
      </w:r>
      <w:r>
        <w:rPr>
          <w:rFonts w:hint="eastAsia" w:ascii="宋体" w:hAnsi="宋体" w:cs="宋体"/>
          <w:color w:val="auto"/>
          <w:sz w:val="24"/>
          <w:highlight w:val="none"/>
        </w:rPr>
        <w:t>（签</w:t>
      </w:r>
      <w:r>
        <w:rPr>
          <w:rFonts w:hint="eastAsia" w:ascii="宋体" w:hAnsi="宋体" w:cs="宋体"/>
          <w:color w:val="auto"/>
          <w:sz w:val="24"/>
          <w:highlight w:val="none"/>
          <w:lang w:val="en-US" w:eastAsia="zh-CN"/>
        </w:rPr>
        <w:t>章</w:t>
      </w:r>
      <w:r>
        <w:rPr>
          <w:rFonts w:hint="eastAsia" w:ascii="宋体" w:hAnsi="宋体" w:cs="宋体"/>
          <w:color w:val="auto"/>
          <w:sz w:val="24"/>
          <w:highlight w:val="none"/>
        </w:rPr>
        <w:t>）</w:t>
      </w:r>
    </w:p>
    <w:p w14:paraId="4E58C608">
      <w:pPr>
        <w:spacing w:line="380" w:lineRule="exact"/>
        <w:ind w:firstLine="3360" w:firstLineChars="14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06D033E0">
      <w:pPr>
        <w:pStyle w:val="2"/>
        <w:bidi w:val="0"/>
        <w:jc w:val="center"/>
        <w:rPr>
          <w:rFonts w:hint="eastAsia" w:ascii="宋体" w:hAnsi="宋体" w:eastAsia="宋体" w:cs="宋体"/>
          <w:b/>
          <w:bCs w:val="0"/>
          <w:color w:val="auto"/>
          <w:sz w:val="32"/>
          <w:szCs w:val="32"/>
          <w:highlight w:val="none"/>
          <w:lang w:val="en-US"/>
        </w:rPr>
      </w:pPr>
      <w:r>
        <w:rPr>
          <w:rFonts w:hint="eastAsia" w:ascii="宋体" w:hAnsi="宋体" w:cs="宋体"/>
          <w:b/>
          <w:bCs w:val="0"/>
          <w:color w:val="auto"/>
          <w:sz w:val="32"/>
          <w:szCs w:val="32"/>
          <w:highlight w:val="none"/>
        </w:rPr>
        <w:t xml:space="preserve">第五章  </w:t>
      </w:r>
      <w:r>
        <w:rPr>
          <w:rFonts w:hint="eastAsia" w:ascii="宋体" w:hAnsi="宋体" w:eastAsia="宋体" w:cs="宋体"/>
          <w:b/>
          <w:bCs w:val="0"/>
          <w:color w:val="auto"/>
          <w:w w:val="92"/>
          <w:sz w:val="32"/>
          <w:szCs w:val="32"/>
          <w:highlight w:val="none"/>
          <w:lang w:val="en-US"/>
        </w:rPr>
        <w:t>周口市</w:t>
      </w:r>
      <w:r>
        <w:rPr>
          <w:rFonts w:hint="eastAsia" w:ascii="宋体" w:hAnsi="宋体" w:eastAsia="宋体" w:cs="宋体"/>
          <w:b/>
          <w:bCs w:val="0"/>
          <w:color w:val="auto"/>
          <w:sz w:val="32"/>
          <w:szCs w:val="32"/>
          <w:highlight w:val="none"/>
          <w:lang w:val="en-US"/>
        </w:rPr>
        <w:t>政府采购合同（服务类）标准文本</w:t>
      </w:r>
    </w:p>
    <w:p w14:paraId="2E542C84">
      <w:pPr>
        <w:ind w:firstLine="640" w:firstLineChars="200"/>
        <w:jc w:val="both"/>
        <w:rPr>
          <w:rFonts w:hint="eastAsia" w:ascii="宋体" w:hAnsi="宋体" w:eastAsia="宋体" w:cs="宋体"/>
          <w:color w:val="auto"/>
          <w:sz w:val="32"/>
          <w:szCs w:val="32"/>
          <w:highlight w:val="none"/>
          <w:lang w:val="en-US"/>
        </w:rPr>
      </w:pPr>
    </w:p>
    <w:p w14:paraId="1D7DB1B0">
      <w:pPr>
        <w:pStyle w:val="88"/>
        <w:spacing w:beforeLines="0" w:afterLines="0"/>
        <w:ind w:left="0" w:firstLine="640" w:firstLineChars="200"/>
        <w:jc w:val="both"/>
        <w:rPr>
          <w:rFonts w:hint="eastAsia" w:ascii="宋体" w:hAnsi="宋体" w:eastAsia="宋体" w:cs="宋体"/>
          <w:color w:val="auto"/>
          <w:sz w:val="32"/>
          <w:szCs w:val="32"/>
          <w:highlight w:val="none"/>
          <w:lang w:val="en-US"/>
        </w:rPr>
      </w:pPr>
    </w:p>
    <w:p w14:paraId="1C2A1CF7">
      <w:pPr>
        <w:pStyle w:val="88"/>
        <w:spacing w:beforeLines="0" w:afterLines="0"/>
        <w:ind w:left="0" w:firstLine="640" w:firstLineChars="200"/>
        <w:jc w:val="both"/>
        <w:rPr>
          <w:rFonts w:hint="eastAsia" w:ascii="宋体" w:hAnsi="宋体" w:eastAsia="宋体" w:cs="宋体"/>
          <w:color w:val="auto"/>
          <w:sz w:val="32"/>
          <w:szCs w:val="32"/>
          <w:highlight w:val="none"/>
          <w:lang w:val="en-US"/>
        </w:rPr>
      </w:pPr>
    </w:p>
    <w:p w14:paraId="0785AC47">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3DF6D788">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5DEBFCF0">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479F5301">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2ECD7E71">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77130277">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5DDDF18B">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1B49022D">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65DD7E87">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15543D36">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政府采购项目名称：</w:t>
      </w:r>
    </w:p>
    <w:p w14:paraId="7DF80648">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政府采购项目编号：</w:t>
      </w:r>
    </w:p>
    <w:p w14:paraId="0A12CD3E">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采      购    人：</w:t>
      </w:r>
    </w:p>
    <w:p w14:paraId="2B859915">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供      应    商：</w:t>
      </w:r>
    </w:p>
    <w:p w14:paraId="48797436">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 订 地：</w:t>
      </w:r>
    </w:p>
    <w:p w14:paraId="05CD1F55">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lang w:val="en-US"/>
        </w:rPr>
        <w:t>合 同 签订 时 间：</w:t>
      </w:r>
    </w:p>
    <w:p w14:paraId="7A11BB8B">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47CE08EC">
      <w:pPr>
        <w:pStyle w:val="88"/>
        <w:spacing w:beforeLines="0" w:afterLines="0"/>
        <w:ind w:left="0" w:firstLine="600" w:firstLineChars="200"/>
        <w:jc w:val="both"/>
        <w:rPr>
          <w:rFonts w:hint="eastAsia" w:ascii="宋体" w:hAnsi="宋体" w:eastAsia="宋体" w:cs="宋体"/>
          <w:color w:val="auto"/>
          <w:sz w:val="30"/>
          <w:szCs w:val="30"/>
          <w:highlight w:val="none"/>
          <w:lang w:val="en-US"/>
        </w:rPr>
      </w:pPr>
    </w:p>
    <w:p w14:paraId="40D42601">
      <w:pPr>
        <w:pStyle w:val="88"/>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合同签订指引</w:t>
      </w:r>
    </w:p>
    <w:p w14:paraId="2398962A">
      <w:pPr>
        <w:pStyle w:val="88"/>
        <w:spacing w:beforeLines="0" w:afterLines="0" w:line="440" w:lineRule="exact"/>
        <w:ind w:left="0"/>
        <w:jc w:val="both"/>
        <w:rPr>
          <w:rFonts w:hint="eastAsia" w:ascii="宋体" w:hAnsi="宋体" w:eastAsia="宋体" w:cs="宋体"/>
          <w:color w:val="auto"/>
          <w:sz w:val="30"/>
          <w:szCs w:val="30"/>
          <w:highlight w:val="none"/>
        </w:rPr>
      </w:pPr>
    </w:p>
    <w:p w14:paraId="5A306BB8">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一、采购人在签订合同时应提供的资料：</w:t>
      </w:r>
    </w:p>
    <w:p w14:paraId="7342628F">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招标采购文件（以网上发布内容为准）；</w:t>
      </w:r>
    </w:p>
    <w:p w14:paraId="6FDFC30B">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2、该政府采购项目</w:t>
      </w:r>
      <w:r>
        <w:rPr>
          <w:rFonts w:hint="eastAsia" w:ascii="宋体" w:hAnsi="宋体" w:eastAsia="宋体" w:cs="宋体"/>
          <w:color w:val="auto"/>
          <w:sz w:val="21"/>
          <w:szCs w:val="21"/>
          <w:highlight w:val="none"/>
        </w:rPr>
        <w:t>招标文件的澄清和修改内容（公告内容）；</w:t>
      </w:r>
    </w:p>
    <w:p w14:paraId="0F1C13DC">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3、该政府采购项目评审报告；</w:t>
      </w:r>
    </w:p>
    <w:p w14:paraId="79301804">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4、采购单位法人授权委托书（法人到场并签字的除外）；</w:t>
      </w:r>
    </w:p>
    <w:p w14:paraId="4C79721C">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5、采购单位被授权人身份证件（法人到场并签字的除外）；</w:t>
      </w:r>
    </w:p>
    <w:p w14:paraId="1F59FEFB">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6、采购人和中标供应商（或服务商，下同）约定的其它内容（不得超出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49F2FD1C">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二、</w:t>
      </w:r>
      <w:r>
        <w:rPr>
          <w:rFonts w:hint="eastAsia" w:ascii="宋体" w:hAnsi="宋体" w:eastAsia="宋体" w:cs="宋体"/>
          <w:color w:val="auto"/>
          <w:sz w:val="21"/>
          <w:szCs w:val="21"/>
          <w:highlight w:val="none"/>
        </w:rPr>
        <w:t>供应商在签订合同时应提供的资料：</w:t>
      </w:r>
    </w:p>
    <w:p w14:paraId="2E801117">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1、该政府采购项目的</w:t>
      </w:r>
      <w:r>
        <w:rPr>
          <w:rFonts w:hint="eastAsia" w:ascii="宋体" w:hAnsi="宋体" w:eastAsia="宋体" w:cs="宋体"/>
          <w:color w:val="auto"/>
          <w:sz w:val="21"/>
          <w:szCs w:val="21"/>
          <w:highlight w:val="none"/>
        </w:rPr>
        <w:t>投标文件（纸质或</w:t>
      </w:r>
      <w:r>
        <w:rPr>
          <w:rFonts w:hint="eastAsia" w:ascii="宋体" w:hAnsi="宋体" w:eastAsia="宋体" w:cs="宋体"/>
          <w:color w:val="auto"/>
          <w:sz w:val="21"/>
          <w:szCs w:val="21"/>
          <w:highlight w:val="none"/>
          <w:lang w:val="en-US"/>
        </w:rPr>
        <w:t>DPF格式的电子</w:t>
      </w:r>
      <w:r>
        <w:rPr>
          <w:rFonts w:hint="eastAsia" w:ascii="宋体" w:hAnsi="宋体" w:eastAsia="宋体" w:cs="宋体"/>
          <w:color w:val="auto"/>
          <w:sz w:val="21"/>
          <w:szCs w:val="21"/>
          <w:highlight w:val="none"/>
        </w:rPr>
        <w:t>投标文件）；</w:t>
      </w:r>
    </w:p>
    <w:p w14:paraId="0EFDB272">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2、针对该项目评审时评审委员会提出的质询答复（纸质并签章）；</w:t>
      </w:r>
    </w:p>
    <w:p w14:paraId="27D89C4D">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3、该政府采购项目中标通知书；</w:t>
      </w:r>
    </w:p>
    <w:p w14:paraId="64FBE1D7">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4、供应商法人授权委托书（法人到场并签字的除外）；</w:t>
      </w:r>
    </w:p>
    <w:p w14:paraId="01042026">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5、供应商被授权人身份证件（法人到场并签字的除外）；</w:t>
      </w:r>
    </w:p>
    <w:p w14:paraId="6240A1E8">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6、供应商和采购人约定的其它内容（不得超出</w:t>
      </w:r>
      <w:r>
        <w:rPr>
          <w:rFonts w:hint="eastAsia" w:ascii="宋体" w:hAnsi="宋体" w:eastAsia="宋体" w:cs="宋体"/>
          <w:color w:val="auto"/>
          <w:sz w:val="21"/>
          <w:szCs w:val="21"/>
          <w:highlight w:val="none"/>
        </w:rPr>
        <w:t>招标采购文件实质性内容</w:t>
      </w:r>
      <w:r>
        <w:rPr>
          <w:rFonts w:hint="eastAsia" w:ascii="宋体" w:hAnsi="宋体" w:eastAsia="宋体" w:cs="宋体"/>
          <w:color w:val="auto"/>
          <w:sz w:val="21"/>
          <w:szCs w:val="21"/>
          <w:highlight w:val="none"/>
          <w:lang w:val="en-US"/>
        </w:rPr>
        <w:t>）。</w:t>
      </w:r>
    </w:p>
    <w:p w14:paraId="7365CAA8">
      <w:pPr>
        <w:pStyle w:val="88"/>
        <w:spacing w:beforeLines="0" w:afterLines="0" w:line="440" w:lineRule="exact"/>
        <w:ind w:left="0" w:firstLine="420" w:firstLineChars="200"/>
        <w:jc w:val="both"/>
        <w:rPr>
          <w:rFonts w:hint="eastAsia" w:ascii="宋体" w:hAnsi="宋体" w:eastAsia="宋体" w:cs="宋体"/>
          <w:color w:val="auto"/>
          <w:sz w:val="30"/>
          <w:szCs w:val="30"/>
          <w:highlight w:val="none"/>
        </w:rPr>
      </w:pPr>
      <w:r>
        <w:rPr>
          <w:rFonts w:hint="eastAsia" w:ascii="宋体" w:hAnsi="宋体" w:eastAsia="宋体" w:cs="宋体"/>
          <w:color w:val="auto"/>
          <w:sz w:val="21"/>
          <w:szCs w:val="21"/>
          <w:highlight w:val="none"/>
        </w:rPr>
        <w:t>三、本合同签订后二个工作日内有采购人在“周口市政府采购网”上进行合同公示。</w:t>
      </w:r>
    </w:p>
    <w:p w14:paraId="44A4E1B2">
      <w:pPr>
        <w:pStyle w:val="88"/>
        <w:spacing w:beforeLines="0" w:afterLines="0" w:line="440" w:lineRule="exact"/>
        <w:ind w:left="0"/>
        <w:jc w:val="center"/>
        <w:rPr>
          <w:rFonts w:hint="eastAsia" w:ascii="宋体" w:hAnsi="宋体" w:eastAsia="宋体" w:cs="宋体"/>
          <w:bCs/>
          <w:color w:val="auto"/>
          <w:sz w:val="32"/>
          <w:szCs w:val="32"/>
          <w:highlight w:val="none"/>
        </w:rPr>
      </w:pPr>
    </w:p>
    <w:p w14:paraId="035441CD">
      <w:pPr>
        <w:pStyle w:val="88"/>
        <w:spacing w:beforeLines="0" w:afterLines="0" w:line="440" w:lineRule="exact"/>
        <w:ind w:left="0"/>
        <w:jc w:val="center"/>
        <w:rPr>
          <w:rFonts w:hint="eastAsia" w:ascii="宋体" w:hAnsi="宋体" w:eastAsia="宋体" w:cs="宋体"/>
          <w:color w:val="auto"/>
          <w:sz w:val="32"/>
          <w:szCs w:val="32"/>
          <w:highlight w:val="none"/>
        </w:rPr>
      </w:pPr>
      <w:r>
        <w:rPr>
          <w:rFonts w:hint="eastAsia" w:ascii="宋体" w:hAnsi="宋体" w:eastAsia="宋体" w:cs="宋体"/>
          <w:bCs/>
          <w:color w:val="auto"/>
          <w:sz w:val="32"/>
          <w:szCs w:val="32"/>
          <w:highlight w:val="none"/>
        </w:rPr>
        <w:t>供应商履约验收指引</w:t>
      </w:r>
    </w:p>
    <w:p w14:paraId="24C4837D">
      <w:pPr>
        <w:pStyle w:val="88"/>
        <w:spacing w:beforeLines="0" w:afterLines="0" w:line="440" w:lineRule="exact"/>
        <w:ind w:left="0"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 w:val="21"/>
          <w:szCs w:val="21"/>
          <w:highlight w:val="none"/>
          <w:lang w:val="en-US"/>
        </w:rPr>
        <w:t>1、供应商不得</w:t>
      </w:r>
      <w:r>
        <w:rPr>
          <w:rFonts w:hint="eastAsia" w:ascii="宋体" w:hAnsi="宋体" w:eastAsia="宋体" w:cs="宋体"/>
          <w:color w:val="auto"/>
          <w:sz w:val="21"/>
          <w:szCs w:val="21"/>
          <w:highlight w:val="none"/>
        </w:rPr>
        <w:t>擅自变更合同标的服务内容；</w:t>
      </w:r>
    </w:p>
    <w:p w14:paraId="205371B5">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不得以次充优，随意降低服务标准和水平；</w:t>
      </w:r>
    </w:p>
    <w:p w14:paraId="7A27A97E">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对因客观上采购人采购需求发生变化造成的，应提供采、供双方的纸质备忘录材料；</w:t>
      </w:r>
    </w:p>
    <w:p w14:paraId="5599518B">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4、在满足</w:t>
      </w:r>
      <w:r>
        <w:rPr>
          <w:rFonts w:hint="eastAsia" w:ascii="宋体" w:hAnsi="宋体" w:eastAsia="宋体" w:cs="宋体"/>
          <w:color w:val="auto"/>
          <w:sz w:val="21"/>
          <w:szCs w:val="21"/>
          <w:highlight w:val="none"/>
        </w:rPr>
        <w:t>验收条件</w:t>
      </w:r>
      <w:r>
        <w:rPr>
          <w:rFonts w:hint="eastAsia" w:ascii="宋体" w:hAnsi="宋体" w:eastAsia="宋体" w:cs="宋体"/>
          <w:color w:val="auto"/>
          <w:sz w:val="21"/>
          <w:szCs w:val="21"/>
          <w:highlight w:val="none"/>
          <w:lang w:val="en-US"/>
        </w:rPr>
        <w:t>5个工作日</w:t>
      </w:r>
      <w:r>
        <w:rPr>
          <w:rFonts w:hint="eastAsia" w:ascii="宋体" w:hAnsi="宋体" w:eastAsia="宋体" w:cs="宋体"/>
          <w:color w:val="auto"/>
          <w:sz w:val="21"/>
          <w:szCs w:val="21"/>
          <w:highlight w:val="none"/>
        </w:rPr>
        <w:t>内通知采购人组织验收；</w:t>
      </w:r>
    </w:p>
    <w:p w14:paraId="794BCC94">
      <w:pPr>
        <w:pStyle w:val="88"/>
        <w:spacing w:beforeLines="0" w:afterLines="0" w:line="440" w:lineRule="exact"/>
        <w:ind w:left="0" w:firstLine="420" w:firstLineChars="200"/>
        <w:jc w:val="both"/>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5、供应商应提供需验收服务的清单、标准、达到的水平等量化资料；</w:t>
      </w:r>
    </w:p>
    <w:p w14:paraId="31336067">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6、采、供</w:t>
      </w:r>
      <w:r>
        <w:rPr>
          <w:rFonts w:hint="eastAsia" w:ascii="宋体" w:hAnsi="宋体" w:eastAsia="宋体" w:cs="宋体"/>
          <w:color w:val="auto"/>
          <w:sz w:val="21"/>
          <w:szCs w:val="21"/>
          <w:highlight w:val="none"/>
        </w:rPr>
        <w:t>双方约定的验收机构及相关人员组成情况。</w:t>
      </w:r>
    </w:p>
    <w:p w14:paraId="77C92495">
      <w:pPr>
        <w:pStyle w:val="88"/>
        <w:spacing w:beforeLines="0" w:afterLines="0" w:line="440" w:lineRule="exact"/>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7、督促采购人在项目验收结束并达到相关要求后一个工作日内，在</w:t>
      </w:r>
      <w:r>
        <w:rPr>
          <w:rFonts w:hint="eastAsia" w:ascii="宋体" w:hAnsi="宋体" w:eastAsia="宋体" w:cs="宋体"/>
          <w:color w:val="auto"/>
          <w:sz w:val="21"/>
          <w:szCs w:val="21"/>
          <w:highlight w:val="none"/>
        </w:rPr>
        <w:t>“周口市政府采购网”上进行“履约验收”公示。</w:t>
      </w:r>
    </w:p>
    <w:p w14:paraId="2D2546A4">
      <w:pPr>
        <w:bidi w:val="0"/>
        <w:rPr>
          <w:rFonts w:hint="eastAsia"/>
          <w:color w:val="auto"/>
          <w:highlight w:val="none"/>
        </w:rPr>
      </w:pPr>
    </w:p>
    <w:p w14:paraId="0B994338">
      <w:pPr>
        <w:bidi w:val="0"/>
        <w:rPr>
          <w:rFonts w:hint="eastAsia"/>
          <w:color w:val="auto"/>
          <w:highlight w:val="none"/>
        </w:rPr>
      </w:pPr>
    </w:p>
    <w:p w14:paraId="1AB95F6E">
      <w:pPr>
        <w:bidi w:val="0"/>
        <w:jc w:val="center"/>
        <w:rPr>
          <w:rFonts w:hint="eastAsia"/>
          <w:color w:val="auto"/>
          <w:highlight w:val="none"/>
        </w:rPr>
      </w:pPr>
      <w:r>
        <w:rPr>
          <w:rFonts w:hint="eastAsia"/>
          <w:color w:val="auto"/>
          <w:sz w:val="32"/>
          <w:szCs w:val="32"/>
          <w:highlight w:val="none"/>
        </w:rPr>
        <w:t>服务合同内容</w:t>
      </w:r>
    </w:p>
    <w:p w14:paraId="5C95F5F1">
      <w:pPr>
        <w:spacing w:line="360" w:lineRule="auto"/>
        <w:ind w:firstLine="420" w:firstLineChars="200"/>
        <w:jc w:val="both"/>
        <w:rPr>
          <w:rFonts w:hint="eastAsia" w:ascii="宋体" w:hAnsi="宋体" w:eastAsia="宋体" w:cs="宋体"/>
          <w:color w:val="auto"/>
          <w:szCs w:val="27"/>
          <w:highlight w:val="none"/>
        </w:rPr>
      </w:pPr>
    </w:p>
    <w:p w14:paraId="56AE761A">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 xml:space="preserve">采购人（甲方）： </w:t>
      </w:r>
    </w:p>
    <w:p w14:paraId="19F6CB41">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供应商（乙方）：</w:t>
      </w:r>
    </w:p>
    <w:p w14:paraId="2B831D88">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签订地点：</w:t>
      </w:r>
    </w:p>
    <w:p w14:paraId="31434960">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项目名称：</w:t>
      </w:r>
    </w:p>
    <w:p w14:paraId="470A2CD6">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szCs w:val="27"/>
          <w:highlight w:val="none"/>
        </w:rPr>
        <w:t>项目编号：</w:t>
      </w:r>
    </w:p>
    <w:p w14:paraId="40D57E4A">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财政委托号：</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(财政资金项目必须填写)</w:t>
      </w:r>
    </w:p>
    <w:p w14:paraId="22543A99">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本项目经批准采用</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采购方式，经本项目评审委员会认真评审，决定将采购合同授予乙方。为进一步明确双方的责任，确保合同的顺利履行，根据《中华人民共和国采购法》、</w:t>
      </w:r>
      <w:r>
        <w:rPr>
          <w:rFonts w:hint="eastAsia" w:ascii="宋体" w:hAnsi="宋体" w:cs="宋体"/>
          <w:color w:val="auto"/>
          <w:szCs w:val="21"/>
          <w:highlight w:val="none"/>
        </w:rPr>
        <w:t>《中华人民共和国民法典》（第三编合同）</w:t>
      </w:r>
      <w:r>
        <w:rPr>
          <w:rFonts w:hint="eastAsia" w:ascii="宋体" w:hAnsi="宋体" w:eastAsia="宋体" w:cs="宋体"/>
          <w:color w:val="auto"/>
          <w:szCs w:val="27"/>
          <w:highlight w:val="none"/>
        </w:rPr>
        <w:t>之规定，经甲乙双方充分协商，特订立本合同，以便共同遵守。</w:t>
      </w:r>
    </w:p>
    <w:p w14:paraId="385BA449">
      <w:pPr>
        <w:spacing w:line="360" w:lineRule="auto"/>
        <w:ind w:firstLine="422" w:firstLineChars="200"/>
        <w:jc w:val="both"/>
        <w:rPr>
          <w:rFonts w:hint="eastAsia" w:ascii="宋体" w:hAnsi="宋体" w:eastAsia="宋体" w:cs="宋体"/>
          <w:color w:val="auto"/>
          <w:highlight w:val="none"/>
          <w:u w:val="single"/>
        </w:rPr>
      </w:pPr>
      <w:r>
        <w:rPr>
          <w:rFonts w:hint="eastAsia" w:ascii="宋体" w:hAnsi="宋体" w:eastAsia="宋体" w:cs="宋体"/>
          <w:b/>
          <w:bCs/>
          <w:color w:val="auto"/>
          <w:szCs w:val="27"/>
          <w:highlight w:val="none"/>
        </w:rPr>
        <w:t>第一条</w:t>
      </w:r>
      <w:r>
        <w:rPr>
          <w:rFonts w:hint="eastAsia" w:ascii="宋体" w:hAnsi="宋体" w:eastAsia="宋体" w:cs="宋体"/>
          <w:color w:val="auto"/>
          <w:szCs w:val="27"/>
          <w:highlight w:val="none"/>
        </w:rPr>
        <w:t>   服务的内容、标准、数量和价格：（若服务项目过多则见附表，如有附表则必须加盖印章）</w:t>
      </w:r>
    </w:p>
    <w:tbl>
      <w:tblPr>
        <w:tblStyle w:val="28"/>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4314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3B1BE818">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服务内容</w:t>
            </w:r>
          </w:p>
        </w:tc>
        <w:tc>
          <w:tcPr>
            <w:tcW w:w="1623" w:type="dxa"/>
            <w:noWrap w:val="0"/>
            <w:vAlign w:val="top"/>
          </w:tcPr>
          <w:p w14:paraId="70617055">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标准水平</w:t>
            </w:r>
          </w:p>
        </w:tc>
        <w:tc>
          <w:tcPr>
            <w:tcW w:w="902" w:type="dxa"/>
            <w:noWrap w:val="0"/>
            <w:vAlign w:val="top"/>
          </w:tcPr>
          <w:p w14:paraId="7423C62D">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02" w:type="dxa"/>
            <w:noWrap w:val="0"/>
            <w:vAlign w:val="top"/>
          </w:tcPr>
          <w:p w14:paraId="433A865F">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71" w:type="dxa"/>
            <w:noWrap w:val="0"/>
            <w:vAlign w:val="top"/>
          </w:tcPr>
          <w:p w14:paraId="7D43C684">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1250" w:type="dxa"/>
            <w:noWrap w:val="0"/>
            <w:vAlign w:val="top"/>
          </w:tcPr>
          <w:p w14:paraId="38E27BA8">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小计</w:t>
            </w:r>
          </w:p>
        </w:tc>
        <w:tc>
          <w:tcPr>
            <w:tcW w:w="1106" w:type="dxa"/>
            <w:noWrap w:val="0"/>
            <w:vAlign w:val="top"/>
          </w:tcPr>
          <w:p w14:paraId="5871C979">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422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764F8BFF">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1329FE0C">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1349AA8E">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448D2F9C">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2216D21B">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4AD05054">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3D8899FC">
            <w:pPr>
              <w:spacing w:line="360" w:lineRule="auto"/>
              <w:ind w:firstLine="420" w:firstLineChars="200"/>
              <w:jc w:val="both"/>
              <w:rPr>
                <w:rFonts w:hint="eastAsia" w:ascii="宋体" w:hAnsi="宋体" w:eastAsia="宋体" w:cs="宋体"/>
                <w:color w:val="auto"/>
                <w:highlight w:val="none"/>
              </w:rPr>
            </w:pPr>
          </w:p>
        </w:tc>
      </w:tr>
      <w:tr w14:paraId="6E92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12CF6BC3">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7464E5C2">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52F6328D">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12521BCE">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72F9828A">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228CE8D3">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437D2892">
            <w:pPr>
              <w:spacing w:line="360" w:lineRule="auto"/>
              <w:ind w:firstLine="420" w:firstLineChars="200"/>
              <w:jc w:val="both"/>
              <w:rPr>
                <w:rFonts w:hint="eastAsia" w:ascii="宋体" w:hAnsi="宋体" w:eastAsia="宋体" w:cs="宋体"/>
                <w:color w:val="auto"/>
                <w:highlight w:val="none"/>
              </w:rPr>
            </w:pPr>
          </w:p>
        </w:tc>
      </w:tr>
      <w:tr w14:paraId="3EC4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noWrap w:val="0"/>
            <w:vAlign w:val="top"/>
          </w:tcPr>
          <w:p w14:paraId="0D7623CB">
            <w:pPr>
              <w:spacing w:line="360" w:lineRule="auto"/>
              <w:ind w:firstLine="420" w:firstLineChars="200"/>
              <w:jc w:val="both"/>
              <w:rPr>
                <w:rFonts w:hint="eastAsia" w:ascii="宋体" w:hAnsi="宋体" w:eastAsia="宋体" w:cs="宋体"/>
                <w:color w:val="auto"/>
                <w:highlight w:val="none"/>
              </w:rPr>
            </w:pPr>
          </w:p>
        </w:tc>
        <w:tc>
          <w:tcPr>
            <w:tcW w:w="1623" w:type="dxa"/>
            <w:noWrap w:val="0"/>
            <w:vAlign w:val="top"/>
          </w:tcPr>
          <w:p w14:paraId="75993E8C">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60809E3B">
            <w:pPr>
              <w:spacing w:line="360" w:lineRule="auto"/>
              <w:ind w:firstLine="420" w:firstLineChars="200"/>
              <w:jc w:val="both"/>
              <w:rPr>
                <w:rFonts w:hint="eastAsia" w:ascii="宋体" w:hAnsi="宋体" w:eastAsia="宋体" w:cs="宋体"/>
                <w:color w:val="auto"/>
                <w:highlight w:val="none"/>
              </w:rPr>
            </w:pPr>
          </w:p>
        </w:tc>
        <w:tc>
          <w:tcPr>
            <w:tcW w:w="902" w:type="dxa"/>
            <w:noWrap w:val="0"/>
            <w:vAlign w:val="top"/>
          </w:tcPr>
          <w:p w14:paraId="27691F25">
            <w:pPr>
              <w:spacing w:line="360" w:lineRule="auto"/>
              <w:ind w:firstLine="420" w:firstLineChars="200"/>
              <w:jc w:val="both"/>
              <w:rPr>
                <w:rFonts w:hint="eastAsia" w:ascii="宋体" w:hAnsi="宋体" w:eastAsia="宋体" w:cs="宋体"/>
                <w:color w:val="auto"/>
                <w:highlight w:val="none"/>
              </w:rPr>
            </w:pPr>
          </w:p>
        </w:tc>
        <w:tc>
          <w:tcPr>
            <w:tcW w:w="1071" w:type="dxa"/>
            <w:noWrap w:val="0"/>
            <w:vAlign w:val="top"/>
          </w:tcPr>
          <w:p w14:paraId="3D7B0389">
            <w:pPr>
              <w:spacing w:line="360" w:lineRule="auto"/>
              <w:ind w:firstLine="420" w:firstLineChars="200"/>
              <w:jc w:val="both"/>
              <w:rPr>
                <w:rFonts w:hint="eastAsia" w:ascii="宋体" w:hAnsi="宋体" w:eastAsia="宋体" w:cs="宋体"/>
                <w:color w:val="auto"/>
                <w:highlight w:val="none"/>
              </w:rPr>
            </w:pPr>
          </w:p>
        </w:tc>
        <w:tc>
          <w:tcPr>
            <w:tcW w:w="1250" w:type="dxa"/>
            <w:noWrap w:val="0"/>
            <w:vAlign w:val="top"/>
          </w:tcPr>
          <w:p w14:paraId="28FFD673">
            <w:pPr>
              <w:spacing w:line="360" w:lineRule="auto"/>
              <w:ind w:firstLine="420" w:firstLineChars="200"/>
              <w:jc w:val="both"/>
              <w:rPr>
                <w:rFonts w:hint="eastAsia" w:ascii="宋体" w:hAnsi="宋体" w:eastAsia="宋体" w:cs="宋体"/>
                <w:color w:val="auto"/>
                <w:highlight w:val="none"/>
              </w:rPr>
            </w:pPr>
          </w:p>
        </w:tc>
        <w:tc>
          <w:tcPr>
            <w:tcW w:w="1106" w:type="dxa"/>
            <w:noWrap w:val="0"/>
            <w:vAlign w:val="top"/>
          </w:tcPr>
          <w:p w14:paraId="6D0B3791">
            <w:pPr>
              <w:spacing w:line="360" w:lineRule="auto"/>
              <w:ind w:firstLine="420" w:firstLineChars="200"/>
              <w:jc w:val="both"/>
              <w:rPr>
                <w:rFonts w:hint="eastAsia" w:ascii="宋体" w:hAnsi="宋体" w:eastAsia="宋体" w:cs="宋体"/>
                <w:color w:val="auto"/>
                <w:highlight w:val="none"/>
              </w:rPr>
            </w:pPr>
          </w:p>
        </w:tc>
      </w:tr>
      <w:tr w14:paraId="353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noWrap w:val="0"/>
            <w:vAlign w:val="top"/>
          </w:tcPr>
          <w:p w14:paraId="751502AE">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合同总价款（大小写）：</w:t>
            </w:r>
          </w:p>
          <w:p w14:paraId="0667A535">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8"/>
                <w:highlight w:val="none"/>
              </w:rPr>
              <w:t>备注：上述服务包含相关设备购置、人员工资及售后服务、税金、劳保基金、人员培训等费用。</w:t>
            </w:r>
          </w:p>
        </w:tc>
      </w:tr>
    </w:tbl>
    <w:p w14:paraId="16AB204E">
      <w:pPr>
        <w:spacing w:line="360" w:lineRule="auto"/>
        <w:ind w:firstLine="422" w:firstLineChars="200"/>
        <w:jc w:val="both"/>
        <w:rPr>
          <w:rFonts w:hint="eastAsia" w:ascii="宋体" w:hAnsi="宋体" w:eastAsia="宋体" w:cs="宋体"/>
          <w:color w:val="auto"/>
          <w:highlight w:val="none"/>
        </w:rPr>
      </w:pPr>
      <w:r>
        <w:rPr>
          <w:rFonts w:hint="eastAsia" w:ascii="宋体" w:hAnsi="宋体" w:eastAsia="宋体" w:cs="宋体"/>
          <w:b/>
          <w:bCs/>
          <w:color w:val="auto"/>
          <w:szCs w:val="27"/>
          <w:highlight w:val="none"/>
        </w:rPr>
        <w:t xml:space="preserve">第二条  </w:t>
      </w:r>
      <w:r>
        <w:rPr>
          <w:rFonts w:hint="eastAsia" w:ascii="宋体" w:hAnsi="宋体" w:eastAsia="宋体" w:cs="宋体"/>
          <w:color w:val="auto"/>
          <w:szCs w:val="27"/>
          <w:highlight w:val="none"/>
        </w:rPr>
        <w:t>服务标准（包括达到的水平要求），按下列第（ ）项执行：</w:t>
      </w:r>
    </w:p>
    <w:p w14:paraId="20ABA29A">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①按国家标准执行；②按部颁标准执行；③若无以上标准，则应不低于同行业服务标准；④有特殊要求的，按甲乙双方在合同中商定的要求执行；</w:t>
      </w:r>
    </w:p>
    <w:p w14:paraId="2B487EF1">
      <w:pPr>
        <w:spacing w:line="360" w:lineRule="auto"/>
        <w:ind w:firstLine="420" w:firstLineChars="200"/>
        <w:jc w:val="both"/>
        <w:rPr>
          <w:rFonts w:hint="eastAsia" w:ascii="宋体" w:hAnsi="宋体" w:eastAsia="宋体" w:cs="宋体"/>
          <w:color w:val="auto"/>
          <w:szCs w:val="27"/>
          <w:highlight w:val="none"/>
          <w:u w:val="single"/>
        </w:rPr>
      </w:pPr>
      <w:r>
        <w:rPr>
          <w:rFonts w:hint="eastAsia" w:ascii="宋体" w:hAnsi="宋体" w:eastAsia="宋体" w:cs="宋体"/>
          <w:color w:val="auto"/>
          <w:highlight w:val="none"/>
        </w:rPr>
        <w:t>乙方提供的服务标准和水平应与招标采购文件规定的标准和水平相一致。</w:t>
      </w:r>
    </w:p>
    <w:p w14:paraId="57EA3B08">
      <w:pPr>
        <w:spacing w:line="360" w:lineRule="auto"/>
        <w:ind w:firstLine="422" w:firstLineChars="200"/>
        <w:jc w:val="both"/>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第三条  </w:t>
      </w:r>
      <w:r>
        <w:rPr>
          <w:rFonts w:hint="eastAsia" w:ascii="宋体" w:hAnsi="宋体" w:eastAsia="宋体" w:cs="宋体"/>
          <w:color w:val="auto"/>
          <w:szCs w:val="27"/>
          <w:highlight w:val="none"/>
        </w:rPr>
        <w:t>服务的方式、方法、、地点和期限</w:t>
      </w:r>
    </w:p>
    <w:p w14:paraId="70BCE0CF">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1、服务方式：</w:t>
      </w:r>
    </w:p>
    <w:p w14:paraId="1D0A42A8">
      <w:pPr>
        <w:spacing w:line="360" w:lineRule="auto"/>
        <w:ind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2、服务方法：</w:t>
      </w:r>
    </w:p>
    <w:p w14:paraId="027D5DA9">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2、服务地点：</w:t>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r>
        <w:rPr>
          <w:rFonts w:hint="eastAsia" w:ascii="宋体" w:hAnsi="宋体" w:eastAsia="宋体" w:cs="宋体"/>
          <w:color w:val="auto"/>
          <w:szCs w:val="27"/>
          <w:highlight w:val="none"/>
        </w:rPr>
        <w:softHyphen/>
      </w:r>
    </w:p>
    <w:p w14:paraId="7A0AEA0A">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3、服务期限：</w:t>
      </w:r>
    </w:p>
    <w:p w14:paraId="7627D5A8">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第四条</w:t>
      </w:r>
      <w:r>
        <w:rPr>
          <w:rFonts w:hint="eastAsia" w:ascii="宋体" w:hAnsi="宋体" w:eastAsia="宋体" w:cs="宋体"/>
          <w:color w:val="auto"/>
          <w:highlight w:val="none"/>
          <w:lang w:val="en-US"/>
        </w:rPr>
        <w:t xml:space="preserve">  </w:t>
      </w:r>
      <w:r>
        <w:rPr>
          <w:rFonts w:hint="eastAsia" w:ascii="宋体" w:hAnsi="宋体" w:eastAsia="宋体" w:cs="宋体"/>
          <w:color w:val="auto"/>
          <w:highlight w:val="none"/>
        </w:rPr>
        <w:t>费用及支付方式</w:t>
      </w:r>
    </w:p>
    <w:p w14:paraId="234A344F">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(一)</w:t>
      </w:r>
      <w:r>
        <w:rPr>
          <w:rFonts w:hint="eastAsia" w:ascii="宋体" w:hAnsi="宋体" w:eastAsia="宋体" w:cs="宋体"/>
          <w:b/>
          <w:color w:val="auto"/>
          <w:highlight w:val="none"/>
        </w:rPr>
        <w:t>本项目</w:t>
      </w:r>
      <w:r>
        <w:rPr>
          <w:rFonts w:hint="eastAsia" w:ascii="宋体" w:hAnsi="宋体" w:eastAsia="宋体" w:cs="宋体"/>
          <w:b/>
          <w:color w:val="auto"/>
          <w:highlight w:val="none"/>
          <w:lang w:val="en-US"/>
        </w:rPr>
        <w:t>费用有以</w:t>
      </w:r>
      <w:r>
        <w:rPr>
          <w:rFonts w:hint="eastAsia" w:ascii="宋体" w:hAnsi="宋体" w:eastAsia="宋体" w:cs="宋体"/>
          <w:b/>
          <w:color w:val="auto"/>
          <w:highlight w:val="none"/>
        </w:rPr>
        <w:t>下组成：</w:t>
      </w:r>
    </w:p>
    <w:p w14:paraId="1AFF37B1">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 xml:space="preserve"> 1、XX 万元；</w:t>
      </w:r>
    </w:p>
    <w:p w14:paraId="50CF49CE">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 万元；</w:t>
      </w:r>
    </w:p>
    <w:p w14:paraId="3A2A1D13">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w:t>
      </w:r>
    </w:p>
    <w:p w14:paraId="16FACD2D">
      <w:pPr>
        <w:pStyle w:val="9"/>
        <w:kinsoku w:val="0"/>
        <w:overflowPunct w:val="0"/>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sz w:val="21"/>
          <w:highlight w:val="none"/>
        </w:rPr>
        <w:t>(二)</w:t>
      </w:r>
      <w:r>
        <w:rPr>
          <w:rFonts w:hint="eastAsia" w:ascii="宋体" w:hAnsi="宋体" w:eastAsia="宋体" w:cs="宋体"/>
          <w:b/>
          <w:color w:val="auto"/>
          <w:highlight w:val="none"/>
        </w:rPr>
        <w:t>费用支付方式：</w:t>
      </w:r>
    </w:p>
    <w:p w14:paraId="4C5713B4">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1、XXXX；</w:t>
      </w:r>
    </w:p>
    <w:p w14:paraId="6F05A43A">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2、XXXX ；</w:t>
      </w:r>
    </w:p>
    <w:p w14:paraId="676B7830">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3、在支付前甲方对乙方的服务进行考核或验收，合格的支付相应款 项。乙方须向甲方出具合法有效完整的完税发票及凭证资料进行支付结算。</w:t>
      </w:r>
    </w:p>
    <w:p w14:paraId="5545289C">
      <w:pPr>
        <w:pStyle w:val="9"/>
        <w:kinsoku w:val="0"/>
        <w:overflowPunct w:val="0"/>
        <w:ind w:left="0" w:firstLine="422" w:firstLineChars="200"/>
        <w:jc w:val="both"/>
        <w:rPr>
          <w:rFonts w:hint="eastAsia" w:ascii="宋体" w:hAnsi="宋体" w:eastAsia="宋体" w:cs="宋体"/>
          <w:color w:val="auto"/>
          <w:highlight w:val="none"/>
        </w:rPr>
      </w:pPr>
      <w:r>
        <w:rPr>
          <w:rFonts w:hint="eastAsia" w:ascii="宋体" w:hAnsi="宋体" w:eastAsia="宋体" w:cs="宋体"/>
          <w:b/>
          <w:color w:val="auto"/>
          <w:highlight w:val="none"/>
        </w:rPr>
        <w:t>第五条</w:t>
      </w:r>
      <w:r>
        <w:rPr>
          <w:rFonts w:hint="eastAsia" w:ascii="宋体" w:hAnsi="宋体" w:eastAsia="宋体" w:cs="宋体"/>
          <w:b/>
          <w:color w:val="auto"/>
          <w:highlight w:val="none"/>
          <w:lang w:val="en-US"/>
        </w:rPr>
        <w:t xml:space="preserve">  </w:t>
      </w:r>
      <w:r>
        <w:rPr>
          <w:rFonts w:hint="eastAsia" w:ascii="宋体" w:hAnsi="宋体" w:eastAsia="宋体" w:cs="宋体"/>
          <w:b/>
          <w:color w:val="auto"/>
          <w:highlight w:val="none"/>
        </w:rPr>
        <w:t xml:space="preserve">付款条件   </w:t>
      </w:r>
      <w:r>
        <w:rPr>
          <w:rFonts w:hint="eastAsia" w:ascii="宋体" w:hAnsi="宋体" w:eastAsia="宋体" w:cs="宋体"/>
          <w:color w:val="auto"/>
          <w:highlight w:val="none"/>
        </w:rPr>
        <w:t xml:space="preserve">               </w:t>
      </w:r>
    </w:p>
    <w:p w14:paraId="16F8DDF7">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本合同以人民币付款。</w:t>
      </w:r>
    </w:p>
    <w:p w14:paraId="14C4787E">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该项目是否实行预付款：</w:t>
      </w:r>
    </w:p>
    <w:p w14:paraId="75F6CF37">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实行预付款的条件和比例：</w:t>
      </w:r>
    </w:p>
    <w:p w14:paraId="1D7452B4">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合同款项结算方式和支付比例：</w:t>
      </w:r>
      <w:r>
        <w:rPr>
          <w:rFonts w:hint="eastAsia" w:ascii="宋体" w:hAnsi="宋体" w:eastAsia="宋体" w:cs="宋体"/>
          <w:color w:val="auto"/>
          <w:highlight w:val="none"/>
          <w:lang w:val="en-US"/>
        </w:rPr>
        <w:t xml:space="preserve">   </w:t>
      </w:r>
    </w:p>
    <w:p w14:paraId="155D9C17">
      <w:pPr>
        <w:spacing w:line="360" w:lineRule="auto"/>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lang w:val="en-US"/>
        </w:rPr>
        <w:t>(</w:t>
      </w:r>
      <w:r>
        <w:rPr>
          <w:rFonts w:hint="eastAsia" w:ascii="宋体" w:hAnsi="宋体" w:eastAsia="宋体" w:cs="宋体"/>
          <w:color w:val="auto"/>
          <w:highlight w:val="none"/>
        </w:rPr>
        <w:t>具体付款方式</w:t>
      </w:r>
      <w:r>
        <w:rPr>
          <w:rFonts w:hint="eastAsia" w:ascii="宋体" w:hAnsi="宋体" w:eastAsia="宋体" w:cs="宋体"/>
          <w:color w:val="auto"/>
          <w:highlight w:val="none"/>
          <w:u w:val="single"/>
        </w:rPr>
        <w:t>按投标人须知前附表以及采、购双方的具体约定</w:t>
      </w:r>
    </w:p>
    <w:p w14:paraId="53231674">
      <w:pPr>
        <w:bidi w:val="0"/>
        <w:ind w:firstLine="422" w:firstLineChars="200"/>
        <w:rPr>
          <w:rFonts w:hint="eastAsia"/>
          <w:b/>
          <w:bCs/>
          <w:color w:val="auto"/>
          <w:highlight w:val="none"/>
          <w:lang w:val="en-US" w:eastAsia="zh-CN"/>
        </w:rPr>
      </w:pPr>
      <w:r>
        <w:rPr>
          <w:rFonts w:hint="eastAsia"/>
          <w:b/>
          <w:bCs/>
          <w:color w:val="auto"/>
          <w:highlight w:val="none"/>
          <w:lang w:val="en-US" w:eastAsia="zh-CN"/>
        </w:rPr>
        <w:t>第六条  验收方法</w:t>
      </w:r>
    </w:p>
    <w:p w14:paraId="02BBA9AC">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1.甲、乙双方应严格履行合同有关条款，如果验收过程中发现乙方在没有征得采购人同意的情况下擅自变更合同服务内容，将拒绝通过验收，由此引起的一切后果及损失由乙方承担。</w:t>
      </w:r>
    </w:p>
    <w:p w14:paraId="435FC532">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0C50B381">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3、甲方视情况可以邀请参加本项目的其他投标人或者第三方机构参与验收，参与验收的投标人或者第三方机构的意见作为验收书的参考资料一并存档。</w:t>
      </w:r>
    </w:p>
    <w:p w14:paraId="76041F15">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4、涉及安全、消防、环保等其他需要由质检或行业主管部门进行验收的项目，必须邀请相关部门或相关专家参与验收。涉及社会化服务的项目，甲方将要求社会公众人员参与验收。</w:t>
      </w:r>
    </w:p>
    <w:p w14:paraId="06C9615A">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检测、验收费用承担方式：</w:t>
      </w:r>
    </w:p>
    <w:p w14:paraId="45605334">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第七条 知识产权</w:t>
      </w:r>
    </w:p>
    <w:p w14:paraId="370EE61D">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乙方应保证所提供的服务或其任何一部分均不会侵犯任何第三方的专利权、商标权或著作权。</w:t>
      </w:r>
    </w:p>
    <w:p w14:paraId="2F3EAD59">
      <w:pPr>
        <w:bidi w:val="0"/>
        <w:ind w:firstLine="422" w:firstLineChars="200"/>
        <w:rPr>
          <w:rFonts w:hint="eastAsia"/>
          <w:b/>
          <w:bCs/>
          <w:color w:val="auto"/>
          <w:highlight w:val="none"/>
          <w:lang w:val="en-US" w:eastAsia="zh-CN"/>
        </w:rPr>
      </w:pPr>
      <w:r>
        <w:rPr>
          <w:rFonts w:hint="eastAsia"/>
          <w:b/>
          <w:bCs/>
          <w:color w:val="auto"/>
          <w:highlight w:val="none"/>
          <w:lang w:val="en-US" w:eastAsia="zh-CN"/>
        </w:rPr>
        <w:t>第八条 无产权瑕疵条款</w:t>
      </w:r>
    </w:p>
    <w:p w14:paraId="2AE708B9">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乙方保证所提供的服务的所有权完全属于乙方且无任何抵押、查封等产权瑕疵。如有产权瑕疵的，视为乙方违约。乙方应负担由此而产生的一切损失。</w:t>
      </w:r>
    </w:p>
    <w:p w14:paraId="4DF68552">
      <w:pPr>
        <w:spacing w:line="400" w:lineRule="exact"/>
        <w:ind w:firstLine="422" w:firstLineChars="200"/>
        <w:jc w:val="both"/>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 xml:space="preserve">第九条  </w:t>
      </w:r>
      <w:r>
        <w:rPr>
          <w:rFonts w:hint="eastAsia" w:ascii="宋体" w:hAnsi="宋体" w:eastAsia="宋体" w:cs="宋体"/>
          <w:color w:val="auto"/>
          <w:szCs w:val="27"/>
          <w:highlight w:val="none"/>
        </w:rPr>
        <w:t>履约（或质量）保证金</w:t>
      </w:r>
    </w:p>
    <w:p w14:paraId="365B8FC5">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1.本项目不收取履约保证金。确需收取履约保证金的，甲方不得要求乙方以现款的形式提供。乙方提供的履约保证金按规定格式以银行保函形式提供，与此有关的费用由服务方承担。</w:t>
      </w:r>
    </w:p>
    <w:p w14:paraId="4F1187B8">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2.若确需质量保证金的，质量保证金不得超过合同总价款的5%</w:t>
      </w:r>
    </w:p>
    <w:p w14:paraId="555340EE">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3.如乙方未能履行其合同规定的任何义务，甲方有权从履约保证金中取得补偿。</w:t>
      </w:r>
    </w:p>
    <w:p w14:paraId="1E8771C2">
      <w:pPr>
        <w:bidi w:val="0"/>
        <w:ind w:firstLine="422" w:firstLineChars="200"/>
        <w:rPr>
          <w:rFonts w:hint="eastAsia"/>
          <w:color w:val="auto"/>
          <w:highlight w:val="none"/>
          <w:lang w:val="en-US" w:eastAsia="zh-CN"/>
        </w:rPr>
      </w:pPr>
      <w:r>
        <w:rPr>
          <w:rFonts w:hint="eastAsia"/>
          <w:b/>
          <w:bCs/>
          <w:color w:val="auto"/>
          <w:highlight w:val="none"/>
          <w:lang w:val="en-US" w:eastAsia="zh-CN"/>
        </w:rPr>
        <w:t>第十条 甲方的权利和义务</w:t>
      </w:r>
    </w:p>
    <w:p w14:paraId="4BE0520D">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1、甲方有权对合同规定范围内乙方的行为进行监督和检查，拥有监管权。有权定期核对乙方提供服务所配备的人员数量。对甲方认为不合理的部分有权下达整改通知书，并要求乙方限期整改。</w:t>
      </w:r>
    </w:p>
    <w:p w14:paraId="07EDD8E1">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2、甲方有权依据双方签订的考评办法对乙方提供的服务进行定期考评。当考评结果未达到标准时，有权依据考评办法约定的数额扣除履约保证金。</w:t>
      </w:r>
    </w:p>
    <w:p w14:paraId="490EF839">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3、负责检查监督乙方管理工作的实施及制度的执行情况。</w:t>
      </w:r>
    </w:p>
    <w:p w14:paraId="77B5CB4E">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4、根据本合同规定，按时向乙方支付应付服务费用。</w:t>
      </w:r>
    </w:p>
    <w:p w14:paraId="5BCABD62">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5、国家法律、法规所规定由甲方承担的其他责任    </w:t>
      </w:r>
      <w:r>
        <w:rPr>
          <w:rFonts w:hint="eastAsia" w:ascii="宋体" w:hAnsi="宋体" w:eastAsia="宋体" w:cs="宋体"/>
          <w:color w:val="auto"/>
          <w:highlight w:val="none"/>
          <w:lang w:val="en-US"/>
        </w:rPr>
        <w:t xml:space="preserve">           </w:t>
      </w:r>
    </w:p>
    <w:p w14:paraId="64A30B44">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第十一条 乙方的权利和义务</w:t>
      </w:r>
    </w:p>
    <w:p w14:paraId="2D4DDDA6">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1、对本合同规定的委托服务范围内的项目享有管理权及服务义务。</w:t>
      </w:r>
    </w:p>
    <w:p w14:paraId="3EBB6BF5">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2、根据本合同的规定向甲方收取相关服务费用，并有权在本项目管理范围内管理及合理使用。</w:t>
      </w:r>
    </w:p>
    <w:p w14:paraId="274E79D5">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3、及时向甲方通告本项目服务范围内有关服务的重大事项，及时配合处理投诉。</w:t>
      </w:r>
    </w:p>
    <w:p w14:paraId="7AD43BAA">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4、接受项目行业管理部门及政府有关部门的指导，接受甲方的监督。</w:t>
      </w:r>
    </w:p>
    <w:p w14:paraId="22300CB6">
      <w:pPr>
        <w:spacing w:line="360" w:lineRule="auto"/>
        <w:ind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5、国家法律、法规所规定由乙方承担的其它责任。</w:t>
      </w:r>
    </w:p>
    <w:p w14:paraId="076F7A27">
      <w:pPr>
        <w:pStyle w:val="9"/>
        <w:kinsoku w:val="0"/>
        <w:overflowPunct w:val="0"/>
        <w:spacing w:line="364" w:lineRule="auto"/>
        <w:ind w:left="0" w:firstLine="422" w:firstLineChars="200"/>
        <w:jc w:val="both"/>
        <w:rPr>
          <w:rFonts w:hint="eastAsia" w:ascii="宋体" w:hAnsi="宋体" w:eastAsia="宋体" w:cs="宋体"/>
          <w:b/>
          <w:color w:val="auto"/>
          <w:highlight w:val="none"/>
        </w:rPr>
      </w:pPr>
      <w:r>
        <w:rPr>
          <w:rFonts w:hint="eastAsia" w:ascii="宋体" w:hAnsi="宋体" w:eastAsia="宋体" w:cs="宋体"/>
          <w:b/>
          <w:color w:val="auto"/>
          <w:highlight w:val="none"/>
        </w:rPr>
        <w:t>第十二条 违约责任</w:t>
      </w:r>
    </w:p>
    <w:p w14:paraId="198F2C4B">
      <w:pPr>
        <w:pStyle w:val="9"/>
        <w:kinsoku w:val="0"/>
        <w:overflowPunct w:val="0"/>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1、甲乙双方必须遵守本合同并执行合同中的各项规定，保证本合同的正常履行。</w:t>
      </w:r>
    </w:p>
    <w:p w14:paraId="00E609F2">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2、甲方逾期付款的，除应及时付足款项外，应向乙方偿付欠款总额万分之 /天的违约金；逾期付款超过 天的，乙方有权终止合同。</w:t>
      </w:r>
    </w:p>
    <w:p w14:paraId="7EDA63D3">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1DD0D31">
      <w:pPr>
        <w:pStyle w:val="9"/>
        <w:kinsoku w:val="0"/>
        <w:overflowPunct w:val="0"/>
        <w:spacing w:line="364" w:lineRule="auto"/>
        <w:ind w:left="0" w:firstLine="420" w:firstLineChars="20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highlight w:val="none"/>
          <w:lang w:val="en-US" w:eastAsia="zh-CN" w:bidi="ar-SA"/>
        </w:rPr>
        <w:t>4、变更、中止或者终止合同，有过错的一方应当承担赔偿责任，双方都有过错的，各自承担相应的责任。</w:t>
      </w:r>
    </w:p>
    <w:p w14:paraId="2AADB4E1">
      <w:pPr>
        <w:spacing w:line="360" w:lineRule="auto"/>
        <w:ind w:firstLine="422" w:firstLineChars="200"/>
        <w:jc w:val="both"/>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第十三条 </w:t>
      </w:r>
      <w:r>
        <w:rPr>
          <w:rFonts w:hint="eastAsia" w:ascii="宋体" w:hAnsi="宋体" w:eastAsia="宋体" w:cs="宋体"/>
          <w:bCs/>
          <w:color w:val="auto"/>
          <w:highlight w:val="none"/>
        </w:rPr>
        <w:t>转让与分包</w:t>
      </w:r>
    </w:p>
    <w:p w14:paraId="559CDA6E">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除甲方事先书面同意外，乙方不得部分转让或全部转让其应履行的合同义务。</w:t>
      </w:r>
    </w:p>
    <w:p w14:paraId="2D17979D">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4844F5C2">
      <w:pPr>
        <w:spacing w:line="360" w:lineRule="auto"/>
        <w:ind w:firstLine="422" w:firstLineChars="200"/>
        <w:jc w:val="both"/>
        <w:rPr>
          <w:rFonts w:hint="eastAsia" w:ascii="宋体" w:hAnsi="宋体" w:eastAsia="宋体" w:cs="宋体"/>
          <w:b/>
          <w:color w:val="auto"/>
          <w:highlight w:val="none"/>
        </w:rPr>
      </w:pPr>
      <w:r>
        <w:rPr>
          <w:rFonts w:hint="eastAsia" w:ascii="宋体" w:hAnsi="宋体" w:eastAsia="宋体" w:cs="宋体"/>
          <w:b/>
          <w:bCs/>
          <w:color w:val="auto"/>
          <w:szCs w:val="27"/>
          <w:highlight w:val="none"/>
        </w:rPr>
        <w:t xml:space="preserve">第十四条 </w:t>
      </w:r>
      <w:r>
        <w:rPr>
          <w:rFonts w:hint="eastAsia" w:ascii="宋体" w:hAnsi="宋体" w:eastAsia="宋体" w:cs="宋体"/>
          <w:bCs/>
          <w:color w:val="auto"/>
          <w:highlight w:val="none"/>
        </w:rPr>
        <w:t>合同文件及资料的使用</w:t>
      </w:r>
    </w:p>
    <w:p w14:paraId="7D4DB72B">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乙方在未经甲方同意的情况下，不得将合同、合同中的规定、有关计划、图纸、样本或甲方为上述内容向乙方提供的资料透露给任何人。</w:t>
      </w:r>
    </w:p>
    <w:p w14:paraId="0131773F">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w:t>
      </w:r>
      <w:r>
        <w:rPr>
          <w:rFonts w:hint="eastAsia" w:ascii="宋体" w:hAnsi="宋体" w:eastAsia="宋体" w:cs="宋体"/>
          <w:color w:val="auto"/>
          <w:highlight w:val="none"/>
        </w:rPr>
        <w:t>除非执行合同需要，在事先未得到甲方同意的情况下，乙方不得使用前款所列的任何文件和资料。</w:t>
      </w:r>
    </w:p>
    <w:p w14:paraId="0E931556">
      <w:pPr>
        <w:bidi w:val="0"/>
        <w:ind w:firstLine="422" w:firstLineChars="200"/>
        <w:rPr>
          <w:rFonts w:hint="eastAsia"/>
          <w:b/>
          <w:bCs/>
          <w:color w:val="auto"/>
          <w:highlight w:val="none"/>
          <w:lang w:val="en-US" w:eastAsia="zh-CN"/>
        </w:rPr>
      </w:pPr>
      <w:r>
        <w:rPr>
          <w:rFonts w:hint="eastAsia"/>
          <w:b/>
          <w:bCs/>
          <w:color w:val="auto"/>
          <w:highlight w:val="none"/>
          <w:lang w:val="en-US" w:eastAsia="zh-CN"/>
        </w:rPr>
        <w:t>第十五条 不可抗力事件处理</w:t>
      </w:r>
    </w:p>
    <w:p w14:paraId="6B504E0B">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w:t>
      </w:r>
      <w:r>
        <w:rPr>
          <w:rFonts w:hint="eastAsia" w:ascii="宋体" w:hAnsi="宋体" w:eastAsia="宋体" w:cs="宋体"/>
          <w:color w:val="auto"/>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0E349066">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4A76CF81">
      <w:pPr>
        <w:bidi w:val="0"/>
        <w:ind w:firstLine="422" w:firstLineChars="200"/>
        <w:rPr>
          <w:rFonts w:hint="eastAsia" w:ascii="宋体" w:hAnsi="宋体" w:eastAsia="宋体" w:cs="宋体"/>
          <w:b/>
          <w:bCs/>
          <w:color w:val="auto"/>
          <w:kern w:val="2"/>
          <w:szCs w:val="27"/>
          <w:highlight w:val="none"/>
          <w:lang w:val="en-US" w:eastAsia="zh-CN" w:bidi="ar-SA"/>
        </w:rPr>
      </w:pPr>
      <w:r>
        <w:rPr>
          <w:rFonts w:hint="eastAsia"/>
          <w:b/>
          <w:bCs/>
          <w:color w:val="auto"/>
          <w:highlight w:val="none"/>
          <w:lang w:val="en-US" w:eastAsia="zh-CN"/>
        </w:rPr>
        <w:t>第十六条 合同纠纷调处</w:t>
      </w:r>
    </w:p>
    <w:p w14:paraId="6771C43D">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7"/>
          <w:highlight w:val="none"/>
        </w:rPr>
        <w:t>.按本合同规定应该偿付的违约金、赔偿金、保管保养费和各种经济损失，应当在明确责任后10天内，按银行规定的结算办法付清，否则按逾期付款处理。</w:t>
      </w:r>
    </w:p>
    <w:p w14:paraId="3D9E819F">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highlight w:val="none"/>
        </w:rPr>
        <w:t>2</w:t>
      </w:r>
      <w:r>
        <w:rPr>
          <w:rFonts w:hint="eastAsia" w:ascii="宋体" w:hAnsi="宋体" w:eastAsia="宋体" w:cs="宋体"/>
          <w:color w:val="auto"/>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color w:val="auto"/>
          <w:szCs w:val="27"/>
          <w:highlight w:val="none"/>
          <w:u w:val="single"/>
        </w:rPr>
        <w:t>周口仲裁委员会</w:t>
      </w:r>
      <w:r>
        <w:rPr>
          <w:rFonts w:hint="eastAsia" w:ascii="宋体" w:hAnsi="宋体" w:eastAsia="宋体" w:cs="宋体"/>
          <w:color w:val="auto"/>
          <w:szCs w:val="27"/>
          <w:highlight w:val="none"/>
        </w:rPr>
        <w:t>申请仲裁。②向</w:t>
      </w:r>
      <w:r>
        <w:rPr>
          <w:rFonts w:hint="eastAsia" w:ascii="宋体" w:hAnsi="宋体" w:eastAsia="宋体" w:cs="宋体"/>
          <w:color w:val="auto"/>
          <w:highlight w:val="none"/>
        </w:rPr>
        <w:t>合同签订地有级别管辖权的</w:t>
      </w:r>
      <w:r>
        <w:rPr>
          <w:rFonts w:hint="eastAsia" w:ascii="宋体" w:hAnsi="宋体" w:eastAsia="宋体" w:cs="宋体"/>
          <w:color w:val="auto"/>
          <w:szCs w:val="27"/>
          <w:highlight w:val="none"/>
        </w:rPr>
        <w:t>人民法院起诉。</w:t>
      </w:r>
    </w:p>
    <w:p w14:paraId="3AE619CE">
      <w:pPr>
        <w:bidi w:val="0"/>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3、甲、乙双方均有权利向本项目具有监管职能的政府采购监督管理部门举报反映对方在合同履约中的违法违纪行为。</w:t>
      </w:r>
    </w:p>
    <w:p w14:paraId="5D9D5E2E">
      <w:pPr>
        <w:spacing w:line="360" w:lineRule="auto"/>
        <w:ind w:firstLine="422" w:firstLineChars="200"/>
        <w:jc w:val="both"/>
        <w:rPr>
          <w:rFonts w:hint="eastAsia" w:ascii="宋体" w:hAnsi="宋体" w:eastAsia="宋体" w:cs="宋体"/>
          <w:b/>
          <w:bCs/>
          <w:color w:val="auto"/>
          <w:szCs w:val="27"/>
          <w:highlight w:val="none"/>
        </w:rPr>
      </w:pPr>
      <w:r>
        <w:rPr>
          <w:rFonts w:hint="eastAsia" w:ascii="宋体" w:hAnsi="宋体" w:eastAsia="宋体" w:cs="宋体"/>
          <w:b/>
          <w:bCs/>
          <w:color w:val="auto"/>
          <w:szCs w:val="27"/>
          <w:highlight w:val="none"/>
        </w:rPr>
        <w:t>第十七条 其他</w:t>
      </w:r>
    </w:p>
    <w:p w14:paraId="24E4A9EC">
      <w:pPr>
        <w:spacing w:line="360" w:lineRule="auto"/>
        <w:ind w:firstLine="422" w:firstLineChars="200"/>
        <w:jc w:val="both"/>
        <w:rPr>
          <w:rFonts w:hint="eastAsia" w:ascii="宋体" w:hAnsi="宋体" w:eastAsia="宋体" w:cs="宋体"/>
          <w:color w:val="auto"/>
          <w:szCs w:val="27"/>
          <w:highlight w:val="none"/>
        </w:rPr>
      </w:pPr>
      <w:r>
        <w:rPr>
          <w:rFonts w:hint="eastAsia" w:ascii="宋体" w:hAnsi="宋体" w:eastAsia="宋体" w:cs="宋体"/>
          <w:b/>
          <w:bCs/>
          <w:color w:val="auto"/>
          <w:szCs w:val="27"/>
          <w:highlight w:val="none"/>
        </w:rPr>
        <w:t xml:space="preserve"> </w:t>
      </w:r>
      <w:r>
        <w:rPr>
          <w:rFonts w:hint="eastAsia" w:ascii="宋体" w:hAnsi="宋体" w:eastAsia="宋体" w:cs="宋体"/>
          <w:color w:val="auto"/>
          <w:szCs w:val="27"/>
          <w:highlight w:val="none"/>
        </w:rPr>
        <w:t>下列关于周口市公共资源交易中心政府采购代理机构名称</w:t>
      </w:r>
      <w:r>
        <w:rPr>
          <w:rFonts w:hint="eastAsia" w:ascii="宋体" w:hAnsi="宋体" w:eastAsia="宋体" w:cs="宋体"/>
          <w:color w:val="auto"/>
          <w:szCs w:val="27"/>
          <w:highlight w:val="none"/>
          <w:u w:val="single"/>
        </w:rPr>
        <w:t>某项目（项目编号：某编号）</w:t>
      </w:r>
      <w:r>
        <w:rPr>
          <w:rFonts w:hint="eastAsia" w:ascii="宋体" w:hAnsi="宋体" w:eastAsia="宋体" w:cs="宋体"/>
          <w:color w:val="auto"/>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76D1B5A1">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    </w:t>
      </w: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份，甲乙双方各执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r>
        <w:rPr>
          <w:rFonts w:hint="eastAsia" w:ascii="宋体" w:hAnsi="宋体" w:cs="宋体"/>
          <w:color w:val="auto"/>
          <w:highlight w:val="none"/>
          <w:lang w:eastAsia="zh-CN"/>
        </w:rPr>
        <w:t>，</w:t>
      </w:r>
      <w:r>
        <w:rPr>
          <w:rFonts w:hint="eastAsia" w:ascii="宋体" w:hAnsi="宋体" w:eastAsia="宋体" w:cs="宋体"/>
          <w:color w:val="auto"/>
          <w:highlight w:val="none"/>
        </w:rPr>
        <w:t>自双方当事人签字盖章之日起生效。</w:t>
      </w:r>
    </w:p>
    <w:p w14:paraId="38B67759">
      <w:pPr>
        <w:spacing w:line="360" w:lineRule="auto"/>
        <w:ind w:firstLine="420" w:firstLineChars="200"/>
        <w:jc w:val="both"/>
        <w:rPr>
          <w:rFonts w:hint="eastAsia" w:ascii="宋体" w:hAnsi="宋体" w:eastAsia="宋体" w:cs="宋体"/>
          <w:color w:val="auto"/>
          <w:szCs w:val="27"/>
          <w:highlight w:val="none"/>
        </w:rPr>
      </w:pPr>
    </w:p>
    <w:p w14:paraId="10165B92">
      <w:pPr>
        <w:pStyle w:val="44"/>
        <w:ind w:firstLine="240"/>
        <w:rPr>
          <w:rFonts w:hint="eastAsia" w:ascii="宋体" w:hAnsi="宋体" w:eastAsia="宋体" w:cs="宋体"/>
          <w:color w:val="auto"/>
          <w:highlight w:val="none"/>
        </w:rPr>
      </w:pPr>
    </w:p>
    <w:p w14:paraId="7AEACE12">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 xml:space="preserve">采购人（甲方）：    （公章）           供货人（乙方）：     （公章）  </w:t>
      </w:r>
    </w:p>
    <w:p w14:paraId="48E4D50A">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地址：                               地址：</w:t>
      </w:r>
    </w:p>
    <w:p w14:paraId="6B13CD86">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法定代表人：                         法定代表人：</w:t>
      </w:r>
    </w:p>
    <w:p w14:paraId="5635FF5C">
      <w:pPr>
        <w:spacing w:line="360" w:lineRule="auto"/>
        <w:ind w:firstLine="420" w:firstLineChars="200"/>
        <w:jc w:val="both"/>
        <w:rPr>
          <w:rFonts w:hint="eastAsia" w:ascii="宋体" w:hAnsi="宋体" w:eastAsia="宋体" w:cs="宋体"/>
          <w:color w:val="auto"/>
          <w:highlight w:val="none"/>
          <w:u w:val="single"/>
        </w:rPr>
      </w:pPr>
      <w:r>
        <w:rPr>
          <w:rFonts w:hint="eastAsia" w:ascii="宋体" w:hAnsi="宋体" w:eastAsia="宋体" w:cs="宋体"/>
          <w:color w:val="auto"/>
          <w:szCs w:val="27"/>
          <w:highlight w:val="none"/>
        </w:rPr>
        <w:t>委托代理人：                         委托代理人：</w:t>
      </w:r>
    </w:p>
    <w:p w14:paraId="7E9F1A1C">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电话：                               电话：</w:t>
      </w:r>
    </w:p>
    <w:p w14:paraId="63912218">
      <w:pPr>
        <w:spacing w:line="360" w:lineRule="auto"/>
        <w:ind w:firstLine="420" w:firstLineChars="200"/>
        <w:jc w:val="both"/>
        <w:rPr>
          <w:rFonts w:hint="eastAsia" w:ascii="宋体" w:hAnsi="宋体" w:eastAsia="宋体" w:cs="宋体"/>
          <w:color w:val="auto"/>
          <w:szCs w:val="27"/>
          <w:highlight w:val="none"/>
        </w:rPr>
      </w:pPr>
      <w:r>
        <w:rPr>
          <w:rFonts w:hint="eastAsia" w:ascii="宋体" w:hAnsi="宋体" w:eastAsia="宋体" w:cs="宋体"/>
          <w:color w:val="auto"/>
          <w:szCs w:val="27"/>
          <w:highlight w:val="none"/>
        </w:rPr>
        <w:t>开户银行：                           开户银行：</w:t>
      </w:r>
    </w:p>
    <w:p w14:paraId="5A6C3710">
      <w:pPr>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szCs w:val="27"/>
          <w:highlight w:val="none"/>
        </w:rPr>
        <w:t>账号：                               账号：</w:t>
      </w:r>
    </w:p>
    <w:p w14:paraId="35221898">
      <w:pPr>
        <w:spacing w:line="640" w:lineRule="exact"/>
        <w:ind w:firstLine="420" w:firstLineChars="200"/>
        <w:jc w:val="both"/>
        <w:rPr>
          <w:rFonts w:hint="eastAsia" w:ascii="宋体" w:hAnsi="宋体" w:eastAsia="宋体" w:cs="宋体"/>
          <w:color w:val="auto"/>
          <w:szCs w:val="27"/>
          <w:highlight w:val="none"/>
          <w:u w:val="single"/>
        </w:rPr>
      </w:pPr>
    </w:p>
    <w:p w14:paraId="3BAD90FC">
      <w:pPr>
        <w:pStyle w:val="44"/>
        <w:ind w:firstLine="321"/>
        <w:jc w:val="center"/>
        <w:rPr>
          <w:rFonts w:hint="eastAsia"/>
          <w:b/>
          <w:color w:val="auto"/>
          <w:sz w:val="32"/>
          <w:szCs w:val="32"/>
          <w:highlight w:val="none"/>
        </w:rPr>
      </w:pPr>
      <w:r>
        <w:rPr>
          <w:rFonts w:hint="eastAsia" w:ascii="宋体" w:hAnsi="宋体" w:eastAsia="宋体" w:cs="宋体"/>
          <w:color w:val="auto"/>
          <w:szCs w:val="27"/>
          <w:highlight w:val="none"/>
          <w:u w:val="single"/>
        </w:rPr>
        <w:t>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 xml:space="preserve">日           </w:t>
      </w:r>
      <w:r>
        <w:rPr>
          <w:rFonts w:hint="eastAsia" w:ascii="宋体" w:hAnsi="宋体" w:eastAsia="宋体" w:cs="宋体"/>
          <w:color w:val="auto"/>
          <w:szCs w:val="27"/>
          <w:highlight w:val="none"/>
          <w:lang w:val="en-US"/>
        </w:rPr>
        <w:t xml:space="preserve">           </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年</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月</w:t>
      </w:r>
      <w:r>
        <w:rPr>
          <w:rFonts w:hint="eastAsia" w:ascii="宋体" w:hAnsi="宋体" w:eastAsia="宋体" w:cs="宋体"/>
          <w:color w:val="auto"/>
          <w:szCs w:val="27"/>
          <w:highlight w:val="none"/>
          <w:u w:val="single"/>
        </w:rPr>
        <w:t xml:space="preserve">  </w:t>
      </w:r>
      <w:r>
        <w:rPr>
          <w:rFonts w:hint="eastAsia" w:ascii="宋体" w:hAnsi="宋体" w:eastAsia="宋体" w:cs="宋体"/>
          <w:color w:val="auto"/>
          <w:szCs w:val="27"/>
          <w:highlight w:val="none"/>
        </w:rPr>
        <w:t>日</w:t>
      </w:r>
    </w:p>
    <w:p w14:paraId="2E0B7830">
      <w:pPr>
        <w:pStyle w:val="44"/>
        <w:ind w:firstLine="321"/>
        <w:jc w:val="center"/>
        <w:rPr>
          <w:rFonts w:hint="eastAsia"/>
          <w:b/>
          <w:color w:val="auto"/>
          <w:sz w:val="32"/>
          <w:szCs w:val="32"/>
          <w:highlight w:val="none"/>
        </w:rPr>
      </w:pPr>
    </w:p>
    <w:p w14:paraId="76F1D3CC">
      <w:pPr>
        <w:pStyle w:val="44"/>
        <w:ind w:firstLine="321"/>
        <w:jc w:val="center"/>
        <w:rPr>
          <w:rFonts w:hint="eastAsia"/>
          <w:b/>
          <w:color w:val="auto"/>
          <w:sz w:val="32"/>
          <w:szCs w:val="32"/>
          <w:highlight w:val="none"/>
        </w:rPr>
      </w:pPr>
    </w:p>
    <w:p w14:paraId="3BBCE5A6">
      <w:pPr>
        <w:pStyle w:val="44"/>
        <w:ind w:firstLine="321"/>
        <w:jc w:val="center"/>
        <w:rPr>
          <w:rFonts w:hint="eastAsia"/>
          <w:b/>
          <w:color w:val="auto"/>
          <w:sz w:val="32"/>
          <w:szCs w:val="32"/>
          <w:highlight w:val="none"/>
        </w:rPr>
      </w:pPr>
    </w:p>
    <w:p w14:paraId="28B7E124">
      <w:pPr>
        <w:pStyle w:val="44"/>
        <w:ind w:firstLine="321"/>
        <w:jc w:val="center"/>
        <w:rPr>
          <w:rFonts w:hint="eastAsia"/>
          <w:b/>
          <w:color w:val="auto"/>
          <w:sz w:val="32"/>
          <w:szCs w:val="32"/>
          <w:highlight w:val="none"/>
        </w:rPr>
      </w:pPr>
    </w:p>
    <w:p w14:paraId="5DD490DE">
      <w:pPr>
        <w:rPr>
          <w:rFonts w:hint="eastAsia"/>
          <w:color w:val="auto"/>
          <w:highlight w:val="none"/>
        </w:rPr>
      </w:pPr>
      <w:r>
        <w:rPr>
          <w:rFonts w:hint="eastAsia"/>
          <w:color w:val="auto"/>
          <w:highlight w:val="none"/>
        </w:rPr>
        <w:br w:type="page"/>
      </w:r>
    </w:p>
    <w:p w14:paraId="2AA2BE30">
      <w:pPr>
        <w:pStyle w:val="2"/>
        <w:bidi w:val="0"/>
        <w:rPr>
          <w:color w:val="auto"/>
          <w:highlight w:val="none"/>
        </w:rPr>
      </w:pPr>
      <w:r>
        <w:rPr>
          <w:rFonts w:hint="eastAsia"/>
          <w:color w:val="auto"/>
          <w:highlight w:val="none"/>
        </w:rPr>
        <w:t>周口市政府采购合同融资政策告知函</w:t>
      </w:r>
    </w:p>
    <w:p w14:paraId="74C0D9B1">
      <w:pPr>
        <w:pStyle w:val="44"/>
        <w:ind w:firstLine="240"/>
        <w:rPr>
          <w:rFonts w:asciiTheme="minorEastAsia" w:hAnsiTheme="minorEastAsia" w:eastAsiaTheme="minorEastAsia"/>
          <w:color w:val="auto"/>
          <w:sz w:val="24"/>
          <w:highlight w:val="none"/>
        </w:rPr>
      </w:pPr>
    </w:p>
    <w:p w14:paraId="044D2E73">
      <w:pPr>
        <w:pStyle w:val="44"/>
        <w:ind w:firstLine="240"/>
        <w:rPr>
          <w:rFonts w:asciiTheme="minorEastAsia" w:hAnsiTheme="minorEastAsia" w:eastAsiaTheme="minorEastAsia"/>
          <w:color w:val="auto"/>
          <w:sz w:val="24"/>
          <w:highlight w:val="none"/>
        </w:rPr>
      </w:pPr>
    </w:p>
    <w:p w14:paraId="63B10758">
      <w:pPr>
        <w:pStyle w:val="44"/>
        <w:ind w:firstLine="240"/>
        <w:rPr>
          <w:rFonts w:asciiTheme="minorEastAsia" w:hAnsiTheme="minorEastAsia" w:eastAsiaTheme="minorEastAsia"/>
          <w:color w:val="auto"/>
          <w:sz w:val="24"/>
          <w:highlight w:val="none"/>
        </w:rPr>
      </w:pPr>
    </w:p>
    <w:p w14:paraId="15096708">
      <w:pPr>
        <w:pStyle w:val="44"/>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各供应商：</w:t>
      </w:r>
    </w:p>
    <w:p w14:paraId="002E9347">
      <w:pPr>
        <w:pStyle w:val="44"/>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欢迎贵公司参与周口市政府采购活动！</w:t>
      </w:r>
    </w:p>
    <w:p w14:paraId="0BD8BE4B">
      <w:pPr>
        <w:pStyle w:val="44"/>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201286BE">
      <w:pPr>
        <w:pStyle w:val="44"/>
        <w:ind w:firstLine="24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贷款渠道和提供贷款的金融机构，可在河南省政府采购网“河南省政府采购合同融资平台”查询联系。</w:t>
      </w:r>
    </w:p>
    <w:p w14:paraId="720C80D4">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2FAD1533">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1FFA5BEB">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6216F811">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4B2451C6">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26D3274B">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674DD6E3">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174D464E">
      <w:pPr>
        <w:pStyle w:val="25"/>
        <w:spacing w:line="440" w:lineRule="exact"/>
        <w:jc w:val="both"/>
        <w:rPr>
          <w:rFonts w:hint="eastAsia" w:cs="宋体"/>
          <w:color w:val="auto"/>
          <w:highlight w:val="none"/>
        </w:rPr>
        <w:sectPr>
          <w:pgSz w:w="11907" w:h="16840"/>
          <w:pgMar w:top="1440" w:right="1588" w:bottom="1440" w:left="1588" w:header="851" w:footer="992" w:gutter="0"/>
          <w:cols w:space="720" w:num="1"/>
          <w:docGrid w:type="lines" w:linePitch="312" w:charSpace="0"/>
        </w:sectPr>
      </w:pPr>
    </w:p>
    <w:p w14:paraId="6815E011">
      <w:pPr>
        <w:pStyle w:val="25"/>
        <w:spacing w:line="440" w:lineRule="exact"/>
        <w:jc w:val="both"/>
        <w:rPr>
          <w:rFonts w:cs="宋体"/>
          <w:color w:val="auto"/>
          <w:highlight w:val="none"/>
        </w:rPr>
      </w:pPr>
      <w:r>
        <w:rPr>
          <w:rFonts w:hint="eastAsia" w:cs="宋体"/>
          <w:color w:val="auto"/>
          <w:highlight w:val="none"/>
        </w:rPr>
        <w:t>附：</w:t>
      </w:r>
      <w:bookmarkStart w:id="8" w:name="_Toc1817875417_WPSOffice_Level2"/>
      <w:r>
        <w:rPr>
          <w:rFonts w:hint="eastAsia" w:cs="宋体"/>
          <w:color w:val="auto"/>
          <w:highlight w:val="none"/>
        </w:rPr>
        <w:t xml:space="preserve">                     </w:t>
      </w:r>
      <w:r>
        <w:rPr>
          <w:rStyle w:val="31"/>
          <w:rFonts w:hint="eastAsia" w:cs="宋体"/>
          <w:color w:val="auto"/>
          <w:highlight w:val="none"/>
        </w:rPr>
        <w:t>中小企业划型标准规定</w:t>
      </w:r>
      <w:bookmarkEnd w:id="8"/>
    </w:p>
    <w:p w14:paraId="7D3C05F4">
      <w:pPr>
        <w:pStyle w:val="25"/>
        <w:spacing w:line="440" w:lineRule="exact"/>
        <w:rPr>
          <w:rFonts w:hint="eastAsia" w:cs="宋体" w:eastAsiaTheme="minorEastAsia"/>
          <w:color w:val="auto"/>
          <w:highlight w:val="none"/>
          <w:lang w:eastAsia="zh-CN"/>
        </w:rPr>
      </w:pPr>
      <w:r>
        <w:rPr>
          <w:rFonts w:hint="eastAsia" w:cs="宋体"/>
          <w:color w:val="auto"/>
          <w:highlight w:val="none"/>
        </w:rPr>
        <w:t xml:space="preserve">    一、根据《中华人民共和国中小企业促进法》和《国务院关于进一步促进中小企业发展的若干意见》(国发〔2009〕36号)，制定本规定。</w:t>
      </w:r>
    </w:p>
    <w:p w14:paraId="40E1F017">
      <w:pPr>
        <w:pStyle w:val="25"/>
        <w:spacing w:line="440" w:lineRule="exact"/>
        <w:rPr>
          <w:rFonts w:hint="eastAsia" w:cs="宋体" w:eastAsiaTheme="minorEastAsia"/>
          <w:color w:val="auto"/>
          <w:highlight w:val="none"/>
          <w:lang w:eastAsia="zh-CN"/>
        </w:rPr>
      </w:pPr>
      <w:r>
        <w:rPr>
          <w:rFonts w:hint="eastAsia" w:cs="宋体"/>
          <w:color w:val="auto"/>
          <w:highlight w:val="none"/>
        </w:rPr>
        <w:t>　　二、中小企业划分为中型、小型、微型三种类型，具体标准根据企业从业人员、营业收入、资产总额等指标，结合行业特点制定。</w:t>
      </w:r>
    </w:p>
    <w:p w14:paraId="3C680786">
      <w:pPr>
        <w:pStyle w:val="25"/>
        <w:spacing w:line="440" w:lineRule="exact"/>
        <w:rPr>
          <w:rFonts w:hint="eastAsia" w:cs="宋体" w:eastAsiaTheme="minorEastAsia"/>
          <w:color w:val="auto"/>
          <w:highlight w:val="none"/>
          <w:lang w:eastAsia="zh-CN"/>
        </w:rPr>
      </w:pPr>
      <w:r>
        <w:rPr>
          <w:rFonts w:hint="eastAsia" w:cs="宋体"/>
          <w:color w:val="auto"/>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7F95754">
      <w:pPr>
        <w:pStyle w:val="25"/>
        <w:spacing w:line="440" w:lineRule="exact"/>
        <w:rPr>
          <w:rFonts w:hint="eastAsia" w:cs="宋体" w:eastAsiaTheme="minorEastAsia"/>
          <w:color w:val="auto"/>
          <w:highlight w:val="none"/>
          <w:lang w:eastAsia="zh-CN"/>
        </w:rPr>
      </w:pPr>
      <w:r>
        <w:rPr>
          <w:rFonts w:hint="eastAsia" w:cs="宋体"/>
          <w:color w:val="auto"/>
          <w:highlight w:val="none"/>
        </w:rPr>
        <w:t>　　四、各行业划型标准为：</w:t>
      </w:r>
    </w:p>
    <w:p w14:paraId="78F75E89">
      <w:pPr>
        <w:pStyle w:val="25"/>
        <w:spacing w:line="440" w:lineRule="exact"/>
        <w:rPr>
          <w:rFonts w:hint="eastAsia" w:cs="宋体" w:eastAsiaTheme="minorEastAsia"/>
          <w:color w:val="auto"/>
          <w:highlight w:val="none"/>
          <w:lang w:eastAsia="zh-CN"/>
        </w:rPr>
      </w:pPr>
      <w:r>
        <w:rPr>
          <w:rFonts w:hint="eastAsia" w:cs="宋体"/>
          <w:color w:val="auto"/>
          <w:highlight w:val="none"/>
        </w:rPr>
        <w:t>　　（一）农、林、牧、渔业。营业收入20000万元以下的为中小微型企业。其中，营业收入500万元及以上的为中型企业，营业收入50万元及以上的为小型企业，营业收入50万元以下的为微型企业。</w:t>
      </w:r>
    </w:p>
    <w:p w14:paraId="610ABD18">
      <w:pPr>
        <w:pStyle w:val="25"/>
        <w:spacing w:line="440" w:lineRule="exact"/>
        <w:rPr>
          <w:rFonts w:hint="eastAsia" w:cs="宋体" w:eastAsiaTheme="minorEastAsia"/>
          <w:color w:val="auto"/>
          <w:highlight w:val="none"/>
          <w:lang w:eastAsia="zh-CN"/>
        </w:rPr>
      </w:pPr>
      <w:r>
        <w:rPr>
          <w:rFonts w:hint="eastAsia" w:cs="宋体"/>
          <w:color w:val="auto"/>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CABBA6A">
      <w:pPr>
        <w:pStyle w:val="25"/>
        <w:spacing w:line="440" w:lineRule="exact"/>
        <w:rPr>
          <w:rFonts w:hint="eastAsia" w:cs="宋体" w:eastAsiaTheme="minorEastAsia"/>
          <w:color w:val="auto"/>
          <w:highlight w:val="none"/>
          <w:lang w:eastAsia="zh-CN"/>
        </w:rPr>
      </w:pPr>
      <w:r>
        <w:rPr>
          <w:rFonts w:hint="eastAsia" w:cs="宋体"/>
          <w:color w:val="auto"/>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0D81DA">
      <w:pPr>
        <w:pStyle w:val="25"/>
        <w:spacing w:line="440" w:lineRule="exact"/>
        <w:rPr>
          <w:rFonts w:hint="eastAsia" w:cs="宋体" w:eastAsiaTheme="minorEastAsia"/>
          <w:color w:val="auto"/>
          <w:highlight w:val="none"/>
          <w:lang w:eastAsia="zh-CN"/>
        </w:rPr>
      </w:pPr>
      <w:r>
        <w:rPr>
          <w:rFonts w:hint="eastAsia" w:cs="宋体"/>
          <w:color w:val="auto"/>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EA1886">
      <w:pPr>
        <w:pStyle w:val="25"/>
        <w:spacing w:line="440" w:lineRule="exact"/>
        <w:rPr>
          <w:rFonts w:hint="eastAsia" w:cs="宋体" w:eastAsiaTheme="minorEastAsia"/>
          <w:color w:val="auto"/>
          <w:highlight w:val="none"/>
          <w:lang w:eastAsia="zh-CN"/>
        </w:rPr>
      </w:pPr>
      <w:r>
        <w:rPr>
          <w:rFonts w:hint="eastAsia" w:cs="宋体"/>
          <w:color w:val="auto"/>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B06411">
      <w:pPr>
        <w:pStyle w:val="25"/>
        <w:spacing w:line="440" w:lineRule="exact"/>
        <w:rPr>
          <w:rFonts w:hint="eastAsia" w:cs="宋体" w:eastAsiaTheme="minorEastAsia"/>
          <w:color w:val="auto"/>
          <w:highlight w:val="none"/>
          <w:lang w:eastAsia="zh-CN"/>
        </w:rPr>
      </w:pPr>
      <w:r>
        <w:rPr>
          <w:rFonts w:hint="eastAsia" w:cs="宋体"/>
          <w:color w:val="auto"/>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2E82E29">
      <w:pPr>
        <w:pStyle w:val="25"/>
        <w:spacing w:line="440" w:lineRule="exact"/>
        <w:rPr>
          <w:rFonts w:hint="eastAsia" w:cs="宋体" w:eastAsiaTheme="minorEastAsia"/>
          <w:color w:val="auto"/>
          <w:highlight w:val="none"/>
          <w:lang w:eastAsia="zh-CN"/>
        </w:rPr>
      </w:pPr>
      <w:r>
        <w:rPr>
          <w:rFonts w:hint="eastAsia" w:cs="宋体"/>
          <w:color w:val="auto"/>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8F9A11A">
      <w:pPr>
        <w:pStyle w:val="25"/>
        <w:spacing w:line="440" w:lineRule="exact"/>
        <w:rPr>
          <w:rFonts w:hint="eastAsia" w:cs="宋体" w:eastAsiaTheme="minorEastAsia"/>
          <w:color w:val="auto"/>
          <w:highlight w:val="none"/>
          <w:lang w:eastAsia="zh-CN"/>
        </w:rPr>
      </w:pPr>
      <w:r>
        <w:rPr>
          <w:rFonts w:hint="eastAsia" w:cs="宋体"/>
          <w:color w:val="auto"/>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D396202">
      <w:pPr>
        <w:pStyle w:val="25"/>
        <w:spacing w:line="440" w:lineRule="exact"/>
        <w:rPr>
          <w:rFonts w:hint="eastAsia" w:cs="宋体" w:eastAsiaTheme="minorEastAsia"/>
          <w:color w:val="auto"/>
          <w:highlight w:val="none"/>
          <w:lang w:eastAsia="zh-CN"/>
        </w:rPr>
      </w:pPr>
      <w:r>
        <w:rPr>
          <w:rFonts w:hint="eastAsia" w:cs="宋体"/>
          <w:color w:val="auto"/>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CF188D4">
      <w:pPr>
        <w:pStyle w:val="25"/>
        <w:spacing w:line="440" w:lineRule="exact"/>
        <w:rPr>
          <w:rFonts w:hint="eastAsia" w:cs="宋体" w:eastAsiaTheme="minorEastAsia"/>
          <w:color w:val="auto"/>
          <w:highlight w:val="none"/>
          <w:lang w:eastAsia="zh-CN"/>
        </w:rPr>
      </w:pPr>
      <w:r>
        <w:rPr>
          <w:rFonts w:hint="eastAsia" w:cs="宋体"/>
          <w:color w:val="auto"/>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6C4ADF6">
      <w:pPr>
        <w:pStyle w:val="25"/>
        <w:spacing w:line="440" w:lineRule="exact"/>
        <w:rPr>
          <w:rFonts w:hint="eastAsia" w:cs="宋体" w:eastAsiaTheme="minorEastAsia"/>
          <w:color w:val="auto"/>
          <w:highlight w:val="none"/>
          <w:lang w:eastAsia="zh-CN"/>
        </w:rPr>
      </w:pPr>
      <w:r>
        <w:rPr>
          <w:rFonts w:hint="eastAsia" w:cs="宋体"/>
          <w:color w:val="auto"/>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05CC214">
      <w:pPr>
        <w:pStyle w:val="25"/>
        <w:spacing w:line="440" w:lineRule="exact"/>
        <w:rPr>
          <w:rFonts w:hint="eastAsia" w:cs="宋体" w:eastAsiaTheme="minorEastAsia"/>
          <w:color w:val="auto"/>
          <w:highlight w:val="none"/>
          <w:lang w:eastAsia="zh-CN"/>
        </w:rPr>
      </w:pPr>
      <w:r>
        <w:rPr>
          <w:rFonts w:hint="eastAsia" w:cs="宋体"/>
          <w:color w:val="auto"/>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2B2418">
      <w:pPr>
        <w:pStyle w:val="25"/>
        <w:spacing w:line="440" w:lineRule="exact"/>
        <w:rPr>
          <w:rFonts w:hint="eastAsia" w:cs="宋体" w:eastAsiaTheme="minorEastAsia"/>
          <w:color w:val="auto"/>
          <w:highlight w:val="none"/>
          <w:lang w:eastAsia="zh-CN"/>
        </w:rPr>
      </w:pPr>
      <w:r>
        <w:rPr>
          <w:rFonts w:hint="eastAsia" w:cs="宋体"/>
          <w:color w:val="auto"/>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CEFD9DB">
      <w:pPr>
        <w:pStyle w:val="25"/>
        <w:spacing w:line="440" w:lineRule="exact"/>
        <w:rPr>
          <w:rFonts w:hint="eastAsia" w:cs="宋体" w:eastAsiaTheme="minorEastAsia"/>
          <w:color w:val="auto"/>
          <w:highlight w:val="none"/>
          <w:lang w:eastAsia="zh-CN"/>
        </w:rPr>
      </w:pPr>
      <w:r>
        <w:rPr>
          <w:rFonts w:hint="eastAsia" w:cs="宋体"/>
          <w:color w:val="auto"/>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E532B7C">
      <w:pPr>
        <w:pStyle w:val="25"/>
        <w:spacing w:line="440" w:lineRule="exact"/>
        <w:rPr>
          <w:rFonts w:hint="eastAsia" w:cs="宋体" w:eastAsiaTheme="minorEastAsia"/>
          <w:color w:val="auto"/>
          <w:highlight w:val="none"/>
          <w:lang w:eastAsia="zh-CN"/>
        </w:rPr>
      </w:pPr>
      <w:r>
        <w:rPr>
          <w:rFonts w:hint="eastAsia" w:cs="宋体"/>
          <w:color w:val="auto"/>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8D35DC">
      <w:pPr>
        <w:pStyle w:val="25"/>
        <w:spacing w:line="440" w:lineRule="exact"/>
        <w:rPr>
          <w:rFonts w:hint="eastAsia" w:cs="宋体" w:eastAsiaTheme="minorEastAsia"/>
          <w:color w:val="auto"/>
          <w:highlight w:val="none"/>
          <w:lang w:eastAsia="zh-CN"/>
        </w:rPr>
      </w:pPr>
      <w:r>
        <w:rPr>
          <w:rFonts w:hint="eastAsia" w:cs="宋体"/>
          <w:color w:val="auto"/>
          <w:highlight w:val="none"/>
        </w:rPr>
        <w:t>　　（十六）其他未列明行业。从业人员300人以下的为中小微型企业。其中，从业人员100人及以上的为中型企业；从业人员10人及以上的为小型企业；从业人员10人以下的为微型企业。</w:t>
      </w:r>
    </w:p>
    <w:p w14:paraId="6D1F5C98">
      <w:pPr>
        <w:pStyle w:val="25"/>
        <w:spacing w:line="440" w:lineRule="exact"/>
        <w:rPr>
          <w:rFonts w:hint="eastAsia" w:cs="宋体" w:eastAsiaTheme="minorEastAsia"/>
          <w:color w:val="auto"/>
          <w:highlight w:val="none"/>
          <w:lang w:eastAsia="zh-CN"/>
        </w:rPr>
      </w:pPr>
      <w:r>
        <w:rPr>
          <w:rFonts w:hint="eastAsia" w:cs="宋体"/>
          <w:color w:val="auto"/>
          <w:highlight w:val="none"/>
        </w:rPr>
        <w:t>　　五、企业类型的划分以统计部门的统计数据为依据。</w:t>
      </w:r>
    </w:p>
    <w:p w14:paraId="52106826">
      <w:pPr>
        <w:pStyle w:val="25"/>
        <w:spacing w:line="440" w:lineRule="exact"/>
        <w:rPr>
          <w:rFonts w:hint="eastAsia" w:cs="宋体" w:eastAsiaTheme="minorEastAsia"/>
          <w:color w:val="auto"/>
          <w:highlight w:val="none"/>
          <w:lang w:eastAsia="zh-CN"/>
        </w:rPr>
      </w:pPr>
      <w:r>
        <w:rPr>
          <w:rFonts w:hint="eastAsia" w:cs="宋体"/>
          <w:color w:val="auto"/>
          <w:highlight w:val="none"/>
        </w:rPr>
        <w:t>　　六、本规定适用于在中华人民共和国境内依法设立的各类所有制和各种组织形式的企业。个体工商户和本规定以外的行业，参照本规定进行划型。</w:t>
      </w:r>
    </w:p>
    <w:p w14:paraId="44E60533">
      <w:pPr>
        <w:pStyle w:val="25"/>
        <w:spacing w:line="440" w:lineRule="exact"/>
        <w:rPr>
          <w:rFonts w:hint="eastAsia" w:cs="宋体" w:eastAsiaTheme="minorEastAsia"/>
          <w:color w:val="auto"/>
          <w:highlight w:val="none"/>
          <w:lang w:eastAsia="zh-CN"/>
        </w:rPr>
      </w:pPr>
      <w:r>
        <w:rPr>
          <w:rFonts w:hint="eastAsia" w:cs="宋体"/>
          <w:color w:val="auto"/>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DF1230F">
      <w:pPr>
        <w:pStyle w:val="25"/>
        <w:spacing w:line="440" w:lineRule="exact"/>
        <w:rPr>
          <w:rFonts w:hint="eastAsia" w:cs="宋体" w:eastAsiaTheme="minorEastAsia"/>
          <w:color w:val="auto"/>
          <w:highlight w:val="none"/>
          <w:lang w:eastAsia="zh-CN"/>
        </w:rPr>
      </w:pPr>
      <w:r>
        <w:rPr>
          <w:rFonts w:hint="eastAsia" w:cs="宋体"/>
          <w:color w:val="auto"/>
          <w:highlight w:val="none"/>
        </w:rPr>
        <w:t>　　八、本规定由工业和信息化部、国家统计局会同有关部门根据《国民经济行业分类》修订情况和企业发展变化情况适时修订。</w:t>
      </w:r>
    </w:p>
    <w:p w14:paraId="085C4929">
      <w:pPr>
        <w:pStyle w:val="25"/>
        <w:spacing w:line="440" w:lineRule="exact"/>
        <w:rPr>
          <w:rFonts w:hint="eastAsia" w:cs="宋体" w:eastAsiaTheme="minorEastAsia"/>
          <w:color w:val="auto"/>
          <w:highlight w:val="none"/>
          <w:lang w:eastAsia="zh-CN"/>
        </w:rPr>
      </w:pPr>
      <w:r>
        <w:rPr>
          <w:rFonts w:hint="eastAsia" w:cs="宋体"/>
          <w:color w:val="auto"/>
          <w:highlight w:val="none"/>
        </w:rPr>
        <w:t>　　九、本规定由工业和信息化部、国家统计局会同有关部门负责解释。</w:t>
      </w:r>
    </w:p>
    <w:p w14:paraId="5ABAAB38">
      <w:pPr>
        <w:pStyle w:val="25"/>
        <w:shd w:val="clear" w:color="auto" w:fill="auto"/>
        <w:spacing w:before="0" w:beforeAutospacing="0" w:after="0" w:afterAutospacing="0" w:line="330" w:lineRule="atLeast"/>
        <w:rPr>
          <w:rFonts w:hint="eastAsia" w:cs="仿宋_GB2312"/>
          <w:b/>
          <w:bCs/>
          <w:color w:val="auto"/>
          <w:sz w:val="21"/>
          <w:szCs w:val="21"/>
          <w:highlight w:val="none"/>
        </w:rPr>
      </w:pPr>
      <w:r>
        <w:rPr>
          <w:rFonts w:hint="eastAsia" w:cs="宋体"/>
          <w:color w:val="auto"/>
          <w:highlight w:val="none"/>
        </w:rPr>
        <w:t>　　十、本规定自发布之日起执行，原国家经贸委、原国家计委、财政部和国家统计局2003年颁布的《中小企业标准暂行规定》同时废止。</w:t>
      </w:r>
    </w:p>
    <w:p w14:paraId="4BECDB80">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286D6F3E">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466194AD">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6DD2CAB9">
      <w:pPr>
        <w:pStyle w:val="25"/>
        <w:shd w:val="clear" w:color="auto" w:fill="auto"/>
        <w:spacing w:before="0" w:beforeAutospacing="0" w:after="0" w:afterAutospacing="0" w:line="330" w:lineRule="atLeast"/>
        <w:rPr>
          <w:rFonts w:hint="eastAsia" w:cs="仿宋_GB2312"/>
          <w:b/>
          <w:bCs/>
          <w:color w:val="auto"/>
          <w:sz w:val="21"/>
          <w:szCs w:val="21"/>
          <w:highlight w:val="none"/>
        </w:rPr>
      </w:pPr>
    </w:p>
    <w:p w14:paraId="47B58684">
      <w:pPr>
        <w:pStyle w:val="44"/>
        <w:rPr>
          <w:rFonts w:hint="eastAsia" w:eastAsia="宋体"/>
          <w:color w:val="auto"/>
          <w:highlight w:val="none"/>
          <w:lang w:val="en-US" w:eastAsia="zh-CN"/>
        </w:rPr>
      </w:pPr>
    </w:p>
    <w:sectPr>
      <w:pgSz w:w="11907" w:h="16840"/>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auto"/>
    <w:pitch w:val="default"/>
    <w:sig w:usb0="A00002AF" w:usb1="400078FB" w:usb2="00000000" w:usb3="00000000" w:csb0="6000009F" w:csb1="DFD70000"/>
  </w:font>
  <w:font w:name="微软简标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2272">
    <w:pPr>
      <w:pStyle w:val="18"/>
      <w:jc w:val="center"/>
      <w:rPr>
        <w:rFonts w:ascii="宋体" w:hAnsi="宋体"/>
        <w:kern w:val="0"/>
        <w:sz w:val="21"/>
        <w:szCs w:val="21"/>
      </w:rPr>
    </w:pPr>
    <w:r>
      <w:rPr>
        <w:rFonts w:hint="eastAsia" w:ascii="宋体" w:hAnsi="宋体"/>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hint="eastAsia" w:ascii="宋体" w:hAnsi="宋体"/>
        <w:kern w:val="0"/>
        <w:sz w:val="21"/>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1835">
    <w:pPr>
      <w:pStyle w:val="19"/>
      <w:pBdr>
        <w:bottom w:val="none" w:color="auto" w:sz="0" w:space="0"/>
      </w:pBdr>
      <w:spacing w:line="160" w:lineRule="atLeast"/>
      <w:jc w:val="both"/>
      <w:rPr>
        <w:rFonts w:ascii="楷体_GB2312" w:eastAsia="楷体_GB2312"/>
        <w:sz w:val="28"/>
        <w:u w:val="single"/>
      </w:rPr>
    </w:pPr>
  </w:p>
  <w:p w14:paraId="737873A3">
    <w:pPr>
      <w:pStyle w:val="19"/>
      <w:pBdr>
        <w:bottom w:val="none" w:color="auto" w:sz="0" w:space="0"/>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835B8"/>
    <w:multiLevelType w:val="singleLevel"/>
    <w:tmpl w:val="976835B8"/>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5"/>
    <w:multiLevelType w:val="multilevel"/>
    <w:tmpl w:val="00000005"/>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F741F4"/>
    <w:multiLevelType w:val="singleLevel"/>
    <w:tmpl w:val="57F741F4"/>
    <w:lvl w:ilvl="0" w:tentative="0">
      <w:start w:val="7"/>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MmRmMDgzZTgzZTAxMDY5ZTg3OTI0ODdhNjczYjcifQ=="/>
    <w:docVar w:name="KSO_WPS_MARK_KEY" w:val="db2eef50-e56a-47ef-9913-c2dde46c442c"/>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58DC"/>
    <w:rsid w:val="0061645A"/>
    <w:rsid w:val="0062126D"/>
    <w:rsid w:val="00621B09"/>
    <w:rsid w:val="006227BE"/>
    <w:rsid w:val="0063018F"/>
    <w:rsid w:val="00632A25"/>
    <w:rsid w:val="006362B0"/>
    <w:rsid w:val="0064576F"/>
    <w:rsid w:val="00650ECD"/>
    <w:rsid w:val="006547BF"/>
    <w:rsid w:val="00660AE8"/>
    <w:rsid w:val="00664807"/>
    <w:rsid w:val="00665625"/>
    <w:rsid w:val="00666A24"/>
    <w:rsid w:val="00671CF7"/>
    <w:rsid w:val="00676B60"/>
    <w:rsid w:val="0067790A"/>
    <w:rsid w:val="006828EF"/>
    <w:rsid w:val="00683330"/>
    <w:rsid w:val="00684CEA"/>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4070"/>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6244D"/>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6FB2"/>
    <w:rsid w:val="00F67CEB"/>
    <w:rsid w:val="00F701E5"/>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1FE3676"/>
    <w:rsid w:val="023F0C4D"/>
    <w:rsid w:val="028D6B6E"/>
    <w:rsid w:val="02B07FF7"/>
    <w:rsid w:val="02C728F6"/>
    <w:rsid w:val="03195159"/>
    <w:rsid w:val="036D1000"/>
    <w:rsid w:val="03733BDF"/>
    <w:rsid w:val="039D7B38"/>
    <w:rsid w:val="03A308DC"/>
    <w:rsid w:val="03F51722"/>
    <w:rsid w:val="040532BA"/>
    <w:rsid w:val="04176582"/>
    <w:rsid w:val="049A4077"/>
    <w:rsid w:val="04EE64B5"/>
    <w:rsid w:val="050A7B68"/>
    <w:rsid w:val="050B287F"/>
    <w:rsid w:val="051259ED"/>
    <w:rsid w:val="05AB38EF"/>
    <w:rsid w:val="05AB5E10"/>
    <w:rsid w:val="05C375FE"/>
    <w:rsid w:val="06112898"/>
    <w:rsid w:val="065F66D4"/>
    <w:rsid w:val="07041580"/>
    <w:rsid w:val="070B3997"/>
    <w:rsid w:val="072440CC"/>
    <w:rsid w:val="072B545A"/>
    <w:rsid w:val="078801B7"/>
    <w:rsid w:val="078F59E9"/>
    <w:rsid w:val="07932A4C"/>
    <w:rsid w:val="082223BA"/>
    <w:rsid w:val="08A2799E"/>
    <w:rsid w:val="08D00067"/>
    <w:rsid w:val="08DB1CFF"/>
    <w:rsid w:val="09B41187"/>
    <w:rsid w:val="09DC2A3C"/>
    <w:rsid w:val="0A9E30AD"/>
    <w:rsid w:val="0AA74DF8"/>
    <w:rsid w:val="0B0B16BC"/>
    <w:rsid w:val="0B920DAA"/>
    <w:rsid w:val="0BEB3B44"/>
    <w:rsid w:val="0C0644C0"/>
    <w:rsid w:val="0CBB2DDD"/>
    <w:rsid w:val="0EF70EF0"/>
    <w:rsid w:val="0F3A32EA"/>
    <w:rsid w:val="0F990811"/>
    <w:rsid w:val="0FB104C7"/>
    <w:rsid w:val="0FE100F5"/>
    <w:rsid w:val="0FEB39D9"/>
    <w:rsid w:val="100E1475"/>
    <w:rsid w:val="10D62AA4"/>
    <w:rsid w:val="11301FEB"/>
    <w:rsid w:val="114B3FEC"/>
    <w:rsid w:val="1163797D"/>
    <w:rsid w:val="11855AB8"/>
    <w:rsid w:val="12307DC9"/>
    <w:rsid w:val="126D4B79"/>
    <w:rsid w:val="12767ED2"/>
    <w:rsid w:val="13552B79"/>
    <w:rsid w:val="13712447"/>
    <w:rsid w:val="13734411"/>
    <w:rsid w:val="13793DF7"/>
    <w:rsid w:val="13AE71F7"/>
    <w:rsid w:val="13E64BE3"/>
    <w:rsid w:val="141C4A83"/>
    <w:rsid w:val="14354A58"/>
    <w:rsid w:val="14632D00"/>
    <w:rsid w:val="14677422"/>
    <w:rsid w:val="14E82BDD"/>
    <w:rsid w:val="150E04D7"/>
    <w:rsid w:val="152E6B10"/>
    <w:rsid w:val="158F1A82"/>
    <w:rsid w:val="15BF1042"/>
    <w:rsid w:val="15DD3DC4"/>
    <w:rsid w:val="160B1509"/>
    <w:rsid w:val="1656732A"/>
    <w:rsid w:val="16EA49EA"/>
    <w:rsid w:val="177112EB"/>
    <w:rsid w:val="181939B9"/>
    <w:rsid w:val="185A5BA0"/>
    <w:rsid w:val="18AB60A4"/>
    <w:rsid w:val="18D74DC1"/>
    <w:rsid w:val="18D94D16"/>
    <w:rsid w:val="193417EC"/>
    <w:rsid w:val="19D379B8"/>
    <w:rsid w:val="1A5E6875"/>
    <w:rsid w:val="1A69031C"/>
    <w:rsid w:val="1AED58EF"/>
    <w:rsid w:val="1B690A88"/>
    <w:rsid w:val="1BD17301"/>
    <w:rsid w:val="1C1871A3"/>
    <w:rsid w:val="1C1E6EE4"/>
    <w:rsid w:val="1C4032FE"/>
    <w:rsid w:val="1C433A83"/>
    <w:rsid w:val="1C6D192C"/>
    <w:rsid w:val="1D497F91"/>
    <w:rsid w:val="1DC00253"/>
    <w:rsid w:val="1E11067A"/>
    <w:rsid w:val="1E64297E"/>
    <w:rsid w:val="1E6C2C26"/>
    <w:rsid w:val="1E8E20FF"/>
    <w:rsid w:val="1F397F3B"/>
    <w:rsid w:val="1F3A0BB5"/>
    <w:rsid w:val="1F3E68FB"/>
    <w:rsid w:val="1FA92FCB"/>
    <w:rsid w:val="20110D31"/>
    <w:rsid w:val="20193BC8"/>
    <w:rsid w:val="20C840DF"/>
    <w:rsid w:val="21042B4C"/>
    <w:rsid w:val="21557597"/>
    <w:rsid w:val="2173382E"/>
    <w:rsid w:val="21A734D8"/>
    <w:rsid w:val="21C30312"/>
    <w:rsid w:val="220D398C"/>
    <w:rsid w:val="22A6660E"/>
    <w:rsid w:val="22B67E76"/>
    <w:rsid w:val="2301566F"/>
    <w:rsid w:val="23F75A1D"/>
    <w:rsid w:val="24165293"/>
    <w:rsid w:val="2482721D"/>
    <w:rsid w:val="249B7324"/>
    <w:rsid w:val="24A10BF5"/>
    <w:rsid w:val="24B577CA"/>
    <w:rsid w:val="24D70B68"/>
    <w:rsid w:val="25436381"/>
    <w:rsid w:val="25A24F15"/>
    <w:rsid w:val="26A776E4"/>
    <w:rsid w:val="26AB07CC"/>
    <w:rsid w:val="26B12151"/>
    <w:rsid w:val="26D46B1D"/>
    <w:rsid w:val="270D0F81"/>
    <w:rsid w:val="273B6B9C"/>
    <w:rsid w:val="274A6DDF"/>
    <w:rsid w:val="27AB1F74"/>
    <w:rsid w:val="286023AD"/>
    <w:rsid w:val="287B63A6"/>
    <w:rsid w:val="28F154C1"/>
    <w:rsid w:val="293913A2"/>
    <w:rsid w:val="29613C02"/>
    <w:rsid w:val="2A397C18"/>
    <w:rsid w:val="2A5015D5"/>
    <w:rsid w:val="2ADA0B26"/>
    <w:rsid w:val="2AF63392"/>
    <w:rsid w:val="2BA67492"/>
    <w:rsid w:val="2BD709A7"/>
    <w:rsid w:val="2BDA4BD6"/>
    <w:rsid w:val="2BFA7026"/>
    <w:rsid w:val="2C0C6D59"/>
    <w:rsid w:val="2C465A4D"/>
    <w:rsid w:val="2C66791C"/>
    <w:rsid w:val="2D221D01"/>
    <w:rsid w:val="2D676A80"/>
    <w:rsid w:val="2D7A3266"/>
    <w:rsid w:val="2DFA155F"/>
    <w:rsid w:val="2E0423DE"/>
    <w:rsid w:val="2EFE507F"/>
    <w:rsid w:val="2F3E4CD6"/>
    <w:rsid w:val="2F461FFA"/>
    <w:rsid w:val="2F5F2B72"/>
    <w:rsid w:val="3045283A"/>
    <w:rsid w:val="306F486B"/>
    <w:rsid w:val="312513B2"/>
    <w:rsid w:val="312B7C81"/>
    <w:rsid w:val="31B042BF"/>
    <w:rsid w:val="31F12401"/>
    <w:rsid w:val="31FF5F72"/>
    <w:rsid w:val="32035D60"/>
    <w:rsid w:val="326E6953"/>
    <w:rsid w:val="3281224F"/>
    <w:rsid w:val="3301513E"/>
    <w:rsid w:val="334B0167"/>
    <w:rsid w:val="33523A32"/>
    <w:rsid w:val="339B57A8"/>
    <w:rsid w:val="33CA19D4"/>
    <w:rsid w:val="34346E4D"/>
    <w:rsid w:val="346F257B"/>
    <w:rsid w:val="34AF205A"/>
    <w:rsid w:val="34D16D92"/>
    <w:rsid w:val="34FD7B87"/>
    <w:rsid w:val="35D5640E"/>
    <w:rsid w:val="36D23A94"/>
    <w:rsid w:val="372C02AF"/>
    <w:rsid w:val="376940D0"/>
    <w:rsid w:val="37D56B99"/>
    <w:rsid w:val="38204506"/>
    <w:rsid w:val="385D4E22"/>
    <w:rsid w:val="38B60C47"/>
    <w:rsid w:val="38E55562"/>
    <w:rsid w:val="39321D68"/>
    <w:rsid w:val="39965EB4"/>
    <w:rsid w:val="39E10684"/>
    <w:rsid w:val="3AD74CD9"/>
    <w:rsid w:val="3B5641D5"/>
    <w:rsid w:val="3BAE6CD9"/>
    <w:rsid w:val="3BC211E2"/>
    <w:rsid w:val="3BF7072B"/>
    <w:rsid w:val="3BFA25B8"/>
    <w:rsid w:val="3C033CD5"/>
    <w:rsid w:val="3C0D6901"/>
    <w:rsid w:val="3C3000ED"/>
    <w:rsid w:val="3C3025F0"/>
    <w:rsid w:val="3CE85EE2"/>
    <w:rsid w:val="3D232399"/>
    <w:rsid w:val="3D2E2D19"/>
    <w:rsid w:val="3D31181A"/>
    <w:rsid w:val="3DC87CB2"/>
    <w:rsid w:val="3E067AAC"/>
    <w:rsid w:val="3E171CB9"/>
    <w:rsid w:val="3F1749BD"/>
    <w:rsid w:val="3F2A1578"/>
    <w:rsid w:val="3F4F365B"/>
    <w:rsid w:val="3F5860E5"/>
    <w:rsid w:val="3F890995"/>
    <w:rsid w:val="3F9A5B70"/>
    <w:rsid w:val="40580367"/>
    <w:rsid w:val="40AB493B"/>
    <w:rsid w:val="40B27A77"/>
    <w:rsid w:val="40FA5186"/>
    <w:rsid w:val="41093759"/>
    <w:rsid w:val="41380196"/>
    <w:rsid w:val="41415EFF"/>
    <w:rsid w:val="416D1A71"/>
    <w:rsid w:val="41D026B4"/>
    <w:rsid w:val="41D03370"/>
    <w:rsid w:val="41F30347"/>
    <w:rsid w:val="41F80CEB"/>
    <w:rsid w:val="424B7923"/>
    <w:rsid w:val="43275A42"/>
    <w:rsid w:val="43BB6C43"/>
    <w:rsid w:val="441F3676"/>
    <w:rsid w:val="44D426B2"/>
    <w:rsid w:val="44DB34EA"/>
    <w:rsid w:val="452567EA"/>
    <w:rsid w:val="45774DEB"/>
    <w:rsid w:val="45927E77"/>
    <w:rsid w:val="45EA7AB4"/>
    <w:rsid w:val="46146C93"/>
    <w:rsid w:val="46316807"/>
    <w:rsid w:val="463827CD"/>
    <w:rsid w:val="465F41FD"/>
    <w:rsid w:val="467D4684"/>
    <w:rsid w:val="46886BA6"/>
    <w:rsid w:val="468E6891"/>
    <w:rsid w:val="46D1677D"/>
    <w:rsid w:val="470B1C8F"/>
    <w:rsid w:val="48524AAD"/>
    <w:rsid w:val="489F4D85"/>
    <w:rsid w:val="490552AA"/>
    <w:rsid w:val="4910358D"/>
    <w:rsid w:val="49301E81"/>
    <w:rsid w:val="49DC3DB7"/>
    <w:rsid w:val="49EF6551"/>
    <w:rsid w:val="4ACB00B3"/>
    <w:rsid w:val="4B20306E"/>
    <w:rsid w:val="4B7A4CDC"/>
    <w:rsid w:val="4BDC009E"/>
    <w:rsid w:val="4C2F44B9"/>
    <w:rsid w:val="4C424A3B"/>
    <w:rsid w:val="4CA74208"/>
    <w:rsid w:val="4CCE3E8B"/>
    <w:rsid w:val="4CCF28FE"/>
    <w:rsid w:val="4D471547"/>
    <w:rsid w:val="4D6F609D"/>
    <w:rsid w:val="4E164FFE"/>
    <w:rsid w:val="4E52248E"/>
    <w:rsid w:val="4E7908AF"/>
    <w:rsid w:val="4E905EBD"/>
    <w:rsid w:val="4EF851EF"/>
    <w:rsid w:val="4F0D3D2B"/>
    <w:rsid w:val="4F957E2E"/>
    <w:rsid w:val="4FCF382E"/>
    <w:rsid w:val="4FFA680C"/>
    <w:rsid w:val="500A342C"/>
    <w:rsid w:val="506444A8"/>
    <w:rsid w:val="50981A4B"/>
    <w:rsid w:val="52075749"/>
    <w:rsid w:val="522462FB"/>
    <w:rsid w:val="52390069"/>
    <w:rsid w:val="528D1696"/>
    <w:rsid w:val="52CB2821"/>
    <w:rsid w:val="53154EDF"/>
    <w:rsid w:val="53542C10"/>
    <w:rsid w:val="53E82837"/>
    <w:rsid w:val="53ED2917"/>
    <w:rsid w:val="542F765C"/>
    <w:rsid w:val="54914939"/>
    <w:rsid w:val="54A15CDB"/>
    <w:rsid w:val="54EB5EC1"/>
    <w:rsid w:val="54F85711"/>
    <w:rsid w:val="551F1754"/>
    <w:rsid w:val="554D13F6"/>
    <w:rsid w:val="55841F0D"/>
    <w:rsid w:val="55884EA8"/>
    <w:rsid w:val="55B826D4"/>
    <w:rsid w:val="572F3778"/>
    <w:rsid w:val="573D632F"/>
    <w:rsid w:val="57580486"/>
    <w:rsid w:val="57993497"/>
    <w:rsid w:val="57B24A3E"/>
    <w:rsid w:val="57FB2A05"/>
    <w:rsid w:val="589E290C"/>
    <w:rsid w:val="58A9755A"/>
    <w:rsid w:val="592D3CE7"/>
    <w:rsid w:val="595C0BD6"/>
    <w:rsid w:val="59DA41E0"/>
    <w:rsid w:val="59E00EF4"/>
    <w:rsid w:val="59F64A21"/>
    <w:rsid w:val="5A2424B3"/>
    <w:rsid w:val="5A3906A0"/>
    <w:rsid w:val="5A9919E3"/>
    <w:rsid w:val="5AA47FD9"/>
    <w:rsid w:val="5AFA7F12"/>
    <w:rsid w:val="5B0450E9"/>
    <w:rsid w:val="5B2A7B0A"/>
    <w:rsid w:val="5B417B6B"/>
    <w:rsid w:val="5B54373E"/>
    <w:rsid w:val="5BC745F2"/>
    <w:rsid w:val="5C602626"/>
    <w:rsid w:val="5CA161B2"/>
    <w:rsid w:val="5CC63880"/>
    <w:rsid w:val="5CE46DB3"/>
    <w:rsid w:val="5D2616FE"/>
    <w:rsid w:val="5D592165"/>
    <w:rsid w:val="5D752101"/>
    <w:rsid w:val="5DA54794"/>
    <w:rsid w:val="5DF474C9"/>
    <w:rsid w:val="5E5B4E53"/>
    <w:rsid w:val="5E684FEA"/>
    <w:rsid w:val="5EE21916"/>
    <w:rsid w:val="5F2C40B4"/>
    <w:rsid w:val="5F4417E0"/>
    <w:rsid w:val="5F447FDD"/>
    <w:rsid w:val="5F6D12E1"/>
    <w:rsid w:val="5F88669E"/>
    <w:rsid w:val="5FC829BC"/>
    <w:rsid w:val="5FEA0B84"/>
    <w:rsid w:val="606362DF"/>
    <w:rsid w:val="607A60B8"/>
    <w:rsid w:val="60982B22"/>
    <w:rsid w:val="622F04A1"/>
    <w:rsid w:val="625413AD"/>
    <w:rsid w:val="62707B3A"/>
    <w:rsid w:val="63480465"/>
    <w:rsid w:val="64183E80"/>
    <w:rsid w:val="64386D80"/>
    <w:rsid w:val="645C0879"/>
    <w:rsid w:val="64741C1C"/>
    <w:rsid w:val="648C064A"/>
    <w:rsid w:val="656B3097"/>
    <w:rsid w:val="657B5DDA"/>
    <w:rsid w:val="65AE4402"/>
    <w:rsid w:val="65B6146A"/>
    <w:rsid w:val="65DD0843"/>
    <w:rsid w:val="66AB4942"/>
    <w:rsid w:val="66D87988"/>
    <w:rsid w:val="670217A3"/>
    <w:rsid w:val="67111974"/>
    <w:rsid w:val="67144738"/>
    <w:rsid w:val="67423054"/>
    <w:rsid w:val="682A4F38"/>
    <w:rsid w:val="687951D6"/>
    <w:rsid w:val="68AB69AF"/>
    <w:rsid w:val="68D653C8"/>
    <w:rsid w:val="68D85250"/>
    <w:rsid w:val="69064D21"/>
    <w:rsid w:val="697214FA"/>
    <w:rsid w:val="698D4180"/>
    <w:rsid w:val="6A060B5A"/>
    <w:rsid w:val="6A136EEA"/>
    <w:rsid w:val="6A334ED5"/>
    <w:rsid w:val="6B291C0A"/>
    <w:rsid w:val="6B3C7DBA"/>
    <w:rsid w:val="6B8E792C"/>
    <w:rsid w:val="6BA92877"/>
    <w:rsid w:val="6BCC7390"/>
    <w:rsid w:val="6D1F0B58"/>
    <w:rsid w:val="6D3654A5"/>
    <w:rsid w:val="6D4E4B5F"/>
    <w:rsid w:val="6D5B09CB"/>
    <w:rsid w:val="6E744288"/>
    <w:rsid w:val="6EB24C26"/>
    <w:rsid w:val="6EB51D7A"/>
    <w:rsid w:val="702C48A1"/>
    <w:rsid w:val="70567B70"/>
    <w:rsid w:val="70645DE9"/>
    <w:rsid w:val="70904E30"/>
    <w:rsid w:val="714719CF"/>
    <w:rsid w:val="717633E2"/>
    <w:rsid w:val="731F4EFF"/>
    <w:rsid w:val="73BE077C"/>
    <w:rsid w:val="73C848E1"/>
    <w:rsid w:val="74170E85"/>
    <w:rsid w:val="742C4E6F"/>
    <w:rsid w:val="75232F32"/>
    <w:rsid w:val="752C54BC"/>
    <w:rsid w:val="752E199A"/>
    <w:rsid w:val="7530273D"/>
    <w:rsid w:val="75DC35E9"/>
    <w:rsid w:val="765C4908"/>
    <w:rsid w:val="768216BE"/>
    <w:rsid w:val="76DD06A3"/>
    <w:rsid w:val="77FA11D3"/>
    <w:rsid w:val="77FB15BB"/>
    <w:rsid w:val="789E6834"/>
    <w:rsid w:val="78B11DE7"/>
    <w:rsid w:val="78F43A55"/>
    <w:rsid w:val="79256331"/>
    <w:rsid w:val="796001AE"/>
    <w:rsid w:val="79D33FDF"/>
    <w:rsid w:val="79DD67E6"/>
    <w:rsid w:val="7A283555"/>
    <w:rsid w:val="7A3A5E0C"/>
    <w:rsid w:val="7AB94F83"/>
    <w:rsid w:val="7B5B0730"/>
    <w:rsid w:val="7BCF79D9"/>
    <w:rsid w:val="7BE355C9"/>
    <w:rsid w:val="7BE7585F"/>
    <w:rsid w:val="7C133841"/>
    <w:rsid w:val="7C18217D"/>
    <w:rsid w:val="7C1A4C7A"/>
    <w:rsid w:val="7C444892"/>
    <w:rsid w:val="7CAE7448"/>
    <w:rsid w:val="7D7D498E"/>
    <w:rsid w:val="7DE06CCB"/>
    <w:rsid w:val="7DF36BF7"/>
    <w:rsid w:val="7E2E1EAC"/>
    <w:rsid w:val="7E543E84"/>
    <w:rsid w:val="7E845165"/>
    <w:rsid w:val="7EB346D4"/>
    <w:rsid w:val="7EC90255"/>
    <w:rsid w:val="7EEA1BAF"/>
    <w:rsid w:val="7F3948E4"/>
    <w:rsid w:val="7F3C6183"/>
    <w:rsid w:val="7F45772D"/>
    <w:rsid w:val="7F8518D8"/>
    <w:rsid w:val="7FB64187"/>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240" w:lineRule="auto"/>
      <w:jc w:val="center"/>
      <w:outlineLvl w:val="0"/>
    </w:pPr>
    <w:rPr>
      <w:rFonts w:ascii="Times New Roman" w:hAnsi="Times New Roman" w:eastAsia="宋体"/>
      <w:b/>
      <w:bCs/>
      <w:kern w:val="44"/>
      <w:sz w:val="32"/>
      <w:szCs w:val="44"/>
    </w:rPr>
  </w:style>
  <w:style w:type="paragraph" w:styleId="3">
    <w:name w:val="heading 2"/>
    <w:basedOn w:val="1"/>
    <w:next w:val="1"/>
    <w:autoRedefine/>
    <w:qFormat/>
    <w:uiPriority w:val="0"/>
    <w:pPr>
      <w:spacing w:line="0" w:lineRule="atLeast"/>
      <w:jc w:val="center"/>
      <w:outlineLvl w:val="1"/>
    </w:pPr>
    <w:rPr>
      <w:kern w:val="0"/>
      <w:sz w:val="28"/>
    </w:rPr>
  </w:style>
  <w:style w:type="paragraph" w:styleId="4">
    <w:name w:val="heading 3"/>
    <w:basedOn w:val="1"/>
    <w:next w:val="1"/>
    <w:link w:val="46"/>
    <w:autoRedefine/>
    <w:qFormat/>
    <w:uiPriority w:val="0"/>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caption"/>
    <w:basedOn w:val="1"/>
    <w:next w:val="1"/>
    <w:autoRedefine/>
    <w:qFormat/>
    <w:uiPriority w:val="0"/>
    <w:rPr>
      <w:rFonts w:ascii="Cambria" w:hAnsi="Cambria" w:eastAsia="黑体"/>
      <w:sz w:val="20"/>
    </w:rPr>
  </w:style>
  <w:style w:type="paragraph" w:styleId="6">
    <w:name w:val="Document Map"/>
    <w:basedOn w:val="1"/>
    <w:link w:val="55"/>
    <w:autoRedefine/>
    <w:qFormat/>
    <w:uiPriority w:val="0"/>
    <w:rPr>
      <w:rFonts w:ascii="宋体"/>
      <w:sz w:val="18"/>
      <w:szCs w:val="18"/>
    </w:rPr>
  </w:style>
  <w:style w:type="paragraph" w:styleId="7">
    <w:name w:val="annotation text"/>
    <w:basedOn w:val="1"/>
    <w:link w:val="54"/>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next w:val="10"/>
    <w:link w:val="52"/>
    <w:autoRedefine/>
    <w:qFormat/>
    <w:uiPriority w:val="99"/>
    <w:pPr>
      <w:spacing w:after="120"/>
    </w:pPr>
  </w:style>
  <w:style w:type="paragraph" w:customStyle="1" w:styleId="10">
    <w:name w:val="Default"/>
    <w:next w:val="1"/>
    <w:autoRedefine/>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11">
    <w:name w:val="Body Text Indent"/>
    <w:basedOn w:val="1"/>
    <w:next w:val="12"/>
    <w:autoRedefine/>
    <w:qFormat/>
    <w:uiPriority w:val="0"/>
    <w:pPr>
      <w:ind w:firstLine="632" w:firstLineChars="200"/>
    </w:pPr>
    <w:rPr>
      <w:rFonts w:ascii="仿宋_GB2312" w:hAnsi="华文楷体" w:eastAsia="仿宋_GB2312"/>
      <w:sz w:val="32"/>
    </w:rPr>
  </w:style>
  <w:style w:type="paragraph" w:styleId="12">
    <w:name w:val="envelope return"/>
    <w:basedOn w:val="1"/>
    <w:autoRedefine/>
    <w:qFormat/>
    <w:uiPriority w:val="99"/>
    <w:pPr>
      <w:snapToGrid w:val="0"/>
    </w:pPr>
    <w:rPr>
      <w:rFonts w:ascii="Arial" w:hAnsi="Arial"/>
    </w:rPr>
  </w:style>
  <w:style w:type="paragraph" w:styleId="13">
    <w:name w:val="List 2"/>
    <w:basedOn w:val="1"/>
    <w:autoRedefine/>
    <w:qFormat/>
    <w:uiPriority w:val="0"/>
    <w:pPr>
      <w:ind w:left="400" w:leftChars="200" w:hanging="200" w:hangingChars="200"/>
    </w:pPr>
  </w:style>
  <w:style w:type="paragraph" w:styleId="14">
    <w:name w:val="Plain Text"/>
    <w:basedOn w:val="1"/>
    <w:link w:val="60"/>
    <w:autoRedefine/>
    <w:qFormat/>
    <w:uiPriority w:val="99"/>
    <w:rPr>
      <w:rFonts w:ascii="宋体" w:hAnsi="Courier New"/>
      <w:szCs w:val="20"/>
    </w:rPr>
  </w:style>
  <w:style w:type="paragraph" w:styleId="15">
    <w:name w:val="Date"/>
    <w:basedOn w:val="1"/>
    <w:next w:val="1"/>
    <w:link w:val="56"/>
    <w:autoRedefine/>
    <w:qFormat/>
    <w:uiPriority w:val="0"/>
    <w:pPr>
      <w:ind w:left="100" w:leftChars="2500"/>
    </w:p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autoRedefine/>
    <w:qFormat/>
    <w:uiPriority w:val="0"/>
    <w:rPr>
      <w:sz w:val="18"/>
      <w:szCs w:val="18"/>
    </w:rPr>
  </w:style>
  <w:style w:type="paragraph" w:styleId="18">
    <w:name w:val="footer"/>
    <w:basedOn w:val="1"/>
    <w:link w:val="77"/>
    <w:autoRedefine/>
    <w:qFormat/>
    <w:uiPriority w:val="99"/>
    <w:pPr>
      <w:tabs>
        <w:tab w:val="center" w:pos="4153"/>
        <w:tab w:val="right" w:pos="8306"/>
      </w:tabs>
      <w:snapToGrid w:val="0"/>
      <w:jc w:val="left"/>
    </w:pPr>
    <w:rPr>
      <w:sz w:val="18"/>
      <w:szCs w:val="18"/>
    </w:rPr>
  </w:style>
  <w:style w:type="paragraph" w:styleId="19">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caps/>
    </w:rPr>
  </w:style>
  <w:style w:type="paragraph" w:styleId="21">
    <w:name w:val="footnote text"/>
    <w:basedOn w:val="1"/>
    <w:autoRedefine/>
    <w:qFormat/>
    <w:uiPriority w:val="99"/>
    <w:pPr>
      <w:snapToGrid w:val="0"/>
      <w:jc w:val="left"/>
    </w:pPr>
    <w:rPr>
      <w:sz w:val="18"/>
      <w:szCs w:val="18"/>
    </w:rPr>
  </w:style>
  <w:style w:type="paragraph" w:styleId="22">
    <w:name w:val="Body Text 2"/>
    <w:basedOn w:val="1"/>
    <w:link w:val="74"/>
    <w:autoRedefine/>
    <w:qFormat/>
    <w:uiPriority w:val="0"/>
    <w:pPr>
      <w:spacing w:after="120" w:line="480" w:lineRule="auto"/>
    </w:pPr>
  </w:style>
  <w:style w:type="paragraph" w:styleId="23">
    <w:name w:val="Message Header"/>
    <w:basedOn w:val="1"/>
    <w:autoRedefine/>
    <w:qFormat/>
    <w:uiPriority w:val="0"/>
    <w:pPr>
      <w:widowControl/>
      <w:shd w:val="pct20" w:color="000000" w:fill="auto"/>
      <w:ind w:left="1080" w:hanging="1080"/>
    </w:pPr>
    <w:rPr>
      <w:rFonts w:ascii="Cambria" w:hAnsi="Cambria" w:eastAsia="Cambria"/>
      <w:sz w:val="24"/>
    </w:rPr>
  </w:style>
  <w:style w:type="paragraph" w:styleId="24">
    <w:name w:val="HTML Preformatted"/>
    <w:basedOn w:val="1"/>
    <w:autoRedefine/>
    <w:unhideWhenUsed/>
    <w:qFormat/>
    <w:uiPriority w:val="99"/>
    <w:rPr>
      <w:rFonts w:ascii="Courier New" w:hAnsi="Courier New" w:cs="Courier New"/>
      <w:sz w:val="20"/>
      <w:szCs w:val="20"/>
    </w:rPr>
  </w:style>
  <w:style w:type="paragraph" w:styleId="25">
    <w:name w:val="Normal (Web)"/>
    <w:basedOn w:val="1"/>
    <w:autoRedefine/>
    <w:unhideWhenUsed/>
    <w:qFormat/>
    <w:uiPriority w:val="99"/>
    <w:pPr>
      <w:widowControl/>
      <w:spacing w:before="100" w:beforeAutospacing="1" w:after="100" w:afterAutospacing="1"/>
      <w:jc w:val="left"/>
    </w:pPr>
    <w:rPr>
      <w:rFonts w:ascii="宋体" w:hAnsi="宋体"/>
      <w:kern w:val="0"/>
      <w:sz w:val="24"/>
      <w:szCs w:val="20"/>
    </w:rPr>
  </w:style>
  <w:style w:type="paragraph" w:styleId="26">
    <w:name w:val="Body Text First Indent"/>
    <w:basedOn w:val="9"/>
    <w:next w:val="1"/>
    <w:link w:val="51"/>
    <w:autoRedefine/>
    <w:qFormat/>
    <w:uiPriority w:val="0"/>
    <w:pPr>
      <w:ind w:firstLine="420" w:firstLineChars="100"/>
    </w:pPr>
  </w:style>
  <w:style w:type="paragraph" w:styleId="27">
    <w:name w:val="Body Text First Indent 2"/>
    <w:basedOn w:val="11"/>
    <w:next w:val="1"/>
    <w:autoRedefine/>
    <w:qFormat/>
    <w:uiPriority w:val="99"/>
    <w:pPr>
      <w:tabs>
        <w:tab w:val="left" w:pos="0"/>
        <w:tab w:val="left" w:pos="993"/>
        <w:tab w:val="left" w:pos="1134"/>
      </w:tabs>
      <w:ind w:firstLine="420"/>
    </w:pPr>
  </w:style>
  <w:style w:type="table" w:styleId="29">
    <w:name w:val="Table Grid"/>
    <w:basedOn w:val="2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000000"/>
      <w:u w:val="none"/>
    </w:rPr>
  </w:style>
  <w:style w:type="character" w:styleId="34">
    <w:name w:val="HTML Definition"/>
    <w:basedOn w:val="30"/>
    <w:qFormat/>
    <w:uiPriority w:val="0"/>
  </w:style>
  <w:style w:type="character" w:styleId="35">
    <w:name w:val="HTML Typewriter"/>
    <w:basedOn w:val="30"/>
    <w:qFormat/>
    <w:uiPriority w:val="0"/>
    <w:rPr>
      <w:rFonts w:hint="default" w:ascii="monospace" w:hAnsi="monospace" w:eastAsia="monospace" w:cs="monospace"/>
      <w:sz w:val="20"/>
    </w:rPr>
  </w:style>
  <w:style w:type="character" w:styleId="36">
    <w:name w:val="HTML Acronym"/>
    <w:basedOn w:val="30"/>
    <w:qFormat/>
    <w:uiPriority w:val="0"/>
  </w:style>
  <w:style w:type="character" w:styleId="37">
    <w:name w:val="HTML Variable"/>
    <w:basedOn w:val="30"/>
    <w:qFormat/>
    <w:uiPriority w:val="0"/>
  </w:style>
  <w:style w:type="character" w:styleId="38">
    <w:name w:val="Hyperlink"/>
    <w:autoRedefine/>
    <w:qFormat/>
    <w:uiPriority w:val="0"/>
    <w:rPr>
      <w:color w:val="333333"/>
      <w:u w:val="none"/>
    </w:rPr>
  </w:style>
  <w:style w:type="character" w:styleId="39">
    <w:name w:val="HTML Code"/>
    <w:basedOn w:val="30"/>
    <w:qFormat/>
    <w:uiPriority w:val="0"/>
    <w:rPr>
      <w:rFonts w:hint="default" w:ascii="monospace" w:hAnsi="monospace" w:eastAsia="monospace" w:cs="monospace"/>
      <w:sz w:val="20"/>
    </w:rPr>
  </w:style>
  <w:style w:type="character" w:styleId="40">
    <w:name w:val="annotation reference"/>
    <w:autoRedefine/>
    <w:qFormat/>
    <w:uiPriority w:val="99"/>
    <w:rPr>
      <w:sz w:val="21"/>
    </w:rPr>
  </w:style>
  <w:style w:type="character" w:styleId="41">
    <w:name w:val="HTML Cite"/>
    <w:basedOn w:val="30"/>
    <w:qFormat/>
    <w:uiPriority w:val="0"/>
  </w:style>
  <w:style w:type="character" w:styleId="42">
    <w:name w:val="HTML Keyboard"/>
    <w:basedOn w:val="30"/>
    <w:qFormat/>
    <w:uiPriority w:val="0"/>
    <w:rPr>
      <w:rFonts w:ascii="monospace" w:hAnsi="monospace" w:eastAsia="monospace" w:cs="monospace"/>
      <w:sz w:val="20"/>
    </w:rPr>
  </w:style>
  <w:style w:type="character" w:styleId="43">
    <w:name w:val="HTML Sample"/>
    <w:basedOn w:val="30"/>
    <w:qFormat/>
    <w:uiPriority w:val="0"/>
    <w:rPr>
      <w:rFonts w:hint="default" w:ascii="monospace" w:hAnsi="monospace" w:eastAsia="monospace" w:cs="monospace"/>
    </w:rPr>
  </w:style>
  <w:style w:type="paragraph" w:customStyle="1" w:styleId="44">
    <w:name w:val="BodyText1I"/>
    <w:basedOn w:val="45"/>
    <w:autoRedefine/>
    <w:qFormat/>
    <w:uiPriority w:val="99"/>
    <w:pPr>
      <w:ind w:firstLine="420" w:firstLineChars="100"/>
    </w:pPr>
  </w:style>
  <w:style w:type="paragraph" w:customStyle="1" w:styleId="45">
    <w:name w:val="BodyText"/>
    <w:basedOn w:val="1"/>
    <w:autoRedefine/>
    <w:qFormat/>
    <w:uiPriority w:val="99"/>
    <w:pPr>
      <w:spacing w:after="120"/>
    </w:pPr>
  </w:style>
  <w:style w:type="character" w:customStyle="1" w:styleId="46">
    <w:name w:val="标题 3 Char"/>
    <w:link w:val="4"/>
    <w:autoRedefine/>
    <w:semiHidden/>
    <w:qFormat/>
    <w:uiPriority w:val="0"/>
    <w:rPr>
      <w:b/>
      <w:bCs/>
      <w:kern w:val="2"/>
      <w:sz w:val="32"/>
      <w:szCs w:val="32"/>
    </w:rPr>
  </w:style>
  <w:style w:type="paragraph" w:customStyle="1" w:styleId="47">
    <w:name w:val="无间隔1"/>
    <w:next w:val="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231"/>
    <w:autoRedefine/>
    <w:qFormat/>
    <w:uiPriority w:val="0"/>
    <w:rPr>
      <w:rFonts w:hint="eastAsia" w:ascii="宋体" w:hAnsi="宋体" w:eastAsia="宋体" w:cs="宋体"/>
      <w:color w:val="000000"/>
      <w:sz w:val="22"/>
      <w:szCs w:val="22"/>
      <w:u w:val="none"/>
    </w:rPr>
  </w:style>
  <w:style w:type="character" w:customStyle="1" w:styleId="49">
    <w:name w:val="font11"/>
    <w:autoRedefine/>
    <w:qFormat/>
    <w:uiPriority w:val="0"/>
    <w:rPr>
      <w:rFonts w:hint="default" w:ascii="Times New Roman" w:hAnsi="Times New Roman" w:cs="Times New Roman"/>
      <w:color w:val="000000"/>
      <w:sz w:val="18"/>
      <w:szCs w:val="18"/>
      <w:u w:val="none"/>
    </w:rPr>
  </w:style>
  <w:style w:type="character" w:customStyle="1" w:styleId="50">
    <w:name w:val="font191"/>
    <w:autoRedefine/>
    <w:qFormat/>
    <w:uiPriority w:val="0"/>
    <w:rPr>
      <w:rFonts w:hint="default" w:ascii="Calibri" w:hAnsi="Calibri" w:cs="Calibri"/>
      <w:color w:val="000000"/>
      <w:sz w:val="22"/>
      <w:szCs w:val="22"/>
      <w:u w:val="none"/>
    </w:rPr>
  </w:style>
  <w:style w:type="character" w:customStyle="1" w:styleId="51">
    <w:name w:val="正文首行缩进 Char"/>
    <w:link w:val="26"/>
    <w:autoRedefine/>
    <w:qFormat/>
    <w:uiPriority w:val="0"/>
    <w:rPr>
      <w:kern w:val="2"/>
      <w:sz w:val="21"/>
      <w:szCs w:val="24"/>
    </w:rPr>
  </w:style>
  <w:style w:type="character" w:customStyle="1" w:styleId="52">
    <w:name w:val="正文文本 Char"/>
    <w:link w:val="9"/>
    <w:autoRedefine/>
    <w:qFormat/>
    <w:uiPriority w:val="99"/>
    <w:rPr>
      <w:kern w:val="2"/>
      <w:sz w:val="21"/>
      <w:szCs w:val="24"/>
    </w:rPr>
  </w:style>
  <w:style w:type="character" w:customStyle="1" w:styleId="53">
    <w:name w:val="font151"/>
    <w:autoRedefine/>
    <w:qFormat/>
    <w:uiPriority w:val="0"/>
    <w:rPr>
      <w:rFonts w:hint="default" w:ascii="Calibri" w:hAnsi="Calibri" w:cs="Calibri"/>
      <w:color w:val="000000"/>
      <w:sz w:val="22"/>
      <w:szCs w:val="22"/>
      <w:u w:val="none"/>
    </w:rPr>
  </w:style>
  <w:style w:type="character" w:customStyle="1" w:styleId="54">
    <w:name w:val="批注文字 Char"/>
    <w:link w:val="7"/>
    <w:autoRedefine/>
    <w:qFormat/>
    <w:uiPriority w:val="0"/>
    <w:rPr>
      <w:kern w:val="2"/>
      <w:sz w:val="21"/>
      <w:szCs w:val="24"/>
    </w:rPr>
  </w:style>
  <w:style w:type="character" w:customStyle="1" w:styleId="55">
    <w:name w:val="文档结构图 Char"/>
    <w:link w:val="6"/>
    <w:autoRedefine/>
    <w:qFormat/>
    <w:uiPriority w:val="0"/>
    <w:rPr>
      <w:rFonts w:ascii="宋体"/>
      <w:kern w:val="2"/>
      <w:sz w:val="18"/>
      <w:szCs w:val="18"/>
    </w:rPr>
  </w:style>
  <w:style w:type="character" w:customStyle="1" w:styleId="56">
    <w:name w:val="日期 Char"/>
    <w:link w:val="15"/>
    <w:autoRedefine/>
    <w:qFormat/>
    <w:uiPriority w:val="0"/>
    <w:rPr>
      <w:kern w:val="2"/>
      <w:sz w:val="21"/>
      <w:szCs w:val="24"/>
    </w:rPr>
  </w:style>
  <w:style w:type="character" w:customStyle="1" w:styleId="57">
    <w:name w:val="font221"/>
    <w:autoRedefine/>
    <w:qFormat/>
    <w:uiPriority w:val="0"/>
    <w:rPr>
      <w:rFonts w:hint="eastAsia" w:ascii="宋体" w:hAnsi="宋体" w:eastAsia="宋体" w:cs="宋体"/>
      <w:color w:val="000000"/>
      <w:sz w:val="20"/>
      <w:szCs w:val="20"/>
      <w:u w:val="none"/>
    </w:rPr>
  </w:style>
  <w:style w:type="character" w:customStyle="1" w:styleId="58">
    <w:name w:val="font61"/>
    <w:autoRedefine/>
    <w:qFormat/>
    <w:uiPriority w:val="0"/>
    <w:rPr>
      <w:rFonts w:hint="eastAsia" w:ascii="宋体" w:hAnsi="宋体" w:eastAsia="宋体" w:cs="宋体"/>
      <w:color w:val="FF0000"/>
      <w:sz w:val="22"/>
      <w:szCs w:val="22"/>
      <w:u w:val="none"/>
    </w:rPr>
  </w:style>
  <w:style w:type="character" w:customStyle="1" w:styleId="59">
    <w:name w:val="font31"/>
    <w:autoRedefine/>
    <w:qFormat/>
    <w:uiPriority w:val="0"/>
    <w:rPr>
      <w:rFonts w:hint="eastAsia" w:ascii="宋体" w:hAnsi="宋体" w:eastAsia="宋体" w:cs="宋体"/>
      <w:color w:val="000000"/>
      <w:sz w:val="18"/>
      <w:szCs w:val="18"/>
      <w:u w:val="none"/>
    </w:rPr>
  </w:style>
  <w:style w:type="character" w:customStyle="1" w:styleId="60">
    <w:name w:val="纯文本 Char"/>
    <w:link w:val="14"/>
    <w:autoRedefine/>
    <w:qFormat/>
    <w:uiPriority w:val="99"/>
    <w:rPr>
      <w:rFonts w:ascii="宋体" w:hAnsi="Courier New"/>
      <w:kern w:val="2"/>
      <w:sz w:val="21"/>
    </w:rPr>
  </w:style>
  <w:style w:type="character" w:customStyle="1" w:styleId="61">
    <w:name w:val="访问过的超链接1"/>
    <w:autoRedefine/>
    <w:qFormat/>
    <w:uiPriority w:val="0"/>
    <w:rPr>
      <w:color w:val="333333"/>
      <w:u w:val="none"/>
    </w:rPr>
  </w:style>
  <w:style w:type="character" w:customStyle="1" w:styleId="62">
    <w:name w:val="font01"/>
    <w:autoRedefine/>
    <w:qFormat/>
    <w:uiPriority w:val="0"/>
    <w:rPr>
      <w:rFonts w:hint="eastAsia" w:ascii="宋体" w:hAnsi="宋体" w:eastAsia="宋体" w:cs="宋体"/>
      <w:color w:val="000000"/>
      <w:sz w:val="22"/>
      <w:szCs w:val="22"/>
      <w:u w:val="none"/>
    </w:rPr>
  </w:style>
  <w:style w:type="character" w:customStyle="1" w:styleId="63">
    <w:name w:val="font21"/>
    <w:autoRedefine/>
    <w:qFormat/>
    <w:uiPriority w:val="0"/>
    <w:rPr>
      <w:rFonts w:hint="default" w:ascii="Times New Roman" w:hAnsi="Times New Roman" w:cs="Times New Roman"/>
      <w:color w:val="000000"/>
      <w:sz w:val="18"/>
      <w:szCs w:val="18"/>
      <w:u w:val="none"/>
    </w:rPr>
  </w:style>
  <w:style w:type="paragraph" w:customStyle="1" w:styleId="64">
    <w:name w:val="p0"/>
    <w:basedOn w:val="1"/>
    <w:autoRedefine/>
    <w:qFormat/>
    <w:uiPriority w:val="0"/>
    <w:pPr>
      <w:widowControl/>
    </w:pPr>
    <w:rPr>
      <w:rFonts w:ascii="Calibri" w:hAnsi="Calibri" w:cs="宋体"/>
      <w:kern w:val="0"/>
      <w:szCs w:val="21"/>
    </w:rPr>
  </w:style>
  <w:style w:type="paragraph" w:customStyle="1" w:styleId="65">
    <w:name w:val="List Paragraph1"/>
    <w:basedOn w:val="1"/>
    <w:autoRedefine/>
    <w:qFormat/>
    <w:uiPriority w:val="0"/>
    <w:pPr>
      <w:ind w:firstLine="420" w:firstLineChars="200"/>
    </w:pPr>
  </w:style>
  <w:style w:type="paragraph" w:customStyle="1" w:styleId="66">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67">
    <w:name w:val="Table Paragraph"/>
    <w:basedOn w:val="1"/>
    <w:autoRedefine/>
    <w:qFormat/>
    <w:uiPriority w:val="0"/>
    <w:pPr>
      <w:autoSpaceDE w:val="0"/>
      <w:autoSpaceDN w:val="0"/>
      <w:jc w:val="left"/>
    </w:pPr>
    <w:rPr>
      <w:rFonts w:ascii="宋体" w:hAnsi="宋体" w:cs="宋体"/>
      <w:kern w:val="0"/>
      <w:sz w:val="22"/>
      <w:szCs w:val="22"/>
      <w:lang w:val="zh-CN" w:bidi="zh-CN"/>
    </w:rPr>
  </w:style>
  <w:style w:type="paragraph" w:customStyle="1" w:styleId="6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Char Char Char Char Char Char Char1 Char"/>
    <w:basedOn w:val="1"/>
    <w:autoRedefine/>
    <w:qFormat/>
    <w:uiPriority w:val="0"/>
    <w:rPr>
      <w:rFonts w:ascii="Tahoma" w:hAnsi="Tahoma"/>
      <w:sz w:val="24"/>
      <w:szCs w:val="20"/>
    </w:rPr>
  </w:style>
  <w:style w:type="paragraph" w:styleId="70">
    <w:name w:val="List Paragraph"/>
    <w:basedOn w:val="1"/>
    <w:autoRedefine/>
    <w:qFormat/>
    <w:uiPriority w:val="34"/>
    <w:pPr>
      <w:ind w:firstLine="420" w:firstLineChars="200"/>
    </w:pPr>
  </w:style>
  <w:style w:type="paragraph" w:customStyle="1" w:styleId="71">
    <w:name w:val="Char Char Char1 Char"/>
    <w:basedOn w:val="1"/>
    <w:autoRedefine/>
    <w:qFormat/>
    <w:uiPriority w:val="0"/>
    <w:pPr>
      <w:spacing w:line="360" w:lineRule="auto"/>
      <w:ind w:firstLine="200" w:firstLineChars="200"/>
    </w:pPr>
    <w:rPr>
      <w:rFonts w:ascii="宋体" w:hAnsi="宋体" w:cs="宋体"/>
      <w:sz w:val="24"/>
    </w:rPr>
  </w:style>
  <w:style w:type="paragraph" w:customStyle="1" w:styleId="72">
    <w:name w:val="默认段落字体 Para Char Char Char Char Char Char Char Char Char Char"/>
    <w:basedOn w:val="1"/>
    <w:autoRedefine/>
    <w:qFormat/>
    <w:uiPriority w:val="0"/>
    <w:pPr>
      <w:tabs>
        <w:tab w:val="right" w:pos="-2120"/>
      </w:tabs>
      <w:snapToGrid w:val="0"/>
    </w:pPr>
  </w:style>
  <w:style w:type="character" w:customStyle="1" w:styleId="73">
    <w:name w:val="generalinfo-address-text"/>
    <w:basedOn w:val="30"/>
    <w:autoRedefine/>
    <w:qFormat/>
    <w:uiPriority w:val="0"/>
  </w:style>
  <w:style w:type="character" w:customStyle="1" w:styleId="74">
    <w:name w:val="正文文本 2 Char"/>
    <w:link w:val="22"/>
    <w:autoRedefine/>
    <w:qFormat/>
    <w:uiPriority w:val="0"/>
    <w:rPr>
      <w:kern w:val="2"/>
      <w:sz w:val="21"/>
      <w:szCs w:val="24"/>
    </w:rPr>
  </w:style>
  <w:style w:type="character" w:customStyle="1" w:styleId="75">
    <w:name w:val="NormalCharacter"/>
    <w:autoRedefine/>
    <w:qFormat/>
    <w:uiPriority w:val="0"/>
  </w:style>
  <w:style w:type="character" w:customStyle="1" w:styleId="76">
    <w:name w:val="页眉 Char"/>
    <w:link w:val="19"/>
    <w:autoRedefine/>
    <w:qFormat/>
    <w:uiPriority w:val="99"/>
    <w:rPr>
      <w:kern w:val="2"/>
      <w:sz w:val="18"/>
      <w:szCs w:val="18"/>
    </w:rPr>
  </w:style>
  <w:style w:type="character" w:customStyle="1" w:styleId="77">
    <w:name w:val="页脚 Char"/>
    <w:link w:val="18"/>
    <w:autoRedefine/>
    <w:qFormat/>
    <w:uiPriority w:val="99"/>
    <w:rPr>
      <w:kern w:val="2"/>
      <w:sz w:val="18"/>
      <w:szCs w:val="18"/>
    </w:rPr>
  </w:style>
  <w:style w:type="paragraph" w:customStyle="1" w:styleId="78">
    <w:name w:val="普通(网站)1"/>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79">
    <w:name w:val="contentlabel"/>
    <w:autoRedefine/>
    <w:qFormat/>
    <w:uiPriority w:val="0"/>
  </w:style>
  <w:style w:type="paragraph" w:customStyle="1" w:styleId="80">
    <w:name w:val="Body Text First Indent1"/>
    <w:basedOn w:val="9"/>
    <w:autoRedefine/>
    <w:qFormat/>
    <w:uiPriority w:val="0"/>
    <w:pPr>
      <w:autoSpaceDE w:val="0"/>
      <w:autoSpaceDN w:val="0"/>
      <w:ind w:firstLine="420" w:firstLineChars="100"/>
      <w:jc w:val="left"/>
    </w:pPr>
    <w:rPr>
      <w:rFonts w:ascii="宋体" w:hAnsi="等线" w:eastAsia="等线" w:cs="宋体"/>
      <w:kern w:val="0"/>
      <w:lang w:val="zh-CN"/>
    </w:rPr>
  </w:style>
  <w:style w:type="paragraph" w:customStyle="1" w:styleId="81">
    <w:name w:val="D&amp;L"/>
    <w:basedOn w:val="19"/>
    <w:autoRedefine/>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82">
    <w:name w:val="icon_gys"/>
    <w:basedOn w:val="30"/>
    <w:autoRedefine/>
    <w:qFormat/>
    <w:uiPriority w:val="0"/>
    <w:rPr>
      <w:sz w:val="21"/>
      <w:szCs w:val="21"/>
    </w:rPr>
  </w:style>
  <w:style w:type="character" w:customStyle="1" w:styleId="83">
    <w:name w:val="first-child"/>
    <w:basedOn w:val="30"/>
    <w:autoRedefine/>
    <w:qFormat/>
    <w:uiPriority w:val="0"/>
    <w:rPr>
      <w:color w:val="1F3149"/>
      <w:sz w:val="24"/>
      <w:szCs w:val="24"/>
    </w:rPr>
  </w:style>
  <w:style w:type="character" w:customStyle="1" w:styleId="84">
    <w:name w:val="first-child1"/>
    <w:basedOn w:val="30"/>
    <w:autoRedefine/>
    <w:qFormat/>
    <w:uiPriority w:val="0"/>
    <w:rPr>
      <w:color w:val="1F3149"/>
      <w:sz w:val="24"/>
      <w:szCs w:val="24"/>
    </w:rPr>
  </w:style>
  <w:style w:type="character" w:customStyle="1" w:styleId="85">
    <w:name w:val="xiadan"/>
    <w:basedOn w:val="30"/>
    <w:autoRedefine/>
    <w:qFormat/>
    <w:uiPriority w:val="0"/>
    <w:rPr>
      <w:shd w:val="clear" w:color="auto" w:fill="E4393C"/>
    </w:rPr>
  </w:style>
  <w:style w:type="character" w:customStyle="1" w:styleId="86">
    <w:name w:val="fr"/>
    <w:basedOn w:val="30"/>
    <w:autoRedefine/>
    <w:qFormat/>
    <w:uiPriority w:val="0"/>
  </w:style>
  <w:style w:type="character" w:customStyle="1" w:styleId="87">
    <w:name w:val="icon_ds"/>
    <w:basedOn w:val="30"/>
    <w:autoRedefine/>
    <w:qFormat/>
    <w:uiPriority w:val="0"/>
  </w:style>
  <w:style w:type="paragraph" w:customStyle="1" w:styleId="88">
    <w:name w:val="正文1"/>
    <w:basedOn w:val="1"/>
    <w:autoRedefine/>
    <w:qFormat/>
    <w:uiPriority w:val="0"/>
    <w:pPr>
      <w:widowControl/>
      <w:topLinePunct/>
      <w:spacing w:beforeLines="50" w:afterLines="50" w:line="300" w:lineRule="auto"/>
      <w:ind w:left="420"/>
    </w:pPr>
  </w:style>
  <w:style w:type="character" w:customStyle="1" w:styleId="89">
    <w:name w:val="textarea1"/>
    <w:basedOn w:val="30"/>
    <w:autoRedefine/>
    <w:qFormat/>
    <w:uiPriority w:val="0"/>
  </w:style>
  <w:style w:type="paragraph" w:customStyle="1" w:styleId="90">
    <w:name w:val="首行缩进"/>
    <w:basedOn w:val="1"/>
    <w:autoRedefine/>
    <w:qFormat/>
    <w:uiPriority w:val="0"/>
    <w:pPr>
      <w:spacing w:line="360" w:lineRule="auto"/>
      <w:ind w:firstLine="480"/>
    </w:pPr>
    <w:rPr>
      <w:rFonts w:ascii="宋体" w:hAnsi="宋体" w:cs="宋体"/>
      <w:kern w:val="0"/>
    </w:rPr>
  </w:style>
  <w:style w:type="paragraph" w:customStyle="1" w:styleId="91">
    <w:name w:val="无间隔2"/>
    <w:basedOn w:val="1"/>
    <w:autoRedefine/>
    <w:qFormat/>
    <w:uiPriority w:val="0"/>
    <w:pPr>
      <w:spacing w:line="400" w:lineRule="exact"/>
    </w:pPr>
    <w:rPr>
      <w:rFonts w:ascii="Calibri" w:hAnsi="Calibri"/>
      <w:sz w:val="24"/>
    </w:rPr>
  </w:style>
  <w:style w:type="character" w:customStyle="1" w:styleId="92">
    <w:name w:val="nth-child(3)"/>
    <w:basedOn w:val="30"/>
    <w:qFormat/>
    <w:uiPriority w:val="0"/>
  </w:style>
  <w:style w:type="character" w:customStyle="1" w:styleId="93">
    <w:name w:val="nth-child(2)"/>
    <w:basedOn w:val="30"/>
    <w:qFormat/>
    <w:uiPriority w:val="0"/>
  </w:style>
  <w:style w:type="character" w:customStyle="1" w:styleId="94">
    <w:name w:val="nth-child(2)1"/>
    <w:basedOn w:val="30"/>
    <w:qFormat/>
    <w:uiPriority w:val="0"/>
  </w:style>
  <w:style w:type="paragraph" w:customStyle="1" w:styleId="95">
    <w:name w:val="列表段落1"/>
    <w:basedOn w:val="1"/>
    <w:qFormat/>
    <w:uiPriority w:val="0"/>
    <w:pPr>
      <w:widowControl/>
      <w:ind w:firstLine="420" w:firstLineChars="200"/>
      <w:textAlignment w:val="baseline"/>
    </w:pPr>
    <w:rPr>
      <w:rFonts w:ascii="Calibri" w:hAnsi="Calibri" w:cs="宋体"/>
    </w:rPr>
  </w:style>
  <w:style w:type="character" w:customStyle="1" w:styleId="96">
    <w:name w:val="nth-child(1)"/>
    <w:basedOn w:val="30"/>
    <w:qFormat/>
    <w:uiPriority w:val="0"/>
  </w:style>
  <w:style w:type="character" w:customStyle="1" w:styleId="97">
    <w:name w:val="icon_ds1"/>
    <w:basedOn w:val="30"/>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21269</Words>
  <Characters>22611</Characters>
  <Lines>123</Lines>
  <Paragraphs>34</Paragraphs>
  <TotalTime>12</TotalTime>
  <ScaleCrop>false</ScaleCrop>
  <LinksUpToDate>false</LinksUpToDate>
  <CharactersWithSpaces>23635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2020-09-11T03:28:00Z</dcterms:created>
  <dc:creator>gg1</dc:creator>
  <cp:lastModifiedBy>user</cp:lastModifiedBy>
  <cp:lastPrinted>2020-11-18T03:21:00Z</cp:lastPrinted>
  <dcterms:modified xsi:type="dcterms:W3CDTF">2025-07-18T03:31:11Z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2B53AEE978C648D08488E075FB834585_13</vt:lpwstr>
  </property>
  <property fmtid="{D5CDD505-2E9C-101B-9397-08002B2CF9AE}" pid="4" name="KSOTemplateDocerSaveRecord">
    <vt:lpwstr>eyJoZGlkIjoiMGI2ZDFmZmVjNjhiYmI3Nzg5YTgxNzM4YzkzMWZjMzEiLCJ1c2VySWQiOiIxMDQyNjE2NTI1In0=</vt:lpwstr>
  </property>
</Properties>
</file>