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auto"/>
        <w:jc w:val="center"/>
        <w:rPr>
          <w:rFonts w:ascii="Arial Black" w:hAnsi="Arial Black" w:eastAsia="Arial Black" w:cs="Arial Black"/>
          <w:b/>
          <w:color w:val="auto"/>
          <w:spacing w:val="36"/>
          <w:sz w:val="52"/>
          <w:highlight w:val="none"/>
        </w:rPr>
      </w:pPr>
      <w:r>
        <w:rPr>
          <w:rFonts w:ascii="宋体" w:hAnsi="宋体" w:eastAsia="宋体" w:cs="宋体"/>
          <w:b/>
          <w:color w:val="auto"/>
          <w:spacing w:val="36"/>
          <w:sz w:val="52"/>
          <w:highlight w:val="none"/>
        </w:rPr>
        <w:t>周口市公共资源交易中心</w:t>
      </w:r>
    </w:p>
    <w:p>
      <w:pPr>
        <w:tabs>
          <w:tab w:val="left" w:pos="315"/>
          <w:tab w:val="left" w:pos="8820"/>
        </w:tabs>
        <w:spacing w:line="500" w:lineRule="auto"/>
        <w:ind w:right="267"/>
        <w:jc w:val="center"/>
        <w:rPr>
          <w:rFonts w:ascii="仿宋_GB2312" w:hAnsi="仿宋_GB2312" w:eastAsia="仿宋_GB2312" w:cs="仿宋_GB2312"/>
          <w:b/>
          <w:color w:val="auto"/>
          <w:sz w:val="48"/>
          <w:highlight w:val="none"/>
        </w:rPr>
      </w:pPr>
    </w:p>
    <w:p>
      <w:pPr>
        <w:pStyle w:val="13"/>
        <w:rPr>
          <w:rFonts w:ascii="仿宋_GB2312" w:hAnsi="仿宋_GB2312" w:eastAsia="仿宋_GB2312" w:cs="仿宋_GB2312"/>
          <w:b/>
          <w:color w:val="auto"/>
          <w:sz w:val="48"/>
          <w:highlight w:val="none"/>
        </w:rPr>
      </w:pPr>
    </w:p>
    <w:p>
      <w:pPr>
        <w:pStyle w:val="13"/>
        <w:rPr>
          <w:rFonts w:ascii="仿宋_GB2312" w:hAnsi="仿宋_GB2312" w:eastAsia="仿宋_GB2312" w:cs="仿宋_GB2312"/>
          <w:b/>
          <w:color w:val="auto"/>
          <w:sz w:val="48"/>
          <w:highlight w:val="none"/>
        </w:rPr>
      </w:pPr>
    </w:p>
    <w:p>
      <w:pPr>
        <w:pStyle w:val="13"/>
        <w:rPr>
          <w:rFonts w:ascii="仿宋_GB2312" w:hAnsi="仿宋_GB2312" w:eastAsia="仿宋_GB2312" w:cs="仿宋_GB2312"/>
          <w:b/>
          <w:color w:val="auto"/>
          <w:sz w:val="48"/>
          <w:highlight w:val="none"/>
        </w:rPr>
      </w:pPr>
    </w:p>
    <w:p>
      <w:pPr>
        <w:tabs>
          <w:tab w:val="left" w:pos="315"/>
          <w:tab w:val="left" w:pos="8820"/>
        </w:tabs>
        <w:spacing w:line="500" w:lineRule="auto"/>
        <w:ind w:right="267"/>
        <w:jc w:val="center"/>
        <w:rPr>
          <w:rFonts w:ascii="微软简标宋" w:hAnsi="微软简标宋" w:eastAsia="微软简标宋" w:cs="微软简标宋"/>
          <w:b/>
          <w:color w:val="auto"/>
          <w:sz w:val="52"/>
          <w:highlight w:val="none"/>
        </w:rPr>
      </w:pPr>
      <w:r>
        <w:rPr>
          <w:rFonts w:ascii="宋体" w:hAnsi="宋体" w:eastAsia="宋体" w:cs="宋体"/>
          <w:b/>
          <w:color w:val="auto"/>
          <w:sz w:val="52"/>
          <w:highlight w:val="none"/>
        </w:rPr>
        <w:t>竞争性磋商文件</w:t>
      </w:r>
    </w:p>
    <w:p>
      <w:pPr>
        <w:tabs>
          <w:tab w:val="left" w:pos="315"/>
          <w:tab w:val="left" w:pos="8820"/>
        </w:tabs>
        <w:spacing w:line="500" w:lineRule="auto"/>
        <w:ind w:right="267"/>
        <w:jc w:val="center"/>
        <w:rPr>
          <w:rFonts w:ascii="仿宋_GB2312" w:hAnsi="仿宋_GB2312" w:eastAsia="仿宋_GB2312" w:cs="仿宋_GB2312"/>
          <w:color w:val="auto"/>
          <w:sz w:val="44"/>
          <w:highlight w:val="none"/>
        </w:rPr>
      </w:pPr>
    </w:p>
    <w:p>
      <w:pPr>
        <w:tabs>
          <w:tab w:val="left" w:pos="315"/>
          <w:tab w:val="left" w:pos="8820"/>
        </w:tabs>
        <w:ind w:right="267"/>
        <w:rPr>
          <w:rFonts w:ascii="仿宋_GB2312" w:hAnsi="仿宋_GB2312" w:eastAsia="仿宋_GB2312" w:cs="仿宋_GB2312"/>
          <w:color w:val="auto"/>
          <w:sz w:val="44"/>
          <w:highlight w:val="none"/>
        </w:rPr>
      </w:pPr>
    </w:p>
    <w:p>
      <w:pPr>
        <w:tabs>
          <w:tab w:val="left" w:pos="315"/>
          <w:tab w:val="left" w:pos="8820"/>
        </w:tabs>
        <w:spacing w:line="500" w:lineRule="auto"/>
        <w:ind w:right="267"/>
        <w:rPr>
          <w:rFonts w:ascii="仿宋_GB2312" w:hAnsi="仿宋_GB2312" w:eastAsia="仿宋_GB2312" w:cs="仿宋_GB2312"/>
          <w:b/>
          <w:color w:val="auto"/>
          <w:sz w:val="36"/>
          <w:highlight w:val="none"/>
        </w:rPr>
      </w:pPr>
    </w:p>
    <w:p>
      <w:pPr>
        <w:tabs>
          <w:tab w:val="left" w:pos="315"/>
          <w:tab w:val="left" w:pos="8820"/>
        </w:tabs>
        <w:spacing w:line="500" w:lineRule="auto"/>
        <w:ind w:right="267"/>
        <w:rPr>
          <w:rFonts w:ascii="仿宋_GB2312" w:hAnsi="仿宋_GB2312" w:eastAsia="仿宋_GB2312" w:cs="仿宋_GB2312"/>
          <w:b/>
          <w:color w:val="auto"/>
          <w:sz w:val="36"/>
          <w:highlight w:val="none"/>
        </w:rPr>
      </w:pPr>
    </w:p>
    <w:p>
      <w:pPr>
        <w:pStyle w:val="13"/>
        <w:rPr>
          <w:color w:val="auto"/>
          <w:highlight w:val="none"/>
        </w:rPr>
      </w:pPr>
    </w:p>
    <w:p>
      <w:pPr>
        <w:tabs>
          <w:tab w:val="left" w:pos="315"/>
          <w:tab w:val="left" w:pos="8820"/>
        </w:tabs>
        <w:spacing w:line="500" w:lineRule="auto"/>
        <w:ind w:right="267"/>
        <w:jc w:val="center"/>
        <w:rPr>
          <w:rFonts w:ascii="宋体" w:hAnsi="宋体" w:eastAsia="宋体" w:cs="宋体"/>
          <w:color w:val="auto"/>
          <w:sz w:val="32"/>
          <w:highlight w:val="none"/>
        </w:rPr>
      </w:pPr>
    </w:p>
    <w:p>
      <w:pPr>
        <w:tabs>
          <w:tab w:val="left" w:pos="315"/>
          <w:tab w:val="left" w:pos="8820"/>
        </w:tabs>
        <w:spacing w:line="500" w:lineRule="auto"/>
        <w:ind w:right="267"/>
        <w:jc w:val="center"/>
        <w:rPr>
          <w:rFonts w:ascii="微软简标宋" w:hAnsi="微软简标宋" w:eastAsia="微软简标宋" w:cs="微软简标宋"/>
          <w:b/>
          <w:color w:val="auto"/>
          <w:sz w:val="40"/>
          <w:szCs w:val="18"/>
          <w:highlight w:val="none"/>
        </w:rPr>
      </w:pPr>
    </w:p>
    <w:p>
      <w:pPr>
        <w:tabs>
          <w:tab w:val="left" w:pos="315"/>
          <w:tab w:val="left" w:pos="8820"/>
        </w:tabs>
        <w:spacing w:line="600" w:lineRule="auto"/>
        <w:ind w:right="267"/>
        <w:jc w:val="left"/>
        <w:rPr>
          <w:rFonts w:ascii="宋体" w:hAnsi="宋体" w:eastAsia="宋体" w:cs="宋体"/>
          <w:b/>
          <w:color w:val="auto"/>
          <w:sz w:val="32"/>
          <w:szCs w:val="18"/>
          <w:highlight w:val="none"/>
        </w:rPr>
      </w:pPr>
      <w:r>
        <w:rPr>
          <w:rFonts w:ascii="宋体" w:hAnsi="宋体" w:eastAsia="宋体" w:cs="宋体"/>
          <w:b/>
          <w:color w:val="auto"/>
          <w:sz w:val="32"/>
          <w:szCs w:val="18"/>
          <w:highlight w:val="none"/>
        </w:rPr>
        <w:t>项目名称:</w:t>
      </w:r>
      <w:r>
        <w:rPr>
          <w:rFonts w:ascii="宋体" w:hAnsi="宋体" w:eastAsia="宋体" w:cs="宋体"/>
          <w:color w:val="auto"/>
          <w:sz w:val="15"/>
          <w:szCs w:val="18"/>
          <w:highlight w:val="none"/>
        </w:rPr>
        <w:t xml:space="preserve"> </w:t>
      </w:r>
      <w:r>
        <w:rPr>
          <w:rFonts w:hint="eastAsia" w:ascii="宋体" w:hAnsi="宋体" w:eastAsia="宋体" w:cs="宋体"/>
          <w:b/>
          <w:color w:val="auto"/>
          <w:sz w:val="32"/>
          <w:szCs w:val="18"/>
          <w:highlight w:val="none"/>
        </w:rPr>
        <w:t>项城市第一人民医院DRG智能审核管理系统采购项目</w:t>
      </w:r>
    </w:p>
    <w:p>
      <w:pPr>
        <w:tabs>
          <w:tab w:val="left" w:pos="315"/>
          <w:tab w:val="left" w:pos="8820"/>
        </w:tabs>
        <w:spacing w:line="600" w:lineRule="auto"/>
        <w:ind w:right="267"/>
        <w:jc w:val="left"/>
        <w:rPr>
          <w:rFonts w:hint="eastAsia" w:ascii="宋体" w:hAnsi="宋体" w:eastAsia="宋体" w:cs="宋体"/>
          <w:b/>
          <w:color w:val="auto"/>
          <w:sz w:val="32"/>
          <w:szCs w:val="18"/>
          <w:highlight w:val="none"/>
          <w:lang w:eastAsia="zh-CN"/>
        </w:rPr>
      </w:pPr>
      <w:r>
        <w:rPr>
          <w:rFonts w:ascii="宋体" w:hAnsi="宋体" w:eastAsia="宋体" w:cs="宋体"/>
          <w:b/>
          <w:color w:val="auto"/>
          <w:sz w:val="32"/>
          <w:szCs w:val="18"/>
          <w:highlight w:val="none"/>
        </w:rPr>
        <w:t>项目编号:</w:t>
      </w:r>
      <w:r>
        <w:rPr>
          <w:rFonts w:hint="eastAsia" w:ascii="宋体" w:hAnsi="宋体" w:eastAsia="宋体" w:cs="宋体"/>
          <w:b/>
          <w:color w:val="auto"/>
          <w:sz w:val="32"/>
          <w:szCs w:val="18"/>
          <w:highlight w:val="none"/>
          <w:lang w:val="en-US" w:eastAsia="zh-CN"/>
        </w:rPr>
        <w:t xml:space="preserve"> 项财磋商采购-2024-20</w:t>
      </w:r>
    </w:p>
    <w:p>
      <w:pPr>
        <w:spacing w:after="120"/>
        <w:jc w:val="center"/>
        <w:rPr>
          <w:rFonts w:ascii="宋体" w:hAnsi="宋体" w:eastAsia="宋体" w:cs="宋体"/>
          <w:b/>
          <w:color w:val="auto"/>
          <w:sz w:val="32"/>
          <w:highlight w:val="none"/>
        </w:rPr>
      </w:pPr>
      <w:r>
        <w:rPr>
          <w:rFonts w:hint="eastAsia" w:ascii="宋体" w:hAnsi="宋体" w:eastAsia="宋体" w:cs="宋体"/>
          <w:b/>
          <w:color w:val="auto"/>
          <w:sz w:val="32"/>
          <w:highlight w:val="none"/>
          <w:lang w:val="en-US" w:eastAsia="zh-CN"/>
        </w:rPr>
        <w:t>2024</w:t>
      </w:r>
      <w:r>
        <w:rPr>
          <w:rFonts w:ascii="宋体" w:hAnsi="宋体" w:eastAsia="宋体" w:cs="宋体"/>
          <w:b/>
          <w:color w:val="auto"/>
          <w:sz w:val="32"/>
          <w:highlight w:val="none"/>
        </w:rPr>
        <w:t>年</w:t>
      </w:r>
      <w:r>
        <w:rPr>
          <w:rFonts w:hint="eastAsia" w:ascii="宋体" w:hAnsi="宋体" w:eastAsia="宋体" w:cs="宋体"/>
          <w:b/>
          <w:color w:val="auto"/>
          <w:sz w:val="32"/>
          <w:highlight w:val="none"/>
          <w:lang w:val="en-US" w:eastAsia="zh-CN"/>
        </w:rPr>
        <w:t>4</w:t>
      </w:r>
      <w:r>
        <w:rPr>
          <w:rFonts w:ascii="宋体" w:hAnsi="宋体" w:eastAsia="宋体" w:cs="宋体"/>
          <w:b/>
          <w:color w:val="auto"/>
          <w:sz w:val="32"/>
          <w:highlight w:val="none"/>
        </w:rPr>
        <w:t>月******日</w:t>
      </w:r>
    </w:p>
    <w:p>
      <w:pPr>
        <w:spacing w:after="120"/>
        <w:jc w:val="center"/>
        <w:rPr>
          <w:rFonts w:ascii="宋体" w:hAnsi="宋体" w:eastAsia="宋体" w:cs="宋体"/>
          <w:b/>
          <w:color w:val="auto"/>
          <w:sz w:val="32"/>
          <w:highlight w:val="none"/>
        </w:rPr>
      </w:pPr>
    </w:p>
    <w:p>
      <w:pPr>
        <w:rPr>
          <w:rFonts w:ascii="仿宋_GB2312" w:hAnsi="仿宋_GB2312" w:eastAsia="仿宋_GB2312" w:cs="仿宋_GB2312"/>
          <w:b/>
          <w:color w:val="auto"/>
          <w:sz w:val="30"/>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spacing w:line="560" w:lineRule="auto"/>
        <w:jc w:val="center"/>
        <w:rPr>
          <w:rFonts w:ascii="宋体" w:hAnsi="宋体" w:eastAsia="宋体" w:cs="宋体"/>
          <w:b/>
          <w:color w:val="auto"/>
          <w:sz w:val="32"/>
          <w:highlight w:val="none"/>
        </w:rPr>
      </w:pPr>
      <w:r>
        <w:rPr>
          <w:rFonts w:ascii="宋体" w:hAnsi="宋体" w:eastAsia="宋体" w:cs="宋体"/>
          <w:b/>
          <w:color w:val="auto"/>
          <w:sz w:val="32"/>
          <w:highlight w:val="none"/>
        </w:rPr>
        <w:t>目     录</w:t>
      </w:r>
    </w:p>
    <w:p>
      <w:pPr>
        <w:rPr>
          <w:rFonts w:ascii="宋体" w:hAnsi="宋体" w:eastAsia="宋体" w:cs="宋体"/>
          <w:b/>
          <w:color w:val="auto"/>
          <w:sz w:val="32"/>
          <w:highlight w:val="none"/>
        </w:rPr>
      </w:pPr>
    </w:p>
    <w:p>
      <w:pPr>
        <w:spacing w:line="800" w:lineRule="auto"/>
        <w:rPr>
          <w:rFonts w:ascii="宋体" w:hAnsi="宋体" w:eastAsia="宋体" w:cs="宋体"/>
          <w:b/>
          <w:color w:val="auto"/>
          <w:sz w:val="32"/>
          <w:highlight w:val="none"/>
        </w:rPr>
      </w:pPr>
      <w:r>
        <w:rPr>
          <w:rFonts w:ascii="宋体" w:hAnsi="宋体" w:eastAsia="宋体" w:cs="宋体"/>
          <w:b/>
          <w:color w:val="auto"/>
          <w:sz w:val="32"/>
          <w:highlight w:val="none"/>
        </w:rPr>
        <w:t>第一章  竞争性磋商邀请函 .........................3</w:t>
      </w:r>
    </w:p>
    <w:p>
      <w:pPr>
        <w:spacing w:line="800" w:lineRule="auto"/>
        <w:rPr>
          <w:rFonts w:ascii="宋体" w:hAnsi="宋体" w:eastAsia="宋体" w:cs="宋体"/>
          <w:b/>
          <w:color w:val="auto"/>
          <w:sz w:val="32"/>
          <w:highlight w:val="none"/>
        </w:rPr>
      </w:pPr>
      <w:r>
        <w:rPr>
          <w:rFonts w:ascii="宋体" w:hAnsi="宋体" w:eastAsia="宋体" w:cs="宋体"/>
          <w:b/>
          <w:color w:val="auto"/>
          <w:sz w:val="32"/>
          <w:highlight w:val="none"/>
        </w:rPr>
        <w:t>第二章  供应商须知 ...............................6</w:t>
      </w:r>
    </w:p>
    <w:p>
      <w:pPr>
        <w:spacing w:line="800" w:lineRule="auto"/>
        <w:rPr>
          <w:rFonts w:ascii="宋体" w:hAnsi="宋体" w:eastAsia="宋体" w:cs="宋体"/>
          <w:b/>
          <w:color w:val="auto"/>
          <w:sz w:val="32"/>
          <w:highlight w:val="none"/>
        </w:rPr>
      </w:pPr>
      <w:r>
        <w:rPr>
          <w:rFonts w:ascii="宋体" w:hAnsi="宋体" w:eastAsia="宋体" w:cs="宋体"/>
          <w:b/>
          <w:color w:val="auto"/>
          <w:sz w:val="32"/>
          <w:highlight w:val="none"/>
        </w:rPr>
        <w:t>第三章  采购需求.................................</w:t>
      </w:r>
      <w:r>
        <w:rPr>
          <w:rFonts w:hint="eastAsia" w:ascii="宋体" w:hAnsi="宋体" w:eastAsia="宋体" w:cs="宋体"/>
          <w:b/>
          <w:color w:val="auto"/>
          <w:sz w:val="32"/>
          <w:highlight w:val="none"/>
          <w:lang w:val="en-US" w:eastAsia="zh-CN"/>
        </w:rPr>
        <w:t>32</w:t>
      </w:r>
      <w:r>
        <w:rPr>
          <w:rFonts w:ascii="宋体" w:hAnsi="宋体" w:eastAsia="宋体" w:cs="宋体"/>
          <w:b/>
          <w:color w:val="auto"/>
          <w:sz w:val="32"/>
          <w:highlight w:val="none"/>
        </w:rPr>
        <w:t>第四章  响应性文件内容及格式.....................</w:t>
      </w:r>
      <w:r>
        <w:rPr>
          <w:rFonts w:hint="eastAsia" w:ascii="宋体" w:hAnsi="宋体" w:eastAsia="宋体" w:cs="宋体"/>
          <w:b/>
          <w:color w:val="auto"/>
          <w:sz w:val="32"/>
          <w:highlight w:val="none"/>
          <w:lang w:val="en-US" w:eastAsia="zh-CN"/>
        </w:rPr>
        <w:t>55</w:t>
      </w:r>
      <w:r>
        <w:rPr>
          <w:rFonts w:ascii="宋体" w:hAnsi="宋体" w:eastAsia="宋体" w:cs="宋体"/>
          <w:b/>
          <w:color w:val="auto"/>
          <w:sz w:val="32"/>
          <w:highlight w:val="none"/>
        </w:rPr>
        <w:t>第五章  合同主要条款 合同签订指引、供应商履约验收指引4</w:t>
      </w:r>
      <w:r>
        <w:rPr>
          <w:rFonts w:hint="eastAsia" w:ascii="宋体" w:hAnsi="宋体" w:eastAsia="宋体" w:cs="宋体"/>
          <w:b/>
          <w:color w:val="auto"/>
          <w:sz w:val="32"/>
          <w:highlight w:val="none"/>
        </w:rPr>
        <w:t>0</w:t>
      </w:r>
    </w:p>
    <w:p>
      <w:pPr>
        <w:spacing w:line="800" w:lineRule="auto"/>
        <w:rPr>
          <w:rFonts w:ascii="宋体" w:hAnsi="宋体" w:eastAsia="宋体" w:cs="宋体"/>
          <w:b/>
          <w:color w:val="auto"/>
          <w:sz w:val="32"/>
          <w:highlight w:val="none"/>
        </w:rPr>
      </w:pPr>
    </w:p>
    <w:p>
      <w:pPr>
        <w:spacing w:line="800" w:lineRule="auto"/>
        <w:rPr>
          <w:rFonts w:ascii="宋体" w:hAnsi="宋体" w:eastAsia="宋体" w:cs="宋体"/>
          <w:b/>
          <w:color w:val="auto"/>
          <w:sz w:val="32"/>
          <w:highlight w:val="none"/>
        </w:rPr>
      </w:pPr>
    </w:p>
    <w:p>
      <w:pPr>
        <w:spacing w:line="800" w:lineRule="auto"/>
        <w:rPr>
          <w:rFonts w:ascii="宋体" w:hAnsi="宋体" w:eastAsia="宋体" w:cs="宋体"/>
          <w:b/>
          <w:color w:val="auto"/>
          <w:sz w:val="32"/>
          <w:highlight w:val="none"/>
        </w:rPr>
      </w:pPr>
    </w:p>
    <w:p>
      <w:pPr>
        <w:spacing w:line="800" w:lineRule="auto"/>
        <w:ind w:firstLine="2249"/>
        <w:rPr>
          <w:rFonts w:ascii="宋体" w:hAnsi="宋体" w:eastAsia="宋体" w:cs="宋体"/>
          <w:b/>
          <w:color w:val="auto"/>
          <w:sz w:val="32"/>
          <w:highlight w:val="none"/>
        </w:rPr>
      </w:pPr>
      <w:r>
        <w:rPr>
          <w:rFonts w:ascii="宋体" w:hAnsi="宋体" w:eastAsia="宋体" w:cs="宋体"/>
          <w:b/>
          <w:color w:val="auto"/>
          <w:sz w:val="32"/>
          <w:highlight w:val="none"/>
        </w:rPr>
        <w:t xml:space="preserve">     </w:t>
      </w:r>
    </w:p>
    <w:p>
      <w:pPr>
        <w:ind w:firstLine="420"/>
        <w:jc w:val="left"/>
        <w:rPr>
          <w:rFonts w:ascii="Times New Roman" w:hAnsi="Times New Roman" w:eastAsia="Times New Roman" w:cs="Times New Roman"/>
          <w:color w:val="auto"/>
          <w:sz w:val="22"/>
          <w:highlight w:val="none"/>
        </w:rPr>
      </w:pPr>
    </w:p>
    <w:p>
      <w:pPr>
        <w:ind w:firstLine="420"/>
        <w:jc w:val="left"/>
        <w:rPr>
          <w:rFonts w:ascii="Times New Roman" w:hAnsi="Times New Roman" w:eastAsia="Times New Roman" w:cs="Times New Roman"/>
          <w:color w:val="auto"/>
          <w:sz w:val="22"/>
          <w:highlight w:val="none"/>
        </w:rPr>
      </w:pPr>
    </w:p>
    <w:p>
      <w:pPr>
        <w:ind w:firstLine="420"/>
        <w:jc w:val="left"/>
        <w:rPr>
          <w:rFonts w:ascii="仿宋_GB2312" w:hAnsi="仿宋_GB2312" w:eastAsia="仿宋_GB2312" w:cs="仿宋_GB2312"/>
          <w:b/>
          <w:color w:val="auto"/>
          <w:sz w:val="32"/>
          <w:highlight w:val="none"/>
        </w:rPr>
      </w:pPr>
      <w:r>
        <w:rPr>
          <w:rFonts w:ascii="仿宋_GB2312" w:hAnsi="仿宋_GB2312" w:eastAsia="仿宋_GB2312" w:cs="仿宋_GB2312"/>
          <w:b/>
          <w:color w:val="auto"/>
          <w:sz w:val="32"/>
          <w:highlight w:val="none"/>
        </w:rPr>
        <w:t xml:space="preserve"> </w:t>
      </w:r>
    </w:p>
    <w:p>
      <w:pPr>
        <w:jc w:val="center"/>
        <w:rPr>
          <w:rFonts w:ascii="宋体" w:hAnsi="宋体" w:eastAsia="宋体" w:cs="宋体"/>
          <w:b/>
          <w:color w:val="auto"/>
          <w:sz w:val="32"/>
          <w:highlight w:val="none"/>
        </w:rPr>
      </w:pPr>
      <w:r>
        <w:rPr>
          <w:rFonts w:ascii="宋体" w:hAnsi="宋体" w:eastAsia="宋体" w:cs="宋体"/>
          <w:b/>
          <w:color w:val="auto"/>
          <w:sz w:val="32"/>
          <w:highlight w:val="none"/>
        </w:rPr>
        <w:t>第一章    竞争性磋商邀请函</w:t>
      </w:r>
    </w:p>
    <w:p>
      <w:pPr>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项目概况</w:t>
      </w:r>
    </w:p>
    <w:p>
      <w:pPr>
        <w:ind w:firstLine="480"/>
        <w:rPr>
          <w:rFonts w:ascii="Times New Roman" w:hAnsi="Times New Roman" w:eastAsia="Times New Roman" w:cs="Times New Roman"/>
          <w:color w:val="auto"/>
          <w:sz w:val="24"/>
          <w:highlight w:val="none"/>
        </w:rPr>
      </w:pPr>
      <w:r>
        <w:rPr>
          <w:rFonts w:hint="eastAsia" w:ascii="Times New Roman" w:hAnsi="Times New Roman" w:eastAsia="Times New Roman" w:cs="Times New Roman"/>
          <w:color w:val="auto"/>
          <w:sz w:val="24"/>
          <w:highlight w:val="none"/>
          <w:u w:val="none"/>
        </w:rPr>
        <w:t xml:space="preserve">项城市第一人民医院DRG智能审核管理系统采购项目的潜在供应商应在周口市公共资源交易中心网获取采购文件，并于 </w:t>
      </w:r>
      <w:r>
        <w:rPr>
          <w:rFonts w:hint="eastAsia" w:ascii="Times New Roman" w:hAnsi="Times New Roman" w:eastAsia="Times New Roman" w:cs="Times New Roman"/>
          <w:color w:val="auto"/>
          <w:sz w:val="24"/>
          <w:highlight w:val="none"/>
          <w:u w:val="none"/>
          <w:lang w:val="en-US" w:eastAsia="zh-CN"/>
        </w:rPr>
        <w:t>2024</w:t>
      </w:r>
      <w:r>
        <w:rPr>
          <w:rFonts w:hint="eastAsia" w:ascii="Times New Roman" w:hAnsi="Times New Roman" w:eastAsia="Times New Roman" w:cs="Times New Roman"/>
          <w:color w:val="auto"/>
          <w:sz w:val="24"/>
          <w:highlight w:val="none"/>
          <w:u w:val="none"/>
        </w:rPr>
        <w:t>年</w:t>
      </w:r>
      <w:r>
        <w:rPr>
          <w:rFonts w:hint="eastAsia" w:ascii="Times New Roman" w:hAnsi="Times New Roman" w:eastAsia="Times New Roman" w:cs="Times New Roman"/>
          <w:color w:val="auto"/>
          <w:sz w:val="24"/>
          <w:highlight w:val="none"/>
          <w:u w:val="none"/>
          <w:lang w:val="en-US" w:eastAsia="zh-CN"/>
        </w:rPr>
        <w:t>5</w:t>
      </w:r>
      <w:r>
        <w:rPr>
          <w:rFonts w:hint="eastAsia" w:ascii="Times New Roman" w:hAnsi="Times New Roman" w:eastAsia="Times New Roman" w:cs="Times New Roman"/>
          <w:color w:val="auto"/>
          <w:sz w:val="24"/>
          <w:highlight w:val="none"/>
          <w:u w:val="none"/>
        </w:rPr>
        <w:t>月</w:t>
      </w:r>
      <w:r>
        <w:rPr>
          <w:rFonts w:hint="eastAsia" w:ascii="Times New Roman" w:hAnsi="Times New Roman" w:eastAsia="Times New Roman" w:cs="Times New Roman"/>
          <w:color w:val="auto"/>
          <w:sz w:val="24"/>
          <w:highlight w:val="none"/>
          <w:u w:val="none"/>
          <w:lang w:val="en-US" w:eastAsia="zh-CN"/>
        </w:rPr>
        <w:t>6</w:t>
      </w:r>
      <w:r>
        <w:rPr>
          <w:rFonts w:hint="eastAsia" w:ascii="Times New Roman" w:hAnsi="Times New Roman" w:eastAsia="Times New Roman" w:cs="Times New Roman"/>
          <w:color w:val="auto"/>
          <w:sz w:val="24"/>
          <w:highlight w:val="none"/>
          <w:u w:val="none"/>
        </w:rPr>
        <w:t>日</w:t>
      </w:r>
      <w:r>
        <w:rPr>
          <w:rFonts w:hint="eastAsia" w:ascii="Times New Roman" w:hAnsi="Times New Roman" w:eastAsia="Times New Roman" w:cs="Times New Roman"/>
          <w:color w:val="auto"/>
          <w:sz w:val="24"/>
          <w:highlight w:val="none"/>
          <w:u w:val="none"/>
          <w:lang w:val="en-US" w:eastAsia="zh-CN"/>
        </w:rPr>
        <w:t>10</w:t>
      </w:r>
      <w:r>
        <w:rPr>
          <w:rFonts w:hint="eastAsia" w:ascii="Times New Roman" w:hAnsi="Times New Roman" w:eastAsia="Times New Roman" w:cs="Times New Roman"/>
          <w:color w:val="auto"/>
          <w:sz w:val="24"/>
          <w:highlight w:val="none"/>
          <w:u w:val="none"/>
        </w:rPr>
        <w:t>点</w:t>
      </w:r>
      <w:r>
        <w:rPr>
          <w:rFonts w:hint="eastAsia" w:ascii="Times New Roman" w:hAnsi="Times New Roman" w:eastAsia="Times New Roman" w:cs="Times New Roman"/>
          <w:color w:val="auto"/>
          <w:sz w:val="24"/>
          <w:highlight w:val="none"/>
          <w:u w:val="none"/>
          <w:lang w:val="en-US" w:eastAsia="zh-CN"/>
        </w:rPr>
        <w:t>00</w:t>
      </w:r>
      <w:r>
        <w:rPr>
          <w:rFonts w:hint="eastAsia" w:ascii="Times New Roman" w:hAnsi="Times New Roman" w:eastAsia="Times New Roman" w:cs="Times New Roman"/>
          <w:color w:val="auto"/>
          <w:sz w:val="24"/>
          <w:highlight w:val="none"/>
          <w:u w:val="none"/>
        </w:rPr>
        <w:t>分（北</w:t>
      </w:r>
      <w:r>
        <w:rPr>
          <w:rFonts w:ascii="宋体" w:hAnsi="宋体" w:eastAsia="宋体" w:cs="宋体"/>
          <w:color w:val="auto"/>
          <w:sz w:val="24"/>
          <w:highlight w:val="none"/>
        </w:rPr>
        <w:t>京时间）前提交响应文件。</w:t>
      </w:r>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一、项目基本情况</w:t>
      </w:r>
    </w:p>
    <w:p>
      <w:pPr>
        <w:spacing w:line="360" w:lineRule="auto"/>
        <w:ind w:firstLine="480"/>
        <w:rPr>
          <w:rFonts w:hint="default" w:ascii="Times New Roman" w:hAnsi="Times New Roman" w:eastAsia="宋体" w:cs="Times New Roman"/>
          <w:color w:val="auto"/>
          <w:sz w:val="24"/>
          <w:highlight w:val="none"/>
          <w:lang w:val="en-US" w:eastAsia="zh-CN"/>
        </w:rPr>
      </w:pPr>
      <w:r>
        <w:rPr>
          <w:rFonts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项财磋商采购-2024-20</w:t>
      </w:r>
    </w:p>
    <w:p>
      <w:pPr>
        <w:spacing w:line="360" w:lineRule="auto"/>
        <w:ind w:firstLine="480"/>
        <w:rPr>
          <w:rFonts w:ascii="Times New Roman" w:hAnsi="Times New Roman" w:eastAsia="Times New Roman" w:cs="Times New Roman"/>
          <w:color w:val="auto"/>
          <w:sz w:val="24"/>
          <w:highlight w:val="none"/>
          <w:u w:val="single"/>
        </w:rPr>
      </w:pPr>
      <w:r>
        <w:rPr>
          <w:rFonts w:ascii="宋体" w:hAnsi="宋体" w:eastAsia="宋体" w:cs="宋体"/>
          <w:color w:val="auto"/>
          <w:sz w:val="24"/>
          <w:highlight w:val="none"/>
        </w:rPr>
        <w:t>项目名称：</w:t>
      </w:r>
      <w:r>
        <w:rPr>
          <w:rFonts w:hint="eastAsia" w:ascii="Times New Roman" w:hAnsi="Times New Roman" w:eastAsia="Times New Roman" w:cs="Times New Roman"/>
          <w:color w:val="auto"/>
          <w:sz w:val="24"/>
          <w:highlight w:val="none"/>
          <w:u w:val="none"/>
        </w:rPr>
        <w:t>项城市第一人民医院DRG智能审核管理系统采购项目</w:t>
      </w:r>
    </w:p>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采购方式：竞争性磋商</w:t>
      </w:r>
    </w:p>
    <w:p>
      <w:pPr>
        <w:spacing w:line="360" w:lineRule="auto"/>
        <w:ind w:firstLine="480"/>
        <w:rPr>
          <w:rFonts w:hint="default" w:ascii="Times New Roman" w:hAnsi="Times New Roman" w:eastAsia="宋体" w:cs="Times New Roman"/>
          <w:color w:val="auto"/>
          <w:sz w:val="24"/>
          <w:highlight w:val="none"/>
          <w:lang w:val="en-US" w:eastAsia="zh-CN"/>
        </w:rPr>
      </w:pPr>
      <w:r>
        <w:rPr>
          <w:rFonts w:ascii="宋体" w:hAnsi="宋体" w:eastAsia="宋体" w:cs="宋体"/>
          <w:color w:val="auto"/>
          <w:sz w:val="24"/>
          <w:highlight w:val="none"/>
        </w:rPr>
        <w:t>预算金额：</w:t>
      </w:r>
      <w:r>
        <w:rPr>
          <w:rFonts w:hint="eastAsia" w:ascii="宋体" w:hAnsi="宋体" w:eastAsia="宋体" w:cs="宋体"/>
          <w:color w:val="auto"/>
          <w:sz w:val="24"/>
          <w:highlight w:val="none"/>
          <w:lang w:val="en-US" w:eastAsia="zh-CN"/>
        </w:rPr>
        <w:t>98万元</w:t>
      </w:r>
    </w:p>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最高限价：</w:t>
      </w:r>
      <w:r>
        <w:rPr>
          <w:rFonts w:hint="eastAsia" w:ascii="宋体" w:hAnsi="宋体" w:eastAsia="宋体" w:cs="宋体"/>
          <w:color w:val="auto"/>
          <w:sz w:val="24"/>
          <w:highlight w:val="none"/>
          <w:lang w:val="en-US" w:eastAsia="zh-CN"/>
        </w:rPr>
        <w:t>98万元</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包划分：</w:t>
      </w:r>
      <w:r>
        <w:rPr>
          <w:rFonts w:hint="eastAsia" w:ascii="宋体" w:hAnsi="宋体" w:eastAsia="宋体" w:cs="宋体"/>
          <w:color w:val="auto"/>
          <w:sz w:val="24"/>
          <w:highlight w:val="none"/>
          <w:lang w:val="en-US" w:eastAsia="zh-CN"/>
        </w:rPr>
        <w:t>1</w:t>
      </w:r>
      <w:r>
        <w:rPr>
          <w:rFonts w:ascii="宋体" w:hAnsi="宋体" w:eastAsia="宋体" w:cs="宋体"/>
          <w:color w:val="auto"/>
          <w:sz w:val="24"/>
          <w:highlight w:val="none"/>
        </w:rPr>
        <w:t>个包</w:t>
      </w:r>
    </w:p>
    <w:tbl>
      <w:tblPr>
        <w:tblStyle w:val="10"/>
        <w:tblW w:w="8859" w:type="dxa"/>
        <w:tblInd w:w="0" w:type="dxa"/>
        <w:tblLayout w:type="autofit"/>
        <w:tblCellMar>
          <w:top w:w="0" w:type="dxa"/>
          <w:left w:w="10" w:type="dxa"/>
          <w:bottom w:w="0" w:type="dxa"/>
          <w:right w:w="10" w:type="dxa"/>
        </w:tblCellMar>
      </w:tblPr>
      <w:tblGrid>
        <w:gridCol w:w="1176"/>
        <w:gridCol w:w="5089"/>
        <w:gridCol w:w="2594"/>
      </w:tblGrid>
      <w:tr>
        <w:tblPrEx>
          <w:tblCellMar>
            <w:top w:w="0" w:type="dxa"/>
            <w:left w:w="10" w:type="dxa"/>
            <w:bottom w:w="0" w:type="dxa"/>
            <w:right w:w="10" w:type="dxa"/>
          </w:tblCellMar>
        </w:tblPrEx>
        <w:trPr>
          <w:trHeight w:val="406" w:hRule="atLeast"/>
        </w:trPr>
        <w:tc>
          <w:tcPr>
            <w:tcW w:w="11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shd w:val="clear" w:color="auto" w:fill="FFFFFF"/>
              </w:rPr>
              <w:t>包号</w:t>
            </w:r>
          </w:p>
        </w:tc>
        <w:tc>
          <w:tcPr>
            <w:tcW w:w="5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shd w:val="clear" w:color="auto" w:fill="FFFFFF"/>
              </w:rPr>
              <w:t>包名称</w:t>
            </w:r>
          </w:p>
        </w:tc>
        <w:tc>
          <w:tcPr>
            <w:tcW w:w="25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shd w:val="clear" w:color="auto" w:fill="FFFFFF"/>
              </w:rPr>
              <w:t>包最高限价万元</w:t>
            </w:r>
          </w:p>
        </w:tc>
      </w:tr>
      <w:tr>
        <w:tblPrEx>
          <w:tblCellMar>
            <w:top w:w="0" w:type="dxa"/>
            <w:left w:w="10" w:type="dxa"/>
            <w:bottom w:w="0" w:type="dxa"/>
            <w:right w:w="10" w:type="dxa"/>
          </w:tblCellMar>
        </w:tblPrEx>
        <w:trPr>
          <w:trHeight w:val="1061" w:hRule="atLeast"/>
        </w:trPr>
        <w:tc>
          <w:tcPr>
            <w:tcW w:w="11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shd w:val="clear" w:color="auto" w:fill="FFFFFF"/>
              </w:rPr>
              <w:t>1</w:t>
            </w:r>
          </w:p>
        </w:tc>
        <w:tc>
          <w:tcPr>
            <w:tcW w:w="5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color w:val="auto"/>
                <w:highlight w:val="none"/>
              </w:rPr>
            </w:pPr>
            <w:r>
              <w:rPr>
                <w:rFonts w:hint="eastAsia" w:ascii="宋体" w:hAnsi="宋体" w:eastAsia="宋体" w:cs="宋体"/>
                <w:color w:val="auto"/>
                <w:sz w:val="24"/>
                <w:highlight w:val="none"/>
              </w:rPr>
              <w:t>项城市第一人民医院DRG智能审核管理系统采购项目</w:t>
            </w:r>
          </w:p>
        </w:tc>
        <w:tc>
          <w:tcPr>
            <w:tcW w:w="25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eastAsiaTheme="minorEastAsia"/>
                <w:color w:val="auto"/>
                <w:highlight w:val="none"/>
                <w:lang w:val="en-US" w:eastAsia="zh-CN"/>
              </w:rPr>
            </w:pPr>
            <w:r>
              <w:rPr>
                <w:rFonts w:hint="eastAsia" w:ascii="Times New Roman" w:hAnsi="Times New Roman" w:eastAsia="宋体" w:cs="Times New Roman"/>
                <w:color w:val="auto"/>
                <w:sz w:val="24"/>
                <w:highlight w:val="none"/>
                <w:lang w:val="en-US" w:eastAsia="zh-CN"/>
              </w:rPr>
              <w:t>98</w:t>
            </w:r>
          </w:p>
        </w:tc>
      </w:tr>
    </w:tbl>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采购需求：（包括但不限于标的的名称、数量、简要技术需求或服务要求等）</w:t>
      </w:r>
      <w:r>
        <w:rPr>
          <w:rFonts w:hint="eastAsia" w:ascii="宋体" w:hAnsi="宋体" w:eastAsia="宋体" w:cs="宋体"/>
          <w:color w:val="auto"/>
          <w:sz w:val="24"/>
          <w:highlight w:val="none"/>
        </w:rPr>
        <w:t>项城市第一人民医院DRG智能审核管理系统采购项目</w:t>
      </w:r>
    </w:p>
    <w:p>
      <w:pPr>
        <w:spacing w:line="360" w:lineRule="auto"/>
        <w:ind w:firstLine="480"/>
        <w:rPr>
          <w:rFonts w:hint="default" w:ascii="Times New Roman" w:hAnsi="Times New Roman" w:eastAsia="宋体" w:cs="Times New Roman"/>
          <w:color w:val="auto"/>
          <w:sz w:val="24"/>
          <w:highlight w:val="none"/>
          <w:lang w:val="en-US" w:eastAsia="zh-CN"/>
        </w:rPr>
      </w:pPr>
      <w:r>
        <w:rPr>
          <w:rFonts w:ascii="宋体" w:hAnsi="宋体" w:eastAsia="宋体" w:cs="宋体"/>
          <w:color w:val="auto"/>
          <w:sz w:val="24"/>
          <w:highlight w:val="none"/>
        </w:rPr>
        <w:t>合同履行期限：</w:t>
      </w:r>
      <w:r>
        <w:rPr>
          <w:rFonts w:hint="eastAsia" w:ascii="宋体" w:hAnsi="宋体" w:eastAsia="宋体" w:cs="宋体"/>
          <w:bCs/>
          <w:color w:val="auto"/>
          <w:sz w:val="24"/>
          <w:szCs w:val="24"/>
          <w:highlight w:val="none"/>
          <w:lang w:val="en-US" w:eastAsia="zh-CN"/>
        </w:rPr>
        <w:t>30日历天</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是否接受进口产品：否</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本项目是否接受联合体投标：否</w:t>
      </w:r>
    </w:p>
    <w:p>
      <w:pPr>
        <w:spacing w:line="360" w:lineRule="auto"/>
        <w:ind w:left="479" w:leftChars="228"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本项目是否为只面向中小企业采购：</w:t>
      </w:r>
      <w:r>
        <w:rPr>
          <w:rFonts w:hint="eastAsia" w:ascii="宋体" w:hAnsi="宋体" w:eastAsia="宋体" w:cs="宋体"/>
          <w:color w:val="auto"/>
          <w:sz w:val="24"/>
          <w:szCs w:val="24"/>
          <w:highlight w:val="none"/>
          <w:lang w:val="en-US" w:eastAsia="zh-CN"/>
        </w:rPr>
        <w:t>否</w:t>
      </w:r>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二、申请人的资格要求：</w:t>
      </w:r>
    </w:p>
    <w:p>
      <w:pPr>
        <w:spacing w:line="360" w:lineRule="auto"/>
        <w:ind w:firstLine="540"/>
        <w:rPr>
          <w:rFonts w:ascii="Times New Roman" w:hAnsi="Times New Roman" w:eastAsia="Times New Roman" w:cs="Times New Roman"/>
          <w:color w:val="auto"/>
          <w:sz w:val="24"/>
          <w:highlight w:val="none"/>
        </w:rPr>
      </w:pPr>
      <w:r>
        <w:rPr>
          <w:rFonts w:ascii="Times New Roman" w:hAnsi="Times New Roman" w:eastAsia="Times New Roman" w:cs="Times New Roman"/>
          <w:color w:val="auto"/>
          <w:sz w:val="24"/>
          <w:highlight w:val="none"/>
        </w:rPr>
        <w:t>1.</w:t>
      </w:r>
      <w:r>
        <w:rPr>
          <w:rFonts w:ascii="宋体" w:hAnsi="宋体" w:eastAsia="宋体" w:cs="宋体"/>
          <w:color w:val="auto"/>
          <w:sz w:val="24"/>
          <w:highlight w:val="none"/>
        </w:rPr>
        <w:t>满足《中华人民共和国政府采购法》第二十二条规定；</w:t>
      </w:r>
    </w:p>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w:t>
      </w:r>
      <w:r>
        <w:rPr>
          <w:rFonts w:ascii="Times New Roman" w:hAnsi="Times New Roman" w:eastAsia="Times New Roman" w:cs="Times New Roman"/>
          <w:color w:val="auto"/>
          <w:sz w:val="24"/>
          <w:highlight w:val="none"/>
        </w:rPr>
        <w:t>1</w:t>
      </w:r>
      <w:r>
        <w:rPr>
          <w:rFonts w:ascii="宋体" w:hAnsi="宋体" w:eastAsia="宋体" w:cs="宋体"/>
          <w:color w:val="auto"/>
          <w:sz w:val="24"/>
          <w:highlight w:val="none"/>
        </w:rPr>
        <w:t>）具有独立承担民事责任的能力；</w:t>
      </w:r>
      <w:r>
        <w:rPr>
          <w:rFonts w:ascii="Times New Roman" w:hAnsi="Times New Roman" w:eastAsia="Times New Roman" w:cs="Times New Roman"/>
          <w:color w:val="auto"/>
          <w:sz w:val="24"/>
          <w:highlight w:val="none"/>
        </w:rPr>
        <w:t xml:space="preserve"> </w:t>
      </w:r>
    </w:p>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w:t>
      </w:r>
      <w:r>
        <w:rPr>
          <w:rFonts w:ascii="Times New Roman" w:hAnsi="Times New Roman" w:eastAsia="Times New Roman" w:cs="Times New Roman"/>
          <w:color w:val="auto"/>
          <w:sz w:val="24"/>
          <w:highlight w:val="none"/>
        </w:rPr>
        <w:t>2</w:t>
      </w:r>
      <w:r>
        <w:rPr>
          <w:rFonts w:ascii="宋体" w:hAnsi="宋体" w:eastAsia="宋体" w:cs="宋体"/>
          <w:color w:val="auto"/>
          <w:sz w:val="24"/>
          <w:highlight w:val="none"/>
        </w:rPr>
        <w:t>）具有良好的商业信誉和健全的财务会计制度；</w:t>
      </w:r>
      <w:r>
        <w:rPr>
          <w:rFonts w:ascii="Times New Roman" w:hAnsi="Times New Roman" w:eastAsia="Times New Roman" w:cs="Times New Roman"/>
          <w:color w:val="auto"/>
          <w:sz w:val="24"/>
          <w:highlight w:val="none"/>
        </w:rPr>
        <w:t xml:space="preserve"> </w:t>
      </w:r>
    </w:p>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w:t>
      </w:r>
      <w:r>
        <w:rPr>
          <w:rFonts w:ascii="Times New Roman" w:hAnsi="Times New Roman" w:eastAsia="Times New Roman" w:cs="Times New Roman"/>
          <w:color w:val="auto"/>
          <w:sz w:val="24"/>
          <w:highlight w:val="none"/>
        </w:rPr>
        <w:t>3</w:t>
      </w:r>
      <w:r>
        <w:rPr>
          <w:rFonts w:ascii="宋体" w:hAnsi="宋体" w:eastAsia="宋体" w:cs="宋体"/>
          <w:color w:val="auto"/>
          <w:sz w:val="24"/>
          <w:highlight w:val="none"/>
        </w:rPr>
        <w:t>）具有履行合同所必需的设备和专业技术能力；</w:t>
      </w:r>
      <w:r>
        <w:rPr>
          <w:rFonts w:ascii="Times New Roman" w:hAnsi="Times New Roman" w:eastAsia="Times New Roman" w:cs="Times New Roman"/>
          <w:color w:val="auto"/>
          <w:sz w:val="24"/>
          <w:highlight w:val="none"/>
        </w:rPr>
        <w:t xml:space="preserve"> </w:t>
      </w:r>
    </w:p>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w:t>
      </w:r>
      <w:r>
        <w:rPr>
          <w:rFonts w:ascii="Times New Roman" w:hAnsi="Times New Roman" w:eastAsia="Times New Roman" w:cs="Times New Roman"/>
          <w:color w:val="auto"/>
          <w:sz w:val="24"/>
          <w:highlight w:val="none"/>
        </w:rPr>
        <w:t>4</w:t>
      </w:r>
      <w:r>
        <w:rPr>
          <w:rFonts w:ascii="宋体" w:hAnsi="宋体" w:eastAsia="宋体" w:cs="宋体"/>
          <w:color w:val="auto"/>
          <w:sz w:val="24"/>
          <w:highlight w:val="none"/>
        </w:rPr>
        <w:t>）有依法缴纳税收和社会保障资金的良好记录；</w:t>
      </w:r>
      <w:r>
        <w:rPr>
          <w:rFonts w:ascii="Times New Roman" w:hAnsi="Times New Roman" w:eastAsia="Times New Roman" w:cs="Times New Roman"/>
          <w:color w:val="auto"/>
          <w:sz w:val="24"/>
          <w:highlight w:val="none"/>
        </w:rPr>
        <w:t xml:space="preserve"> </w:t>
      </w:r>
    </w:p>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w:t>
      </w:r>
      <w:r>
        <w:rPr>
          <w:rFonts w:ascii="Times New Roman" w:hAnsi="Times New Roman" w:eastAsia="Times New Roman" w:cs="Times New Roman"/>
          <w:color w:val="auto"/>
          <w:sz w:val="24"/>
          <w:highlight w:val="none"/>
        </w:rPr>
        <w:t>5</w:t>
      </w:r>
      <w:r>
        <w:rPr>
          <w:rFonts w:ascii="宋体" w:hAnsi="宋体" w:eastAsia="宋体" w:cs="宋体"/>
          <w:color w:val="auto"/>
          <w:sz w:val="24"/>
          <w:highlight w:val="none"/>
        </w:rPr>
        <w:t>）参加政府采购活动前三年内，在经营活动中没有重大违法记录；</w:t>
      </w:r>
      <w:r>
        <w:rPr>
          <w:rFonts w:ascii="Times New Roman" w:hAnsi="Times New Roman" w:eastAsia="Times New Roman" w:cs="Times New Roman"/>
          <w:color w:val="auto"/>
          <w:sz w:val="24"/>
          <w:highlight w:val="none"/>
        </w:rPr>
        <w:t xml:space="preserve"> </w:t>
      </w:r>
    </w:p>
    <w:p>
      <w:pPr>
        <w:spacing w:line="360" w:lineRule="auto"/>
        <w:ind w:firstLine="480"/>
        <w:rPr>
          <w:rFonts w:ascii="Times New Roman" w:hAnsi="Times New Roman" w:eastAsia="Times New Roman" w:cs="Times New Roman"/>
          <w:color w:val="auto"/>
          <w:highlight w:val="none"/>
        </w:rPr>
      </w:pPr>
      <w:r>
        <w:rPr>
          <w:rFonts w:ascii="宋体" w:hAnsi="宋体" w:eastAsia="宋体" w:cs="宋体"/>
          <w:color w:val="auto"/>
          <w:sz w:val="24"/>
          <w:highlight w:val="none"/>
        </w:rPr>
        <w:t>（</w:t>
      </w:r>
      <w:r>
        <w:rPr>
          <w:rFonts w:ascii="Times New Roman" w:hAnsi="Times New Roman" w:eastAsia="Times New Roman" w:cs="Times New Roman"/>
          <w:color w:val="auto"/>
          <w:sz w:val="24"/>
          <w:highlight w:val="none"/>
        </w:rPr>
        <w:t>6</w:t>
      </w:r>
      <w:r>
        <w:rPr>
          <w:rFonts w:ascii="宋体" w:hAnsi="宋体" w:eastAsia="宋体" w:cs="宋体"/>
          <w:color w:val="auto"/>
          <w:sz w:val="24"/>
          <w:highlight w:val="none"/>
        </w:rPr>
        <w:t>）法律、行政法规规定的其他条件。</w:t>
      </w:r>
      <w:r>
        <w:rPr>
          <w:rFonts w:ascii="Times New Roman" w:hAnsi="Times New Roman" w:eastAsia="Times New Roman" w:cs="Times New Roman"/>
          <w:color w:val="auto"/>
          <w:sz w:val="24"/>
          <w:highlight w:val="none"/>
        </w:rPr>
        <w:t xml:space="preserve"> </w:t>
      </w:r>
    </w:p>
    <w:p>
      <w:pPr>
        <w:spacing w:line="360" w:lineRule="auto"/>
        <w:ind w:firstLine="540"/>
        <w:rPr>
          <w:rFonts w:ascii="Times New Roman" w:hAnsi="Times New Roman" w:eastAsia="Times New Roman" w:cs="Times New Roman"/>
          <w:color w:val="auto"/>
          <w:sz w:val="24"/>
          <w:highlight w:val="none"/>
        </w:rPr>
      </w:pPr>
      <w:r>
        <w:rPr>
          <w:rFonts w:ascii="Times New Roman" w:hAnsi="Times New Roman" w:eastAsia="Times New Roman" w:cs="Times New Roman"/>
          <w:color w:val="auto"/>
          <w:sz w:val="24"/>
          <w:highlight w:val="none"/>
        </w:rPr>
        <w:t>2.</w:t>
      </w:r>
      <w:r>
        <w:rPr>
          <w:rFonts w:ascii="宋体" w:hAnsi="宋体" w:eastAsia="宋体" w:cs="宋体"/>
          <w:color w:val="auto"/>
          <w:sz w:val="24"/>
          <w:highlight w:val="none"/>
        </w:rPr>
        <w:t>落实政府采购政策需满足的资格要求：促进中小企业和监狱企业发展扶持政策、政府强制采购节能产品强制采购、节能产品及环境标志产品优先采购、促进残疾人就业政府采购政策。</w:t>
      </w:r>
      <w:r>
        <w:rPr>
          <w:rFonts w:ascii="Times New Roman" w:hAnsi="Times New Roman" w:eastAsia="Times New Roman" w:cs="Times New Roman"/>
          <w:color w:val="auto"/>
          <w:sz w:val="24"/>
          <w:highlight w:val="none"/>
        </w:rPr>
        <w:t xml:space="preserve"> </w:t>
      </w:r>
    </w:p>
    <w:p>
      <w:pPr>
        <w:spacing w:line="360" w:lineRule="auto"/>
        <w:ind w:firstLine="480" w:firstLineChars="200"/>
        <w:jc w:val="left"/>
        <w:rPr>
          <w:rFonts w:ascii="宋体" w:hAnsi="宋体" w:eastAsia="宋体" w:cs="宋体"/>
          <w:color w:val="auto"/>
          <w:sz w:val="24"/>
          <w:szCs w:val="24"/>
          <w:highlight w:val="none"/>
        </w:rPr>
      </w:pPr>
      <w:r>
        <w:rPr>
          <w:rFonts w:ascii="Times New Roman" w:hAnsi="Times New Roman" w:eastAsia="Times New Roman" w:cs="Times New Roman"/>
          <w:color w:val="auto"/>
          <w:sz w:val="24"/>
          <w:highlight w:val="none"/>
        </w:rPr>
        <w:t>3.</w:t>
      </w:r>
      <w:r>
        <w:rPr>
          <w:rFonts w:ascii="宋体" w:hAnsi="宋体" w:eastAsia="宋体" w:cs="宋体"/>
          <w:color w:val="auto"/>
          <w:sz w:val="24"/>
          <w:highlight w:val="none"/>
        </w:rPr>
        <w:t>本项目的特定资格要求：</w:t>
      </w:r>
      <w:r>
        <w:rPr>
          <w:rFonts w:hint="eastAsia" w:ascii="宋体" w:hAnsi="宋体" w:eastAsia="宋体" w:cs="宋体"/>
          <w:color w:val="auto"/>
          <w:sz w:val="24"/>
          <w:szCs w:val="24"/>
          <w:highlight w:val="none"/>
        </w:rPr>
        <w:t>（1）根据《关于在政府采购活动中查询及使用信用记录有关问题的通知》(财库[2016]125号)和豫财购【2016】15号的规定，对列入“信用中国”网站（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"http://www.creditchina.gov.cn/"</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）的“重大税收违法失信主体”、“失信被执行人”和“中国政府采购”网站(</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)的“政府采购严重违法失信行为记录名单”的供应商，将拒绝其参加政府采购活动；在标书中附加盖公章的网页查询扫描件，查询日期为公告发布之日起至投标截止之日止。</w:t>
      </w:r>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三、获取采购文件</w:t>
      </w:r>
    </w:p>
    <w:p>
      <w:pPr>
        <w:spacing w:line="360" w:lineRule="auto"/>
        <w:ind w:firstLine="54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时间：</w:t>
      </w:r>
      <w:r>
        <w:rPr>
          <w:rFonts w:hint="eastAsia" w:ascii="宋体" w:hAnsi="宋体" w:eastAsia="宋体" w:cs="宋体"/>
          <w:color w:val="auto"/>
          <w:sz w:val="24"/>
          <w:highlight w:val="none"/>
          <w:u w:val="single"/>
          <w:lang w:val="en-US" w:eastAsia="zh-CN"/>
        </w:rPr>
        <w:t>2024</w:t>
      </w:r>
      <w:r>
        <w:rPr>
          <w:rFonts w:ascii="宋体" w:hAnsi="宋体" w:eastAsia="宋体" w:cs="宋体"/>
          <w:color w:val="auto"/>
          <w:sz w:val="24"/>
          <w:highlight w:val="none"/>
          <w:u w:val="single"/>
        </w:rPr>
        <w:t>年</w:t>
      </w:r>
      <w:r>
        <w:rPr>
          <w:rFonts w:hint="eastAsia" w:ascii="Times New Roman" w:hAnsi="Times New Roman" w:eastAsia="宋体" w:cs="Times New Roman"/>
          <w:color w:val="auto"/>
          <w:sz w:val="24"/>
          <w:highlight w:val="none"/>
          <w:u w:val="single"/>
          <w:lang w:val="en-US" w:eastAsia="zh-CN"/>
        </w:rPr>
        <w:t>4</w:t>
      </w:r>
      <w:r>
        <w:rPr>
          <w:rFonts w:ascii="宋体" w:hAnsi="宋体" w:eastAsia="宋体" w:cs="宋体"/>
          <w:color w:val="auto"/>
          <w:sz w:val="24"/>
          <w:highlight w:val="none"/>
          <w:u w:val="single"/>
        </w:rPr>
        <w:t>月</w:t>
      </w:r>
      <w:r>
        <w:rPr>
          <w:rFonts w:hint="eastAsia" w:ascii="Times New Roman" w:hAnsi="Times New Roman" w:eastAsia="宋体" w:cs="Times New Roman"/>
          <w:color w:val="auto"/>
          <w:sz w:val="24"/>
          <w:highlight w:val="none"/>
          <w:u w:val="single"/>
          <w:lang w:val="en-US" w:eastAsia="zh-CN"/>
        </w:rPr>
        <w:t>11</w:t>
      </w:r>
      <w:r>
        <w:rPr>
          <w:rFonts w:ascii="宋体" w:hAnsi="宋体" w:eastAsia="宋体" w:cs="宋体"/>
          <w:color w:val="auto"/>
          <w:sz w:val="24"/>
          <w:highlight w:val="none"/>
          <w:u w:val="single"/>
        </w:rPr>
        <w:t>日</w:t>
      </w:r>
      <w:r>
        <w:rPr>
          <w:rFonts w:ascii="宋体" w:hAnsi="宋体" w:eastAsia="宋体" w:cs="宋体"/>
          <w:color w:val="auto"/>
          <w:sz w:val="24"/>
          <w:highlight w:val="none"/>
        </w:rPr>
        <w:t>至</w:t>
      </w:r>
      <w:r>
        <w:rPr>
          <w:rFonts w:hint="eastAsia" w:ascii="Times New Roman" w:hAnsi="Times New Roman" w:eastAsia="宋体" w:cs="Times New Roman"/>
          <w:color w:val="auto"/>
          <w:sz w:val="24"/>
          <w:highlight w:val="none"/>
          <w:u w:val="single"/>
          <w:lang w:val="en-US" w:eastAsia="zh-CN"/>
        </w:rPr>
        <w:t>2024</w:t>
      </w:r>
      <w:r>
        <w:rPr>
          <w:rFonts w:ascii="宋体" w:hAnsi="宋体" w:eastAsia="宋体" w:cs="宋体"/>
          <w:color w:val="auto"/>
          <w:sz w:val="24"/>
          <w:highlight w:val="none"/>
          <w:u w:val="single"/>
        </w:rPr>
        <w:t>年</w:t>
      </w:r>
      <w:r>
        <w:rPr>
          <w:rFonts w:hint="eastAsia" w:ascii="Times New Roman" w:hAnsi="Times New Roman" w:eastAsia="宋体" w:cs="Times New Roman"/>
          <w:color w:val="auto"/>
          <w:sz w:val="24"/>
          <w:highlight w:val="none"/>
          <w:u w:val="single"/>
          <w:lang w:val="en-US" w:eastAsia="zh-CN"/>
        </w:rPr>
        <w:t>4</w:t>
      </w:r>
      <w:r>
        <w:rPr>
          <w:rFonts w:ascii="宋体" w:hAnsi="宋体" w:eastAsia="宋体" w:cs="宋体"/>
          <w:color w:val="auto"/>
          <w:sz w:val="24"/>
          <w:highlight w:val="none"/>
          <w:u w:val="single"/>
        </w:rPr>
        <w:t>月</w:t>
      </w:r>
      <w:r>
        <w:rPr>
          <w:rFonts w:hint="eastAsia" w:ascii="Times New Roman" w:hAnsi="Times New Roman" w:eastAsia="宋体" w:cs="Times New Roman"/>
          <w:color w:val="auto"/>
          <w:sz w:val="24"/>
          <w:highlight w:val="none"/>
          <w:u w:val="single"/>
          <w:lang w:val="en-US" w:eastAsia="zh-CN"/>
        </w:rPr>
        <w:t>18</w:t>
      </w:r>
      <w:r>
        <w:rPr>
          <w:rFonts w:ascii="Times New Roman" w:hAnsi="Times New Roman" w:eastAsia="Times New Roman" w:cs="Times New Roman"/>
          <w:color w:val="auto"/>
          <w:sz w:val="24"/>
          <w:highlight w:val="none"/>
          <w:u w:val="single"/>
        </w:rPr>
        <w:t xml:space="preserve"> </w:t>
      </w:r>
      <w:r>
        <w:rPr>
          <w:rFonts w:ascii="宋体" w:hAnsi="宋体" w:eastAsia="宋体" w:cs="宋体"/>
          <w:color w:val="auto"/>
          <w:sz w:val="24"/>
          <w:highlight w:val="none"/>
          <w:u w:val="single"/>
        </w:rPr>
        <w:t>日</w:t>
      </w:r>
      <w:r>
        <w:rPr>
          <w:rFonts w:ascii="宋体" w:hAnsi="宋体" w:eastAsia="宋体" w:cs="宋体"/>
          <w:color w:val="auto"/>
          <w:sz w:val="24"/>
          <w:highlight w:val="none"/>
        </w:rPr>
        <w:t>（北京时间，法定节假日除外</w:t>
      </w:r>
      <w:r>
        <w:rPr>
          <w:rFonts w:ascii="Times New Roman" w:hAnsi="Times New Roman" w:eastAsia="Times New Roman" w:cs="Times New Roman"/>
          <w:color w:val="auto"/>
          <w:sz w:val="24"/>
          <w:highlight w:val="none"/>
        </w:rPr>
        <w:t xml:space="preserve"> </w:t>
      </w:r>
      <w:r>
        <w:rPr>
          <w:rFonts w:ascii="宋体" w:hAnsi="宋体" w:eastAsia="宋体" w:cs="宋体"/>
          <w:color w:val="auto"/>
          <w:sz w:val="24"/>
          <w:highlight w:val="none"/>
        </w:rPr>
        <w:t>）</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地点：周口市公共资源交易中心网（http://jyzx.zhoukou.gov.cn）</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方式：供应商请在网站自主注册后下载采购文件（zkzf格式）及资料，需办理CA数字证书后方可提交响应文件，具体办理事宜请查阅周口市公共资源交易中心网站。</w:t>
      </w:r>
    </w:p>
    <w:p>
      <w:pPr>
        <w:spacing w:line="360" w:lineRule="auto"/>
        <w:ind w:firstLine="54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售价：</w:t>
      </w:r>
      <w:r>
        <w:rPr>
          <w:rFonts w:ascii="Times New Roman" w:hAnsi="Times New Roman" w:eastAsia="Times New Roman" w:cs="Times New Roman"/>
          <w:color w:val="auto"/>
          <w:sz w:val="24"/>
          <w:highlight w:val="none"/>
        </w:rPr>
        <w:t>0</w:t>
      </w:r>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四、响应文件提交</w:t>
      </w:r>
    </w:p>
    <w:p>
      <w:pPr>
        <w:spacing w:line="360" w:lineRule="auto"/>
        <w:ind w:firstLine="480"/>
        <w:rPr>
          <w:rFonts w:ascii="Times New Roman" w:hAnsi="Times New Roman" w:eastAsia="Times New Roman" w:cs="Times New Roman"/>
          <w:color w:val="auto"/>
          <w:sz w:val="24"/>
          <w:highlight w:val="none"/>
          <w:u w:val="single"/>
        </w:rPr>
      </w:pPr>
      <w:r>
        <w:rPr>
          <w:rFonts w:ascii="宋体" w:hAnsi="宋体" w:eastAsia="宋体" w:cs="宋体"/>
          <w:color w:val="auto"/>
          <w:sz w:val="24"/>
          <w:highlight w:val="none"/>
        </w:rPr>
        <w:t>截止时间：</w:t>
      </w:r>
      <w:r>
        <w:rPr>
          <w:rFonts w:hint="eastAsia" w:ascii="Times New Roman" w:hAnsi="Times New Roman" w:eastAsia="Times New Roman" w:cs="Times New Roman"/>
          <w:color w:val="auto"/>
          <w:sz w:val="24"/>
          <w:highlight w:val="none"/>
          <w:u w:val="none"/>
        </w:rPr>
        <w:t xml:space="preserve"> </w:t>
      </w:r>
      <w:r>
        <w:rPr>
          <w:rFonts w:hint="eastAsia" w:ascii="Times New Roman" w:hAnsi="Times New Roman" w:eastAsia="Times New Roman" w:cs="Times New Roman"/>
          <w:color w:val="auto"/>
          <w:sz w:val="24"/>
          <w:highlight w:val="none"/>
          <w:u w:val="none"/>
          <w:lang w:val="en-US" w:eastAsia="zh-CN"/>
        </w:rPr>
        <w:t>2024</w:t>
      </w:r>
      <w:r>
        <w:rPr>
          <w:rFonts w:hint="eastAsia" w:ascii="Times New Roman" w:hAnsi="Times New Roman" w:eastAsia="Times New Roman" w:cs="Times New Roman"/>
          <w:color w:val="auto"/>
          <w:sz w:val="24"/>
          <w:highlight w:val="none"/>
          <w:u w:val="none"/>
        </w:rPr>
        <w:t>年</w:t>
      </w:r>
      <w:r>
        <w:rPr>
          <w:rFonts w:hint="eastAsia" w:ascii="Times New Roman" w:hAnsi="Times New Roman" w:eastAsia="Times New Roman" w:cs="Times New Roman"/>
          <w:color w:val="auto"/>
          <w:sz w:val="24"/>
          <w:highlight w:val="none"/>
          <w:u w:val="none"/>
          <w:lang w:val="en-US" w:eastAsia="zh-CN"/>
        </w:rPr>
        <w:t>5</w:t>
      </w:r>
      <w:r>
        <w:rPr>
          <w:rFonts w:hint="eastAsia" w:ascii="Times New Roman" w:hAnsi="Times New Roman" w:eastAsia="Times New Roman" w:cs="Times New Roman"/>
          <w:color w:val="auto"/>
          <w:sz w:val="24"/>
          <w:highlight w:val="none"/>
          <w:u w:val="none"/>
        </w:rPr>
        <w:t>月</w:t>
      </w:r>
      <w:r>
        <w:rPr>
          <w:rFonts w:hint="eastAsia" w:ascii="Times New Roman" w:hAnsi="Times New Roman" w:eastAsia="Times New Roman" w:cs="Times New Roman"/>
          <w:color w:val="auto"/>
          <w:sz w:val="24"/>
          <w:highlight w:val="none"/>
          <w:u w:val="none"/>
          <w:lang w:val="en-US" w:eastAsia="zh-CN"/>
        </w:rPr>
        <w:t>6</w:t>
      </w:r>
      <w:r>
        <w:rPr>
          <w:rFonts w:hint="eastAsia" w:ascii="Times New Roman" w:hAnsi="Times New Roman" w:eastAsia="Times New Roman" w:cs="Times New Roman"/>
          <w:color w:val="auto"/>
          <w:sz w:val="24"/>
          <w:highlight w:val="none"/>
          <w:u w:val="none"/>
        </w:rPr>
        <w:t>日</w:t>
      </w:r>
      <w:r>
        <w:rPr>
          <w:rFonts w:hint="eastAsia" w:ascii="Times New Roman" w:hAnsi="Times New Roman" w:eastAsia="Times New Roman" w:cs="Times New Roman"/>
          <w:color w:val="auto"/>
          <w:sz w:val="24"/>
          <w:highlight w:val="none"/>
          <w:u w:val="none"/>
          <w:lang w:val="en-US" w:eastAsia="zh-CN"/>
        </w:rPr>
        <w:t>10</w:t>
      </w:r>
      <w:r>
        <w:rPr>
          <w:rFonts w:hint="eastAsia" w:ascii="Times New Roman" w:hAnsi="Times New Roman" w:eastAsia="Times New Roman" w:cs="Times New Roman"/>
          <w:color w:val="auto"/>
          <w:sz w:val="24"/>
          <w:highlight w:val="none"/>
          <w:u w:val="none"/>
        </w:rPr>
        <w:t>点</w:t>
      </w:r>
      <w:r>
        <w:rPr>
          <w:rFonts w:hint="eastAsia" w:ascii="Times New Roman" w:hAnsi="Times New Roman" w:eastAsia="Times New Roman" w:cs="Times New Roman"/>
          <w:color w:val="auto"/>
          <w:sz w:val="24"/>
          <w:highlight w:val="none"/>
          <w:u w:val="none"/>
          <w:lang w:val="en-US" w:eastAsia="zh-CN"/>
        </w:rPr>
        <w:t>00</w:t>
      </w:r>
      <w:r>
        <w:rPr>
          <w:rFonts w:hint="eastAsia" w:ascii="Times New Roman" w:hAnsi="Times New Roman" w:eastAsia="Times New Roman" w:cs="Times New Roman"/>
          <w:color w:val="auto"/>
          <w:sz w:val="24"/>
          <w:highlight w:val="none"/>
          <w:u w:val="none"/>
        </w:rPr>
        <w:t>分</w:t>
      </w:r>
      <w:r>
        <w:rPr>
          <w:rFonts w:ascii="宋体" w:hAnsi="宋体" w:eastAsia="宋体" w:cs="宋体"/>
          <w:color w:val="auto"/>
          <w:sz w:val="24"/>
          <w:highlight w:val="none"/>
        </w:rPr>
        <w:t>（北京时间）</w:t>
      </w:r>
    </w:p>
    <w:p>
      <w:pPr>
        <w:spacing w:line="360" w:lineRule="auto"/>
        <w:ind w:firstLine="480"/>
        <w:rPr>
          <w:rFonts w:ascii="Times New Roman" w:hAnsi="Times New Roman" w:eastAsia="Times New Roman" w:cs="Times New Roman"/>
          <w:color w:val="auto"/>
          <w:sz w:val="24"/>
          <w:highlight w:val="none"/>
          <w:u w:val="single"/>
        </w:rPr>
      </w:pPr>
      <w:r>
        <w:rPr>
          <w:rFonts w:ascii="宋体" w:hAnsi="宋体" w:eastAsia="宋体" w:cs="宋体"/>
          <w:color w:val="auto"/>
          <w:sz w:val="24"/>
          <w:highlight w:val="none"/>
        </w:rPr>
        <w:t>地点：加密电子响应文件须在投标截止时间前通过</w:t>
      </w:r>
      <w:r>
        <w:rPr>
          <w:rFonts w:ascii="宋体" w:hAnsi="宋体" w:eastAsia="宋体" w:cs="宋体"/>
          <w:color w:val="auto"/>
          <w:spacing w:val="-6"/>
          <w:sz w:val="24"/>
          <w:highlight w:val="none"/>
        </w:rPr>
        <w:t>周口市公共资源交易中心网</w:t>
      </w:r>
      <w:r>
        <w:rPr>
          <w:rFonts w:ascii="宋体" w:hAnsi="宋体" w:eastAsia="宋体" w:cs="宋体"/>
          <w:color w:val="auto"/>
          <w:sz w:val="24"/>
          <w:highlight w:val="none"/>
        </w:rPr>
        <w:t>（网址</w:t>
      </w:r>
      <w:r>
        <w:rPr>
          <w:color w:val="auto"/>
          <w:highlight w:val="none"/>
        </w:rPr>
        <w:fldChar w:fldCharType="begin"/>
      </w:r>
      <w:r>
        <w:rPr>
          <w:color w:val="auto"/>
          <w:highlight w:val="none"/>
        </w:rPr>
        <w:instrText xml:space="preserve"> HYPERLINK "http://jyzx.zhoukou.gov.cn/" \h </w:instrText>
      </w:r>
      <w:r>
        <w:rPr>
          <w:color w:val="auto"/>
          <w:highlight w:val="none"/>
        </w:rPr>
        <w:fldChar w:fldCharType="separate"/>
      </w:r>
      <w:r>
        <w:rPr>
          <w:rFonts w:ascii="Times New Roman" w:hAnsi="Times New Roman" w:eastAsia="Times New Roman" w:cs="Times New Roman"/>
          <w:color w:val="auto"/>
          <w:sz w:val="24"/>
          <w:highlight w:val="none"/>
          <w:u w:val="single"/>
        </w:rPr>
        <w:t>http://jyzx.zhoukou.gov.cn</w:t>
      </w:r>
      <w:r>
        <w:rPr>
          <w:rFonts w:ascii="Times New Roman" w:hAnsi="Times New Roman" w:eastAsia="Times New Roman" w:cs="Times New Roman"/>
          <w:color w:val="auto"/>
          <w:sz w:val="24"/>
          <w:highlight w:val="none"/>
          <w:u w:val="single"/>
        </w:rPr>
        <w:fldChar w:fldCharType="end"/>
      </w:r>
      <w:r>
        <w:rPr>
          <w:rFonts w:ascii="宋体" w:hAnsi="宋体" w:eastAsia="宋体" w:cs="宋体"/>
          <w:color w:val="auto"/>
          <w:sz w:val="24"/>
          <w:highlight w:val="none"/>
        </w:rPr>
        <w:t>）。</w:t>
      </w:r>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五、开启（竞争性磋商方式必须填写）</w:t>
      </w:r>
    </w:p>
    <w:p>
      <w:pPr>
        <w:spacing w:line="360" w:lineRule="auto"/>
        <w:ind w:firstLine="480"/>
        <w:rPr>
          <w:rFonts w:ascii="Times New Roman" w:hAnsi="Times New Roman" w:eastAsia="Times New Roman" w:cs="Times New Roman"/>
          <w:color w:val="auto"/>
          <w:sz w:val="24"/>
          <w:highlight w:val="none"/>
          <w:u w:val="single"/>
        </w:rPr>
      </w:pPr>
      <w:r>
        <w:rPr>
          <w:rFonts w:ascii="宋体" w:hAnsi="宋体" w:eastAsia="宋体" w:cs="宋体"/>
          <w:color w:val="auto"/>
          <w:sz w:val="24"/>
          <w:highlight w:val="none"/>
        </w:rPr>
        <w:t>时间：</w:t>
      </w:r>
      <w:r>
        <w:rPr>
          <w:rFonts w:hint="eastAsia" w:ascii="Times New Roman" w:hAnsi="Times New Roman" w:eastAsia="Times New Roman" w:cs="Times New Roman"/>
          <w:color w:val="auto"/>
          <w:sz w:val="24"/>
          <w:highlight w:val="none"/>
          <w:u w:val="none"/>
        </w:rPr>
        <w:t xml:space="preserve"> </w:t>
      </w:r>
      <w:r>
        <w:rPr>
          <w:rFonts w:hint="eastAsia" w:ascii="Times New Roman" w:hAnsi="Times New Roman" w:eastAsia="Times New Roman" w:cs="Times New Roman"/>
          <w:color w:val="auto"/>
          <w:sz w:val="24"/>
          <w:highlight w:val="none"/>
          <w:u w:val="none"/>
          <w:lang w:val="en-US" w:eastAsia="zh-CN"/>
        </w:rPr>
        <w:t>2024</w:t>
      </w:r>
      <w:r>
        <w:rPr>
          <w:rFonts w:hint="eastAsia" w:ascii="Times New Roman" w:hAnsi="Times New Roman" w:eastAsia="Times New Roman" w:cs="Times New Roman"/>
          <w:color w:val="auto"/>
          <w:sz w:val="24"/>
          <w:highlight w:val="none"/>
          <w:u w:val="none"/>
        </w:rPr>
        <w:t>年</w:t>
      </w:r>
      <w:r>
        <w:rPr>
          <w:rFonts w:hint="eastAsia" w:ascii="Times New Roman" w:hAnsi="Times New Roman" w:eastAsia="Times New Roman" w:cs="Times New Roman"/>
          <w:color w:val="auto"/>
          <w:sz w:val="24"/>
          <w:highlight w:val="none"/>
          <w:u w:val="none"/>
          <w:lang w:val="en-US" w:eastAsia="zh-CN"/>
        </w:rPr>
        <w:t>5</w:t>
      </w:r>
      <w:r>
        <w:rPr>
          <w:rFonts w:hint="eastAsia" w:ascii="Times New Roman" w:hAnsi="Times New Roman" w:eastAsia="Times New Roman" w:cs="Times New Roman"/>
          <w:color w:val="auto"/>
          <w:sz w:val="24"/>
          <w:highlight w:val="none"/>
          <w:u w:val="none"/>
        </w:rPr>
        <w:t>月</w:t>
      </w:r>
      <w:r>
        <w:rPr>
          <w:rFonts w:hint="eastAsia" w:ascii="Times New Roman" w:hAnsi="Times New Roman" w:eastAsia="Times New Roman" w:cs="Times New Roman"/>
          <w:color w:val="auto"/>
          <w:sz w:val="24"/>
          <w:highlight w:val="none"/>
          <w:u w:val="none"/>
          <w:lang w:val="en-US" w:eastAsia="zh-CN"/>
        </w:rPr>
        <w:t>6</w:t>
      </w:r>
      <w:r>
        <w:rPr>
          <w:rFonts w:hint="eastAsia" w:ascii="Times New Roman" w:hAnsi="Times New Roman" w:eastAsia="Times New Roman" w:cs="Times New Roman"/>
          <w:color w:val="auto"/>
          <w:sz w:val="24"/>
          <w:highlight w:val="none"/>
          <w:u w:val="none"/>
        </w:rPr>
        <w:t>日</w:t>
      </w:r>
      <w:r>
        <w:rPr>
          <w:rFonts w:hint="eastAsia" w:ascii="Times New Roman" w:hAnsi="Times New Roman" w:eastAsia="Times New Roman" w:cs="Times New Roman"/>
          <w:color w:val="auto"/>
          <w:sz w:val="24"/>
          <w:highlight w:val="none"/>
          <w:u w:val="none"/>
          <w:lang w:val="en-US" w:eastAsia="zh-CN"/>
        </w:rPr>
        <w:t>10</w:t>
      </w:r>
      <w:r>
        <w:rPr>
          <w:rFonts w:hint="eastAsia" w:ascii="Times New Roman" w:hAnsi="Times New Roman" w:eastAsia="Times New Roman" w:cs="Times New Roman"/>
          <w:color w:val="auto"/>
          <w:sz w:val="24"/>
          <w:highlight w:val="none"/>
          <w:u w:val="none"/>
        </w:rPr>
        <w:t>点</w:t>
      </w:r>
      <w:r>
        <w:rPr>
          <w:rFonts w:hint="eastAsia" w:ascii="Times New Roman" w:hAnsi="Times New Roman" w:eastAsia="Times New Roman" w:cs="Times New Roman"/>
          <w:color w:val="auto"/>
          <w:sz w:val="24"/>
          <w:highlight w:val="none"/>
          <w:u w:val="none"/>
          <w:lang w:val="en-US" w:eastAsia="zh-CN"/>
        </w:rPr>
        <w:t>00</w:t>
      </w:r>
      <w:r>
        <w:rPr>
          <w:rFonts w:hint="eastAsia" w:ascii="Times New Roman" w:hAnsi="Times New Roman" w:eastAsia="Times New Roman" w:cs="Times New Roman"/>
          <w:color w:val="auto"/>
          <w:sz w:val="24"/>
          <w:highlight w:val="none"/>
          <w:u w:val="none"/>
        </w:rPr>
        <w:t>分</w:t>
      </w:r>
      <w:r>
        <w:rPr>
          <w:rFonts w:ascii="宋体" w:hAnsi="宋体" w:eastAsia="宋体" w:cs="宋体"/>
          <w:color w:val="auto"/>
          <w:sz w:val="24"/>
          <w:highlight w:val="none"/>
        </w:rPr>
        <w:t>（北京时间）</w:t>
      </w:r>
    </w:p>
    <w:p>
      <w:pPr>
        <w:spacing w:line="360" w:lineRule="auto"/>
        <w:ind w:firstLine="480"/>
        <w:jc w:val="left"/>
        <w:rPr>
          <w:rFonts w:ascii="Times New Roman" w:hAnsi="Times New Roman" w:eastAsia="Times New Roman" w:cs="Times New Roman"/>
          <w:color w:val="auto"/>
          <w:sz w:val="24"/>
          <w:highlight w:val="none"/>
          <w:u w:val="single"/>
        </w:rPr>
      </w:pPr>
      <w:r>
        <w:rPr>
          <w:rFonts w:ascii="宋体" w:hAnsi="宋体" w:eastAsia="宋体" w:cs="宋体"/>
          <w:color w:val="auto"/>
          <w:sz w:val="24"/>
          <w:highlight w:val="none"/>
        </w:rPr>
        <w:t>地点：周口市公共资源交易中心开标室</w:t>
      </w:r>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六、公告期限</w:t>
      </w:r>
    </w:p>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自本公告发布之日起</w:t>
      </w:r>
      <w:r>
        <w:rPr>
          <w:rFonts w:ascii="Times New Roman" w:hAnsi="Times New Roman" w:eastAsia="Times New Roman" w:cs="Times New Roman"/>
          <w:color w:val="auto"/>
          <w:sz w:val="24"/>
          <w:highlight w:val="none"/>
        </w:rPr>
        <w:t>3</w:t>
      </w:r>
      <w:r>
        <w:rPr>
          <w:rFonts w:ascii="宋体" w:hAnsi="宋体" w:eastAsia="宋体" w:cs="宋体"/>
          <w:color w:val="auto"/>
          <w:sz w:val="24"/>
          <w:highlight w:val="none"/>
        </w:rPr>
        <w:t>个工作日。</w:t>
      </w:r>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七、其他补充事宜</w:t>
      </w:r>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八、凡对本次采购提出询问，请按以下方式联系。</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1.采购人信息</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称：项城市第一人民医院　　　　　　　　　　　　</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址：项城市西大街103号　　　　　　　　</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项目联系人：张森   </w:t>
      </w:r>
    </w:p>
    <w:p>
      <w:pPr>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联系方式：18238969876　　</w:t>
      </w:r>
      <w:r>
        <w:rPr>
          <w:rFonts w:ascii="宋体" w:hAnsi="宋体" w:eastAsia="宋体" w:cs="宋体"/>
          <w:color w:val="auto"/>
          <w:sz w:val="24"/>
          <w:highlight w:val="none"/>
        </w:rPr>
        <w:t xml:space="preserve">　　　　　　　　　　 </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2.采购代理机构信息</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名 称：周口市公共资源交易中心政府采购中心　　　　　　　　　　　　</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地　址：周口市光明路与政通路交叉口向北100米路东</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 xml:space="preserve">项目联系人： </w:t>
      </w:r>
      <w:r>
        <w:rPr>
          <w:rFonts w:hint="eastAsia" w:ascii="宋体" w:hAnsi="宋体" w:eastAsia="宋体" w:cs="宋体"/>
          <w:color w:val="auto"/>
          <w:sz w:val="24"/>
          <w:highlight w:val="none"/>
          <w:lang w:val="en-US" w:eastAsia="zh-CN"/>
        </w:rPr>
        <w:t>张光</w:t>
      </w:r>
      <w:r>
        <w:rPr>
          <w:rFonts w:ascii="宋体" w:hAnsi="宋体" w:eastAsia="宋体" w:cs="宋体"/>
          <w:color w:val="auto"/>
          <w:sz w:val="24"/>
          <w:highlight w:val="none"/>
        </w:rPr>
        <w:t xml:space="preserve">   联系方式：　</w:t>
      </w:r>
      <w:r>
        <w:rPr>
          <w:rFonts w:hint="eastAsia" w:ascii="宋体" w:hAnsi="宋体" w:eastAsia="宋体" w:cs="宋体"/>
          <w:color w:val="auto"/>
          <w:sz w:val="24"/>
          <w:highlight w:val="none"/>
          <w:lang w:val="en-US" w:eastAsia="zh-CN"/>
        </w:rPr>
        <w:t>0394-8106517</w:t>
      </w:r>
      <w:r>
        <w:rPr>
          <w:rFonts w:ascii="宋体" w:hAnsi="宋体" w:eastAsia="宋体" w:cs="宋体"/>
          <w:color w:val="auto"/>
          <w:sz w:val="24"/>
          <w:highlight w:val="none"/>
        </w:rPr>
        <w:t>　　　　　　　</w:t>
      </w:r>
    </w:p>
    <w:p>
      <w:pPr>
        <w:ind w:firstLine="420"/>
        <w:jc w:val="left"/>
        <w:rPr>
          <w:rFonts w:hint="eastAsia" w:ascii="宋体" w:hAnsi="宋体" w:eastAsia="宋体" w:cs="宋体"/>
          <w:color w:val="auto"/>
          <w:sz w:val="24"/>
          <w:highlight w:val="none"/>
        </w:rPr>
      </w:pPr>
      <w:r>
        <w:rPr>
          <w:rFonts w:ascii="宋体" w:hAnsi="宋体" w:eastAsia="宋体" w:cs="宋体"/>
          <w:color w:val="auto"/>
          <w:sz w:val="24"/>
          <w:highlight w:val="none"/>
        </w:rPr>
        <w:t>3.</w:t>
      </w:r>
      <w:r>
        <w:rPr>
          <w:rFonts w:hint="eastAsia" w:ascii="宋体" w:hAnsi="宋体" w:eastAsia="宋体" w:cs="宋体"/>
          <w:color w:val="auto"/>
          <w:sz w:val="24"/>
          <w:highlight w:val="none"/>
        </w:rPr>
        <w:t>监督单位：项城市财政局采购科</w:t>
      </w:r>
    </w:p>
    <w:p>
      <w:pPr>
        <w:ind w:firstLine="720" w:firstLineChars="300"/>
        <w:jc w:val="left"/>
        <w:rPr>
          <w:rFonts w:ascii="Times New Roman" w:hAnsi="Times New Roman" w:eastAsia="Times New Roman" w:cs="Times New Roman"/>
          <w:color w:val="auto"/>
          <w:sz w:val="22"/>
          <w:highlight w:val="none"/>
        </w:rPr>
      </w:pPr>
      <w:r>
        <w:rPr>
          <w:rFonts w:hint="eastAsia" w:ascii="宋体" w:hAnsi="宋体" w:eastAsia="宋体" w:cs="宋体"/>
          <w:color w:val="auto"/>
          <w:sz w:val="24"/>
          <w:highlight w:val="none"/>
        </w:rPr>
        <w:t xml:space="preserve">联系方式：0394-4315676 </w:t>
      </w:r>
    </w:p>
    <w:p>
      <w:pPr>
        <w:spacing w:after="120" w:line="360" w:lineRule="auto"/>
        <w:ind w:firstLine="2040"/>
        <w:rPr>
          <w:rFonts w:ascii="宋体" w:hAnsi="宋体" w:eastAsia="宋体" w:cs="宋体"/>
          <w:color w:val="auto"/>
          <w:sz w:val="24"/>
          <w:highlight w:val="none"/>
        </w:rPr>
      </w:pPr>
    </w:p>
    <w:p>
      <w:pPr>
        <w:spacing w:after="120" w:line="360" w:lineRule="auto"/>
        <w:ind w:firstLine="2040"/>
        <w:rPr>
          <w:rFonts w:ascii="宋体" w:hAnsi="宋体" w:eastAsia="宋体" w:cs="宋体"/>
          <w:color w:val="auto"/>
          <w:sz w:val="24"/>
          <w:highlight w:val="none"/>
        </w:rPr>
      </w:pPr>
    </w:p>
    <w:p>
      <w:pPr>
        <w:spacing w:after="120" w:line="360" w:lineRule="auto"/>
        <w:ind w:firstLine="2040"/>
        <w:rPr>
          <w:rFonts w:ascii="宋体" w:hAnsi="宋体" w:eastAsia="宋体" w:cs="宋体"/>
          <w:color w:val="auto"/>
          <w:sz w:val="24"/>
          <w:highlight w:val="none"/>
        </w:rPr>
      </w:pPr>
      <w:r>
        <w:rPr>
          <w:rFonts w:ascii="宋体" w:hAnsi="宋体" w:eastAsia="宋体" w:cs="宋体"/>
          <w:color w:val="auto"/>
          <w:sz w:val="24"/>
          <w:highlight w:val="none"/>
        </w:rPr>
        <w:t>周口市公共资源交易中心政府采购中心</w:t>
      </w:r>
    </w:p>
    <w:p>
      <w:pPr>
        <w:tabs>
          <w:tab w:val="left" w:pos="0"/>
          <w:tab w:val="left" w:pos="993"/>
          <w:tab w:val="left" w:pos="1134"/>
        </w:tabs>
        <w:ind w:firstLine="36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2024</w:t>
      </w:r>
      <w:r>
        <w:rPr>
          <w:rFonts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11</w:t>
      </w:r>
      <w:r>
        <w:rPr>
          <w:rFonts w:ascii="宋体" w:hAnsi="宋体" w:eastAsia="宋体" w:cs="宋体"/>
          <w:color w:val="auto"/>
          <w:sz w:val="24"/>
          <w:highlight w:val="none"/>
        </w:rPr>
        <w:t>日</w:t>
      </w:r>
    </w:p>
    <w:p>
      <w:pPr>
        <w:pStyle w:val="13"/>
        <w:ind w:firstLine="240"/>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tabs>
          <w:tab w:val="left" w:pos="0"/>
          <w:tab w:val="left" w:pos="993"/>
          <w:tab w:val="left" w:pos="1134"/>
        </w:tabs>
        <w:ind w:firstLine="3600"/>
        <w:rPr>
          <w:rFonts w:ascii="宋体" w:hAnsi="宋体" w:eastAsia="宋体" w:cs="宋体"/>
          <w:b/>
          <w:color w:val="auto"/>
          <w:sz w:val="24"/>
          <w:highlight w:val="none"/>
        </w:rPr>
      </w:pPr>
      <w:r>
        <w:rPr>
          <w:rFonts w:ascii="宋体" w:hAnsi="宋体" w:eastAsia="宋体" w:cs="宋体"/>
          <w:b/>
          <w:color w:val="auto"/>
          <w:sz w:val="24"/>
          <w:highlight w:val="none"/>
        </w:rPr>
        <w:br w:type="page"/>
      </w:r>
      <w:r>
        <w:rPr>
          <w:rFonts w:ascii="宋体" w:hAnsi="宋体" w:eastAsia="宋体" w:cs="宋体"/>
          <w:b/>
          <w:color w:val="auto"/>
          <w:sz w:val="24"/>
          <w:highlight w:val="none"/>
        </w:rPr>
        <w:t xml:space="preserve"> </w:t>
      </w:r>
    </w:p>
    <w:p>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第二章    供应商须知</w:t>
      </w:r>
    </w:p>
    <w:tbl>
      <w:tblPr>
        <w:tblStyle w:val="10"/>
        <w:tblW w:w="0" w:type="auto"/>
        <w:tblInd w:w="108" w:type="dxa"/>
        <w:tblLayout w:type="autofit"/>
        <w:tblCellMar>
          <w:top w:w="0" w:type="dxa"/>
          <w:left w:w="10" w:type="dxa"/>
          <w:bottom w:w="0" w:type="dxa"/>
          <w:right w:w="10" w:type="dxa"/>
        </w:tblCellMar>
      </w:tblPr>
      <w:tblGrid>
        <w:gridCol w:w="876"/>
        <w:gridCol w:w="1637"/>
        <w:gridCol w:w="5901"/>
      </w:tblGrid>
      <w:tr>
        <w:tblPrEx>
          <w:tblCellMar>
            <w:top w:w="0" w:type="dxa"/>
            <w:left w:w="10" w:type="dxa"/>
            <w:bottom w:w="0" w:type="dxa"/>
            <w:right w:w="10" w:type="dxa"/>
          </w:tblCellMar>
        </w:tblPrEx>
        <w:tc>
          <w:tcPr>
            <w:tcW w:w="93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供应商须知前附表</w:t>
            </w:r>
          </w:p>
        </w:tc>
      </w:tr>
      <w:t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  容</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项目概况</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1）项目名称：项城市第一人民医院DRG智能审核管理系统采购项目</w:t>
            </w:r>
          </w:p>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2）采购内容：DRG智能审核管理系统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服务器</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3）采购人：项城市第一人民医院</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4）采购代理机构：周口市公共资源交易中心政府采购中心</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2"/>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4" w:hanging="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对供应商的资格要求</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4" w:hanging="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见竞争性磋商邀请函</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3"/>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报价费用</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无论报价和磋商的过程和结果如何，供应商自行承担所有与参加报价及磋商有关活动的全部费用。</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4"/>
              </w:numPr>
              <w:tabs>
                <w:tab w:val="left" w:pos="420"/>
              </w:tabs>
              <w:ind w:left="420" w:hanging="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响应文件语言</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中文</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5"/>
              </w:numPr>
              <w:tabs>
                <w:tab w:val="left" w:pos="420"/>
              </w:tabs>
              <w:ind w:left="420" w:hanging="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报价货币</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人民币</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6"/>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报价范围及说明</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报价包括本项目所招标的货物、保险、税费、包装、运输、现场落地、安装、验收等（采购项目技术规格、参数及要求）</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7"/>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响应文件有效期</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响应文件递交截止期后60日内有效</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8"/>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响应文件的组成</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供应商应按本磋商文件规定的格式，填写并提供相关文件或资料，本磋商文件第三部分要求的文件和资料也须一并提供。供应商还可根据自己的理解，提供其他必要的技术响应、样本资料及附件；</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9"/>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响应文件封面要求</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0"/>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响应文件份数要求</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加密的电子投标文件须在投标截止时间前成功上传</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1"/>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响应文件装订和密封要求</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2"/>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竞争性磋商文件的澄清</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对竞争性磋商文件进行的澄清，以网上公告的方式通知供应商。澄清或修改的内容可能影响响应文件编制的，采购人、采购代理机构应当在提交响应文件截止时间至少5日前。</w:t>
            </w:r>
          </w:p>
          <w:p>
            <w:pPr>
              <w:rPr>
                <w:rFonts w:hint="eastAsia" w:asciiTheme="minorEastAsia" w:hAnsiTheme="minorEastAsia" w:eastAsiaTheme="minorEastAsia" w:cstheme="minorEastAsia"/>
                <w:color w:val="auto"/>
                <w:sz w:val="24"/>
                <w:szCs w:val="24"/>
                <w:highlight w:val="none"/>
              </w:rPr>
            </w:pP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3"/>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响应文件递交截止时间</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heme="minorEastAsia" w:hAnsiTheme="minorEastAsia" w:eastAsiaTheme="minorEastAsia" w:cstheme="minorEastAsia"/>
                <w:color w:val="auto"/>
                <w:sz w:val="24"/>
                <w:szCs w:val="24"/>
                <w:highlight w:val="none"/>
              </w:rPr>
            </w:pPr>
            <w:r>
              <w:rPr>
                <w:rFonts w:hint="eastAsia" w:ascii="Times New Roman" w:hAnsi="Times New Roman" w:eastAsia="Times New Roman" w:cs="Times New Roman"/>
                <w:color w:val="auto"/>
                <w:sz w:val="24"/>
                <w:highlight w:val="none"/>
                <w:u w:val="none"/>
              </w:rPr>
              <w:t xml:space="preserve"> </w:t>
            </w:r>
            <w:r>
              <w:rPr>
                <w:rFonts w:hint="eastAsia" w:ascii="Times New Roman" w:hAnsi="Times New Roman" w:eastAsia="Times New Roman" w:cs="Times New Roman"/>
                <w:color w:val="auto"/>
                <w:sz w:val="24"/>
                <w:highlight w:val="none"/>
                <w:u w:val="none"/>
                <w:lang w:val="en-US" w:eastAsia="zh-CN"/>
              </w:rPr>
              <w:t>2024</w:t>
            </w:r>
            <w:r>
              <w:rPr>
                <w:rFonts w:hint="eastAsia" w:ascii="Times New Roman" w:hAnsi="Times New Roman" w:eastAsia="Times New Roman" w:cs="Times New Roman"/>
                <w:color w:val="auto"/>
                <w:sz w:val="24"/>
                <w:highlight w:val="none"/>
                <w:u w:val="none"/>
              </w:rPr>
              <w:t>年</w:t>
            </w:r>
            <w:r>
              <w:rPr>
                <w:rFonts w:hint="eastAsia" w:ascii="Times New Roman" w:hAnsi="Times New Roman" w:eastAsia="Times New Roman" w:cs="Times New Roman"/>
                <w:color w:val="auto"/>
                <w:sz w:val="24"/>
                <w:highlight w:val="none"/>
                <w:u w:val="none"/>
                <w:lang w:val="en-US" w:eastAsia="zh-CN"/>
              </w:rPr>
              <w:t>5</w:t>
            </w:r>
            <w:r>
              <w:rPr>
                <w:rFonts w:hint="eastAsia" w:ascii="Times New Roman" w:hAnsi="Times New Roman" w:eastAsia="Times New Roman" w:cs="Times New Roman"/>
                <w:color w:val="auto"/>
                <w:sz w:val="24"/>
                <w:highlight w:val="none"/>
                <w:u w:val="none"/>
              </w:rPr>
              <w:t>月</w:t>
            </w:r>
            <w:r>
              <w:rPr>
                <w:rFonts w:hint="eastAsia" w:ascii="Times New Roman" w:hAnsi="Times New Roman" w:eastAsia="Times New Roman" w:cs="Times New Roman"/>
                <w:color w:val="auto"/>
                <w:sz w:val="24"/>
                <w:highlight w:val="none"/>
                <w:u w:val="none"/>
                <w:lang w:val="en-US" w:eastAsia="zh-CN"/>
              </w:rPr>
              <w:t>6</w:t>
            </w:r>
            <w:r>
              <w:rPr>
                <w:rFonts w:hint="eastAsia" w:ascii="Times New Roman" w:hAnsi="Times New Roman" w:eastAsia="Times New Roman" w:cs="Times New Roman"/>
                <w:color w:val="auto"/>
                <w:sz w:val="24"/>
                <w:highlight w:val="none"/>
                <w:u w:val="none"/>
              </w:rPr>
              <w:t>日</w:t>
            </w:r>
            <w:r>
              <w:rPr>
                <w:rFonts w:hint="eastAsia" w:ascii="Times New Roman" w:hAnsi="Times New Roman" w:eastAsia="Times New Roman" w:cs="Times New Roman"/>
                <w:color w:val="auto"/>
                <w:sz w:val="24"/>
                <w:highlight w:val="none"/>
                <w:u w:val="none"/>
                <w:lang w:val="en-US" w:eastAsia="zh-CN"/>
              </w:rPr>
              <w:t>10</w:t>
            </w:r>
            <w:r>
              <w:rPr>
                <w:rFonts w:hint="eastAsia" w:ascii="Times New Roman" w:hAnsi="Times New Roman" w:eastAsia="Times New Roman" w:cs="Times New Roman"/>
                <w:color w:val="auto"/>
                <w:sz w:val="24"/>
                <w:highlight w:val="none"/>
                <w:u w:val="none"/>
              </w:rPr>
              <w:t>点</w:t>
            </w:r>
            <w:r>
              <w:rPr>
                <w:rFonts w:hint="eastAsia" w:ascii="Times New Roman" w:hAnsi="Times New Roman" w:eastAsia="Times New Roman" w:cs="Times New Roman"/>
                <w:color w:val="auto"/>
                <w:sz w:val="24"/>
                <w:highlight w:val="none"/>
                <w:u w:val="none"/>
                <w:lang w:val="en-US" w:eastAsia="zh-CN"/>
              </w:rPr>
              <w:t>00</w:t>
            </w:r>
            <w:r>
              <w:rPr>
                <w:rFonts w:hint="eastAsia" w:ascii="Times New Roman" w:hAnsi="Times New Roman" w:eastAsia="Times New Roman" w:cs="Times New Roman"/>
                <w:color w:val="auto"/>
                <w:sz w:val="24"/>
                <w:highlight w:val="none"/>
                <w:u w:val="none"/>
              </w:rPr>
              <w:t>分</w:t>
            </w:r>
            <w:r>
              <w:rPr>
                <w:rFonts w:hint="eastAsia" w:asciiTheme="minorEastAsia" w:hAnsiTheme="minorEastAsia" w:eastAsiaTheme="minorEastAsia" w:cstheme="minorEastAsia"/>
                <w:color w:val="auto"/>
                <w:sz w:val="24"/>
                <w:szCs w:val="24"/>
                <w:highlight w:val="none"/>
              </w:rPr>
              <w:t xml:space="preserve">  （见磋商公告） </w:t>
            </w:r>
          </w:p>
        </w:tc>
      </w:tr>
      <w:tr>
        <w:tblPrEx>
          <w:tblCellMar>
            <w:top w:w="0" w:type="dxa"/>
            <w:left w:w="10" w:type="dxa"/>
            <w:bottom w:w="0" w:type="dxa"/>
            <w:right w:w="10" w:type="dxa"/>
          </w:tblCellMar>
        </w:tblPrEx>
        <w:trPr>
          <w:trHeight w:val="842"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4"/>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响应文件递交地点</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周口市公共资源交易中心网</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网址：周口市公共资源电子交易服务平台会员系统（网址http://jyzx.zhoukou.gov.cn）</w:t>
            </w:r>
          </w:p>
          <w:p>
            <w:pPr>
              <w:spacing w:line="5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（本项目实行网上远程开标无须到现场提交响应文件）</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5"/>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磋商时间</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2"/>
              <w:rPr>
                <w:rFonts w:hint="eastAsia" w:asciiTheme="minorEastAsia" w:hAnsiTheme="minorEastAsia" w:eastAsiaTheme="minorEastAsia" w:cstheme="minorEastAsia"/>
                <w:color w:val="auto"/>
                <w:sz w:val="24"/>
                <w:szCs w:val="24"/>
                <w:highlight w:val="none"/>
              </w:rPr>
            </w:pPr>
            <w:r>
              <w:rPr>
                <w:rFonts w:hint="eastAsia" w:ascii="Times New Roman" w:hAnsi="Times New Roman" w:eastAsia="Times New Roman" w:cs="Times New Roman"/>
                <w:color w:val="auto"/>
                <w:sz w:val="24"/>
                <w:highlight w:val="none"/>
                <w:u w:val="none"/>
              </w:rPr>
              <w:t xml:space="preserve"> </w:t>
            </w:r>
            <w:r>
              <w:rPr>
                <w:rFonts w:hint="eastAsia" w:ascii="Times New Roman" w:hAnsi="Times New Roman" w:eastAsia="Times New Roman" w:cs="Times New Roman"/>
                <w:color w:val="auto"/>
                <w:sz w:val="24"/>
                <w:highlight w:val="none"/>
                <w:u w:val="none"/>
                <w:lang w:val="en-US" w:eastAsia="zh-CN"/>
              </w:rPr>
              <w:t>2024</w:t>
            </w:r>
            <w:r>
              <w:rPr>
                <w:rFonts w:hint="eastAsia" w:ascii="Times New Roman" w:hAnsi="Times New Roman" w:eastAsia="Times New Roman" w:cs="Times New Roman"/>
                <w:color w:val="auto"/>
                <w:sz w:val="24"/>
                <w:highlight w:val="none"/>
                <w:u w:val="none"/>
              </w:rPr>
              <w:t>年</w:t>
            </w:r>
            <w:r>
              <w:rPr>
                <w:rFonts w:hint="eastAsia" w:ascii="Times New Roman" w:hAnsi="Times New Roman" w:eastAsia="Times New Roman" w:cs="Times New Roman"/>
                <w:color w:val="auto"/>
                <w:sz w:val="24"/>
                <w:highlight w:val="none"/>
                <w:u w:val="none"/>
                <w:lang w:val="en-US" w:eastAsia="zh-CN"/>
              </w:rPr>
              <w:t>5</w:t>
            </w:r>
            <w:r>
              <w:rPr>
                <w:rFonts w:hint="eastAsia" w:ascii="Times New Roman" w:hAnsi="Times New Roman" w:eastAsia="Times New Roman" w:cs="Times New Roman"/>
                <w:color w:val="auto"/>
                <w:sz w:val="24"/>
                <w:highlight w:val="none"/>
                <w:u w:val="none"/>
              </w:rPr>
              <w:t>月</w:t>
            </w:r>
            <w:r>
              <w:rPr>
                <w:rFonts w:hint="eastAsia" w:ascii="Times New Roman" w:hAnsi="Times New Roman" w:eastAsia="Times New Roman" w:cs="Times New Roman"/>
                <w:color w:val="auto"/>
                <w:sz w:val="24"/>
                <w:highlight w:val="none"/>
                <w:u w:val="none"/>
                <w:lang w:val="en-US" w:eastAsia="zh-CN"/>
              </w:rPr>
              <w:t>6</w:t>
            </w:r>
            <w:r>
              <w:rPr>
                <w:rFonts w:hint="eastAsia" w:ascii="Times New Roman" w:hAnsi="Times New Roman" w:eastAsia="Times New Roman" w:cs="Times New Roman"/>
                <w:color w:val="auto"/>
                <w:sz w:val="24"/>
                <w:highlight w:val="none"/>
                <w:u w:val="none"/>
              </w:rPr>
              <w:t>日</w:t>
            </w:r>
            <w:r>
              <w:rPr>
                <w:rFonts w:hint="eastAsia" w:ascii="Times New Roman" w:hAnsi="Times New Roman" w:eastAsia="Times New Roman" w:cs="Times New Roman"/>
                <w:color w:val="auto"/>
                <w:sz w:val="24"/>
                <w:highlight w:val="none"/>
                <w:u w:val="none"/>
                <w:lang w:val="en-US" w:eastAsia="zh-CN"/>
              </w:rPr>
              <w:t>10</w:t>
            </w:r>
            <w:r>
              <w:rPr>
                <w:rFonts w:hint="eastAsia" w:ascii="Times New Roman" w:hAnsi="Times New Roman" w:eastAsia="Times New Roman" w:cs="Times New Roman"/>
                <w:color w:val="auto"/>
                <w:sz w:val="24"/>
                <w:highlight w:val="none"/>
                <w:u w:val="none"/>
              </w:rPr>
              <w:t>点</w:t>
            </w:r>
            <w:r>
              <w:rPr>
                <w:rFonts w:hint="eastAsia" w:ascii="Times New Roman" w:hAnsi="Times New Roman" w:eastAsia="Times New Roman" w:cs="Times New Roman"/>
                <w:color w:val="auto"/>
                <w:sz w:val="24"/>
                <w:highlight w:val="none"/>
                <w:u w:val="none"/>
                <w:lang w:val="en-US" w:eastAsia="zh-CN"/>
              </w:rPr>
              <w:t>00</w:t>
            </w:r>
            <w:r>
              <w:rPr>
                <w:rFonts w:hint="eastAsia" w:ascii="Times New Roman" w:hAnsi="Times New Roman" w:eastAsia="Times New Roman" w:cs="Times New Roman"/>
                <w:color w:val="auto"/>
                <w:sz w:val="24"/>
                <w:highlight w:val="none"/>
                <w:u w:val="none"/>
              </w:rPr>
              <w:t>分</w:t>
            </w:r>
            <w:bookmarkStart w:id="60" w:name="_GoBack"/>
            <w:bookmarkEnd w:id="60"/>
            <w:r>
              <w:rPr>
                <w:rFonts w:hint="eastAsia" w:asciiTheme="minorEastAsia" w:hAnsiTheme="minorEastAsia" w:eastAsiaTheme="minorEastAsia" w:cstheme="minorEastAsia"/>
                <w:color w:val="auto"/>
                <w:sz w:val="24"/>
                <w:szCs w:val="24"/>
                <w:highlight w:val="none"/>
              </w:rPr>
              <w:t xml:space="preserve">    见磋商公告</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6"/>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磋商程序和内容</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详见磋商文件第二章</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7"/>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授予合同</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采购人根据磋商小组的推荐意见，由采购人确定成交供应商。采购代理机构向成交供应商发出成交通知书。</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8"/>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1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签订合同</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本磋商文件、响应文件及磋商、评审过程中有关澄清、承诺文件的内容，将作为签订合同的主要内容。</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9"/>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投标保证金</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不需要缴纳投标保证金（按照相关文件要求货物、服务类政府采购活动不收取投标保证金、履约、质量保证金、合同中预留资金作为质量保证金等无法律依据的保证金。政府采购工程推广以承诺书替代保证金）。</w:t>
            </w:r>
          </w:p>
          <w:p>
            <w:pPr>
              <w:rPr>
                <w:rFonts w:hint="eastAsia" w:asciiTheme="minorEastAsia" w:hAnsiTheme="minorEastAsia" w:eastAsiaTheme="minorEastAsia" w:cstheme="minorEastAsia"/>
                <w:color w:val="auto"/>
                <w:sz w:val="24"/>
                <w:szCs w:val="24"/>
                <w:highlight w:val="none"/>
              </w:rPr>
            </w:pPr>
          </w:p>
        </w:tc>
      </w:tr>
      <w:tr>
        <w:tblPrEx>
          <w:tblCellMar>
            <w:top w:w="0" w:type="dxa"/>
            <w:left w:w="10" w:type="dxa"/>
            <w:bottom w:w="0" w:type="dxa"/>
            <w:right w:w="1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20"/>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供货周期</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Cs/>
                <w:color w:val="auto"/>
                <w:sz w:val="24"/>
                <w:szCs w:val="24"/>
                <w:highlight w:val="none"/>
              </w:rPr>
              <w:t>合同签订后</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个月内</w:t>
            </w:r>
          </w:p>
        </w:tc>
      </w:tr>
      <w:tr>
        <w:tblPrEx>
          <w:tblCellMar>
            <w:top w:w="0" w:type="dxa"/>
            <w:left w:w="10" w:type="dxa"/>
            <w:bottom w:w="0" w:type="dxa"/>
            <w:right w:w="10" w:type="dxa"/>
          </w:tblCellMar>
        </w:tblPrEx>
        <w:trPr>
          <w:trHeight w:val="1148"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21"/>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付款方式</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详细付款方式：</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系统到货完成安装调试、投入运行、并经验收合格后，甲方向乙方支付合同总额的90%货款，剩余10%货款一年后一次性付清。</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22"/>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勘察现场</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不组织</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23"/>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1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14"/>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一次报价</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23"/>
              </w:numPr>
              <w:tabs>
                <w:tab w:val="left" w:pos="420"/>
              </w:tabs>
              <w:ind w:left="420" w:hanging="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24</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14"/>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本项目所属行业</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14"/>
              <w:jc w:val="both"/>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工业</w:t>
            </w:r>
          </w:p>
        </w:tc>
      </w:tr>
    </w:tbl>
    <w:p>
      <w:pPr>
        <w:tabs>
          <w:tab w:val="left" w:pos="0"/>
          <w:tab w:val="left" w:pos="993"/>
          <w:tab w:val="left" w:pos="1134"/>
        </w:tabs>
        <w:rPr>
          <w:rFonts w:ascii="宋体" w:hAnsi="宋体" w:eastAsia="宋体" w:cs="宋体"/>
          <w:b/>
          <w:color w:val="auto"/>
          <w:sz w:val="24"/>
          <w:highlight w:val="none"/>
        </w:rPr>
      </w:pPr>
    </w:p>
    <w:p>
      <w:pPr>
        <w:spacing w:line="720" w:lineRule="auto"/>
        <w:jc w:val="center"/>
        <w:rPr>
          <w:rFonts w:ascii="宋体" w:hAnsi="宋体" w:eastAsia="宋体" w:cs="宋体"/>
          <w:b/>
          <w:color w:val="auto"/>
          <w:sz w:val="24"/>
          <w:highlight w:val="none"/>
        </w:rPr>
      </w:pPr>
    </w:p>
    <w:p>
      <w:pPr>
        <w:spacing w:line="720" w:lineRule="auto"/>
        <w:rPr>
          <w:rFonts w:ascii="宋体" w:hAnsi="宋体" w:eastAsia="宋体" w:cs="宋体"/>
          <w:b/>
          <w:color w:val="auto"/>
          <w:sz w:val="24"/>
          <w:highlight w:val="none"/>
        </w:rPr>
      </w:pPr>
    </w:p>
    <w:p>
      <w:pPr>
        <w:pStyle w:val="13"/>
        <w:ind w:firstLine="210"/>
        <w:rPr>
          <w:color w:val="auto"/>
          <w:highlight w:val="none"/>
        </w:rPr>
      </w:pPr>
    </w:p>
    <w:p>
      <w:pPr>
        <w:pStyle w:val="13"/>
        <w:ind w:firstLine="210"/>
        <w:jc w:val="center"/>
        <w:rPr>
          <w:rFonts w:ascii="宋体" w:hAnsi="宋体" w:eastAsia="宋体" w:cs="宋体"/>
          <w:b/>
          <w:color w:val="auto"/>
          <w:sz w:val="24"/>
          <w:highlight w:val="none"/>
        </w:rPr>
      </w:pPr>
      <w:r>
        <w:rPr>
          <w:rFonts w:hint="eastAsia"/>
          <w:color w:val="auto"/>
          <w:highlight w:val="none"/>
        </w:rPr>
        <w:br w:type="page"/>
      </w:r>
      <w:r>
        <w:rPr>
          <w:rFonts w:ascii="宋体" w:hAnsi="宋体" w:eastAsia="宋体" w:cs="宋体"/>
          <w:b/>
          <w:color w:val="auto"/>
          <w:sz w:val="24"/>
          <w:highlight w:val="none"/>
        </w:rPr>
        <w:t>一、总则</w:t>
      </w:r>
    </w:p>
    <w:p>
      <w:pPr>
        <w:spacing w:line="560" w:lineRule="auto"/>
        <w:ind w:firstLine="482"/>
        <w:rPr>
          <w:rFonts w:ascii="宋体" w:hAnsi="宋体" w:eastAsia="宋体" w:cs="宋体"/>
          <w:color w:val="auto"/>
          <w:sz w:val="24"/>
          <w:highlight w:val="none"/>
        </w:rPr>
      </w:pPr>
      <w:r>
        <w:rPr>
          <w:rFonts w:ascii="宋体" w:hAnsi="宋体" w:eastAsia="宋体" w:cs="宋体"/>
          <w:b/>
          <w:color w:val="auto"/>
          <w:sz w:val="24"/>
          <w:highlight w:val="none"/>
        </w:rPr>
        <w:t>1．适用范围</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1.1本竞争性磋商文件仅适用于本次竞争性磋商邀请函中所述项目。</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2．定义</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2.1“采购代理机构”：周口市公共资源交易中心政府采购中心。</w:t>
      </w:r>
    </w:p>
    <w:p>
      <w:pPr>
        <w:tabs>
          <w:tab w:val="left" w:pos="0"/>
        </w:tabs>
        <w:spacing w:line="560" w:lineRule="auto"/>
        <w:ind w:firstLine="480"/>
        <w:rPr>
          <w:rFonts w:hint="default" w:ascii="宋体" w:hAnsi="宋体" w:eastAsia="宋体" w:cs="宋体"/>
          <w:color w:val="auto"/>
          <w:sz w:val="24"/>
          <w:highlight w:val="none"/>
          <w:lang w:val="en-US" w:eastAsia="zh-CN"/>
        </w:rPr>
      </w:pPr>
      <w:r>
        <w:rPr>
          <w:rFonts w:ascii="宋体" w:hAnsi="宋体" w:eastAsia="宋体" w:cs="宋体"/>
          <w:color w:val="auto"/>
          <w:sz w:val="24"/>
          <w:highlight w:val="none"/>
        </w:rPr>
        <w:t>2.2“采购人”：</w:t>
      </w:r>
      <w:r>
        <w:rPr>
          <w:rFonts w:hint="eastAsia" w:ascii="宋体" w:hAnsi="宋体" w:eastAsia="宋体" w:cs="宋体"/>
          <w:color w:val="auto"/>
          <w:sz w:val="24"/>
          <w:highlight w:val="none"/>
          <w:lang w:val="en-US" w:eastAsia="zh-CN"/>
        </w:rPr>
        <w:t>项城市第一人民医院</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2.3“供应商”系指按竞争性磋商文件规定取得竞争性磋商文件并参加竞争性磋商活动的法人、其他组织或者自然人。</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2.4“供应商代表”：系指代表供应商参加本次竞争性磋商活动的供应商的法定代表人或其委托代理人。</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2.5“货物“：系指各种形态和种类的物品，包括原材料、燃料、设备、产品等，包括与之相关的备品备件、工具、手册及安装、调试、技术协助、校准、培训、验收、售后服务等。</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2.6“法定代表人”系指法人单位（企业）法人营业执照（或事业法人登记证书上）上注明的法定代表人；如为其他组织或个体经营者参加竞争性磋商会的，指营业执照上注明的负责人或经营者。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2.7“重大违法记录”系指供应商因违法经营受到刑事处罚或者责令停产停业、吊销许可证或者执照、较大数额罚款等行政处罚。</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2.8“不具备良好的商业信誉”是指：</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（1）有重大违法记录的（满三年的除外）；</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（2）被各级财政部门列入政府采购严重违法失信行为信息记录的（期限已满的除外）；</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（3）被各级政府采购监督管理部门禁止在一定期限内参加政府采购活动等处罚的（期限已满的除外）；</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（4）被各级法院列入失信名单的（已依法解除的除外）；</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（5）法律法规规定的其他情形。</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3.采购预算</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3.1本次采购预算：见公告。</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4.合格的供应商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4.1.1符合供应商资格条件（详见第一部分供应商资格条件）</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shd w:val="clear" w:color="auto" w:fill="FFFFFF"/>
        </w:rPr>
        <w:t>4.1.2</w:t>
      </w:r>
      <w:r>
        <w:rPr>
          <w:rFonts w:ascii="宋体" w:hAnsi="宋体" w:eastAsia="宋体" w:cs="宋体"/>
          <w:color w:val="auto"/>
          <w:sz w:val="24"/>
          <w:highlight w:val="none"/>
        </w:rPr>
        <w:t>参加政府采购活动前三年内，在经营活动中没有重大违法记录的声明函</w:t>
      </w:r>
      <w:r>
        <w:rPr>
          <w:rFonts w:ascii="宋体" w:hAnsi="宋体" w:eastAsia="宋体" w:cs="宋体"/>
          <w:color w:val="auto"/>
          <w:sz w:val="24"/>
          <w:highlight w:val="none"/>
          <w:shd w:val="clear" w:color="auto" w:fill="FFFFFF"/>
        </w:rPr>
        <w:t>；</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4.1.3 政府采购供应商诚信承诺书；</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4.1.4 供应商自觉抵制政府采购领域商业贿赂行为承诺书；</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4.2 供应商需提供售后服务体系与承诺。</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4.3符合本竞争性磋商文件规定的供应商资格要求及项目要求的其它条件，并按照要求提供相关证明材料。</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4.4供应商应遵守国家法律、法规有关竞争性磋商的规定。</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4.5 凡通过磋商小组符合性审查的供应商均为合格供应商。未通过符合性审查的供应商将视为不响应本项目的竞争性磋商文件被否决。</w:t>
      </w:r>
    </w:p>
    <w:p>
      <w:pPr>
        <w:spacing w:line="560" w:lineRule="auto"/>
        <w:ind w:firstLine="480"/>
        <w:rPr>
          <w:rFonts w:hint="eastAsia" w:ascii="宋体" w:hAnsi="宋体" w:eastAsia="宋体" w:cs="宋体"/>
          <w:color w:val="auto"/>
          <w:sz w:val="24"/>
          <w:highlight w:val="none"/>
          <w:lang w:val="en-US" w:eastAsia="zh-CN"/>
        </w:rPr>
      </w:pPr>
      <w:r>
        <w:rPr>
          <w:rFonts w:ascii="宋体" w:hAnsi="宋体" w:eastAsia="宋体" w:cs="宋体"/>
          <w:color w:val="auto"/>
          <w:sz w:val="24"/>
          <w:highlight w:val="none"/>
        </w:rPr>
        <w:t xml:space="preserve">   4.6 （是否要求现场进行实地勘查）</w:t>
      </w:r>
      <w:r>
        <w:rPr>
          <w:rFonts w:hint="eastAsia" w:ascii="宋体" w:hAnsi="宋体" w:eastAsia="宋体" w:cs="宋体"/>
          <w:color w:val="auto"/>
          <w:sz w:val="24"/>
          <w:highlight w:val="none"/>
          <w:lang w:val="en-US" w:eastAsia="zh-CN"/>
        </w:rPr>
        <w:t>不组织</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注：单位负责人为同一人或者存在直接控股、管理关系的不同供应商，不得参加同一合同项下的政府采购活动。</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 xml:space="preserve">5.竞争性磋商文件的约束力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5.l供应商一旦参加竞争性磋商，即被认为接受了本竞争性磋商文件中的所有条款和规定。</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5.3本磋商文件由采购人负责解释。</w:t>
      </w:r>
    </w:p>
    <w:p>
      <w:pPr>
        <w:tabs>
          <w:tab w:val="left" w:pos="0"/>
          <w:tab w:val="left" w:pos="993"/>
          <w:tab w:val="left" w:pos="1134"/>
        </w:tabs>
        <w:ind w:firstLine="480"/>
        <w:rPr>
          <w:rFonts w:ascii="宋体" w:hAnsi="宋体" w:eastAsia="宋体" w:cs="宋体"/>
          <w:color w:val="auto"/>
          <w:sz w:val="24"/>
          <w:highlight w:val="none"/>
        </w:rPr>
      </w:pPr>
    </w:p>
    <w:p>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二、竞争性磋商文件</w:t>
      </w:r>
    </w:p>
    <w:p>
      <w:pPr>
        <w:tabs>
          <w:tab w:val="left" w:pos="632"/>
          <w:tab w:val="left" w:pos="790"/>
        </w:tabs>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6．竞争性磋商文件的组成</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6.1竞争性磋商文件是用以阐明的采购需求、采购程序和合同格式等的规范性文件。竞争性磋商文件主要由以下部分组成：</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（1）竞争性磋商邀请函；</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（2）供应商须知；</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（3）采购需求；</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（4）响应性文件内容及格式；</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（5）合同主要条款。</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r>
        <w:rPr>
          <w:rFonts w:hint="eastAsia" w:ascii="宋体" w:hAnsi="宋体" w:eastAsia="宋体" w:cs="宋体"/>
          <w:color w:val="auto"/>
          <w:sz w:val="24"/>
          <w:highlight w:val="none"/>
        </w:rPr>
        <w:t>供应商如对竞争性蹉商文件无异议，响应文件中附无异议确认书。</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6.3供应商被视为充分熟悉本采购项目所在地的与履行合同有关的各种情况，包括自然环境、气候条件、劳动力及公用设施等，本竞争性磋商文件不再对上述情况进行描述。</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6.4供应商必须详阅竞争性磋商文件的所有条款、文件及表格格式等。供应商若未按竞争性磋商文件的要求和规范编制、提交响应性文件，将有可能导致响应性文件被拒绝接受或被视为无效。</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7.竞争性磋商文件的澄清与修改</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三、响应性文件的编制</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8.要求</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8.2任何对竞争性磋商文件的忽略或误解不能作为响应性文件没有完全响应竞争性磋商文件的有效理由。</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8.3供应商没有按照竞争性磋商文件要求提供全部资料，或者供应商没有对竞争性磋商文件在各方面都作出实质性响应是供应商的风险，并可能导致其响应性文件被拒绝。</w:t>
      </w:r>
    </w:p>
    <w:p>
      <w:pPr>
        <w:spacing w:line="5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8.4参与竞争性磋商活动的各供应商应对竞争性磋商文件和竞争性磋商响应文件中的商业和技术等秘密保密，违者应对由此造成的后果承担法律责任。对上述作出书面承诺并附在响应文件中，否则视为不响应竞争性磋商文件的要求。</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 xml:space="preserve">9.响应性文件的语言及度量衡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9.1响应性文件以及供应商与采购代理机构之间的所有书面往来都应用简体中文书写。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9.2供应商使用其他语言的，以中文翻译为准。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9.3关于计量单位，竞争性磋商文件已有明确规定的，使用竞争性磋商文件规定的计量单位；竞争性磋商文件没有规定的，应采用中华人民共和国法定计量单位。</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9.4本竞争性磋商文件所表述的时间均为北京时间。</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10.响应性文件的组成</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10.1响应性文件由</w:t>
      </w:r>
      <w:r>
        <w:rPr>
          <w:rFonts w:ascii="宋体" w:hAnsi="宋体" w:eastAsia="宋体" w:cs="宋体"/>
          <w:color w:val="auto"/>
          <w:sz w:val="24"/>
          <w:highlight w:val="none"/>
          <w:u w:val="single"/>
        </w:rPr>
        <w:t>资格性证明材料</w:t>
      </w:r>
      <w:r>
        <w:rPr>
          <w:rFonts w:ascii="宋体" w:hAnsi="宋体" w:eastAsia="宋体" w:cs="宋体"/>
          <w:color w:val="auto"/>
          <w:sz w:val="24"/>
          <w:highlight w:val="none"/>
        </w:rPr>
        <w:t>、</w:t>
      </w:r>
      <w:r>
        <w:rPr>
          <w:rFonts w:ascii="宋体" w:hAnsi="宋体" w:eastAsia="宋体" w:cs="宋体"/>
          <w:color w:val="auto"/>
          <w:sz w:val="24"/>
          <w:highlight w:val="none"/>
          <w:u w:val="single"/>
        </w:rPr>
        <w:t>符合性证明材料</w:t>
      </w:r>
      <w:r>
        <w:rPr>
          <w:rFonts w:ascii="宋体" w:hAnsi="宋体" w:eastAsia="宋体" w:cs="宋体"/>
          <w:color w:val="auto"/>
          <w:sz w:val="24"/>
          <w:highlight w:val="none"/>
        </w:rPr>
        <w:t>、</w:t>
      </w:r>
      <w:r>
        <w:rPr>
          <w:rFonts w:ascii="宋体" w:hAnsi="宋体" w:eastAsia="宋体" w:cs="宋体"/>
          <w:color w:val="auto"/>
          <w:sz w:val="24"/>
          <w:highlight w:val="none"/>
          <w:u w:val="single"/>
        </w:rPr>
        <w:t>其他材料</w:t>
      </w:r>
      <w:r>
        <w:rPr>
          <w:rFonts w:ascii="宋体" w:hAnsi="宋体" w:eastAsia="宋体" w:cs="宋体"/>
          <w:color w:val="auto"/>
          <w:sz w:val="24"/>
          <w:highlight w:val="none"/>
        </w:rPr>
        <w:t>三部分组成。具体内容和格式见竞争性磋商文件第四章。</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11.响应性文件格式</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12.竞争性磋商报价</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12.1报价包括所投货物、保险、税费、包装、运输、现场落地、安装及安装损耗、调试、检测、验收和交付后约定期限内免费维保等工作所发生的一切应有费用。</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12.2经过磋商后进行的报价为供应商的最终报价。</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12.3采购人不接受有选择的报价。</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12.4最终报价不得超过采购预算。</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12.5报价均须以人民币为计算单位。</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 xml:space="preserve">13．响应性文件有效期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13.l响应性文件有效期为自竞争性磋商开始之日起60天，有效期短于此规定的响应性文件将被视为无效。</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13.2特殊情况下，采购人可于响应性文件有效期满之前书面要求供应商同意延长有效期，供应商应在采购人规定的期限内以书面形式予以答复。供应商答复不明确或逾期未答复的，均视为拒绝上述要求。</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14.响应性文件的签署、盖章</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14.1响应性文件中凡是要求签署和加盖公章处均须由供应商的法定代表人或其委托代理人签字并加盖供应商公章。本竞争性磋商文件所表述（指定）的公章是指法人（供应商）行政公章，不包括专用章。</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14.2响应性文件应无涂改和行间插字，除非这些改动是为改正供应商造成的必须修改的错误进行的。有改动时，修改处应由供应商代表签署证明或加盖公章，但非供应商出具的材料，供应商改动无效。</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14.3供应商提交的资料应证明其满足竞争性磋商文件要求，该文件可以是文字资料、图纸和数据等详细描述的资料。</w:t>
      </w:r>
    </w:p>
    <w:p>
      <w:pPr>
        <w:spacing w:line="360" w:lineRule="auto"/>
        <w:ind w:firstLine="550"/>
        <w:rPr>
          <w:color w:val="auto"/>
          <w:highlight w:val="none"/>
        </w:rPr>
      </w:pPr>
      <w:r>
        <w:rPr>
          <w:rFonts w:hint="eastAsia" w:ascii="宋体" w:hAnsi="宋体" w:eastAsia="宋体" w:cs="宋体"/>
          <w:color w:val="auto"/>
          <w:sz w:val="24"/>
          <w:highlight w:val="none"/>
        </w:rPr>
        <w:t>15</w:t>
      </w:r>
      <w:r>
        <w:rPr>
          <w:rFonts w:hint="eastAsia" w:ascii="宋体" w:hAnsi="宋体" w:cs="宋体"/>
          <w:color w:val="auto"/>
          <w:sz w:val="24"/>
          <w:highlight w:val="none"/>
        </w:rPr>
        <w:t>电子投标文件制作，见周口市公共资源交易中心网站下载中心版块《投标单位-电子投标文件视频制作手册》的相关规定。</w:t>
      </w:r>
    </w:p>
    <w:p>
      <w:pPr>
        <w:pStyle w:val="13"/>
        <w:ind w:firstLine="210"/>
        <w:rPr>
          <w:color w:val="auto"/>
          <w:highlight w:val="none"/>
        </w:rPr>
      </w:pPr>
    </w:p>
    <w:p>
      <w:pPr>
        <w:numPr>
          <w:ilvl w:val="0"/>
          <w:numId w:val="24"/>
        </w:numPr>
        <w:tabs>
          <w:tab w:val="left" w:pos="720"/>
        </w:tabs>
        <w:spacing w:line="720" w:lineRule="auto"/>
        <w:ind w:left="720" w:hanging="720"/>
        <w:jc w:val="center"/>
        <w:rPr>
          <w:rFonts w:ascii="宋体" w:hAnsi="宋体" w:eastAsia="宋体" w:cs="宋体"/>
          <w:b/>
          <w:color w:val="auto"/>
          <w:sz w:val="24"/>
          <w:highlight w:val="none"/>
        </w:rPr>
      </w:pPr>
      <w:r>
        <w:rPr>
          <w:rFonts w:ascii="宋体" w:hAnsi="宋体" w:eastAsia="宋体" w:cs="宋体"/>
          <w:b/>
          <w:color w:val="auto"/>
          <w:sz w:val="24"/>
          <w:highlight w:val="none"/>
        </w:rPr>
        <w:t>响应性文件的递交</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注：加密的电子投标文件的递交，见周口市公共资源交易中心网站下载中心版块《投标单位-电子投标文件视频制作手册》的相关规定。如未在招标文件规定的投标时间截止前上传网上响应文件，投标无效。</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供应商须使用单位CA证书进行电子响应文件远程解密，详见周口市公共资源电子交易中心网站（网址：http://jyzx.zhoukou.gov.cn）办事指南《不见面开标远程在线解密会员端操作手册操作指南》。</w:t>
      </w:r>
    </w:p>
    <w:p>
      <w:pPr>
        <w:spacing w:line="560" w:lineRule="auto"/>
        <w:rPr>
          <w:rFonts w:ascii="宋体" w:hAnsi="宋体" w:eastAsia="宋体" w:cs="宋体"/>
          <w:b/>
          <w:color w:val="auto"/>
          <w:sz w:val="24"/>
          <w:highlight w:val="none"/>
        </w:rPr>
      </w:pPr>
      <w:r>
        <w:rPr>
          <w:rFonts w:ascii="宋体" w:hAnsi="宋体" w:eastAsia="宋体" w:cs="宋体"/>
          <w:b/>
          <w:color w:val="auto"/>
          <w:sz w:val="24"/>
          <w:highlight w:val="none"/>
        </w:rPr>
        <w:t>16.响应性文件的递交</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16.1供应商应在竞争性磋商邀请函中规定的截止日期和时间前，将响应性文件在会员系统成功上传，递交（接收）地点为竞争性磋商邀请函中规定的地址。</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16.2若采购人推迟了响应性文件接收截止时间，采购人和供应商受响应性文件接收截止时间制约的所有权利和义务均应以新的截止时间为准。 </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17.响应性文件的修改和撤回</w:t>
      </w:r>
    </w:p>
    <w:p>
      <w:pPr>
        <w:spacing w:line="560" w:lineRule="auto"/>
        <w:ind w:left="279" w:firstLine="240"/>
        <w:rPr>
          <w:rFonts w:ascii="宋体" w:hAnsi="宋体" w:eastAsia="宋体" w:cs="宋体"/>
          <w:b/>
          <w:color w:val="auto"/>
          <w:sz w:val="24"/>
          <w:highlight w:val="none"/>
        </w:rPr>
      </w:pPr>
      <w:r>
        <w:rPr>
          <w:rFonts w:ascii="宋体" w:hAnsi="宋体" w:eastAsia="宋体" w:cs="宋体"/>
          <w:color w:val="auto"/>
          <w:sz w:val="24"/>
          <w:highlight w:val="none"/>
        </w:rPr>
        <w:t>17.1供应商在提交响应性文件截止时间前，可以对已上传的响应文件进行撤回补充、修改或撤回，补充、修改，之后进行再次上传，再次上传内容作为响应性文件的组成部分。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17.2响应性文件的补充、修改文件应按照本竞争性磋商文件有关规定进行密封、签署，修改后的加密的电子投标文件须在投标截止时间前成功上传。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17.3供应商在响应性文件接收截止时间后不得修改、撤回响应性文件。供应商在响应性文件接收截止时间后修改响应性文件的，将被拒绝接受。</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17.4供应商有下列情形之一的，采购人将拒绝接受其响应性文件：</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17.4.1在竞争性磋商文件规定的响应性文件接收截止时间之后递交响应性文件的；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17.4.2响应性文件未按竞争性磋商文件规定密封、签署、盖章的；</w:t>
      </w:r>
    </w:p>
    <w:p>
      <w:pPr>
        <w:spacing w:line="560" w:lineRule="auto"/>
        <w:ind w:firstLine="480"/>
        <w:rPr>
          <w:rFonts w:ascii="宋体" w:hAnsi="宋体" w:eastAsia="宋体" w:cs="宋体"/>
          <w:b/>
          <w:color w:val="auto"/>
          <w:sz w:val="24"/>
          <w:highlight w:val="none"/>
        </w:rPr>
      </w:pPr>
      <w:r>
        <w:rPr>
          <w:rFonts w:ascii="宋体" w:hAnsi="宋体" w:eastAsia="宋体" w:cs="宋体"/>
          <w:color w:val="auto"/>
          <w:sz w:val="24"/>
          <w:highlight w:val="none"/>
        </w:rPr>
        <w:t>17.4.3一个供应商不止递交一套响应性文件的。</w:t>
      </w:r>
    </w:p>
    <w:p>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五、竞争性磋商</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18.组建竞争性磋商小组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18.1采购人根据采购项目的特点依法组建竞争性磋商小组。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18.2竞争性磋商小组确认竞争性磋商文件，并负责具体评审事务，根据有关法律法规和竞争性磋商文件规定的评审程序，按照评审方法及评审标准独立履行竞争性磋商小组职责。</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19.资格性和符合性审查</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pPr>
        <w:spacing w:line="560" w:lineRule="auto"/>
        <w:ind w:firstLine="480"/>
        <w:rPr>
          <w:rFonts w:ascii="宋体" w:hAnsi="宋体" w:eastAsia="宋体" w:cs="宋体"/>
          <w:b/>
          <w:color w:val="auto"/>
          <w:sz w:val="24"/>
          <w:highlight w:val="none"/>
        </w:rPr>
      </w:pPr>
      <w:r>
        <w:rPr>
          <w:rFonts w:ascii="宋体" w:hAnsi="宋体" w:eastAsia="宋体" w:cs="宋体"/>
          <w:color w:val="auto"/>
          <w:sz w:val="24"/>
          <w:highlight w:val="none"/>
        </w:rPr>
        <w:t>19.1.1资格性审查的内容包括：竞争性磋商文件规定的供应商资格条件；</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19.2.1符合性审查的内容包括：</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（1）响应性文件的有效性(签署情况等)；</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（2）响应性文件的完整性；</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（3）对竞争性磋商文件的响应程度（是否存在重大负偏离等）。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u w:val="single"/>
        </w:rPr>
        <w:t>以上资格性审查和符合性审查的内容只要有一条不满足，则响应性文件无效，将不进入竞争性磋商程序。</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注意事项：资格性、符合性证明材料见竞争性磋商文件第四章规定。</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19.3实质性响应的响应性文件是指与竞争性磋商文件的全部条款、条件和规格相符，没有重大偏离；重大负偏离的认定须经竞争性磋商小组三分之二以上同意。</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19.5如果响应性文件实质上没有响应竞争性磋商文件的要求，将作为无效处理，供应商不得再对响应性文件进行任何修正从而使其响应性文件成为实质上响应的文件；</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19.6竞争性磋商小组审定响应性文件的响应性只根据响应性文件本身的内容而不寻求外部证据。</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19.7凡有下列情况之一的，其响应性文件也被视为未实质性响应竞争性磋商文件，按照无效处理（不再参加竞争性磋商）：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19.7.1未按竞争性磋商文件规定要求签署、盖章的；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19.7.2资格证明文件不全的，或不符合竞争性磋商文件中规定的资格要求的；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19.7.3供应商代表未能出具有效身份证明，或与身份不符的；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19.7.4不符合竞争性磋商文件规定的实质性要求的；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19.7.5响应性文件内容不齐全或内容虚假的；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19.7.6响应性文件的实质性内容未使用中文表述；</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19.7.7响应性文件的内容修改处未按规定签名或盖章的；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19.7.8违反法律、行政法规、竞争性磋商文件规定的其他情形的。</w:t>
      </w:r>
    </w:p>
    <w:p>
      <w:pPr>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19.7.9</w:t>
      </w:r>
      <w:r>
        <w:rPr>
          <w:rFonts w:hint="eastAsia" w:ascii="宋体" w:hAnsi="宋体" w:eastAsia="宋体" w:cs="宋体"/>
          <w:color w:val="auto"/>
          <w:sz w:val="24"/>
          <w:highlight w:val="none"/>
        </w:rPr>
        <w:t>不同供应商的电子投标（响应）文件上传计算机的网卡 MAC 地址、CPU 序列号和硬盘序列号等硬件信息相同的;</w:t>
      </w:r>
    </w:p>
    <w:p>
      <w:pPr>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19.7.10</w:t>
      </w:r>
      <w:r>
        <w:rPr>
          <w:rFonts w:hint="eastAsia" w:ascii="宋体" w:hAnsi="宋体" w:eastAsia="宋体" w:cs="宋体"/>
          <w:color w:val="auto"/>
          <w:sz w:val="24"/>
          <w:highlight w:val="none"/>
        </w:rPr>
        <w:t>不同供应商的投标（响应）文件由同一电子设备编制，打印、复印、加密或者上传的；</w:t>
      </w:r>
    </w:p>
    <w:p>
      <w:pPr>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19.7.11</w:t>
      </w:r>
      <w:r>
        <w:rPr>
          <w:rFonts w:hint="eastAsia" w:ascii="宋体" w:hAnsi="宋体" w:eastAsia="宋体" w:cs="宋体"/>
          <w:color w:val="auto"/>
          <w:sz w:val="24"/>
          <w:highlight w:val="none"/>
        </w:rPr>
        <w:t>不同供应商的投标（响应）文件由同一人送达或者分发，或者不同供应商联系人为同一人或不同联系人的联系电话一致的；</w:t>
      </w:r>
    </w:p>
    <w:p>
      <w:pPr>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19.7.12</w:t>
      </w:r>
      <w:r>
        <w:rPr>
          <w:rFonts w:hint="eastAsia" w:ascii="宋体" w:hAnsi="宋体" w:eastAsia="宋体" w:cs="宋体"/>
          <w:color w:val="auto"/>
          <w:sz w:val="24"/>
          <w:highlight w:val="none"/>
        </w:rPr>
        <w:t>不同供应商的投标（响应）文件的内容存在两处以上细节错误一致；</w:t>
      </w:r>
    </w:p>
    <w:p>
      <w:pPr>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19.7.13</w:t>
      </w:r>
      <w:r>
        <w:rPr>
          <w:rFonts w:hint="eastAsia" w:ascii="宋体" w:hAnsi="宋体" w:eastAsia="宋体" w:cs="宋体"/>
          <w:color w:val="auto"/>
          <w:sz w:val="24"/>
          <w:highlight w:val="none"/>
        </w:rPr>
        <w:t>不同供应商的法定代表人、委托代理人、项目经理、项目负责人等由同一个单位缴纳社会保险或者领取报酬的；</w:t>
      </w:r>
    </w:p>
    <w:p>
      <w:pPr>
        <w:spacing w:line="360" w:lineRule="auto"/>
        <w:ind w:firstLine="480" w:firstLineChars="200"/>
        <w:rPr>
          <w:rFonts w:eastAsia="宋体"/>
          <w:color w:val="auto"/>
          <w:highlight w:val="none"/>
        </w:rPr>
      </w:pPr>
      <w:r>
        <w:rPr>
          <w:rFonts w:hint="eastAsia" w:ascii="宋体" w:hAnsi="宋体" w:cs="宋体"/>
          <w:color w:val="auto"/>
          <w:sz w:val="24"/>
          <w:highlight w:val="none"/>
        </w:rPr>
        <w:t>19.7.14</w:t>
      </w:r>
      <w:r>
        <w:rPr>
          <w:rFonts w:hint="eastAsia" w:ascii="宋体" w:hAnsi="宋体" w:eastAsia="宋体" w:cs="宋体"/>
          <w:color w:val="auto"/>
          <w:sz w:val="24"/>
          <w:highlight w:val="none"/>
        </w:rPr>
        <w:t>不同供应商投标（响应）文件中法定代表人或者负责人签字出自同一人之手。</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19.8在评审过程中，竞争性磋商小组发现供应商有下列情形之一的，视为供应商相互串通，按照无效处理并依据法律、法规追究其相关责任。具体表现形式如下：</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19.8.1不同供应商的响应性文件互相混装的；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19.8.2不同供应商授权同一人作为供应商委托代理人的；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19.8.3不同供应商的响应性文件载明的项目管理成员为同一人的；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19.8.4有证据证明供应商与采购人、采购代理机构或者其他供应商串通的其他情形；</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19.8.5竞争性磋商小组认定的其他串通情形。</w:t>
      </w:r>
    </w:p>
    <w:p>
      <w:pPr>
        <w:spacing w:line="560" w:lineRule="auto"/>
        <w:ind w:firstLine="480"/>
        <w:rPr>
          <w:rFonts w:ascii="宋体" w:hAnsi="宋体" w:eastAsia="宋体" w:cs="宋体"/>
          <w:color w:val="auto"/>
          <w:sz w:val="24"/>
          <w:highlight w:val="none"/>
        </w:rPr>
      </w:pPr>
    </w:p>
    <w:p>
      <w:pPr>
        <w:rPr>
          <w:rFonts w:ascii="宋体" w:hAnsi="宋体" w:eastAsia="宋体" w:cs="宋体"/>
          <w:color w:val="auto"/>
          <w:sz w:val="24"/>
          <w:highlight w:val="none"/>
        </w:rPr>
      </w:pPr>
    </w:p>
    <w:tbl>
      <w:tblPr>
        <w:tblStyle w:val="10"/>
        <w:tblW w:w="0" w:type="auto"/>
        <w:tblInd w:w="108" w:type="dxa"/>
        <w:tblLayout w:type="autofit"/>
        <w:tblCellMar>
          <w:top w:w="0" w:type="dxa"/>
          <w:left w:w="10" w:type="dxa"/>
          <w:bottom w:w="0" w:type="dxa"/>
          <w:right w:w="10" w:type="dxa"/>
        </w:tblCellMar>
      </w:tblPr>
      <w:tblGrid>
        <w:gridCol w:w="703"/>
        <w:gridCol w:w="2640"/>
        <w:gridCol w:w="1913"/>
        <w:gridCol w:w="819"/>
        <w:gridCol w:w="2339"/>
      </w:tblGrid>
      <w:tr>
        <w:tblPrEx>
          <w:tblCellMar>
            <w:top w:w="0" w:type="dxa"/>
            <w:left w:w="10" w:type="dxa"/>
            <w:bottom w:w="0" w:type="dxa"/>
            <w:right w:w="10" w:type="dxa"/>
          </w:tblCellMar>
        </w:tblPrEx>
        <w:trPr>
          <w:cantSplit/>
        </w:trPr>
        <w:tc>
          <w:tcPr>
            <w:tcW w:w="850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153"/>
                <w:tab w:val="left" w:pos="8306"/>
              </w:tabs>
              <w:spacing w:line="360" w:lineRule="auto"/>
              <w:ind w:right="-10"/>
              <w:jc w:val="center"/>
              <w:rPr>
                <w:rFonts w:ascii="宋体" w:hAnsi="宋体" w:eastAsia="宋体" w:cs="宋体"/>
                <w:color w:val="auto"/>
                <w:highlight w:val="none"/>
              </w:rPr>
            </w:pPr>
            <w:r>
              <w:rPr>
                <w:rFonts w:ascii="宋体" w:hAnsi="宋体" w:eastAsia="宋体" w:cs="宋体"/>
                <w:b/>
                <w:color w:val="auto"/>
                <w:sz w:val="24"/>
                <w:highlight w:val="none"/>
              </w:rPr>
              <w:t>项目符合性审查表</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序号</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153"/>
                <w:tab w:val="left" w:pos="8306"/>
              </w:tabs>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指标名称</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指标要求</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sz w:val="24"/>
                <w:highlight w:val="none"/>
              </w:rPr>
            </w:pPr>
            <w:r>
              <w:rPr>
                <w:rFonts w:ascii="宋体" w:hAnsi="宋体" w:eastAsia="宋体" w:cs="宋体"/>
                <w:color w:val="auto"/>
                <w:sz w:val="24"/>
                <w:highlight w:val="none"/>
              </w:rPr>
              <w:t>是否</w:t>
            </w:r>
          </w:p>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通过</w:t>
            </w: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sz w:val="24"/>
                <w:highlight w:val="none"/>
              </w:rPr>
            </w:pPr>
            <w:r>
              <w:rPr>
                <w:rFonts w:ascii="宋体" w:hAnsi="宋体" w:eastAsia="宋体" w:cs="宋体"/>
                <w:color w:val="auto"/>
                <w:sz w:val="24"/>
                <w:highlight w:val="none"/>
              </w:rPr>
              <w:t>投标文件格式及</w:t>
            </w:r>
          </w:p>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提交资料要求</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营业执照</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法定代表人及身份证</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纳税凭证和社保证明</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财务审计报告</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5</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“信用中国”“中国政府采购网”查询</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6</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投标文件签字盖章格式</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7</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合格供应商的声明函和承诺书</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8</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供货期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9</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投标有效期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10</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货物技术要求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其他实质性要求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sz w:val="22"/>
                <w:highlight w:val="none"/>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sz w:val="22"/>
                <w:highlight w:val="none"/>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sz w:val="22"/>
                <w:highlight w:val="none"/>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sz w:val="22"/>
                <w:highlight w:val="none"/>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结论</w:t>
            </w:r>
          </w:p>
        </w:tc>
        <w:tc>
          <w:tcPr>
            <w:tcW w:w="513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是否通过审查</w:t>
            </w:r>
          </w:p>
        </w:tc>
      </w:tr>
    </w:tbl>
    <w:p>
      <w:pPr>
        <w:rPr>
          <w:rFonts w:ascii="宋体" w:hAnsi="宋体" w:eastAsia="宋体" w:cs="宋体"/>
          <w:color w:val="auto"/>
          <w:sz w:val="24"/>
          <w:highlight w:val="none"/>
        </w:rPr>
      </w:pPr>
    </w:p>
    <w:p>
      <w:pPr>
        <w:rPr>
          <w:rFonts w:ascii="宋体" w:hAnsi="宋体" w:eastAsia="宋体" w:cs="宋体"/>
          <w:color w:val="auto"/>
          <w:sz w:val="24"/>
          <w:highlight w:val="none"/>
        </w:rPr>
      </w:pP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20.响应性文件的澄清</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20.3供应商拒不进行澄清、说明、补正的，或者不能在竞争性磋商小组规定时间内作出书面澄清、说明、补正的，其响应性文件将被作为无效处理。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20.4供应商的书面澄清材料作为响应性文件的补充。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20.5竞争性磋商小组不得接受供应商主动提出的澄清和解释。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20.6并非每个供应商都将被询问、澄清。</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21.竞争性磋商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21.1资格性审查和符合性审查合格的供应商，将进入本次竞争性磋商程序。</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21.2竞争性磋商将按照供应商的签到顺序进行。</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21.3磋商内容包括：</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21.3.1按照竞争性磋商文件中商务部分的内容，对照供应商提交的响应文件逐一进行比较各项指标和要求。</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21.3.2按照竞争性磋商文件中技术部分的内容，对照供应商提交的响应文件逐一进行比较各项指标和要求。</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21.3.3按照竞争性磋商文件中合同条款部分的内容，对照供应商提交的响应文件逐一进行比较各项指标和要求。</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21.3.4在磋商中，磋商的任何一方不得透露与磋商有关的其他供应商的技术资料及其他信息。</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21.4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21.4.1对竞争性磋商文件作出实质性变动是竞争性磋商文件的有效组成部分，竞争性磋商小组应当及时以书面形式同时通知所有参加竞争性磋商的供应商。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21.4.2供应商应当按照竞争性磋商文件的变动情况和竞争性磋商小组的要求重新提交响应性文件，并由其法定代表人或授权代表签字或者加盖公章。</w:t>
      </w:r>
    </w:p>
    <w:p>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21.5报价</w:t>
      </w:r>
    </w:p>
    <w:p>
      <w:pPr>
        <w:spacing w:line="560" w:lineRule="exact"/>
        <w:ind w:firstLine="480" w:firstLineChars="200"/>
        <w:rPr>
          <w:rFonts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一次报价依据</w:t>
      </w:r>
      <w:r>
        <w:rPr>
          <w:rFonts w:hint="eastAsia" w:ascii="宋体" w:hAnsi="宋体" w:eastAsia="宋体" w:cs="宋体"/>
          <w:color w:val="auto"/>
          <w:sz w:val="24"/>
          <w:highlight w:val="none"/>
        </w:rPr>
        <w:t>是</w:t>
      </w:r>
      <w:r>
        <w:rPr>
          <w:rFonts w:hint="eastAsia" w:ascii="宋体" w:hAnsi="宋体" w:eastAsia="宋体" w:cs="宋体"/>
          <w:color w:val="auto"/>
          <w:sz w:val="24"/>
          <w:highlight w:val="none"/>
          <w:lang w:val="zh-CN"/>
        </w:rPr>
        <w:t>供应商的投标函和开标记。</w:t>
      </w:r>
    </w:p>
    <w:p>
      <w:pPr>
        <w:spacing w:line="560" w:lineRule="exact"/>
        <w:ind w:firstLine="480" w:firstLineChars="200"/>
        <w:rPr>
          <w:rFonts w:ascii="宋体" w:hAnsi="宋体" w:eastAsia="宋体" w:cs="宋体"/>
          <w:color w:val="auto"/>
          <w:sz w:val="24"/>
          <w:highlight w:val="none"/>
          <w:lang w:val="zh-CN"/>
        </w:rPr>
      </w:pPr>
      <w:r>
        <w:rPr>
          <w:rFonts w:hint="eastAsia" w:ascii="宋体" w:hAnsi="宋体" w:eastAsia="宋体" w:cs="宋体"/>
          <w:color w:val="auto"/>
          <w:sz w:val="24"/>
          <w:highlight w:val="none"/>
        </w:rPr>
        <w:t>2.如有多次报价，</w:t>
      </w:r>
      <w:r>
        <w:rPr>
          <w:rFonts w:hint="eastAsia" w:ascii="宋体" w:hAnsi="宋体" w:eastAsia="宋体" w:cs="宋体"/>
          <w:color w:val="auto"/>
          <w:sz w:val="24"/>
          <w:highlight w:val="none"/>
          <w:lang w:val="zh-CN"/>
        </w:rPr>
        <w:t>资格评审过通后的供应商须使用本单位CA锁在网上系统进行二次或多次报价（请在周口市公共资源交易中心网站报名系统等待报价），每次的报价由供应商自定，评审小组不作限制，但每次的报价不得高于上次报价（可以等于或小于）。</w:t>
      </w:r>
      <w:r>
        <w:rPr>
          <w:rFonts w:hint="eastAsia" w:ascii="宋体" w:hAnsi="宋体" w:eastAsia="宋体" w:cs="宋体"/>
          <w:color w:val="auto"/>
          <w:sz w:val="24"/>
          <w:highlight w:val="none"/>
        </w:rPr>
        <w:t>报价次数见供应商须知前附表。</w:t>
      </w:r>
    </w:p>
    <w:p>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开标后请供应商在计算前等待报价，网上报价</w:t>
      </w:r>
      <w:r>
        <w:rPr>
          <w:rFonts w:hint="eastAsia" w:ascii="宋体" w:hAnsi="宋体" w:eastAsia="宋体" w:cs="宋体"/>
          <w:color w:val="auto"/>
          <w:sz w:val="24"/>
          <w:highlight w:val="none"/>
          <w:lang w:val="zh-CN"/>
        </w:rPr>
        <w:t>，见周口市公共资源交易中心</w:t>
      </w:r>
      <w:r>
        <w:rPr>
          <w:rFonts w:hint="eastAsia" w:ascii="宋体" w:hAnsi="宋体" w:eastAsia="宋体" w:cs="宋体"/>
          <w:color w:val="auto"/>
          <w:sz w:val="24"/>
          <w:highlight w:val="none"/>
        </w:rPr>
        <w:t>网站下载中心版块</w:t>
      </w:r>
      <w:r>
        <w:rPr>
          <w:rFonts w:hint="eastAsia" w:ascii="宋体" w:hAnsi="宋体" w:eastAsia="宋体" w:cs="宋体"/>
          <w:color w:val="auto"/>
          <w:sz w:val="24"/>
          <w:highlight w:val="none"/>
          <w:lang w:val="zh-CN"/>
        </w:rPr>
        <w:t>《投标</w:t>
      </w:r>
      <w:r>
        <w:rPr>
          <w:rFonts w:hint="eastAsia" w:ascii="宋体" w:hAnsi="宋体" w:eastAsia="宋体" w:cs="宋体"/>
          <w:color w:val="auto"/>
          <w:sz w:val="24"/>
          <w:highlight w:val="none"/>
        </w:rPr>
        <w:t>单位-电子投标文件视频制作手册》</w:t>
      </w:r>
      <w:r>
        <w:rPr>
          <w:rFonts w:hint="eastAsia" w:cs="宋体"/>
          <w:color w:val="auto"/>
          <w:sz w:val="24"/>
          <w:highlight w:val="none"/>
        </w:rPr>
        <w:t>中的《周口市公共资源交易系统政府采购供应商操作手册》相关规定。</w:t>
      </w:r>
    </w:p>
    <w:p>
      <w:pPr>
        <w:spacing w:line="560" w:lineRule="auto"/>
        <w:rPr>
          <w:rFonts w:ascii="宋体" w:hAnsi="宋体" w:eastAsia="宋体" w:cs="宋体"/>
          <w:b/>
          <w:color w:val="auto"/>
          <w:sz w:val="24"/>
          <w:highlight w:val="none"/>
        </w:rPr>
      </w:pPr>
    </w:p>
    <w:p>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六、评定标准</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22.竞争性磋商过程及保密原则</w:t>
      </w:r>
    </w:p>
    <w:p>
      <w:pPr>
        <w:spacing w:line="4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22.1磋商小组采用综合评分法对有效供应商的响应文件和报价进行评审。磋商委员会按照投标人综合得分由高到低推荐中标候选人，采购人将从评委会推荐的中标候选人中依次选取成交供应商。</w:t>
      </w:r>
    </w:p>
    <w:p>
      <w:pPr>
        <w:spacing w:line="4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采购代理机构在评标结束后2个工作日内将评标报告送采购人。采购人自收到评标报告之日起</w:t>
      </w:r>
      <w:r>
        <w:rPr>
          <w:rFonts w:hint="eastAsia" w:ascii="宋体" w:hAnsi="宋体" w:eastAsia="宋体" w:cs="宋体"/>
          <w:color w:val="auto"/>
          <w:sz w:val="24"/>
          <w:highlight w:val="none"/>
          <w:lang w:val="en-US" w:eastAsia="zh-CN"/>
        </w:rPr>
        <w:t>5</w:t>
      </w:r>
      <w:r>
        <w:rPr>
          <w:rFonts w:ascii="宋体" w:hAnsi="宋体" w:eastAsia="宋体" w:cs="宋体"/>
          <w:color w:val="auto"/>
          <w:sz w:val="24"/>
          <w:highlight w:val="none"/>
        </w:rPr>
        <w:t>个工作日内，在评标报告确定的中标候选人名单中确定中标人。</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22.2对通过初步审查的响应文件，采用百分制综合评分法进行评价。</w:t>
      </w:r>
    </w:p>
    <w:p>
      <w:pPr>
        <w:spacing w:line="360" w:lineRule="auto"/>
        <w:ind w:right="-92"/>
        <w:rPr>
          <w:rFonts w:ascii="宋体" w:hAnsi="宋体" w:eastAsia="宋体" w:cs="宋体"/>
          <w:color w:val="auto"/>
          <w:sz w:val="24"/>
          <w:highlight w:val="none"/>
        </w:rPr>
      </w:pPr>
      <w:r>
        <w:rPr>
          <w:rFonts w:ascii="宋体" w:hAnsi="宋体" w:eastAsia="宋体" w:cs="宋体"/>
          <w:color w:val="auto"/>
          <w:sz w:val="24"/>
          <w:highlight w:val="none"/>
        </w:rPr>
        <w:t>评标方法：</w:t>
      </w:r>
    </w:p>
    <w:p>
      <w:pPr>
        <w:tabs>
          <w:tab w:val="left" w:pos="0"/>
          <w:tab w:val="left" w:pos="993"/>
          <w:tab w:val="left" w:pos="1134"/>
        </w:tabs>
        <w:ind w:firstLine="480"/>
        <w:rPr>
          <w:rFonts w:ascii="宋体" w:hAnsi="宋体" w:eastAsia="宋体" w:cs="宋体"/>
          <w:color w:val="auto"/>
          <w:sz w:val="24"/>
          <w:highlight w:val="none"/>
        </w:rPr>
      </w:pPr>
    </w:p>
    <w:tbl>
      <w:tblPr>
        <w:tblStyle w:val="10"/>
        <w:tblW w:w="9359" w:type="dxa"/>
        <w:jc w:val="center"/>
        <w:tblLayout w:type="autofit"/>
        <w:tblCellMar>
          <w:top w:w="0" w:type="dxa"/>
          <w:left w:w="10" w:type="dxa"/>
          <w:bottom w:w="0" w:type="dxa"/>
          <w:right w:w="10" w:type="dxa"/>
        </w:tblCellMar>
      </w:tblPr>
      <w:tblGrid>
        <w:gridCol w:w="1548"/>
        <w:gridCol w:w="2329"/>
        <w:gridCol w:w="3249"/>
        <w:gridCol w:w="2233"/>
      </w:tblGrid>
      <w:tr>
        <w:tblPrEx>
          <w:tblCellMar>
            <w:top w:w="0" w:type="dxa"/>
            <w:left w:w="10" w:type="dxa"/>
            <w:bottom w:w="0" w:type="dxa"/>
            <w:right w:w="10" w:type="dxa"/>
          </w:tblCellMar>
        </w:tblPrEx>
        <w:trPr>
          <w:trHeight w:val="192" w:hRule="atLeast"/>
          <w:jc w:val="center"/>
        </w:trPr>
        <w:tc>
          <w:tcPr>
            <w:tcW w:w="154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评分指标</w:t>
            </w:r>
          </w:p>
        </w:tc>
        <w:tc>
          <w:tcPr>
            <w:tcW w:w="232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分值</w:t>
            </w:r>
          </w:p>
        </w:tc>
        <w:tc>
          <w:tcPr>
            <w:tcW w:w="324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指标说明及评分标准</w:t>
            </w:r>
          </w:p>
        </w:tc>
        <w:tc>
          <w:tcPr>
            <w:tcW w:w="223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评分依据</w:t>
            </w:r>
          </w:p>
        </w:tc>
      </w:tr>
      <w:tr>
        <w:tblPrEx>
          <w:tblCellMar>
            <w:top w:w="0" w:type="dxa"/>
            <w:left w:w="10" w:type="dxa"/>
            <w:bottom w:w="0" w:type="dxa"/>
            <w:right w:w="10" w:type="dxa"/>
          </w:tblCellMar>
        </w:tblPrEx>
        <w:trPr>
          <w:trHeight w:val="2309" w:hRule="atLeast"/>
          <w:jc w:val="center"/>
        </w:trPr>
        <w:tc>
          <w:tcPr>
            <w:tcW w:w="154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报价得分（30分）</w:t>
            </w:r>
          </w:p>
        </w:tc>
        <w:tc>
          <w:tcPr>
            <w:tcW w:w="232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（30分）</w:t>
            </w:r>
          </w:p>
        </w:tc>
        <w:tc>
          <w:tcPr>
            <w:tcW w:w="5482"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满足磋商文件要求且最后报价最低的供应商的价格为磋商基准价，其价格分为满分。其他供应商的价格分统一按照下列公式计算：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磋商报价得分=（磋商基准价/最后磋商报价）×价格权值（30分）×100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备注：价格分计算保留小数点后二位。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1.若供应商投标价格均超过控制价，做废标处理。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2.对小型、微型、监狱企业、残疾人福利性单位投标报价给予10%的扣除，用扣除后的价格参与评审。参加本项目的中小企业应当提供《中小企业声明函》（格式详见《政府采购促进中小企业发展管理办法》）。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没有提供证明材料的供应商将被视为不接受评标报价的扣除，用原投标报价参与评审。监狱企业参加政府采购活动时，应当提供由省级以上监狱管理局、戒毒管理局（含新疆生产建设兵团）出具的属于监狱企业的证明文件。没有提供证明材料的供应商将被视为不接受评标报价的扣除，用原投标报价参与评审。根据财库〔2017〕141 号《三部门联合发布关于促进残疾人就业政府采购政策的通知》残疾人福利性单位视同小型、微型企业，残疾人福利性单位在参加政府采购活动时提供《残疾人福利性单位声明函》，不再提供《中小微企业声明函》，供应商在《残疾人福利性单位声明函》中的承诺如有虚假，其中标资格将被取消，并根据相关规定进行处罚。</w:t>
            </w:r>
          </w:p>
        </w:tc>
      </w:tr>
      <w:tr>
        <w:tblPrEx>
          <w:tblCellMar>
            <w:top w:w="0" w:type="dxa"/>
            <w:left w:w="10" w:type="dxa"/>
            <w:bottom w:w="0" w:type="dxa"/>
            <w:right w:w="10" w:type="dxa"/>
          </w:tblCellMar>
        </w:tblPrEx>
        <w:trPr>
          <w:trHeight w:val="394" w:hRule="atLeast"/>
          <w:jc w:val="center"/>
        </w:trPr>
        <w:tc>
          <w:tcPr>
            <w:tcW w:w="1548" w:type="dxa"/>
            <w:tcBorders>
              <w:top w:val="single" w:color="000000" w:sz="4" w:space="0"/>
              <w:left w:val="single" w:color="000000" w:sz="4" w:space="0"/>
              <w:bottom w:val="single" w:color="000000" w:sz="0"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技术部分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(41分）</w:t>
            </w:r>
          </w:p>
        </w:tc>
        <w:tc>
          <w:tcPr>
            <w:tcW w:w="2329" w:type="dxa"/>
            <w:tcBorders>
              <w:top w:val="single" w:color="000000" w:sz="4" w:space="0"/>
              <w:left w:val="single" w:color="000000" w:sz="4" w:space="0"/>
              <w:bottom w:val="single" w:color="000000" w:sz="0"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（41分）</w:t>
            </w:r>
          </w:p>
        </w:tc>
        <w:tc>
          <w:tcPr>
            <w:tcW w:w="5482" w:type="dxa"/>
            <w:gridSpan w:val="2"/>
            <w:tcBorders>
              <w:top w:val="single" w:color="000000" w:sz="4" w:space="0"/>
              <w:left w:val="single" w:color="000000" w:sz="4" w:space="0"/>
              <w:bottom w:val="single" w:color="000000" w:sz="0"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根据供应商投标产品技术参数及功能全部满足招标文件要求的技术参数得41分，不加★号的一项不满足扣1分；加★号的一项不满足扣3分，分数扣完为止（加★号的为重要指标项，需由生产厂商提供对应功能的详细介绍、软件功能截图并加盖供应商公章，不提供不得分）；</w:t>
            </w:r>
          </w:p>
        </w:tc>
      </w:tr>
      <w:tr>
        <w:tblPrEx>
          <w:tblCellMar>
            <w:top w:w="0" w:type="dxa"/>
            <w:left w:w="10" w:type="dxa"/>
            <w:bottom w:w="0" w:type="dxa"/>
            <w:right w:w="10" w:type="dxa"/>
          </w:tblCellMar>
        </w:tblPrEx>
        <w:trPr>
          <w:trHeight w:val="439" w:hRule="atLeast"/>
          <w:jc w:val="center"/>
        </w:trPr>
        <w:tc>
          <w:tcPr>
            <w:tcW w:w="1548" w:type="dxa"/>
            <w:vMerge w:val="restart"/>
            <w:tcBorders>
              <w:top w:val="single" w:color="000000" w:sz="4" w:space="0"/>
              <w:left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商务部分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（29分）</w:t>
            </w:r>
          </w:p>
        </w:tc>
        <w:tc>
          <w:tcPr>
            <w:tcW w:w="232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（16分）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p>
        </w:tc>
        <w:tc>
          <w:tcPr>
            <w:tcW w:w="5482"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1、供应商具备配套的ETL系统和ETL管理工具相关软件的软件著作权证书，每提供1个得1.5分，最高得3分，不提供不得分；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2、具有DRG院内管理相关系统的软件著作权证书和安全测评报告的得1分，不提供不得分；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3、具有病案质控相关系统的软件著作权证书和安全测评报告的得1分，不提供不得分；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4、具有医保结算清单管理相关系统的软件著作权证书和安全测评报告的得1分，不提供不得分；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5、供应商具有CCRC信息安全服务资质认证证书（三级或以上）、ITSS信息技术服务符合性认证证书（三级或以上）、知识产权管理体系认证证书，每提供1个得1分，最高得3分，不提供不得分；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供应商具有质量管理体系证书ISO9001、信息安全管理体系认证证书ISO27001、信息技术服务认证证书ISO20000、环境管理体系认证证书ISO14001、隐私信息管理体系认证证书ISO27701，每提供1个得1分，最高得5分，不提供不得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7、供应商参与过DRG相关的研究课题，参与过国家级相关的研究课题，得2分；参与过省级相关的研究课题，得1分；多次参与的取分数最高的一个课题参与计算，此项最多得2分，不提供不得分。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注：以上要求证明文件必须与生产厂商或供应商名称完全相符，需提供有效证明文件并加盖主体单位公章，且证书取得时间不得迟于招标公告发出时间。</w:t>
            </w:r>
          </w:p>
        </w:tc>
      </w:tr>
      <w:tr>
        <w:tblPrEx>
          <w:tblCellMar>
            <w:top w:w="0" w:type="dxa"/>
            <w:left w:w="10" w:type="dxa"/>
            <w:bottom w:w="0" w:type="dxa"/>
            <w:right w:w="10" w:type="dxa"/>
          </w:tblCellMar>
        </w:tblPrEx>
        <w:trPr>
          <w:trHeight w:val="1268" w:hRule="atLeast"/>
          <w:jc w:val="center"/>
        </w:trPr>
        <w:tc>
          <w:tcPr>
            <w:tcW w:w="1548" w:type="dxa"/>
            <w:vMerge w:val="continue"/>
            <w:tcBorders>
              <w:left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p>
        </w:tc>
        <w:tc>
          <w:tcPr>
            <w:tcW w:w="232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（5分）</w:t>
            </w:r>
          </w:p>
        </w:tc>
        <w:tc>
          <w:tcPr>
            <w:tcW w:w="5482"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val="en-US" w:eastAsia="zh-CN"/>
              </w:rPr>
              <w:t>本项目需要所投产品供应商提供复合型的团队成员组成，团队需具有相应的专业技术能力：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项目经理需具有以下证书（以下证书为1人持有）：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1）高级信息项目管理师证书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2）PMI-ACP</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3）PMP</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4）数据库系统工程师（中级或以上的）证书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同时具有4种证书的，得3分，同时具有任意3种证书的，得1分，其他不得分；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2、项目组成员需具有以下证书（以下证书为2人持有）：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1）国际疾病分类和手术操作分类（ICD-10-ICD-9-CM-3）编码技能培训认证证书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2）统计类（中级或以上）专业技术资格证书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每提供一人得1分，不提供不得分，最高得2分；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须提供符合上述要求人员的身份证及证书复印件及连续三个月内在投标单位参保的社保缴费证明复印件，并加盖供应商公章，否则不得分。</w:t>
            </w:r>
          </w:p>
        </w:tc>
      </w:tr>
      <w:tr>
        <w:tblPrEx>
          <w:tblCellMar>
            <w:top w:w="0" w:type="dxa"/>
            <w:left w:w="10" w:type="dxa"/>
            <w:bottom w:w="0" w:type="dxa"/>
            <w:right w:w="10" w:type="dxa"/>
          </w:tblCellMar>
        </w:tblPrEx>
        <w:trPr>
          <w:trHeight w:val="1739" w:hRule="atLeast"/>
          <w:jc w:val="center"/>
        </w:trPr>
        <w:tc>
          <w:tcPr>
            <w:tcW w:w="1548" w:type="dxa"/>
            <w:vMerge w:val="continue"/>
            <w:tcBorders>
              <w:left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p>
        </w:tc>
        <w:tc>
          <w:tcPr>
            <w:tcW w:w="232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（3分）</w:t>
            </w:r>
          </w:p>
        </w:tc>
        <w:tc>
          <w:tcPr>
            <w:tcW w:w="5482"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提供2021年1月1日以来的同类项目的业绩，每提供1个得1分，最多得3分。须提供案例项目中标通知书或中标公告、合同复印件、项目验收报告并加盖供应商公章，不提供不得分。</w:t>
            </w:r>
          </w:p>
        </w:tc>
      </w:tr>
      <w:tr>
        <w:tblPrEx>
          <w:tblCellMar>
            <w:top w:w="0" w:type="dxa"/>
            <w:left w:w="10" w:type="dxa"/>
            <w:bottom w:w="0" w:type="dxa"/>
            <w:right w:w="10" w:type="dxa"/>
          </w:tblCellMar>
        </w:tblPrEx>
        <w:trPr>
          <w:trHeight w:val="875" w:hRule="atLeast"/>
          <w:jc w:val="center"/>
        </w:trPr>
        <w:tc>
          <w:tcPr>
            <w:tcW w:w="1548" w:type="dxa"/>
            <w:vMerge w:val="continue"/>
            <w:tcBorders>
              <w:left w:val="single" w:color="000000" w:sz="4" w:space="0"/>
              <w:bottom w:val="single" w:color="000000" w:sz="0"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p>
        </w:tc>
        <w:tc>
          <w:tcPr>
            <w:tcW w:w="2329" w:type="dxa"/>
            <w:tcBorders>
              <w:top w:val="single" w:color="000000" w:sz="4" w:space="0"/>
              <w:left w:val="single" w:color="000000" w:sz="4" w:space="0"/>
              <w:bottom w:val="single" w:color="000000" w:sz="0"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（5分）</w:t>
            </w:r>
          </w:p>
        </w:tc>
        <w:tc>
          <w:tcPr>
            <w:tcW w:w="5482" w:type="dxa"/>
            <w:gridSpan w:val="2"/>
            <w:tcBorders>
              <w:top w:val="single" w:color="000000" w:sz="4" w:space="0"/>
              <w:left w:val="single" w:color="000000" w:sz="4" w:space="0"/>
              <w:bottom w:val="single" w:color="000000" w:sz="0"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提供详细的售后服务方案，包括但不限于供应商的服务响应及维修等承诺、服务能力、服务时间、人员配备、系统故障响应、诊断、应急处理、维修和相应的设备更换计划，供应商的技术支持和相应软件的升级承诺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4" w:firstLineChars="177"/>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以上内容提供完整得5分，不提供或提供内容有缺项不得分，须提供承诺函并加盖供应商公章；</w:t>
            </w:r>
          </w:p>
        </w:tc>
      </w:tr>
    </w:tbl>
    <w:p>
      <w:pPr>
        <w:tabs>
          <w:tab w:val="left" w:pos="0"/>
          <w:tab w:val="left" w:pos="993"/>
          <w:tab w:val="left" w:pos="1134"/>
        </w:tabs>
        <w:ind w:firstLine="480"/>
        <w:rPr>
          <w:rFonts w:ascii="宋体" w:hAnsi="宋体" w:eastAsia="宋体" w:cs="宋体"/>
          <w:color w:val="auto"/>
          <w:sz w:val="24"/>
          <w:highlight w:val="none"/>
        </w:rPr>
      </w:pPr>
    </w:p>
    <w:p>
      <w:pPr>
        <w:spacing w:line="560" w:lineRule="auto"/>
        <w:rPr>
          <w:rFonts w:ascii="宋体" w:hAnsi="宋体" w:eastAsia="宋体" w:cs="宋体"/>
          <w:b/>
          <w:color w:val="auto"/>
          <w:sz w:val="24"/>
          <w:highlight w:val="none"/>
        </w:rPr>
      </w:pPr>
      <w:r>
        <w:rPr>
          <w:rFonts w:ascii="宋体" w:hAnsi="宋体" w:eastAsia="宋体" w:cs="宋体"/>
          <w:b/>
          <w:color w:val="auto"/>
          <w:sz w:val="24"/>
          <w:highlight w:val="none"/>
        </w:rPr>
        <w:t xml:space="preserve">  最终得分为磋商小组所有成员计分的算术平均值，计算保留小数点两位，小数点后第三位四舍五入。</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22.3磋商小组根据综合评分情况，按照评审得分由高到低顺序推荐成交候选供应商，并编写评审报告。综合得分相同的供应商，报价较低者优先；报价也相同的，由采购人自行确定。</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560" w:lineRule="auto"/>
        <w:ind w:firstLine="480"/>
        <w:rPr>
          <w:rFonts w:ascii="宋体" w:hAnsi="宋体" w:eastAsia="宋体" w:cs="宋体"/>
          <w:b/>
          <w:color w:val="auto"/>
          <w:sz w:val="24"/>
          <w:highlight w:val="none"/>
        </w:rPr>
      </w:pPr>
      <w:r>
        <w:rPr>
          <w:rFonts w:ascii="宋体" w:hAnsi="宋体" w:eastAsia="宋体" w:cs="宋体"/>
          <w:color w:val="auto"/>
          <w:sz w:val="24"/>
          <w:highlight w:val="none"/>
        </w:rPr>
        <w:t>22.5若供应商的报价高于项目预算，磋商小组有权根据采购人意见及其实际情况，拒绝该报价。</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22.7在竞争性磋商期间，供应商不得向竞争性磋商小组成员询问其它供应商竞争性磋商情况，不得进行旨在影响成交结果的活动。</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22.8在竞争性磋商期间，采购人将有专门人员与供应商进行联络。</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23.竞争性磋商终止</w:t>
      </w:r>
    </w:p>
    <w:p>
      <w:pPr>
        <w:spacing w:line="560" w:lineRule="auto"/>
        <w:ind w:firstLine="480"/>
        <w:rPr>
          <w:rFonts w:ascii="宋体" w:hAnsi="宋体" w:eastAsia="宋体" w:cs="宋体"/>
          <w:b/>
          <w:color w:val="auto"/>
          <w:sz w:val="24"/>
          <w:highlight w:val="none"/>
        </w:rPr>
      </w:pPr>
      <w:r>
        <w:rPr>
          <w:rFonts w:ascii="宋体" w:hAnsi="宋体" w:eastAsia="宋体" w:cs="宋体"/>
          <w:color w:val="auto"/>
          <w:sz w:val="24"/>
          <w:highlight w:val="none"/>
        </w:rPr>
        <w:t>23.1出现下列情形之一时，采购人有权宣布竞争性磋商终止，并将理由通知所有供应商：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（1）因情况变化，不再符合竞争性磋商适用情形的；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（2）出现影响采购公正的违法、违规行为的；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（3）在采购过程中符合磋商文件要求的供应商不足3家的；</w:t>
      </w:r>
    </w:p>
    <w:p>
      <w:pPr>
        <w:spacing w:line="560" w:lineRule="auto"/>
        <w:ind w:firstLine="480"/>
        <w:rPr>
          <w:rFonts w:ascii="宋体" w:hAnsi="宋体" w:eastAsia="宋体" w:cs="宋体"/>
          <w:b/>
          <w:color w:val="auto"/>
          <w:sz w:val="24"/>
          <w:highlight w:val="none"/>
        </w:rPr>
      </w:pPr>
      <w:r>
        <w:rPr>
          <w:rFonts w:ascii="宋体" w:hAnsi="宋体" w:eastAsia="宋体" w:cs="宋体"/>
          <w:color w:val="auto"/>
          <w:sz w:val="24"/>
          <w:highlight w:val="none"/>
        </w:rPr>
        <w:t>（4）在采购活动中因重大变故，采购任务取消的；</w:t>
      </w:r>
    </w:p>
    <w:p>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七、成交通知</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24.成交通知</w:t>
      </w:r>
    </w:p>
    <w:p>
      <w:pPr>
        <w:tabs>
          <w:tab w:val="left" w:pos="1800"/>
        </w:tabs>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24.1在发出成交公告后请采购人、中标人登录周口市公共资源交易中心网（http://jyzx.zhoukou.gov.cn）自行下载成交通知书，成交通知书将作为签订合同的依据。</w:t>
      </w:r>
    </w:p>
    <w:p>
      <w:pPr>
        <w:tabs>
          <w:tab w:val="left" w:pos="1800"/>
        </w:tabs>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24.2成交通知书对采购人和成交供应商具有同等法律效力。成交通知书发出后，采购人改变成交结果，或者成交供应商放弃成交，应当承担相应的法律责任。</w:t>
      </w:r>
    </w:p>
    <w:p>
      <w:pPr>
        <w:spacing w:line="720" w:lineRule="auto"/>
        <w:jc w:val="center"/>
        <w:rPr>
          <w:rFonts w:ascii="宋体" w:hAnsi="宋体" w:eastAsia="宋体" w:cs="宋体"/>
          <w:color w:val="auto"/>
          <w:sz w:val="24"/>
          <w:highlight w:val="none"/>
        </w:rPr>
      </w:pPr>
      <w:r>
        <w:rPr>
          <w:rFonts w:ascii="宋体" w:hAnsi="宋体" w:eastAsia="宋体" w:cs="宋体"/>
          <w:b/>
          <w:color w:val="auto"/>
          <w:sz w:val="24"/>
          <w:highlight w:val="none"/>
        </w:rPr>
        <w:t>八、合同授予</w:t>
      </w:r>
    </w:p>
    <w:p>
      <w:pPr>
        <w:tabs>
          <w:tab w:val="left" w:pos="1620"/>
        </w:tabs>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25.签订合同及合同的执行</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25.1采购人、成交供应商按照竞争性磋商文件确定的合同文本签订政府采购合同。</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25.2采购人不得向成交供应商提出超过竞争性磋商文件以外的任何要求作为签订合同的条件，不得与成交供应商订立背离竞争性磋商文件确定的合同文本协议。</w:t>
      </w:r>
    </w:p>
    <w:p>
      <w:pPr>
        <w:spacing w:line="560" w:lineRule="auto"/>
        <w:ind w:firstLine="480"/>
        <w:rPr>
          <w:rFonts w:hint="eastAsia" w:ascii="宋体" w:hAnsi="宋体" w:eastAsia="宋体" w:cs="宋体"/>
          <w:color w:val="auto"/>
          <w:sz w:val="24"/>
          <w:highlight w:val="none"/>
        </w:rPr>
      </w:pPr>
      <w:r>
        <w:rPr>
          <w:rFonts w:ascii="宋体" w:hAnsi="宋体" w:eastAsia="宋体" w:cs="宋体"/>
          <w:color w:val="auto"/>
          <w:sz w:val="24"/>
          <w:highlight w:val="none"/>
        </w:rPr>
        <w:t>25.3</w:t>
      </w:r>
      <w:r>
        <w:rPr>
          <w:rFonts w:hint="eastAsia" w:ascii="宋体" w:hAnsi="宋体" w:eastAsia="宋体" w:cs="宋体"/>
          <w:color w:val="auto"/>
          <w:sz w:val="24"/>
          <w:highlight w:val="none"/>
        </w:rPr>
        <w:t>采购人、成交供应商按照竞争性磋商文件确定的合同文本签订政府采购合同。成交供应商应按照成交通知规定的时间、地点与采购人签订成交合同，否则给采购人造成损失的，谈判供应商还应承担赔偿责任。供应商在响应文件中必须提供交货期承诺书，承诺在交货期内交付合格的货物，逾期交货的取消其成交资格并承担所有责任。否则视为不响应招标文件实质性内容。</w:t>
      </w:r>
    </w:p>
    <w:p>
      <w:pPr>
        <w:spacing w:line="5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25.4供应商需在响应文件中出具保证书，保证本项目不挂靠、不违法分包，一旦发现挂靠、违法分包等情形，甲方有权解除合同，且供应商承诺自愿接受甲方的经济处罚及其他处罚。</w:t>
      </w:r>
    </w:p>
    <w:p>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九、质疑处理</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26.质疑程序及处理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26.1供应商认为采购过程、成交结果使自己的合法权益受到损害的，可以在知道或应当知道自己的权益受到损害之日起7个工作日内，由投标人授权代表（或法人代表）按照相关规定，向采购人提出质疑，逾期不予受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26.2采购人在收到供应商的书面质疑后七个工作日内做出答复，并以书面形式通知质疑供应商和其他供应商，但答复内容不得涉及商业秘密。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26.3质疑供应商行使质疑权时，必须遵守“实事求是”和“谨慎性”原则，承担使用虚假材料或恶意方式质疑的法律责任，采购人将遵循“谁过错谁负担”的原则，由过错方提交相关的调查论证费用。</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pPr>
        <w:numPr>
          <w:ilvl w:val="0"/>
          <w:numId w:val="25"/>
        </w:numPr>
        <w:jc w:val="center"/>
        <w:rPr>
          <w:rFonts w:ascii="宋体" w:hAnsi="宋体" w:eastAsia="宋体" w:cs="宋体"/>
          <w:b/>
          <w:color w:val="auto"/>
          <w:sz w:val="24"/>
          <w:highlight w:val="none"/>
        </w:rPr>
      </w:pPr>
      <w:r>
        <w:rPr>
          <w:rFonts w:ascii="宋体" w:hAnsi="宋体" w:eastAsia="宋体" w:cs="宋体"/>
          <w:b/>
          <w:color w:val="auto"/>
          <w:sz w:val="24"/>
          <w:highlight w:val="none"/>
        </w:rPr>
        <w:br w:type="page"/>
      </w:r>
      <w:r>
        <w:rPr>
          <w:rFonts w:ascii="宋体" w:hAnsi="宋体" w:eastAsia="宋体" w:cs="宋体"/>
          <w:b/>
          <w:color w:val="auto"/>
          <w:sz w:val="24"/>
          <w:highlight w:val="none"/>
        </w:rPr>
        <w:t>采购项目内容及要求</w:t>
      </w:r>
      <w:bookmarkStart w:id="0" w:name="_Toc23579"/>
      <w:bookmarkStart w:id="1" w:name="_Toc1005"/>
      <w:bookmarkStart w:id="2" w:name="_Toc162268947"/>
      <w:bookmarkStart w:id="3" w:name="_Toc28246"/>
      <w:bookmarkStart w:id="4" w:name="_Toc19220"/>
    </w:p>
    <w:p>
      <w:pPr>
        <w:numPr>
          <w:ilvl w:val="0"/>
          <w:numId w:val="0"/>
        </w:numPr>
        <w:jc w:val="both"/>
        <w:rPr>
          <w:rFonts w:hint="eastAsia" w:ascii="宋体" w:hAnsi="宋体" w:eastAsia="宋体" w:cs="宋体"/>
          <w:color w:val="auto"/>
          <w:highlight w:val="none"/>
          <w:lang w:val="en-US" w:eastAsia="zh-CN"/>
        </w:rPr>
      </w:pPr>
    </w:p>
    <w:p>
      <w:pPr>
        <w:keepNext/>
        <w:keepLines/>
        <w:numPr>
          <w:ilvl w:val="0"/>
          <w:numId w:val="26"/>
        </w:numPr>
        <w:bidi w:val="0"/>
        <w:spacing w:line="360" w:lineRule="auto"/>
        <w:ind w:left="431" w:hanging="431"/>
        <w:jc w:val="both"/>
        <w:outlineLvl w:val="0"/>
        <w:rPr>
          <w:rFonts w:hint="eastAsia" w:asciiTheme="minorEastAsia" w:hAnsiTheme="minorEastAsia" w:eastAsiaTheme="minorEastAsia" w:cstheme="minorEastAsia"/>
          <w:b/>
          <w:bCs/>
          <w:color w:val="auto"/>
          <w:kern w:val="44"/>
          <w:sz w:val="24"/>
          <w:szCs w:val="24"/>
          <w:highlight w:val="none"/>
          <w:lang w:val="en-US" w:eastAsia="zh-CN" w:bidi="ar-SA"/>
        </w:rPr>
      </w:pPr>
      <w:bookmarkStart w:id="5" w:name="_Toc55921033"/>
      <w:bookmarkStart w:id="6" w:name="_Toc31741"/>
      <w:r>
        <w:rPr>
          <w:rFonts w:hint="eastAsia" w:asciiTheme="minorEastAsia" w:hAnsiTheme="minorEastAsia" w:eastAsiaTheme="minorEastAsia" w:cstheme="minorEastAsia"/>
          <w:b/>
          <w:bCs/>
          <w:color w:val="auto"/>
          <w:kern w:val="44"/>
          <w:sz w:val="24"/>
          <w:szCs w:val="24"/>
          <w:highlight w:val="none"/>
          <w:lang w:val="en-US" w:eastAsia="zh-CN" w:bidi="ar-SA"/>
        </w:rPr>
        <w:t>项目</w:t>
      </w:r>
      <w:bookmarkEnd w:id="5"/>
      <w:r>
        <w:rPr>
          <w:rFonts w:hint="eastAsia" w:asciiTheme="minorEastAsia" w:hAnsiTheme="minorEastAsia" w:eastAsiaTheme="minorEastAsia" w:cstheme="minorEastAsia"/>
          <w:b/>
          <w:bCs/>
          <w:color w:val="auto"/>
          <w:kern w:val="44"/>
          <w:sz w:val="24"/>
          <w:szCs w:val="24"/>
          <w:highlight w:val="none"/>
          <w:lang w:val="en-US" w:eastAsia="zh-CN" w:bidi="ar-SA"/>
        </w:rPr>
        <w:t>概况</w:t>
      </w:r>
      <w:bookmarkEnd w:id="6"/>
    </w:p>
    <w:tbl>
      <w:tblPr>
        <w:tblStyle w:val="10"/>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953"/>
        <w:gridCol w:w="671"/>
        <w:gridCol w:w="1076"/>
        <w:gridCol w:w="213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6" w:hRule="atLeast"/>
          <w:jc w:val="center"/>
        </w:trPr>
        <w:tc>
          <w:tcPr>
            <w:tcW w:w="348" w:type="pct"/>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bookmarkStart w:id="7" w:name="_Toc55921034"/>
            <w:bookmarkStart w:id="8" w:name="_Toc118211514"/>
            <w:r>
              <w:rPr>
                <w:rFonts w:hint="eastAsia" w:asciiTheme="minorEastAsia" w:hAnsiTheme="minorEastAsia" w:eastAsiaTheme="minorEastAsia" w:cstheme="minorEastAsia"/>
                <w:color w:val="auto"/>
                <w:sz w:val="24"/>
                <w:szCs w:val="24"/>
                <w:highlight w:val="none"/>
              </w:rPr>
              <w:t>序号</w:t>
            </w:r>
          </w:p>
        </w:tc>
        <w:tc>
          <w:tcPr>
            <w:tcW w:w="1135" w:type="pct"/>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标项内容</w:t>
            </w:r>
          </w:p>
        </w:tc>
        <w:tc>
          <w:tcPr>
            <w:tcW w:w="390" w:type="pct"/>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625" w:type="pct"/>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预算金额（万元）</w:t>
            </w:r>
          </w:p>
        </w:tc>
        <w:tc>
          <w:tcPr>
            <w:tcW w:w="1243" w:type="pct"/>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主要技术规格</w:t>
            </w:r>
          </w:p>
        </w:tc>
        <w:tc>
          <w:tcPr>
            <w:tcW w:w="1255" w:type="pct"/>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48" w:type="pct"/>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135" w:type="pct"/>
            <w:noWrap w:val="0"/>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医保DR</w:t>
            </w:r>
            <w:r>
              <w:rPr>
                <w:rFonts w:hint="eastAsia" w:asciiTheme="minorEastAsia" w:hAnsiTheme="minorEastAsia" w:eastAsiaTheme="minorEastAsia" w:cstheme="minorEastAsia"/>
                <w:color w:val="auto"/>
                <w:sz w:val="24"/>
                <w:szCs w:val="24"/>
                <w:highlight w:val="none"/>
                <w:lang w:val="en-US" w:eastAsia="zh-CN"/>
              </w:rPr>
              <w:t>G智能审核管理</w:t>
            </w:r>
            <w:r>
              <w:rPr>
                <w:rFonts w:hint="eastAsia" w:asciiTheme="minorEastAsia" w:hAnsiTheme="minorEastAsia" w:eastAsiaTheme="minorEastAsia" w:cstheme="minorEastAsia"/>
                <w:color w:val="auto"/>
                <w:sz w:val="24"/>
                <w:szCs w:val="24"/>
                <w:highlight w:val="none"/>
              </w:rPr>
              <w:t>系统</w:t>
            </w:r>
          </w:p>
        </w:tc>
        <w:tc>
          <w:tcPr>
            <w:tcW w:w="390" w:type="pct"/>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1套</w:t>
            </w:r>
          </w:p>
        </w:tc>
        <w:tc>
          <w:tcPr>
            <w:tcW w:w="625"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98</w:t>
            </w:r>
            <w:r>
              <w:rPr>
                <w:rFonts w:hint="eastAsia" w:asciiTheme="minorEastAsia" w:hAnsiTheme="minorEastAsia" w:eastAsiaTheme="minorEastAsia" w:cstheme="minorEastAsia"/>
                <w:color w:val="auto"/>
                <w:sz w:val="24"/>
                <w:szCs w:val="24"/>
                <w:highlight w:val="none"/>
              </w:rPr>
              <w:t>万元</w:t>
            </w:r>
          </w:p>
        </w:tc>
        <w:tc>
          <w:tcPr>
            <w:tcW w:w="1243" w:type="pct"/>
            <w:noWrap w:val="0"/>
            <w:vAlign w:val="center"/>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详见“项目建设内容”</w:t>
            </w:r>
          </w:p>
        </w:tc>
        <w:tc>
          <w:tcPr>
            <w:tcW w:w="1255"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rPr>
            </w:pPr>
            <w:r>
              <w:rPr>
                <w:rFonts w:hint="eastAsia" w:ascii="宋体" w:hAnsi="宋体" w:eastAsia="宋体" w:cs="宋体"/>
                <w:bCs/>
                <w:color w:val="auto"/>
                <w:sz w:val="24"/>
                <w:szCs w:val="24"/>
                <w:highlight w:val="none"/>
              </w:rPr>
              <w:t>合同签订后</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48" w:type="pct"/>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135" w:type="pct"/>
            <w:noWrap w:val="0"/>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服务器</w:t>
            </w:r>
          </w:p>
        </w:tc>
        <w:tc>
          <w:tcPr>
            <w:tcW w:w="390" w:type="pct"/>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3台</w:t>
            </w:r>
          </w:p>
        </w:tc>
        <w:tc>
          <w:tcPr>
            <w:tcW w:w="625"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1243"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 xml:space="preserve"> </w:t>
            </w:r>
            <w:r>
              <w:rPr>
                <w:rFonts w:hint="eastAsia" w:asciiTheme="minorEastAsia" w:hAnsiTheme="minorEastAsia" w:eastAsiaTheme="minorEastAsia" w:cstheme="minorEastAsia"/>
                <w:color w:val="auto"/>
                <w:sz w:val="24"/>
                <w:szCs w:val="24"/>
                <w:highlight w:val="none"/>
                <w:shd w:val="clear" w:color="auto" w:fill="FFFFFF"/>
                <w:lang w:val="en-US" w:eastAsia="zh-CN"/>
              </w:rPr>
              <w:t>详见附件</w:t>
            </w:r>
            <w:r>
              <w:rPr>
                <w:rFonts w:hint="eastAsia" w:asciiTheme="minorEastAsia" w:hAnsiTheme="minorEastAsia" w:eastAsiaTheme="minorEastAsia" w:cstheme="minorEastAsia"/>
                <w:color w:val="auto"/>
                <w:sz w:val="24"/>
                <w:szCs w:val="24"/>
                <w:highlight w:val="none"/>
                <w:shd w:val="clear" w:color="auto" w:fill="FFFFFF"/>
              </w:rPr>
              <w:t xml:space="preserve"> </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24"/>
                <w:szCs w:val="24"/>
                <w:highlight w:val="none"/>
              </w:rPr>
            </w:pPr>
          </w:p>
        </w:tc>
        <w:tc>
          <w:tcPr>
            <w:tcW w:w="1255"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rPr>
            </w:pPr>
          </w:p>
        </w:tc>
      </w:tr>
      <w:bookmarkEnd w:id="7"/>
      <w:bookmarkEnd w:id="8"/>
    </w:tbl>
    <w:p>
      <w:pPr>
        <w:keepNext/>
        <w:keepLines/>
        <w:pageBreakBefore/>
        <w:numPr>
          <w:ilvl w:val="0"/>
          <w:numId w:val="26"/>
        </w:numPr>
        <w:spacing w:line="360" w:lineRule="auto"/>
        <w:ind w:left="431" w:hanging="431"/>
        <w:jc w:val="both"/>
        <w:outlineLvl w:val="0"/>
        <w:rPr>
          <w:rFonts w:hint="eastAsia" w:asciiTheme="minorEastAsia" w:hAnsiTheme="minorEastAsia" w:eastAsiaTheme="minorEastAsia" w:cstheme="minorEastAsia"/>
          <w:b/>
          <w:bCs/>
          <w:color w:val="auto"/>
          <w:kern w:val="44"/>
          <w:sz w:val="24"/>
          <w:szCs w:val="24"/>
          <w:highlight w:val="none"/>
          <w:lang w:val="en-US" w:eastAsia="zh-CN" w:bidi="ar-SA"/>
        </w:rPr>
      </w:pPr>
      <w:bookmarkStart w:id="9" w:name="_Toc21684"/>
      <w:r>
        <w:rPr>
          <w:rFonts w:hint="eastAsia" w:asciiTheme="minorEastAsia" w:hAnsiTheme="minorEastAsia" w:eastAsiaTheme="minorEastAsia" w:cstheme="minorEastAsia"/>
          <w:b/>
          <w:bCs/>
          <w:color w:val="auto"/>
          <w:kern w:val="44"/>
          <w:sz w:val="24"/>
          <w:szCs w:val="24"/>
          <w:highlight w:val="none"/>
          <w:lang w:val="en-US" w:eastAsia="zh-CN" w:bidi="ar-SA"/>
        </w:rPr>
        <w:t>项目建设内容</w:t>
      </w:r>
      <w:bookmarkEnd w:id="9"/>
    </w:p>
    <w:p>
      <w:pPr>
        <w:keepNext/>
        <w:keepLines/>
        <w:numPr>
          <w:ilvl w:val="1"/>
          <w:numId w:val="26"/>
        </w:numPr>
        <w:bidi w:val="0"/>
        <w:spacing w:line="360" w:lineRule="auto"/>
        <w:ind w:left="578" w:hanging="578"/>
        <w:jc w:val="both"/>
        <w:outlineLvl w:val="1"/>
        <w:rPr>
          <w:rFonts w:hint="eastAsia" w:asciiTheme="minorEastAsia" w:hAnsiTheme="minorEastAsia" w:eastAsiaTheme="minorEastAsia" w:cstheme="minorEastAsia"/>
          <w:b/>
          <w:bCs/>
          <w:color w:val="auto"/>
          <w:kern w:val="2"/>
          <w:sz w:val="24"/>
          <w:szCs w:val="24"/>
          <w:highlight w:val="none"/>
          <w:lang w:val="en-US" w:eastAsia="zh-CN" w:bidi="ar-SA"/>
        </w:rPr>
      </w:pPr>
      <w:bookmarkStart w:id="10" w:name="_Toc19612"/>
      <w:r>
        <w:rPr>
          <w:rFonts w:hint="eastAsia" w:asciiTheme="minorEastAsia" w:hAnsiTheme="minorEastAsia" w:eastAsiaTheme="minorEastAsia" w:cstheme="minorEastAsia"/>
          <w:b/>
          <w:bCs/>
          <w:color w:val="auto"/>
          <w:kern w:val="2"/>
          <w:sz w:val="24"/>
          <w:szCs w:val="24"/>
          <w:highlight w:val="none"/>
          <w:lang w:val="en-US" w:eastAsia="zh-CN" w:bidi="ar-SA"/>
        </w:rPr>
        <w:t>建设目标</w:t>
      </w:r>
      <w:bookmarkEnd w:id="10"/>
    </w:p>
    <w:p>
      <w:pPr>
        <w:widowControl/>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bookmarkStart w:id="11" w:name="_Hlk32999059"/>
      <w:r>
        <w:rPr>
          <w:rFonts w:hint="eastAsia" w:asciiTheme="minorEastAsia" w:hAnsiTheme="minorEastAsia" w:eastAsiaTheme="minorEastAsia" w:cstheme="minorEastAsia"/>
          <w:color w:val="auto"/>
          <w:sz w:val="24"/>
          <w:szCs w:val="24"/>
          <w:highlight w:val="none"/>
          <w:shd w:val="clear" w:color="auto" w:fill="FFFFFF"/>
        </w:rPr>
        <w:t>根据国家和</w:t>
      </w:r>
      <w:r>
        <w:rPr>
          <w:rFonts w:hint="eastAsia" w:asciiTheme="minorEastAsia" w:hAnsiTheme="minorEastAsia" w:eastAsiaTheme="minorEastAsia" w:cstheme="minorEastAsia"/>
          <w:color w:val="auto"/>
          <w:sz w:val="24"/>
          <w:szCs w:val="24"/>
          <w:highlight w:val="none"/>
          <w:shd w:val="clear" w:color="auto" w:fill="FFFFFF"/>
          <w:lang w:val="en-US" w:eastAsia="zh-CN"/>
        </w:rPr>
        <w:t>河南省</w:t>
      </w:r>
      <w:r>
        <w:rPr>
          <w:rFonts w:hint="eastAsia" w:asciiTheme="minorEastAsia" w:hAnsiTheme="minorEastAsia" w:eastAsiaTheme="minorEastAsia" w:cstheme="minorEastAsia"/>
          <w:color w:val="auto"/>
          <w:sz w:val="24"/>
          <w:szCs w:val="24"/>
          <w:highlight w:val="none"/>
          <w:shd w:val="clear" w:color="auto" w:fill="FFFFFF"/>
        </w:rPr>
        <w:t>的医保支付方式改革，及</w:t>
      </w:r>
      <w:r>
        <w:rPr>
          <w:rFonts w:hint="eastAsia" w:asciiTheme="minorEastAsia" w:hAnsiTheme="minorEastAsia" w:eastAsiaTheme="minorEastAsia" w:cstheme="minorEastAsia"/>
          <w:color w:val="auto"/>
          <w:sz w:val="24"/>
          <w:szCs w:val="24"/>
          <w:highlight w:val="none"/>
          <w:shd w:val="clear" w:color="auto" w:fill="FFFFFF"/>
          <w:lang w:val="en-US" w:eastAsia="zh-CN"/>
        </w:rPr>
        <w:t>周口市</w:t>
      </w:r>
      <w:r>
        <w:rPr>
          <w:rFonts w:hint="eastAsia" w:asciiTheme="minorEastAsia" w:hAnsiTheme="minorEastAsia" w:eastAsiaTheme="minorEastAsia" w:cstheme="minorEastAsia"/>
          <w:color w:val="auto"/>
          <w:sz w:val="24"/>
          <w:szCs w:val="24"/>
          <w:highlight w:val="none"/>
          <w:shd w:val="clear" w:color="auto" w:fill="FFFFFF"/>
        </w:rPr>
        <w:t>卫生信息化建设相关的政策和文件精神要求，并结合医院的现状情况，本项目建设需完成以下建设目标：</w:t>
      </w:r>
    </w:p>
    <w:p>
      <w:pPr>
        <w:widowControl w:val="0"/>
        <w:numPr>
          <w:ilvl w:val="0"/>
          <w:numId w:val="27"/>
        </w:numPr>
        <w:spacing w:line="360" w:lineRule="auto"/>
        <w:ind w:left="900" w:hanging="480" w:firstLineChars="0"/>
        <w:jc w:val="both"/>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通过DRG数据治理服务的建模处理将临床医生使用的疾病诊断和手术操作诊断转化为医保DRG支付政策所要求的ICD-10和ICD-9-CM3，以减少病案室人工纠错率，提升医保费用获取率。</w:t>
      </w:r>
    </w:p>
    <w:p>
      <w:pPr>
        <w:widowControl w:val="0"/>
        <w:numPr>
          <w:ilvl w:val="0"/>
          <w:numId w:val="27"/>
        </w:numPr>
        <w:spacing w:line="360" w:lineRule="auto"/>
        <w:ind w:left="900" w:hanging="480" w:firstLineChars="0"/>
        <w:jc w:val="both"/>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可根据当地统筹区医保局返回的医保支付数据模拟分组器，在临床治疗过程中“事前提醒”，做到有效自身控制，避免事后（病人出院以及整个诊疗过程完成以后）来不及补救的现象，减少医院的事实性损失。</w:t>
      </w:r>
    </w:p>
    <w:p>
      <w:pPr>
        <w:widowControl w:val="0"/>
        <w:numPr>
          <w:ilvl w:val="0"/>
          <w:numId w:val="27"/>
        </w:numPr>
        <w:spacing w:line="360" w:lineRule="auto"/>
        <w:ind w:left="900" w:hanging="480" w:firstLineChars="0"/>
        <w:jc w:val="both"/>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实现病案首页诊断、编码等内容的自动校对功能。</w:t>
      </w:r>
    </w:p>
    <w:p>
      <w:pPr>
        <w:widowControl w:val="0"/>
        <w:numPr>
          <w:ilvl w:val="0"/>
          <w:numId w:val="27"/>
        </w:numPr>
        <w:spacing w:line="360" w:lineRule="auto"/>
        <w:ind w:left="900" w:hanging="480" w:firstLineChars="0"/>
        <w:jc w:val="both"/>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对病种入组率、完成率、平均住院费用、平均住院日等指标进行自动分析。</w:t>
      </w:r>
    </w:p>
    <w:p>
      <w:pPr>
        <w:widowControl w:val="0"/>
        <w:numPr>
          <w:ilvl w:val="0"/>
          <w:numId w:val="27"/>
        </w:numPr>
        <w:spacing w:line="360" w:lineRule="auto"/>
        <w:ind w:left="900" w:hanging="480" w:firstLineChars="0"/>
        <w:jc w:val="both"/>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在保障医疗质量的前提下，有效降低医疗成本，实现医院付费方式改革的信息化，给DRG的推广提供有力支撑。</w:t>
      </w:r>
    </w:p>
    <w:p>
      <w:pPr>
        <w:widowControl w:val="0"/>
        <w:numPr>
          <w:ilvl w:val="0"/>
          <w:numId w:val="27"/>
        </w:numPr>
        <w:spacing w:line="360" w:lineRule="auto"/>
        <w:ind w:left="900" w:hanging="480" w:firstLineChars="0"/>
        <w:jc w:val="both"/>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为管理决策层提供经营决策的辅助依据，实现对医院运营情况及时监控，提前预判，从而优化资源配置，有效提高医务工作者的工作效率，提升医院整体经济效益。</w:t>
      </w:r>
    </w:p>
    <w:p>
      <w:pPr>
        <w:widowControl w:val="0"/>
        <w:numPr>
          <w:ilvl w:val="0"/>
          <w:numId w:val="27"/>
        </w:numPr>
        <w:spacing w:line="360" w:lineRule="auto"/>
        <w:ind w:left="900" w:hanging="480" w:firstLineChars="0"/>
        <w:jc w:val="both"/>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提供医保结算校对功能（即：对</w:t>
      </w:r>
      <w:r>
        <w:rPr>
          <w:rFonts w:hint="eastAsia" w:asciiTheme="minorEastAsia" w:hAnsiTheme="minorEastAsia" w:eastAsiaTheme="minorEastAsia" w:cstheme="minorEastAsia"/>
          <w:color w:val="auto"/>
          <w:kern w:val="2"/>
          <w:sz w:val="24"/>
          <w:szCs w:val="24"/>
          <w:highlight w:val="none"/>
          <w:lang w:val="en-US" w:eastAsia="zh-CN" w:bidi="ar-SA"/>
        </w:rPr>
        <w:t>医保局反馈回医院的每月的DRG结算单数据进行核对</w:t>
      </w: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），帮助医院医保部门减轻人工工作量，减少因为申诉不及时导致医院造成无谓损失的现象。</w:t>
      </w:r>
      <w:bookmarkEnd w:id="11"/>
    </w:p>
    <w:p>
      <w:pPr>
        <w:widowControl/>
        <w:rPr>
          <w:rFonts w:hint="eastAsia" w:asciiTheme="minorEastAsia" w:hAnsiTheme="minorEastAsia" w:eastAsiaTheme="minorEastAsia" w:cstheme="minorEastAsia"/>
          <w:color w:val="auto"/>
          <w:sz w:val="24"/>
          <w:szCs w:val="24"/>
          <w:highlight w:val="none"/>
          <w:lang w:val="en-US" w:eastAsia="zh-CN"/>
        </w:rPr>
      </w:pPr>
    </w:p>
    <w:p>
      <w:pPr>
        <w:keepNext/>
        <w:keepLines/>
        <w:numPr>
          <w:ilvl w:val="1"/>
          <w:numId w:val="26"/>
        </w:numPr>
        <w:bidi w:val="0"/>
        <w:spacing w:line="360" w:lineRule="auto"/>
        <w:ind w:left="578" w:hanging="578"/>
        <w:jc w:val="both"/>
        <w:outlineLvl w:val="1"/>
        <w:rPr>
          <w:rFonts w:hint="eastAsia" w:asciiTheme="minorEastAsia" w:hAnsiTheme="minorEastAsia" w:eastAsiaTheme="minorEastAsia" w:cstheme="minorEastAsia"/>
          <w:b/>
          <w:bCs/>
          <w:color w:val="auto"/>
          <w:kern w:val="2"/>
          <w:sz w:val="24"/>
          <w:szCs w:val="24"/>
          <w:highlight w:val="none"/>
          <w:lang w:val="en-US" w:eastAsia="zh-CN" w:bidi="ar-SA"/>
        </w:rPr>
      </w:pPr>
      <w:bookmarkStart w:id="12" w:name="_Toc29227"/>
      <w:r>
        <w:rPr>
          <w:rFonts w:hint="eastAsia" w:asciiTheme="minorEastAsia" w:hAnsiTheme="minorEastAsia" w:eastAsiaTheme="minorEastAsia" w:cstheme="minorEastAsia"/>
          <w:b/>
          <w:bCs/>
          <w:color w:val="auto"/>
          <w:kern w:val="2"/>
          <w:sz w:val="24"/>
          <w:szCs w:val="24"/>
          <w:highlight w:val="none"/>
          <w:lang w:val="en-US" w:eastAsia="zh-CN" w:bidi="ar-SA"/>
        </w:rPr>
        <w:t>建设内容</w:t>
      </w:r>
      <w:bookmarkEnd w:id="12"/>
    </w:p>
    <w:p>
      <w:pPr>
        <w:keepNext/>
        <w:keepLines/>
        <w:numPr>
          <w:ilvl w:val="2"/>
          <w:numId w:val="26"/>
        </w:numPr>
        <w:bidi w:val="0"/>
        <w:spacing w:line="360" w:lineRule="auto"/>
        <w:jc w:val="both"/>
        <w:outlineLvl w:val="2"/>
        <w:rPr>
          <w:rFonts w:hint="eastAsia" w:asciiTheme="minorEastAsia" w:hAnsiTheme="minorEastAsia" w:eastAsiaTheme="minorEastAsia" w:cstheme="minorEastAsia"/>
          <w:b/>
          <w:bCs/>
          <w:color w:val="auto"/>
          <w:kern w:val="2"/>
          <w:sz w:val="24"/>
          <w:szCs w:val="24"/>
          <w:highlight w:val="none"/>
          <w:lang w:val="en-US" w:eastAsia="zh-CN" w:bidi="ar-SA"/>
        </w:rPr>
      </w:pPr>
      <w:bookmarkStart w:id="13" w:name="_Toc24411"/>
      <w:r>
        <w:rPr>
          <w:rFonts w:hint="eastAsia" w:asciiTheme="minorEastAsia" w:hAnsiTheme="minorEastAsia" w:eastAsiaTheme="minorEastAsia" w:cstheme="minorEastAsia"/>
          <w:b/>
          <w:bCs/>
          <w:color w:val="auto"/>
          <w:kern w:val="2"/>
          <w:sz w:val="24"/>
          <w:szCs w:val="24"/>
          <w:highlight w:val="none"/>
          <w:lang w:val="en-US" w:eastAsia="zh-CN" w:bidi="ar-SA"/>
        </w:rPr>
        <w:t>DRG数据中心</w:t>
      </w:r>
      <w:bookmarkEnd w:id="13"/>
    </w:p>
    <w:p>
      <w:pPr>
        <w:keepNext/>
        <w:keepLines/>
        <w:pageBreakBefore w:val="0"/>
        <w:numPr>
          <w:ilvl w:val="3"/>
          <w:numId w:val="26"/>
        </w:numPr>
        <w:kinsoku/>
        <w:wordWrap/>
        <w:overflowPunct/>
        <w:topLinePunct w:val="0"/>
        <w:bidi w:val="0"/>
        <w:spacing w:line="360" w:lineRule="auto"/>
        <w:ind w:left="862" w:hanging="862"/>
        <w:jc w:val="both"/>
        <w:textAlignment w:val="auto"/>
        <w:outlineLvl w:val="3"/>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数据配置</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1.支持多种数据源接入包含Oracle、SqlServer、MySql、GP,Cache，支持Oracle集群模式接入；</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2.支持DB接入和WebService接入方式；</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3.DB接入全程可视化配置，只需要简单勾选需要同步的表即可完成数据接入任务的创建；</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4.支持表创建、注释、主键一键式同步；</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5.支持对数据源的全量同步和增量同步；</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6.支持WebService接入增量全量同步方式；</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7.支持对XML、XML&lt;Json&gt;解析，支持属性提取；</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8.支持按单个病人、时间区间获取数据，支持自定义请求头、请求体；</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9.支持发布接入数据接入方式（通过WebService主动推送数据）；</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10.支持文件格式的数据同步，根据文件信息自动创建实体表。</w:t>
      </w:r>
    </w:p>
    <w:p>
      <w:pPr>
        <w:keepNext/>
        <w:keepLines/>
        <w:pageBreakBefore w:val="0"/>
        <w:numPr>
          <w:ilvl w:val="3"/>
          <w:numId w:val="26"/>
        </w:numPr>
        <w:kinsoku/>
        <w:wordWrap/>
        <w:overflowPunct/>
        <w:topLinePunct w:val="0"/>
        <w:bidi w:val="0"/>
        <w:spacing w:line="360" w:lineRule="auto"/>
        <w:ind w:left="862" w:hanging="862"/>
        <w:jc w:val="both"/>
        <w:textAlignment w:val="auto"/>
        <w:outlineLvl w:val="3"/>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项目管理</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1.同时支持数据接入和数据模型项目的定义；</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2.图形化操作通过拖拉、连接的方式即可完成工作流的定义；</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3.支持丰富的组件库包含SQL、Spark、Python、Http节点组件，底层基于大数据组件完成同步任务；</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4.支持多任务同时执行不小于5个；</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5.在800M内存限制的条件下同步速度在每秒钟1万条以上；</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6.支持异常任务报警短信提醒（医院提供短信猫支持）；</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7.支持可视化自定义任务执行频率配置；</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8.支持预览最近任务执行时间；</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9.支持任务通知策略自定义；</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10.支持工作流任务的导入导出；</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11.支持任务重试；</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12.支持任务日志实时查看；</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13.支持任务失败自动重试。</w:t>
      </w:r>
    </w:p>
    <w:p>
      <w:pPr>
        <w:keepNext/>
        <w:keepLines/>
        <w:pageBreakBefore w:val="0"/>
        <w:numPr>
          <w:ilvl w:val="3"/>
          <w:numId w:val="26"/>
        </w:numPr>
        <w:kinsoku/>
        <w:wordWrap/>
        <w:overflowPunct/>
        <w:topLinePunct w:val="0"/>
        <w:bidi w:val="0"/>
        <w:spacing w:line="360" w:lineRule="auto"/>
        <w:ind w:left="862" w:hanging="862"/>
        <w:jc w:val="both"/>
        <w:textAlignment w:val="auto"/>
        <w:outlineLvl w:val="3"/>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资源中心</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文件管理</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1.支持对任务资源信息查看；</w:t>
      </w:r>
    </w:p>
    <w:p>
      <w:pPr>
        <w:keepNext/>
        <w:keepLines/>
        <w:pageBreakBefore w:val="0"/>
        <w:numPr>
          <w:ilvl w:val="3"/>
          <w:numId w:val="26"/>
        </w:numPr>
        <w:kinsoku/>
        <w:wordWrap/>
        <w:overflowPunct/>
        <w:topLinePunct w:val="0"/>
        <w:bidi w:val="0"/>
        <w:spacing w:line="360" w:lineRule="auto"/>
        <w:ind w:left="862" w:hanging="862"/>
        <w:jc w:val="both"/>
        <w:textAlignment w:val="auto"/>
        <w:outlineLvl w:val="3"/>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监控中心</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1.支持系统连接池使用情况统计并展示；</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2.支持监控数据中心的内存和CPU使用情况；</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auto"/>
        </w:rPr>
        <w:t>3.支持对所使用的的中间件如zookeeper服务的连接数、发送接收量等相关指标监控</w:t>
      </w:r>
      <w:r>
        <w:rPr>
          <w:rFonts w:hint="eastAsia" w:asciiTheme="minorEastAsia" w:hAnsiTheme="minorEastAsia" w:eastAsiaTheme="minorEastAsia" w:cstheme="minorEastAsia"/>
          <w:color w:val="auto"/>
          <w:sz w:val="24"/>
          <w:szCs w:val="24"/>
          <w:highlight w:val="none"/>
        </w:rPr>
        <w:t>；</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4.支持对数据库健康状态，连接数的监控；</w:t>
      </w:r>
    </w:p>
    <w:p>
      <w:pPr>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5.支持对任务执行情况包含待执行的命令数、执行失败的命令数、待运行任务数、待杀死任务数统计并展示；</w:t>
      </w:r>
    </w:p>
    <w:p>
      <w:pPr>
        <w:keepNext/>
        <w:keepLines/>
        <w:pageBreakBefore w:val="0"/>
        <w:numPr>
          <w:ilvl w:val="3"/>
          <w:numId w:val="26"/>
        </w:numPr>
        <w:kinsoku/>
        <w:wordWrap/>
        <w:overflowPunct/>
        <w:topLinePunct w:val="0"/>
        <w:bidi w:val="0"/>
        <w:spacing w:line="360" w:lineRule="auto"/>
        <w:ind w:left="862" w:hanging="862"/>
        <w:jc w:val="both"/>
        <w:textAlignment w:val="auto"/>
        <w:outlineLvl w:val="3"/>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配置中心</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监控配置</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1.支持对监控规则自定义定时时间；</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2.支持监控结果短信发送（医院提供短信猫支持）；</w:t>
      </w:r>
    </w:p>
    <w:p>
      <w:pPr>
        <w:keepNext/>
        <w:keepLines/>
        <w:pageBreakBefore w:val="0"/>
        <w:numPr>
          <w:ilvl w:val="3"/>
          <w:numId w:val="26"/>
        </w:numPr>
        <w:kinsoku/>
        <w:wordWrap/>
        <w:overflowPunct/>
        <w:topLinePunct w:val="0"/>
        <w:bidi w:val="0"/>
        <w:spacing w:line="360" w:lineRule="auto"/>
        <w:ind w:left="862" w:hanging="862"/>
        <w:jc w:val="both"/>
        <w:textAlignment w:val="auto"/>
        <w:outlineLvl w:val="3"/>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数据质量</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数据稽核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1.支持对表数据进行自定义监控；</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2.支持模板规则的配置；</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3.支持规则的批量导出；</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4.支持规则自定义时间执行；</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5.支持质量报告实时生成；</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6.支持质检分数实时查询；</w:t>
      </w:r>
    </w:p>
    <w:p>
      <w:pPr>
        <w:widowControl/>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7.支持自定义稽核异常说明；</w:t>
      </w:r>
    </w:p>
    <w:p>
      <w:pPr>
        <w:widowControl/>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keepNext/>
        <w:keepLines/>
        <w:numPr>
          <w:ilvl w:val="2"/>
          <w:numId w:val="26"/>
        </w:numPr>
        <w:bidi w:val="0"/>
        <w:spacing w:line="360" w:lineRule="auto"/>
        <w:jc w:val="both"/>
        <w:outlineLvl w:val="2"/>
        <w:rPr>
          <w:rFonts w:hint="eastAsia" w:asciiTheme="minorEastAsia" w:hAnsiTheme="minorEastAsia" w:eastAsiaTheme="minorEastAsia" w:cstheme="minorEastAsia"/>
          <w:b/>
          <w:bCs/>
          <w:color w:val="auto"/>
          <w:kern w:val="2"/>
          <w:sz w:val="24"/>
          <w:szCs w:val="24"/>
          <w:highlight w:val="none"/>
          <w:lang w:val="en-US" w:eastAsia="zh-CN" w:bidi="ar-SA"/>
        </w:rPr>
      </w:pPr>
      <w:bookmarkStart w:id="14" w:name="_Toc11550"/>
      <w:r>
        <w:rPr>
          <w:rFonts w:hint="eastAsia" w:asciiTheme="minorEastAsia" w:hAnsiTheme="minorEastAsia" w:eastAsiaTheme="minorEastAsia" w:cstheme="minorEastAsia"/>
          <w:b/>
          <w:bCs/>
          <w:color w:val="auto"/>
          <w:kern w:val="2"/>
          <w:sz w:val="24"/>
          <w:szCs w:val="24"/>
          <w:highlight w:val="none"/>
          <w:lang w:val="en-US" w:eastAsia="zh-CN" w:bidi="ar-SA"/>
        </w:rPr>
        <w:t>DRG运营分析系统</w:t>
      </w:r>
      <w:bookmarkEnd w:id="14"/>
    </w:p>
    <w:p>
      <w:pPr>
        <w:keepNext/>
        <w:keepLines/>
        <w:numPr>
          <w:ilvl w:val="3"/>
          <w:numId w:val="26"/>
        </w:numPr>
        <w:bidi w:val="0"/>
        <w:spacing w:line="360" w:lineRule="auto"/>
        <w:ind w:left="862" w:hanging="862"/>
        <w:jc w:val="both"/>
        <w:outlineLvl w:val="3"/>
        <w:rPr>
          <w:rFonts w:hint="eastAsia" w:asciiTheme="minorEastAsia" w:hAnsiTheme="minorEastAsia" w:eastAsiaTheme="minorEastAsia" w:cstheme="minorEastAsia"/>
          <w:b/>
          <w:bCs/>
          <w:color w:val="auto"/>
          <w:kern w:val="2"/>
          <w:sz w:val="24"/>
          <w:szCs w:val="24"/>
          <w:highlight w:val="none"/>
          <w:lang w:val="en-US" w:eastAsia="zh-CN" w:bidi="ar-SA"/>
        </w:rPr>
      </w:pPr>
      <w:bookmarkStart w:id="15" w:name="_Toc148608436"/>
      <w:bookmarkStart w:id="16" w:name="_Toc130490736"/>
      <w:r>
        <w:rPr>
          <w:rFonts w:hint="eastAsia" w:asciiTheme="minorEastAsia" w:hAnsiTheme="minorEastAsia" w:eastAsiaTheme="minorEastAsia" w:cstheme="minorEastAsia"/>
          <w:b/>
          <w:bCs/>
          <w:color w:val="auto"/>
          <w:kern w:val="2"/>
          <w:sz w:val="24"/>
          <w:szCs w:val="24"/>
          <w:highlight w:val="none"/>
          <w:lang w:val="en-US" w:eastAsia="zh-CN" w:bidi="ar-SA"/>
        </w:rPr>
        <w:t>在院管理</w:t>
      </w:r>
      <w:bookmarkEnd w:id="15"/>
    </w:p>
    <w:p>
      <w:pPr>
        <w:keepNext/>
        <w:keepLines/>
        <w:numPr>
          <w:ilvl w:val="4"/>
          <w:numId w:val="26"/>
        </w:numPr>
        <w:bidi w:val="0"/>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17" w:name="_Toc148608437"/>
      <w:r>
        <w:rPr>
          <w:rFonts w:hint="eastAsia" w:asciiTheme="minorEastAsia" w:hAnsiTheme="minorEastAsia" w:eastAsiaTheme="minorEastAsia" w:cstheme="minorEastAsia"/>
          <w:b/>
          <w:bCs/>
          <w:color w:val="auto"/>
          <w:kern w:val="2"/>
          <w:sz w:val="24"/>
          <w:szCs w:val="24"/>
          <w:highlight w:val="none"/>
          <w:lang w:val="en-US" w:eastAsia="zh-CN" w:bidi="ar-SA"/>
        </w:rPr>
        <w:t>医生助手（在院DRG分组监测接口）</w:t>
      </w:r>
      <w:bookmarkEnd w:id="17"/>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 提供全院病例DRG分组预测与预警信息，包括费用异常预警、病历质控预警、不合理入院预警，预警条件支持自定义设置；</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 提供病例当前实时DRG预测分组信息，以及住院费用进度条，直观了解费用消耗情况；</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 支持查看患者基本信息、诊断、手术，以及历史住院的DRG分组与诊断/手术信息；</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 支持在院期间查看各个费用结构及费用标杆值，并能下钻查看各费用项目明细，包括药品、耗材、检查检验等；</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 ★支持大数据模拟分组，通过调整主诊断、次诊断、主手术、次手术进行模拟分组，对中医分组支持主病主症模拟分组；</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 支持病例按多种结算方式进行预测对比，包括床日结算、病组结算、中医结算，并优先展示结算金额最高的结算方式；</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 支持手动选择任意患者按照床日结算类型进行预测；</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8) 支持输入主诊断后，智能推荐相匹配的常用手术；</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9) ★支持按照地区医保结算规则进行适配，包括新技术、特殊药品耗材追加、基础病组同病同价等。</w:t>
      </w:r>
    </w:p>
    <w:p>
      <w:pPr>
        <w:keepNext/>
        <w:keepLines/>
        <w:numPr>
          <w:ilvl w:val="4"/>
          <w:numId w:val="26"/>
        </w:numPr>
        <w:bidi w:val="0"/>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18" w:name="_Toc148608438"/>
      <w:r>
        <w:rPr>
          <w:rFonts w:hint="eastAsia" w:asciiTheme="minorEastAsia" w:hAnsiTheme="minorEastAsia" w:eastAsiaTheme="minorEastAsia" w:cstheme="minorEastAsia"/>
          <w:b/>
          <w:bCs/>
          <w:color w:val="auto"/>
          <w:kern w:val="2"/>
          <w:sz w:val="24"/>
          <w:szCs w:val="24"/>
          <w:highlight w:val="none"/>
          <w:lang w:val="en-US" w:eastAsia="zh-CN" w:bidi="ar-SA"/>
        </w:rPr>
        <w:t>事中监测分析</w:t>
      </w:r>
      <w:bookmarkEnd w:id="18"/>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在院监测</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[病例范围：当前在院患者]</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 提供全院病例DRG分组预测与预警信息，包括费用异常预警、病历质控预警、不合理入院预警，预警条件支持自定义设置；</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 提供病例当前实时DRG预测分组信息，以及住院费用进度条，直观了解费用消耗情况；</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 支持查看患者基本信息、诊断、手术，以及历史住院的DRG分组与诊断/手术信息；</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 支持在院期间查看各个费用结构及费用标杆值，并能下钻查看各费用项目明细，包括药品、耗材、检查检验等；</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 支持多种筛选条件查找数据：包括结算方式（床日结算、病组结算）、病例类型（高倍率、低倍率、正常病例等）、医保类型等；</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 支持筛选特殊病例：包括15天再入院、基础病组、中途出院结算、住院天数超高、24小时出入院、新技术病例等；</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 支持按姓名、住院号、患者ID、床位号等搜索病例；</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8) 支持从科室、医疗组、病区、医生等维度查看预警病例；</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9) ★列表字段支持用户自定义显示与排列，包含表头字段是否显示以及固定列设置，支持列表所有数据下载；</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 支持大数据模拟分组，通过调整主诊断、次诊断、主手术、次手术进行模拟分组，对中医分组支持主病主症模拟分组；</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11) ★支持病例按多种结算方式进行预测对比，包括床日结算、病组结算、中医结算，并优先展示结算金额最高的结算方式；</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12) 支持手动选择任意患者按照床日结算类型进行预测；</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13) 支持按照地区医保结算规则进行适配，包括新技术、特殊药品耗材追加、基础病组同病同价等。</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提交前病例监测</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[病例范围：出院但未将病历提交病案室归档的病例]</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 提供全院病例DRG分组预测与预警信息，包括费用异常预警、病历质控预警、不合理入院预警，预警条件支持自定义设置；</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 提供病例当前实时DRG预测分组信息，以及住院费用进度条，直观了解费用消耗情况；</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 支持查看患者基本信息、诊断、手术，以及历史住院的DRG分组与诊断/手术信息；</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 支持在院期间查看各个费用结构及费用标杆值，并能下钻查看各费用项目明细，包括药品、耗材、检查检验等；</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 支持多种筛选条件查找数据：包括结算方式（床日结算、病组结算）、病例类型（高倍率、低倍率、正常病例等）、医保类型等；</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 支持筛选特殊病例：包括15天再入院、基础病组、中途出院结算、住院天数超高、24小时出入院、新技术病例等；</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 支持按姓名、住院号、患者ID、床位号等搜索病例；</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8) 支持从科室、医疗组、病区、医生等维度查看预警病例；</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9) 列表字段支持用户自定义显示与排列，包含表头字段是否显示以及固定列设置，支持列表所有数据下载；</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 支持大数据模拟分组，通过调整主诊断、次诊断、主手术、次手术进行模拟分组，对中医分组支持主病主症模拟分组；</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11) 支持病例按多种结算方式进行预测对比，包括床日结算、病组结算、中医结算，并优先展示结算金额最高的结算方式；</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12) 支持手动选择任意患者按照床日结算类型进行预测；</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13) 支持按照地区医保结算规则进行适配，包括新技术、特殊药品耗材追加、基础病组同病同价等。</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已提交病例分析</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[病例范围：出院已提交病案归档，但未与医保局结算的病例]</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 支持对比查看临床与病案编码后病例的诊断、手术、DRG分组数据，并对不一致数据进行颜色标记；</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 支持多种筛选条件查找数据：包括结算方式（床日结算、病组结算）、病例类型（高倍率、低倍率、正常病例等）、医保类型等；</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 支持筛选特殊病例：包括15天再入院、基础病组、中途出院结算、住院天数超高、24小时出入院、新技术病例等；</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 支持按姓名、住院号、患者ID、床位号等搜索病例；</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 列表字段支持用户自定义显示与排列，包含表头字段是否显示以及固定列设置，支持列表所有数据下载；</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 支持大数据模拟分组，通过调整主诊断、次诊断、主手术、次手术进行模拟分组，对中医分组支持主病主症模拟分组；</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 支持病例按多种结算方式进行预测对比，包括床日结算、病组结算、中医结算，并优先展示结算金额最高的结算方式。</w:t>
      </w:r>
    </w:p>
    <w:p>
      <w:pPr>
        <w:keepNext/>
        <w:keepLines/>
        <w:numPr>
          <w:ilvl w:val="3"/>
          <w:numId w:val="26"/>
        </w:numPr>
        <w:bidi w:val="0"/>
        <w:spacing w:line="360" w:lineRule="auto"/>
        <w:ind w:left="862" w:hanging="862"/>
        <w:jc w:val="both"/>
        <w:outlineLvl w:val="3"/>
        <w:rPr>
          <w:rFonts w:hint="eastAsia" w:asciiTheme="minorEastAsia" w:hAnsiTheme="minorEastAsia" w:eastAsiaTheme="minorEastAsia" w:cstheme="minorEastAsia"/>
          <w:b/>
          <w:bCs/>
          <w:color w:val="auto"/>
          <w:kern w:val="2"/>
          <w:sz w:val="24"/>
          <w:szCs w:val="24"/>
          <w:highlight w:val="none"/>
          <w:lang w:val="en-US" w:eastAsia="zh-CN" w:bidi="ar-SA"/>
        </w:rPr>
      </w:pPr>
      <w:bookmarkStart w:id="19" w:name="_Toc148608439"/>
      <w:r>
        <w:rPr>
          <w:rFonts w:hint="eastAsia" w:asciiTheme="minorEastAsia" w:hAnsiTheme="minorEastAsia" w:eastAsiaTheme="minorEastAsia" w:cstheme="minorEastAsia"/>
          <w:b/>
          <w:bCs/>
          <w:color w:val="auto"/>
          <w:kern w:val="2"/>
          <w:sz w:val="24"/>
          <w:szCs w:val="24"/>
          <w:highlight w:val="none"/>
          <w:lang w:val="en-US" w:eastAsia="zh-CN" w:bidi="ar-SA"/>
        </w:rPr>
        <w:t>DRG运营分析</w:t>
      </w:r>
      <w:bookmarkEnd w:id="19"/>
    </w:p>
    <w:p>
      <w:pPr>
        <w:keepNext/>
        <w:keepLines/>
        <w:numPr>
          <w:ilvl w:val="4"/>
          <w:numId w:val="26"/>
        </w:numPr>
        <w:bidi w:val="0"/>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20" w:name="_Toc148608440"/>
      <w:r>
        <w:rPr>
          <w:rFonts w:hint="eastAsia" w:asciiTheme="minorEastAsia" w:hAnsiTheme="minorEastAsia" w:eastAsiaTheme="minorEastAsia" w:cstheme="minorEastAsia"/>
          <w:b/>
          <w:bCs/>
          <w:color w:val="auto"/>
          <w:kern w:val="2"/>
          <w:sz w:val="24"/>
          <w:szCs w:val="24"/>
          <w:highlight w:val="none"/>
          <w:lang w:val="en-US" w:eastAsia="zh-CN" w:bidi="ar-SA"/>
        </w:rPr>
        <w:t>DRG驾驶舱</w:t>
      </w:r>
      <w:bookmarkEnd w:id="20"/>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医院DRG整体情况</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展示筛选时间段内全院病例数、总结余、CMI、病组数等DRG核心数据，所有统计图均支持放大和下载。</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全院超支结余分析</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展示筛选时间段内的超支结余趋势、超支结余科室分布、病例类型分布、高低倍率病例占比趋势，支持下钻。</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全院费用构成分析</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展示筛选时间段内各费用类型的金额及占比、药占比、耗占比、检查检验占比、医疗服务占比趋势，支持按病例类型选择统计范围。</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全院资源使用效率分析</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展示筛选时间段内次均费用、次均点数与平均住院日趋势，支持与去年同期比较。</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全院病组构成分析</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★展示筛选时间段内CMI趋势，各RW区间病组分布情况，RW区间支持自定义调整和下钻。</w:t>
      </w:r>
    </w:p>
    <w:p>
      <w:pPr>
        <w:keepNext/>
        <w:keepLines/>
        <w:numPr>
          <w:ilvl w:val="4"/>
          <w:numId w:val="26"/>
        </w:numPr>
        <w:bidi w:val="0"/>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21" w:name="_Toc148608441"/>
      <w:r>
        <w:rPr>
          <w:rFonts w:hint="eastAsia" w:asciiTheme="minorEastAsia" w:hAnsiTheme="minorEastAsia" w:eastAsiaTheme="minorEastAsia" w:cstheme="minorEastAsia"/>
          <w:b/>
          <w:bCs/>
          <w:color w:val="auto"/>
          <w:kern w:val="2"/>
          <w:sz w:val="24"/>
          <w:szCs w:val="24"/>
          <w:highlight w:val="none"/>
          <w:lang w:val="en-US" w:eastAsia="zh-CN" w:bidi="ar-SA"/>
        </w:rPr>
        <w:t>科室综合分析</w:t>
      </w:r>
      <w:bookmarkEnd w:id="21"/>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科室对比分析</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 展示科室病例数、结余、病组数、CMI、入组率、药耗占比等相关指标数据对比，支持数据下钻；</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 提供按主题进行分析，包括运行指标监控、超支结余、费用构成、出院带药、不合理入院五大主题；</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 支持年/季/月筛选和自定义时间区间、病例范围、超支/结余科室筛选；</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 支持根据不同用户设置重点关注科室，并能够快速筛选和查看重点科室数据；</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 支持运行目标与标杆数据对比，其中标杆数据根据历史数据自动生成，支持自定义修改标杆值，支持快速筛选超标科室；</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 ★支持二级科室管理，可以按照出院科室、管理科室分布查看和统计数据；</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 列表字段支持用户自定义显示与排列，包含表头字段是否显示以及固定列设置，支持查看指标同比，列表数据下载。</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科室主页（科室下钻分析）</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[单科室下DRG运营数据统计分析]</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 总览：支持科室多选，展示科室所选时间段内DRG核心数据概览，包含病例数、CMI、结余、药耗占比、人头人次比、N天再入院、病组构成、平均住院日等；</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 超支结余分析：展示科室超支结余/次均结余趋势、超支结余病组分布及趋势、超支结余病例分布及趋势、病例类型分布、高低倍率病例占比趋势；支持下钻；</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 费用构成分析：展示科室在各个费用类型的金额及占比，药耗占比趋势，支持按病例类型选择统计范围；</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 病组构成分析：通过矩阵象限，分析科室优势病组、劣势病组；支持数据对比与下钻，对不同象限的病组提供分析结论；</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 资源使用效率分析：展示科室平均住院日趋势、次均费用趋势、时间消耗指数、费用消耗指数，支持与去年次均费用对比；</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 病历质量分析：展示科室编码前后分组不一致病例数趋势、点数差趋势、结余差趋势；</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 病组列表：同科室下不同病组DRG运营数据对比，支持下载；</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8) 医疗组列表：同科室下不同医疗组DRG运营数据对比，支持下载；</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9) 医生列表：同科室下不同医生DRG运营数据对比，支持下载；</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 病例列表：展示科室所选时间段内所有病例数据，支持按医疗组、病组、医生筛选、查看病例详情、模拟分组，支持表格数据下载。</w:t>
      </w:r>
    </w:p>
    <w:p>
      <w:pPr>
        <w:keepNext/>
        <w:keepLines/>
        <w:numPr>
          <w:ilvl w:val="4"/>
          <w:numId w:val="26"/>
        </w:numPr>
        <w:bidi w:val="0"/>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22" w:name="_Toc148608442"/>
      <w:r>
        <w:rPr>
          <w:rFonts w:hint="eastAsia" w:asciiTheme="minorEastAsia" w:hAnsiTheme="minorEastAsia" w:eastAsiaTheme="minorEastAsia" w:cstheme="minorEastAsia"/>
          <w:b/>
          <w:bCs/>
          <w:color w:val="auto"/>
          <w:kern w:val="2"/>
          <w:sz w:val="24"/>
          <w:szCs w:val="24"/>
          <w:highlight w:val="none"/>
          <w:lang w:val="en-US" w:eastAsia="zh-CN" w:bidi="ar-SA"/>
        </w:rPr>
        <w:t>病组综合分析</w:t>
      </w:r>
      <w:bookmarkEnd w:id="22"/>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病组对比分析</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 展示各DRG病组病例数、结余、RW、药耗占比、时间消耗指数、费用消耗指数等相关指标数据对比，支持下钻；</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 支持按主题进行分析，包括运行指标监控、超支结余、费用构成、RW区间分布，其中RW区间支持自定义设置；</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 支持年/季/月筛选和自定义时间区间、病例范围、超支/结余科室筛选；</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 支持运行目标与标杆数据对比，其中标杆数据根据历史数据自动生成，支持自定义修改标杆值，支持快速筛选超标病组；</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 列表字段支持用户自定义显示与排列，包含表头字段是否显示以及固定列设置，支持查看指标同比，列表数据下载；</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 支持根据不同用户设置重点关注病组，并能够快速筛选和查看重点病组数据。</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病组主页（病组下钻分析）</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[单病组下DRG运营数据统计分析]</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 总览：支持病组多选，展示病组在所选时间段内DRG核心数据概览，包含总病例数、RW、结余、药耗占比、病组构成、平均住院日等；</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 超支结余分析：展示病组超支结余/次均结余趋势、超支结余病例分布及趋势、病例类型分布、高低倍率病例占比趋势；支持下钻；</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 费用构成分析：展示病组各个费用类型的金额、占比及超支影响率，药耗占比趋势，支持按病例类型选择统计范围；</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 资源使用效率分析：展示病组平均住院日趋势、次均费用趋势、时间消耗指数、费用消耗指数；</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 科室列表：同病组下不同科室DRG运营数据对比，支持下载；</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 医疗组列表：同病组下不同医疗组DRG运营数据对比，支持下载；</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 病例列表：所选病组所选时间段内所有病例数据，支持筛选、查看病例详情、模拟分组、下载。</w:t>
      </w:r>
    </w:p>
    <w:p>
      <w:pPr>
        <w:keepNext/>
        <w:keepLines/>
        <w:numPr>
          <w:ilvl w:val="4"/>
          <w:numId w:val="26"/>
        </w:numPr>
        <w:bidi w:val="0"/>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23" w:name="_Toc148608443"/>
      <w:r>
        <w:rPr>
          <w:rFonts w:hint="eastAsia" w:asciiTheme="minorEastAsia" w:hAnsiTheme="minorEastAsia" w:eastAsiaTheme="minorEastAsia" w:cstheme="minorEastAsia"/>
          <w:b/>
          <w:bCs/>
          <w:color w:val="auto"/>
          <w:kern w:val="2"/>
          <w:sz w:val="24"/>
          <w:szCs w:val="24"/>
          <w:highlight w:val="none"/>
          <w:lang w:val="en-US" w:eastAsia="zh-CN" w:bidi="ar-SA"/>
        </w:rPr>
        <w:t>医疗组综合分析</w:t>
      </w:r>
      <w:bookmarkEnd w:id="23"/>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医疗组对比分析</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 展示医疗组病例数、结余、病组数、CMI、入组率、药耗占比等DRG相关指标数据对比，支持数据下钻；</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 支持快捷筛选，包括超支医疗组、结余医疗组、环比结余增加、减少等，支持年/季/月筛选和自定义时间区间、病例范围筛选；</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 支持根据不同用户设置重点关注科室，并能够快速筛选和查看重点科室数据；</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 列表字段支持用户自定义显示与排列，包含表头字段是否显示以及固定列设置，支持查看指标同比，列表数据下载。</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医疗组主页（医疗组下钻分析）</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[单医疗组下DRG运营数据统计分析]</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 总览：支持医疗组多选，展示医疗组在所选时间段内DRG核心数据概览，包含病例数、CMI、总权重、结余、药耗占比、病组构成、平均住院日等；</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 超支结余分析：展示医疗组超支结余/次均结余趋势、超支结余病组分布及趋势、超支结余病例分布及趋势、病例类型分布、高低倍率病例占比趋势；支持下钻；</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 费用构成分析：展示医疗组各个费用类型的金额及占比，药耗占比趋势，支持按病例类型选择统计范围；</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 病组构成分析：通过矩阵象限，分析所选医疗组优势病组、劣势病组；支持数据对比与下钻，对不同象限的病组提供分析结论；</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 资源使用效率分析：展示医疗组平均住院日趋势、次均费用趋势、时间消耗指数、费用消耗指数；</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 病组列表：同医疗组下不同病组DRG运营数据对比，支持下载；</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 医生列表：同医疗组下不同医生DRG运营数据对比，支持下载；</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8) 病例列表：所选医疗组所选时间段内所有病例数据，支持筛选、查看病例详情、模拟分组、下载。</w:t>
      </w:r>
    </w:p>
    <w:p>
      <w:pPr>
        <w:keepNext/>
        <w:keepLines/>
        <w:numPr>
          <w:ilvl w:val="4"/>
          <w:numId w:val="26"/>
        </w:numPr>
        <w:bidi w:val="0"/>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24" w:name="_Toc148608444"/>
      <w:r>
        <w:rPr>
          <w:rFonts w:hint="eastAsia" w:asciiTheme="minorEastAsia" w:hAnsiTheme="minorEastAsia" w:eastAsiaTheme="minorEastAsia" w:cstheme="minorEastAsia"/>
          <w:b/>
          <w:bCs/>
          <w:color w:val="auto"/>
          <w:kern w:val="2"/>
          <w:sz w:val="24"/>
          <w:szCs w:val="24"/>
          <w:highlight w:val="none"/>
          <w:lang w:val="en-US" w:eastAsia="zh-CN" w:bidi="ar-SA"/>
        </w:rPr>
        <w:t>医生综合对比分析</w:t>
      </w:r>
      <w:bookmarkEnd w:id="24"/>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 展示医生病例数、结余、CMI、次均费用、总点数、人头人次比、病组数、高低倍率病例占比等DRG相关指标数据对比，支持数据下钻；</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 支持快捷筛选，包括超支医生、结余医生、环比结余增加、减少、高低倍率病例占比高/低于全院平均等；支持年/季/月筛选和自定义时间区间、病例范围筛选、按医疗组筛选病例；支持模糊搜索医生；</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 列表字段支持用户自定义显示与排列，包含表头字段是否显示以及固定列设置，列表数据下载。</w:t>
      </w:r>
    </w:p>
    <w:p>
      <w:pPr>
        <w:keepNext/>
        <w:keepLines/>
        <w:numPr>
          <w:ilvl w:val="4"/>
          <w:numId w:val="26"/>
        </w:numPr>
        <w:bidi w:val="0"/>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25" w:name="_Toc148608445"/>
      <w:r>
        <w:rPr>
          <w:rFonts w:hint="eastAsia" w:asciiTheme="minorEastAsia" w:hAnsiTheme="minorEastAsia" w:eastAsiaTheme="minorEastAsia" w:cstheme="minorEastAsia"/>
          <w:b/>
          <w:bCs/>
          <w:color w:val="auto"/>
          <w:kern w:val="2"/>
          <w:sz w:val="24"/>
          <w:szCs w:val="24"/>
          <w:highlight w:val="none"/>
          <w:lang w:val="en-US" w:eastAsia="zh-CN" w:bidi="ar-SA"/>
        </w:rPr>
        <w:t>专题分析</w:t>
      </w:r>
      <w:bookmarkEnd w:id="25"/>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费用分摊分析</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★[根据患者在各临床开单科室产生的费用占比，将DRG结余按比例分摊统计分析]</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 展示按出院科室与按费用产生科室结余对比；</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 支持查看产生费用分摊病例明细，及病例在各科室的费用情况，支持下载；</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 支持按时间、科室、病例范围等筛选，支持表格按不同字段排序。</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学科发展分析-学科覆盖度分析</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★展示各MDC中医院病组/病例相对地区全部病组的覆盖度、各MDC医院病组/病例占比（覆盖度），以此反映医院学科广度，支持数据下载。</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学科发展分析-科室评价</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通过矩阵象限，分析在医保DRG下相对优势的科室、劣势的科室；支持指标组合维度切换、原点自定义；支持数据下钻与下载。</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学科发展分析-病组评价</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通过矩阵象限，分析在医保DRG下医院的优势病组、劣势病组；支持指标组合维度切换；支持病组范围自定义，支持数据下钻与下载。</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病例性质分析</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 展示各个统筹区、各个医保类型的病例数量及比例；</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 支持按照统筹区、医保类型分析全院及科室的核心指标，包括病例数、医疗总费用、次均费用、结余、平均住院日、CMI、药占比、耗占比、医技占比等；</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 支持表格数据排序和下载。</w:t>
      </w:r>
    </w:p>
    <w:p>
      <w:pPr>
        <w:keepNext/>
        <w:keepLines/>
        <w:numPr>
          <w:ilvl w:val="4"/>
          <w:numId w:val="26"/>
        </w:numPr>
        <w:bidi w:val="0"/>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26" w:name="_Toc148608446"/>
      <w:r>
        <w:rPr>
          <w:rFonts w:hint="eastAsia" w:asciiTheme="minorEastAsia" w:hAnsiTheme="minorEastAsia" w:eastAsiaTheme="minorEastAsia" w:cstheme="minorEastAsia"/>
          <w:b/>
          <w:bCs/>
          <w:color w:val="auto"/>
          <w:kern w:val="2"/>
          <w:sz w:val="24"/>
          <w:szCs w:val="24"/>
          <w:highlight w:val="none"/>
          <w:lang w:val="en-US" w:eastAsia="zh-CN" w:bidi="ar-SA"/>
        </w:rPr>
        <w:t>病例数据综合查询与下载</w:t>
      </w:r>
      <w:bookmarkEnd w:id="26"/>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 展示病例明细数据，支持查看详情，包含DRG分组、诊断/手术、费用占比及明细等信息；</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 支持按病例类型、15天再入院、科室、结余范围等条件组合筛选；支持按住院号、患者姓名、病案号、主诊主手等模糊搜索病例；</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 支持表格数据排序和筛选，支持15天再入院及其上次关联病例的数据下载；</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 支持大数据模拟分组，通过调整主诊断、次诊断、主手术、次手术进行模拟分；</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 支持病例按多种结算方式进行预测对比，包括床日结算、病组结算、中医结算，并优先展示点数最高的结算方式。</w:t>
      </w:r>
    </w:p>
    <w:p>
      <w:pPr>
        <w:keepNext/>
        <w:keepLines/>
        <w:numPr>
          <w:ilvl w:val="4"/>
          <w:numId w:val="26"/>
        </w:numPr>
        <w:bidi w:val="0"/>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27" w:name="_Toc148608447"/>
      <w:r>
        <w:rPr>
          <w:rFonts w:hint="eastAsia" w:asciiTheme="minorEastAsia" w:hAnsiTheme="minorEastAsia" w:eastAsiaTheme="minorEastAsia" w:cstheme="minorEastAsia"/>
          <w:b/>
          <w:bCs/>
          <w:color w:val="auto"/>
          <w:kern w:val="2"/>
          <w:sz w:val="24"/>
          <w:szCs w:val="24"/>
          <w:highlight w:val="none"/>
          <w:lang w:val="en-US" w:eastAsia="zh-CN" w:bidi="ar-SA"/>
        </w:rPr>
        <w:t>指标综合查询与下载</w:t>
      </w:r>
      <w:bookmarkEnd w:id="27"/>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 提供各个主题的指标下载，包括医疗服务能力、费用控制、DRG结算指标、费用控制等；</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 支持指标自定义选择数据范围、时间范围、导出维度（全院/科室/病组等）；</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 支持保存指标报表模板，方便同一报表重复下载；</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 支持导出DRG系统点击量统计指标，维度支持全院、科室、操作工号。</w:t>
      </w:r>
    </w:p>
    <w:p>
      <w:pPr>
        <w:keepNext/>
        <w:keepLines/>
        <w:numPr>
          <w:ilvl w:val="3"/>
          <w:numId w:val="26"/>
        </w:numPr>
        <w:bidi w:val="0"/>
        <w:spacing w:line="360" w:lineRule="auto"/>
        <w:ind w:left="862" w:hanging="862"/>
        <w:jc w:val="both"/>
        <w:outlineLvl w:val="3"/>
        <w:rPr>
          <w:rFonts w:hint="eastAsia" w:asciiTheme="minorEastAsia" w:hAnsiTheme="minorEastAsia" w:eastAsiaTheme="minorEastAsia" w:cstheme="minorEastAsia"/>
          <w:b/>
          <w:bCs/>
          <w:color w:val="auto"/>
          <w:kern w:val="2"/>
          <w:sz w:val="24"/>
          <w:szCs w:val="24"/>
          <w:highlight w:val="none"/>
          <w:lang w:val="en-US" w:eastAsia="zh-CN" w:bidi="ar-SA"/>
        </w:rPr>
      </w:pPr>
      <w:bookmarkStart w:id="28" w:name="_Toc148608448"/>
      <w:r>
        <w:rPr>
          <w:rFonts w:hint="eastAsia" w:asciiTheme="minorEastAsia" w:hAnsiTheme="minorEastAsia" w:eastAsiaTheme="minorEastAsia" w:cstheme="minorEastAsia"/>
          <w:b/>
          <w:bCs/>
          <w:color w:val="auto"/>
          <w:kern w:val="2"/>
          <w:sz w:val="24"/>
          <w:szCs w:val="24"/>
          <w:highlight w:val="none"/>
          <w:lang w:val="en-US" w:eastAsia="zh-CN" w:bidi="ar-SA"/>
        </w:rPr>
        <w:t>医保结算管理</w:t>
      </w:r>
      <w:bookmarkEnd w:id="28"/>
    </w:p>
    <w:p>
      <w:pPr>
        <w:keepNext/>
        <w:keepLines/>
        <w:numPr>
          <w:ilvl w:val="4"/>
          <w:numId w:val="26"/>
        </w:numPr>
        <w:bidi w:val="0"/>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29" w:name="_Toc148608449"/>
      <w:r>
        <w:rPr>
          <w:rFonts w:hint="eastAsia" w:asciiTheme="minorEastAsia" w:hAnsiTheme="minorEastAsia" w:eastAsiaTheme="minorEastAsia" w:cstheme="minorEastAsia"/>
          <w:b/>
          <w:bCs/>
          <w:color w:val="auto"/>
          <w:kern w:val="2"/>
          <w:sz w:val="24"/>
          <w:szCs w:val="24"/>
          <w:highlight w:val="none"/>
          <w:lang w:val="en-US" w:eastAsia="zh-CN" w:bidi="ar-SA"/>
        </w:rPr>
        <w:t>结算导入管理</w:t>
      </w:r>
      <w:bookmarkEnd w:id="29"/>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 支持导入导入医保局下发的月度/年度结算单，支持导入后异常数据的手动处理，导入后系统以导入数据为准进行分析；</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 支持根据不同统筹区灵活设置点值；</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 支持根据中位数、均值或自定义等方式录入预测点费；</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 支持查看不同月份、年份点费差异和对比。</w:t>
      </w:r>
    </w:p>
    <w:p>
      <w:pPr>
        <w:keepNext/>
        <w:keepLines/>
        <w:numPr>
          <w:ilvl w:val="4"/>
          <w:numId w:val="26"/>
        </w:numPr>
        <w:bidi w:val="0"/>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30" w:name="_Toc148608450"/>
      <w:r>
        <w:rPr>
          <w:rFonts w:hint="eastAsia" w:asciiTheme="minorEastAsia" w:hAnsiTheme="minorEastAsia" w:eastAsiaTheme="minorEastAsia" w:cstheme="minorEastAsia"/>
          <w:b/>
          <w:bCs/>
          <w:color w:val="auto"/>
          <w:kern w:val="2"/>
          <w:sz w:val="24"/>
          <w:szCs w:val="24"/>
          <w:highlight w:val="none"/>
          <w:lang w:val="en-US" w:eastAsia="zh-CN" w:bidi="ar-SA"/>
        </w:rPr>
        <w:t>DRG结算核对</w:t>
      </w:r>
      <w:bookmarkEnd w:id="30"/>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重点病例分组核对</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 支持按分组不一致、含特殊药品耗材、是否已查阅、院内已申诉、病例类型、特殊结算病例等条件筛选，可快速定位重点病例；</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 支持查看病例DRG预分组与医保结算分组对比，支持查看诊断/手术、费用明细、病历文书等数据，用于核对分组，判断是否需要申诉；</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 支持大数据模拟分组，通过调整主诊断、次诊断、主手术、次手术进行模拟分组；</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 支持按科室统计超支结余，表格字段用户自定义显示与排列，包含表头字段是否显示以及固定列设置，支持列表数据下载；</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 提供医保分组与预测分组一致率的统计。</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病例申诉</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 支持病例申诉流程，支持医生填写申诉资料及上传图片，支持医保办对申诉进行修改、确认操作；</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 支持查看与下载病例申诉汇总；</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 申诉反馈：支持查看申诉前后分组数据对比。</w:t>
      </w:r>
    </w:p>
    <w:p>
      <w:pPr>
        <w:keepNext/>
        <w:keepLines/>
        <w:numPr>
          <w:ilvl w:val="3"/>
          <w:numId w:val="26"/>
        </w:numPr>
        <w:bidi w:val="0"/>
        <w:spacing w:line="360" w:lineRule="auto"/>
        <w:ind w:left="862" w:hanging="862"/>
        <w:jc w:val="both"/>
        <w:outlineLvl w:val="3"/>
        <w:rPr>
          <w:rFonts w:hint="eastAsia" w:asciiTheme="minorEastAsia" w:hAnsiTheme="minorEastAsia" w:eastAsiaTheme="minorEastAsia" w:cstheme="minorEastAsia"/>
          <w:b/>
          <w:bCs/>
          <w:color w:val="auto"/>
          <w:kern w:val="2"/>
          <w:sz w:val="24"/>
          <w:szCs w:val="24"/>
          <w:highlight w:val="none"/>
          <w:lang w:val="en-US" w:eastAsia="zh-CN" w:bidi="ar-SA"/>
        </w:rPr>
      </w:pPr>
      <w:bookmarkStart w:id="31" w:name="_Toc148608451"/>
      <w:r>
        <w:rPr>
          <w:rFonts w:hint="eastAsia" w:asciiTheme="minorEastAsia" w:hAnsiTheme="minorEastAsia" w:eastAsiaTheme="minorEastAsia" w:cstheme="minorEastAsia"/>
          <w:b/>
          <w:bCs/>
          <w:color w:val="auto"/>
          <w:kern w:val="2"/>
          <w:sz w:val="24"/>
          <w:szCs w:val="24"/>
          <w:highlight w:val="none"/>
          <w:lang w:val="en-US" w:eastAsia="zh-CN" w:bidi="ar-SA"/>
        </w:rPr>
        <w:t>系统管理</w:t>
      </w:r>
      <w:bookmarkEnd w:id="31"/>
    </w:p>
    <w:p>
      <w:pPr>
        <w:keepNext/>
        <w:keepLines/>
        <w:numPr>
          <w:ilvl w:val="4"/>
          <w:numId w:val="26"/>
        </w:numPr>
        <w:bidi w:val="0"/>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32" w:name="_Toc148608452"/>
      <w:r>
        <w:rPr>
          <w:rFonts w:hint="eastAsia" w:asciiTheme="minorEastAsia" w:hAnsiTheme="minorEastAsia" w:eastAsiaTheme="minorEastAsia" w:cstheme="minorEastAsia"/>
          <w:b/>
          <w:bCs/>
          <w:color w:val="auto"/>
          <w:kern w:val="2"/>
          <w:sz w:val="24"/>
          <w:szCs w:val="24"/>
          <w:highlight w:val="none"/>
          <w:lang w:val="en-US" w:eastAsia="zh-CN" w:bidi="ar-SA"/>
        </w:rPr>
        <w:t>系统设置</w:t>
      </w:r>
      <w:bookmarkEnd w:id="32"/>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费用构成规则设置</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支持自定义设置费用分类，系统根据该分类进行费用相关指标的统计和分析。</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风险审核规则</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支持自定义设置费用异常、不合理入院、再入院、体检入院等预警病例的条件。</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结算单导入设置</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支持结算导入字段映射和处理。</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标杆设置</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支持自定义设置病组和科室的标杆值。</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事中费用预警设置</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支持自定义高倍预警、低倍预警、超支风险三类费用预警的规则与生效范围。</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病例详情设置</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支持自定义病例详情控费进度条的展示形式，以及详情页的字段信息、指标展示。</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特殊结算方式设置</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支持自定义事中监测优先按点数最高预测、优先按病组预测、优先按床日预测等，开关按床日结算预测和中医预测结算。</w:t>
      </w:r>
    </w:p>
    <w:p>
      <w:pPr>
        <w:keepNext/>
        <w:keepLines/>
        <w:numPr>
          <w:ilvl w:val="4"/>
          <w:numId w:val="26"/>
        </w:numPr>
        <w:bidi w:val="0"/>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33" w:name="_Toc148608453"/>
      <w:r>
        <w:rPr>
          <w:rFonts w:hint="eastAsia" w:asciiTheme="minorEastAsia" w:hAnsiTheme="minorEastAsia" w:eastAsiaTheme="minorEastAsia" w:cstheme="minorEastAsia"/>
          <w:b/>
          <w:bCs/>
          <w:color w:val="auto"/>
          <w:kern w:val="2"/>
          <w:sz w:val="24"/>
          <w:szCs w:val="24"/>
          <w:highlight w:val="none"/>
          <w:lang w:val="en-US" w:eastAsia="zh-CN" w:bidi="ar-SA"/>
        </w:rPr>
        <w:t>账号权限管理</w:t>
      </w:r>
      <w:bookmarkEnd w:id="33"/>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管理科室设置</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支持按出院科室设置大科室，满足医院二级科室管理。</w:t>
      </w:r>
    </w:p>
    <w:p>
      <w:pPr>
        <w:keepNext/>
        <w:keepLines/>
        <w:numPr>
          <w:ilvl w:val="5"/>
          <w:numId w:val="26"/>
        </w:numPr>
        <w:bidi w:val="0"/>
        <w:spacing w:before="240" w:after="64" w:line="320" w:lineRule="auto"/>
        <w:jc w:val="both"/>
        <w:outlineLvl w:val="5"/>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角色与数据权限</w:t>
      </w:r>
    </w:p>
    <w:p>
      <w:pPr>
        <w:snapToGrid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支持根据医院需要，按照院级、科级、医生不同角色设置菜单和数据权限。</w:t>
      </w:r>
    </w:p>
    <w:p>
      <w:pPr>
        <w:widowControl/>
        <w:spacing w:line="360" w:lineRule="auto"/>
        <w:ind w:firstLine="424" w:firstLineChars="177"/>
        <w:rPr>
          <w:rFonts w:hint="eastAsia" w:asciiTheme="minorEastAsia" w:hAnsiTheme="minorEastAsia" w:eastAsiaTheme="minorEastAsia" w:cstheme="minorEastAsia"/>
          <w:color w:val="auto"/>
          <w:sz w:val="24"/>
          <w:szCs w:val="24"/>
          <w:highlight w:val="none"/>
        </w:rPr>
      </w:pPr>
    </w:p>
    <w:bookmarkEnd w:id="16"/>
    <w:p>
      <w:pPr>
        <w:keepNext/>
        <w:keepLines/>
        <w:numPr>
          <w:ilvl w:val="2"/>
          <w:numId w:val="26"/>
        </w:numPr>
        <w:bidi w:val="0"/>
        <w:spacing w:line="360" w:lineRule="auto"/>
        <w:jc w:val="both"/>
        <w:outlineLvl w:val="2"/>
        <w:rPr>
          <w:rFonts w:hint="eastAsia" w:asciiTheme="minorEastAsia" w:hAnsiTheme="minorEastAsia" w:eastAsiaTheme="minorEastAsia" w:cstheme="minorEastAsia"/>
          <w:b/>
          <w:bCs/>
          <w:color w:val="auto"/>
          <w:kern w:val="2"/>
          <w:sz w:val="24"/>
          <w:szCs w:val="24"/>
          <w:highlight w:val="none"/>
          <w:lang w:val="en-US" w:eastAsia="zh-CN" w:bidi="ar-SA"/>
        </w:rPr>
      </w:pPr>
      <w:bookmarkStart w:id="34" w:name="_Toc14094"/>
      <w:r>
        <w:rPr>
          <w:rFonts w:hint="eastAsia" w:asciiTheme="minorEastAsia" w:hAnsiTheme="minorEastAsia" w:eastAsiaTheme="minorEastAsia" w:cstheme="minorEastAsia"/>
          <w:b/>
          <w:bCs/>
          <w:color w:val="auto"/>
          <w:kern w:val="2"/>
          <w:sz w:val="24"/>
          <w:szCs w:val="24"/>
          <w:highlight w:val="none"/>
          <w:lang w:val="en-US" w:eastAsia="zh-CN" w:bidi="ar-SA"/>
        </w:rPr>
        <w:t>医保结算清单质控系统</w:t>
      </w:r>
      <w:bookmarkEnd w:id="34"/>
    </w:p>
    <w:p>
      <w:pPr>
        <w:keepNext/>
        <w:keepLines/>
        <w:numPr>
          <w:ilvl w:val="3"/>
          <w:numId w:val="26"/>
        </w:numPr>
        <w:spacing w:line="360" w:lineRule="auto"/>
        <w:ind w:left="862" w:hanging="862"/>
        <w:jc w:val="both"/>
        <w:outlineLvl w:val="3"/>
        <w:rPr>
          <w:rFonts w:hint="eastAsia" w:asciiTheme="minorEastAsia" w:hAnsiTheme="minorEastAsia" w:eastAsiaTheme="minorEastAsia" w:cstheme="minorEastAsia"/>
          <w:b/>
          <w:bCs/>
          <w:color w:val="auto"/>
          <w:kern w:val="2"/>
          <w:sz w:val="24"/>
          <w:szCs w:val="24"/>
          <w:highlight w:val="none"/>
          <w:lang w:val="en-US" w:eastAsia="zh-CN" w:bidi="ar-SA"/>
        </w:rPr>
      </w:pPr>
      <w:bookmarkStart w:id="35" w:name="_Toc148626197"/>
      <w:r>
        <w:rPr>
          <w:rFonts w:hint="eastAsia" w:asciiTheme="minorEastAsia" w:hAnsiTheme="minorEastAsia" w:eastAsiaTheme="minorEastAsia" w:cstheme="minorEastAsia"/>
          <w:b/>
          <w:bCs/>
          <w:color w:val="auto"/>
          <w:kern w:val="2"/>
          <w:sz w:val="24"/>
          <w:szCs w:val="24"/>
          <w:highlight w:val="none"/>
          <w:lang w:val="en-US" w:eastAsia="zh-CN" w:bidi="ar-SA"/>
        </w:rPr>
        <w:t>清单任务总览</w:t>
      </w:r>
      <w:bookmarkEnd w:id="35"/>
    </w:p>
    <w:p>
      <w:pPr>
        <w:keepNext/>
        <w:keepLines/>
        <w:numPr>
          <w:ilvl w:val="4"/>
          <w:numId w:val="26"/>
        </w:numPr>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36" w:name="_Toc148626198"/>
      <w:r>
        <w:rPr>
          <w:rFonts w:hint="eastAsia" w:asciiTheme="minorEastAsia" w:hAnsiTheme="minorEastAsia" w:eastAsiaTheme="minorEastAsia" w:cstheme="minorEastAsia"/>
          <w:b/>
          <w:bCs/>
          <w:color w:val="auto"/>
          <w:kern w:val="2"/>
          <w:sz w:val="24"/>
          <w:szCs w:val="24"/>
          <w:highlight w:val="none"/>
          <w:lang w:val="en-US" w:eastAsia="zh-CN" w:bidi="ar-SA"/>
        </w:rPr>
        <w:t>管理指标统计</w:t>
      </w:r>
      <w:bookmarkEnd w:id="36"/>
    </w:p>
    <w:p>
      <w:pPr>
        <w:widowControl/>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 支持统计筛选时间段内的审核完成率、首次上报合格率</w:t>
      </w:r>
    </w:p>
    <w:p>
      <w:pPr>
        <w:keepNext/>
        <w:keepLines/>
        <w:numPr>
          <w:ilvl w:val="4"/>
          <w:numId w:val="26"/>
        </w:numPr>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37" w:name="_Toc148626199"/>
      <w:r>
        <w:rPr>
          <w:rFonts w:hint="eastAsia" w:asciiTheme="minorEastAsia" w:hAnsiTheme="minorEastAsia" w:eastAsiaTheme="minorEastAsia" w:cstheme="minorEastAsia"/>
          <w:b/>
          <w:bCs/>
          <w:color w:val="auto"/>
          <w:kern w:val="2"/>
          <w:sz w:val="24"/>
          <w:szCs w:val="24"/>
          <w:highlight w:val="none"/>
          <w:lang w:val="en-US" w:eastAsia="zh-CN" w:bidi="ar-SA"/>
        </w:rPr>
        <w:t>清单任务统计</w:t>
      </w:r>
      <w:bookmarkEnd w:id="37"/>
    </w:p>
    <w:p>
      <w:pPr>
        <w:widowControl/>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 支持展示已生成清单的数量，包含通过病案首页数据生成的清单数量和对特殊患者自动补充生产的清单数量。</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2) 支持根据医院实际配置的审核流程节点，分别展示清单初审、清单复审、清单终审任务节点中具体的清单审核状态及数量，支持下钻到对应清单列表。</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3) 支持按院内结算日期、出院日期统计筛选时间段内以上清单的数量及状态。</w:t>
      </w:r>
    </w:p>
    <w:p>
      <w:pPr>
        <w:keepNext/>
        <w:keepLines/>
        <w:numPr>
          <w:ilvl w:val="3"/>
          <w:numId w:val="26"/>
        </w:numPr>
        <w:spacing w:line="360" w:lineRule="auto"/>
        <w:ind w:left="862" w:hanging="862"/>
        <w:jc w:val="both"/>
        <w:outlineLvl w:val="3"/>
        <w:rPr>
          <w:rFonts w:hint="eastAsia" w:asciiTheme="minorEastAsia" w:hAnsiTheme="minorEastAsia" w:eastAsiaTheme="minorEastAsia" w:cstheme="minorEastAsia"/>
          <w:b/>
          <w:bCs/>
          <w:color w:val="auto"/>
          <w:kern w:val="2"/>
          <w:sz w:val="24"/>
          <w:szCs w:val="24"/>
          <w:highlight w:val="none"/>
          <w:lang w:val="en-US" w:eastAsia="zh-CN" w:bidi="ar-SA"/>
        </w:rPr>
      </w:pPr>
      <w:bookmarkStart w:id="38" w:name="_Toc148626200"/>
      <w:r>
        <w:rPr>
          <w:rFonts w:hint="eastAsia" w:asciiTheme="minorEastAsia" w:hAnsiTheme="minorEastAsia" w:eastAsiaTheme="minorEastAsia" w:cstheme="minorEastAsia"/>
          <w:b/>
          <w:bCs/>
          <w:color w:val="auto"/>
          <w:kern w:val="2"/>
          <w:sz w:val="24"/>
          <w:szCs w:val="24"/>
          <w:highlight w:val="none"/>
          <w:lang w:val="en-US" w:eastAsia="zh-CN" w:bidi="ar-SA"/>
        </w:rPr>
        <w:t>上报前清单审核</w:t>
      </w:r>
      <w:bookmarkEnd w:id="38"/>
    </w:p>
    <w:p>
      <w:pPr>
        <w:keepNext/>
        <w:keepLines/>
        <w:numPr>
          <w:ilvl w:val="4"/>
          <w:numId w:val="26"/>
        </w:numPr>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39" w:name="_Toc148626201"/>
      <w:r>
        <w:rPr>
          <w:rFonts w:hint="eastAsia" w:asciiTheme="minorEastAsia" w:hAnsiTheme="minorEastAsia" w:eastAsiaTheme="minorEastAsia" w:cstheme="minorEastAsia"/>
          <w:b/>
          <w:bCs/>
          <w:color w:val="auto"/>
          <w:kern w:val="2"/>
          <w:sz w:val="24"/>
          <w:szCs w:val="24"/>
          <w:highlight w:val="none"/>
          <w:lang w:val="en-US" w:eastAsia="zh-CN" w:bidi="ar-SA"/>
        </w:rPr>
        <w:t>清单生成</w:t>
      </w:r>
      <w:bookmarkEnd w:id="39"/>
    </w:p>
    <w:p>
      <w:pPr>
        <w:widowControl/>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 支持自动获取医院各系统相关数据，生成待审核结算清单，自动对结算清单进行全量质检质控；</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2) ★支持对血液透析的患者自动生成结算清单，对于母婴同室的婴儿自动拆分结算清单，并提供全量质检质控；</w:t>
      </w:r>
    </w:p>
    <w:p>
      <w:pPr>
        <w:keepNext/>
        <w:keepLines/>
        <w:numPr>
          <w:ilvl w:val="4"/>
          <w:numId w:val="26"/>
        </w:numPr>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40" w:name="_Toc148626202"/>
      <w:r>
        <w:rPr>
          <w:rFonts w:hint="eastAsia" w:asciiTheme="minorEastAsia" w:hAnsiTheme="minorEastAsia" w:eastAsiaTheme="minorEastAsia" w:cstheme="minorEastAsia"/>
          <w:b/>
          <w:bCs/>
          <w:color w:val="auto"/>
          <w:kern w:val="2"/>
          <w:sz w:val="24"/>
          <w:szCs w:val="24"/>
          <w:highlight w:val="none"/>
          <w:lang w:val="en-US" w:eastAsia="zh-CN" w:bidi="ar-SA"/>
        </w:rPr>
        <w:t>清单操作</w:t>
      </w:r>
      <w:bookmarkEnd w:id="40"/>
    </w:p>
    <w:p>
      <w:pPr>
        <w:widowControl/>
        <w:snapToGrid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 支持自定义设置清单列表展示数量，如20条/页、50条/页、100条/页；</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2) 支持对清单标记疑问病例，并在列表内进行差异化标识展示，支持搜索查询；</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3) 支持在列表内对于已读清单和未读清单进行差异化展示，支持搜索查询；</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4) 支持对符合再入院条件的患者进行差异化标识展示，支持查看上次住院信息，支持搜索查询；</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5) 支持对与病案首页不一致的清单进行标注，支持查看病案首页与结算清单不一致的具体对比情况；</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6) 支持查看每份清单的基本信息，包括患者信息、病案号、住院号、住院医师、入组情况、预计结余、病例类型等信息；支持按费用类型查看费用明细，并展示费用分布情况和费用占比。</w:t>
      </w:r>
      <w:r>
        <w:rPr>
          <w:rFonts w:hint="eastAsia" w:asciiTheme="minorEastAsia" w:hAnsiTheme="minorEastAsia" w:eastAsiaTheme="minorEastAsia" w:cstheme="minorEastAsia"/>
          <w:b/>
          <w:bCs/>
          <w:color w:val="auto"/>
          <w:kern w:val="0"/>
          <w:sz w:val="24"/>
          <w:szCs w:val="24"/>
          <w:highlight w:val="none"/>
        </w:rPr>
        <w:t>支持对于入组异常患者展示入组解析。</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7) 支持按病组结算和床日结算两种结算方式，对于同时符合两种结算方式的患者支持切换结算方式进行对比查看；</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8) 支持展示清单质检结果，对不同预警级别差异化展示；支持展示诊断手术信息；支持展示清单批注信息并进行操作；</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9) ★支持通过大数据分析建立多维度优选策略，在保证清单合规的前提下提供结算更多组合的参考；支持通过大数据对疑似手术缺漏进行提醒，提供对应的优选组合，并对缺漏手术进行差异化标识；</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10) 支持下钻查看清单详情，定位展示对应的质控问题点，支持对诊断、手术信息进行编辑，包括顺序调整、新增、删除、修改；支持在调整清单内容后模拟质检，比对查看新旧分组预测与质控结果信息；支持保存修改后的清单，保存后清单将停止自动刷新；</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 xml:space="preserve">11) 支持对已修改的清单，手动开启清单自动更新； </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12) 支持对不适用的清单规则进行关闭，并记录关闭理由；支持针对于个别患者无需修改的规则进行关闭，并记录关闭理由；</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13) ★支持查看清单编辑日志，日志记录所有操作人员、时间、操作内容，可查看修改前后对比，支持查看与初始清单的对比；</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14) 支持对清单发起批注信息，选择发送至指定用户，支持立即发送或暂不发送仅保存；</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15) 支持通过调整主次诊断、手术顺序对清单进行模拟入组，比对查看新旧分组预测与质控结果信息，支持将模拟分组结果快捷添加至批注或详情页；</w:t>
      </w:r>
    </w:p>
    <w:p>
      <w:pPr>
        <w:widowControl/>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16) 支持通过手动刷新HIS实时信息，更新待审核清单数据 。</w:t>
      </w:r>
    </w:p>
    <w:p>
      <w:pPr>
        <w:keepNext/>
        <w:keepLines/>
        <w:numPr>
          <w:ilvl w:val="4"/>
          <w:numId w:val="26"/>
        </w:numPr>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41" w:name="_Toc148626203"/>
      <w:r>
        <w:rPr>
          <w:rFonts w:hint="eastAsia" w:asciiTheme="minorEastAsia" w:hAnsiTheme="minorEastAsia" w:eastAsiaTheme="minorEastAsia" w:cstheme="minorEastAsia"/>
          <w:b/>
          <w:bCs/>
          <w:color w:val="auto"/>
          <w:kern w:val="2"/>
          <w:sz w:val="24"/>
          <w:szCs w:val="24"/>
          <w:highlight w:val="none"/>
          <w:lang w:val="en-US" w:eastAsia="zh-CN" w:bidi="ar-SA"/>
        </w:rPr>
        <w:t>我的清单</w:t>
      </w:r>
      <w:bookmarkEnd w:id="41"/>
    </w:p>
    <w:p>
      <w:pPr>
        <w:widowControl/>
        <w:numPr>
          <w:ilvl w:val="0"/>
          <w:numId w:val="28"/>
        </w:numPr>
        <w:snapToGrid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支持按分配的数据权限，查看本人负责的全部流程节点下的所有结算清单；</w:t>
      </w:r>
    </w:p>
    <w:p>
      <w:pPr>
        <w:widowControl/>
        <w:numPr>
          <w:ilvl w:val="0"/>
          <w:numId w:val="28"/>
        </w:numPr>
        <w:snapToGrid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支持查看结算清单当前审核状态，支持按姓名、住院号、病案号、医生、分组、主诊断、主手术进行搜索，支持下载导出列表。</w:t>
      </w:r>
    </w:p>
    <w:p>
      <w:pPr>
        <w:widowControl/>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支持对于重点问题主动进行推送，如已审核清单被退回、收到批注消息、清单数据源头发生变更</w:t>
      </w:r>
    </w:p>
    <w:p>
      <w:pPr>
        <w:keepNext/>
        <w:keepLines/>
        <w:numPr>
          <w:ilvl w:val="4"/>
          <w:numId w:val="26"/>
        </w:numPr>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42" w:name="_Toc148626204"/>
      <w:r>
        <w:rPr>
          <w:rFonts w:hint="eastAsia" w:asciiTheme="minorEastAsia" w:hAnsiTheme="minorEastAsia" w:eastAsiaTheme="minorEastAsia" w:cstheme="minorEastAsia"/>
          <w:b/>
          <w:bCs/>
          <w:color w:val="auto"/>
          <w:kern w:val="2"/>
          <w:sz w:val="24"/>
          <w:szCs w:val="24"/>
          <w:highlight w:val="none"/>
          <w:lang w:val="en-US" w:eastAsia="zh-CN" w:bidi="ar-SA"/>
        </w:rPr>
        <w:t>待审核清单</w:t>
      </w:r>
      <w:bookmarkEnd w:id="42"/>
    </w:p>
    <w:p>
      <w:pPr>
        <w:widowControl/>
        <w:snapToGrid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 支持按分配的数据权限，查看本人负责的所有待审核的结算清单；</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2) 支持对待审核清单操作审核通过，支持批量勾选操作审核通过，支持一键全部审核通过；已审核通过的清单根据审核流程配置，自动分配进入下一节点审核人员的待审核列表，并自动保存固化清单数据；</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3) 支持设置自定义校验条件，对符合条件的清单自动审核通过并进入本人审核通过列表，未通过审核的清单进入待审核列表等待人工处理审核；</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4) 支持对审核不通过的清单进行退回操作，可选择退回至指定流程的待审核列表；</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5) 支持下载导出本人所有待审核清单列表。</w:t>
      </w:r>
    </w:p>
    <w:p>
      <w:pPr>
        <w:keepNext/>
        <w:keepLines/>
        <w:numPr>
          <w:ilvl w:val="4"/>
          <w:numId w:val="26"/>
        </w:numPr>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43" w:name="_Toc148626205"/>
      <w:r>
        <w:rPr>
          <w:rFonts w:hint="eastAsia" w:asciiTheme="minorEastAsia" w:hAnsiTheme="minorEastAsia" w:eastAsiaTheme="minorEastAsia" w:cstheme="minorEastAsia"/>
          <w:b/>
          <w:bCs/>
          <w:color w:val="auto"/>
          <w:kern w:val="2"/>
          <w:sz w:val="24"/>
          <w:szCs w:val="24"/>
          <w:highlight w:val="none"/>
          <w:lang w:val="en-US" w:eastAsia="zh-CN" w:bidi="ar-SA"/>
        </w:rPr>
        <w:t>审核通过清单</w:t>
      </w:r>
      <w:bookmarkEnd w:id="43"/>
    </w:p>
    <w:p>
      <w:pPr>
        <w:widowControl/>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 支持查看所有本人审核通过的清单；</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2) 支持批量勾选撤销本人已审核通过的清单，撤销审核后的清单变为本人待审核状态；</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3) 支持下载导出本人所有审核通过清单列表；</w:t>
      </w:r>
    </w:p>
    <w:p>
      <w:pPr>
        <w:keepNext/>
        <w:keepLines/>
        <w:numPr>
          <w:ilvl w:val="4"/>
          <w:numId w:val="26"/>
        </w:numPr>
        <w:spacing w:line="360" w:lineRule="auto"/>
        <w:ind w:left="1009" w:hanging="1009"/>
        <w:jc w:val="left"/>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44" w:name="_Toc148626206"/>
      <w:r>
        <w:rPr>
          <w:rFonts w:hint="eastAsia" w:asciiTheme="minorEastAsia" w:hAnsiTheme="minorEastAsia" w:eastAsiaTheme="minorEastAsia" w:cstheme="minorEastAsia"/>
          <w:b/>
          <w:bCs/>
          <w:color w:val="auto"/>
          <w:kern w:val="2"/>
          <w:sz w:val="24"/>
          <w:szCs w:val="24"/>
          <w:highlight w:val="none"/>
          <w:lang w:val="en-US" w:eastAsia="zh-CN" w:bidi="ar-SA"/>
        </w:rPr>
        <w:t>审核退回清单</w:t>
      </w:r>
      <w:bookmarkEnd w:id="44"/>
    </w:p>
    <w:p>
      <w:pPr>
        <w:widowControl/>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 支持查看所有本人被审核退回的清单；</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2) 支持重新对清单进行审核通过操作，重新进入下一节点审核人员的待审核列表。</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3) 支持下载导出本人所有审核被退回清单列表。</w:t>
      </w:r>
    </w:p>
    <w:p>
      <w:pPr>
        <w:keepNext/>
        <w:keepLines/>
        <w:numPr>
          <w:ilvl w:val="4"/>
          <w:numId w:val="26"/>
        </w:numPr>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45" w:name="_Toc148626207"/>
      <w:r>
        <w:rPr>
          <w:rFonts w:hint="eastAsia" w:asciiTheme="minorEastAsia" w:hAnsiTheme="minorEastAsia" w:eastAsiaTheme="minorEastAsia" w:cstheme="minorEastAsia"/>
          <w:b/>
          <w:bCs/>
          <w:color w:val="auto"/>
          <w:kern w:val="2"/>
          <w:sz w:val="24"/>
          <w:szCs w:val="24"/>
          <w:highlight w:val="none"/>
          <w:lang w:val="en-US" w:eastAsia="zh-CN" w:bidi="ar-SA"/>
        </w:rPr>
        <w:t>超时未审核清单</w:t>
      </w:r>
      <w:bookmarkEnd w:id="45"/>
    </w:p>
    <w:p>
      <w:pPr>
        <w:widowControl/>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 根据每个审核节点设置的时限要求，系统自动将超过时限的清单置为超时未审核；</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2) 支持查看所有本人超时未审核的清单；</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3) 支持对清单进行审核通过操作，进入下一节点审核人员的待审核列表。</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4) 支持下载导出本人所有超时未审核清单列表。</w:t>
      </w:r>
    </w:p>
    <w:p>
      <w:pPr>
        <w:keepNext/>
        <w:keepLines/>
        <w:numPr>
          <w:ilvl w:val="4"/>
          <w:numId w:val="26"/>
        </w:numPr>
        <w:spacing w:line="360" w:lineRule="auto"/>
        <w:ind w:left="1009" w:hanging="1009"/>
        <w:jc w:val="left"/>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46" w:name="_Toc148626208"/>
      <w:r>
        <w:rPr>
          <w:rFonts w:hint="eastAsia" w:asciiTheme="minorEastAsia" w:hAnsiTheme="minorEastAsia" w:eastAsiaTheme="minorEastAsia" w:cstheme="minorEastAsia"/>
          <w:b/>
          <w:bCs/>
          <w:color w:val="auto"/>
          <w:kern w:val="2"/>
          <w:sz w:val="24"/>
          <w:szCs w:val="24"/>
          <w:highlight w:val="none"/>
          <w:lang w:val="en-US" w:eastAsia="zh-CN" w:bidi="ar-SA"/>
        </w:rPr>
        <w:t>自定义快捷筛选</w:t>
      </w:r>
      <w:bookmarkEnd w:id="46"/>
    </w:p>
    <w:p>
      <w:pPr>
        <w:widowControl/>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 支持按照病例类型、质控问题、异常住院、特殊患者、费用相关条件类型，选择对应的指标，组合形成自定义快捷筛类型，针对每个审核环节，筛选出对应的清单列表；</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2) 支持对筛选类型进行重命名；</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3) 支持自定义添加多个快捷筛选类型；</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4) 支持初始化重点问题清单的快捷筛选类型；</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5) 支持下载导出快捷筛选类型下的清单列表。</w:t>
      </w:r>
    </w:p>
    <w:p>
      <w:pPr>
        <w:keepNext/>
        <w:keepLines/>
        <w:numPr>
          <w:ilvl w:val="4"/>
          <w:numId w:val="26"/>
        </w:numPr>
        <w:spacing w:line="360" w:lineRule="auto"/>
        <w:ind w:left="1009" w:hanging="1009"/>
        <w:jc w:val="left"/>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47" w:name="_Toc148626209"/>
      <w:r>
        <w:rPr>
          <w:rFonts w:hint="eastAsia" w:asciiTheme="minorEastAsia" w:hAnsiTheme="minorEastAsia" w:eastAsiaTheme="minorEastAsia" w:cstheme="minorEastAsia"/>
          <w:b/>
          <w:bCs/>
          <w:color w:val="auto"/>
          <w:kern w:val="2"/>
          <w:sz w:val="24"/>
          <w:szCs w:val="24"/>
          <w:highlight w:val="none"/>
          <w:lang w:val="en-US" w:eastAsia="zh-CN" w:bidi="ar-SA"/>
        </w:rPr>
        <w:t>其他筛选</w:t>
      </w:r>
      <w:bookmarkEnd w:id="47"/>
    </w:p>
    <w:p>
      <w:pPr>
        <w:widowControl/>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 支持对未读清单、疑问病例的筛选；</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2) 支持筛选与病案首页不一致的清单；</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3) 支持筛选与初始清单不一致的清单，区分因数据源变更、清单调整变更原因导致的不一致清单。</w:t>
      </w:r>
    </w:p>
    <w:p>
      <w:pPr>
        <w:keepNext/>
        <w:keepLines/>
        <w:numPr>
          <w:ilvl w:val="3"/>
          <w:numId w:val="26"/>
        </w:numPr>
        <w:spacing w:line="360" w:lineRule="auto"/>
        <w:ind w:left="862" w:hanging="862"/>
        <w:jc w:val="left"/>
        <w:outlineLvl w:val="3"/>
        <w:rPr>
          <w:rFonts w:hint="eastAsia" w:asciiTheme="minorEastAsia" w:hAnsiTheme="minorEastAsia" w:eastAsiaTheme="minorEastAsia" w:cstheme="minorEastAsia"/>
          <w:b/>
          <w:bCs/>
          <w:color w:val="auto"/>
          <w:kern w:val="2"/>
          <w:sz w:val="24"/>
          <w:szCs w:val="24"/>
          <w:highlight w:val="none"/>
          <w:lang w:val="en-US" w:eastAsia="zh-CN" w:bidi="ar-SA"/>
        </w:rPr>
      </w:pPr>
      <w:bookmarkStart w:id="48" w:name="_Toc148626210"/>
      <w:r>
        <w:rPr>
          <w:rFonts w:hint="eastAsia" w:asciiTheme="minorEastAsia" w:hAnsiTheme="minorEastAsia" w:eastAsiaTheme="minorEastAsia" w:cstheme="minorEastAsia"/>
          <w:b/>
          <w:bCs/>
          <w:color w:val="auto"/>
          <w:kern w:val="2"/>
          <w:sz w:val="24"/>
          <w:szCs w:val="24"/>
          <w:highlight w:val="none"/>
          <w:lang w:val="en-US" w:eastAsia="zh-CN" w:bidi="ar-SA"/>
        </w:rPr>
        <w:t>消息中心</w:t>
      </w:r>
      <w:bookmarkEnd w:id="48"/>
    </w:p>
    <w:p>
      <w:pPr>
        <w:widowControl/>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 支持分类查看当前用户收到的、发起的、仅保存的批注，同时支持按照待处理、已接受、不接受进行分类筛选；</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2) 支持对于整改批注消息进行处理，选择是否接受，支持填写不接受理由；</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3) 消息列表支持直接打开清单详情页，支持对清单进行编辑与审核操作；</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4) 支持在收到批注、批注回复消息时在系统内主动弹窗提示。</w:t>
      </w:r>
    </w:p>
    <w:p>
      <w:pPr>
        <w:keepNext/>
        <w:keepLines/>
        <w:numPr>
          <w:ilvl w:val="3"/>
          <w:numId w:val="26"/>
        </w:numPr>
        <w:spacing w:line="360" w:lineRule="auto"/>
        <w:ind w:left="862" w:hanging="862"/>
        <w:jc w:val="both"/>
        <w:outlineLvl w:val="3"/>
        <w:rPr>
          <w:rFonts w:hint="eastAsia" w:asciiTheme="minorEastAsia" w:hAnsiTheme="minorEastAsia" w:eastAsiaTheme="minorEastAsia" w:cstheme="minorEastAsia"/>
          <w:b/>
          <w:bCs/>
          <w:color w:val="auto"/>
          <w:kern w:val="2"/>
          <w:sz w:val="24"/>
          <w:szCs w:val="24"/>
          <w:highlight w:val="none"/>
          <w:lang w:val="en-US" w:eastAsia="zh-CN" w:bidi="ar-SA"/>
        </w:rPr>
      </w:pPr>
      <w:bookmarkStart w:id="49" w:name="_Toc148626211"/>
      <w:r>
        <w:rPr>
          <w:rFonts w:hint="eastAsia" w:asciiTheme="minorEastAsia" w:hAnsiTheme="minorEastAsia" w:eastAsiaTheme="minorEastAsia" w:cstheme="minorEastAsia"/>
          <w:b/>
          <w:bCs/>
          <w:color w:val="auto"/>
          <w:kern w:val="2"/>
          <w:sz w:val="24"/>
          <w:szCs w:val="24"/>
          <w:highlight w:val="none"/>
          <w:lang w:val="en-US" w:eastAsia="zh-CN" w:bidi="ar-SA"/>
        </w:rPr>
        <w:t>清单质量分析</w:t>
      </w:r>
      <w:bookmarkEnd w:id="49"/>
    </w:p>
    <w:p>
      <w:pPr>
        <w:keepNext/>
        <w:keepLines/>
        <w:numPr>
          <w:ilvl w:val="4"/>
          <w:numId w:val="26"/>
        </w:numPr>
        <w:spacing w:line="360" w:lineRule="auto"/>
        <w:ind w:left="1009" w:hanging="1009"/>
        <w:jc w:val="left"/>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50" w:name="_Toc148626212"/>
      <w:r>
        <w:rPr>
          <w:rFonts w:hint="eastAsia" w:asciiTheme="minorEastAsia" w:hAnsiTheme="minorEastAsia" w:eastAsiaTheme="minorEastAsia" w:cstheme="minorEastAsia"/>
          <w:b/>
          <w:bCs/>
          <w:color w:val="auto"/>
          <w:kern w:val="2"/>
          <w:sz w:val="24"/>
          <w:szCs w:val="24"/>
          <w:highlight w:val="none"/>
          <w:lang w:val="en-US" w:eastAsia="zh-CN" w:bidi="ar-SA"/>
        </w:rPr>
        <w:t>问题分布情况</w:t>
      </w:r>
      <w:bookmarkEnd w:id="50"/>
    </w:p>
    <w:p>
      <w:pPr>
        <w:widowControl/>
        <w:snapToGrid w:val="0"/>
        <w:spacing w:line="360" w:lineRule="auto"/>
        <w:ind w:firstLine="424" w:firstLineChars="17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支持以月、季、年为统计区间，按院内结算时间或出院时间、科室、医疗组等维度分析问题清单。</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1) 支持按重要性、质控内容、影响范围维度查看问题清单分布概况，包括强制性问题、提示性问题、编码问题、非编码问题、影响入组问题、可能影响入组问题、不影响入组问题清单的数量和占比；</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2) 支持按问题清单类型，查看各科室的分布情况及占比，支持查看科室下对应的清单问题类型分布及占比情况，可下钻查看对应的清单详情；</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3) 支持按主治医师、编码员分析问题清单的数量，可下钻查看对应的清单详情，支持下载导出列表。</w:t>
      </w:r>
    </w:p>
    <w:p>
      <w:pPr>
        <w:keepNext/>
        <w:keepLines/>
        <w:numPr>
          <w:ilvl w:val="4"/>
          <w:numId w:val="26"/>
        </w:numPr>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51" w:name="_Toc148626213"/>
      <w:r>
        <w:rPr>
          <w:rFonts w:hint="eastAsia" w:asciiTheme="minorEastAsia" w:hAnsiTheme="minorEastAsia" w:eastAsiaTheme="minorEastAsia" w:cstheme="minorEastAsia"/>
          <w:b/>
          <w:bCs/>
          <w:color w:val="auto"/>
          <w:kern w:val="2"/>
          <w:sz w:val="24"/>
          <w:szCs w:val="24"/>
          <w:highlight w:val="none"/>
          <w:lang w:val="en-US" w:eastAsia="zh-CN" w:bidi="ar-SA"/>
        </w:rPr>
        <w:t>问题清单趋势</w:t>
      </w:r>
      <w:bookmarkEnd w:id="51"/>
    </w:p>
    <w:p>
      <w:pPr>
        <w:widowControl/>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 支持多维度筛选条件，通过图表展示问题清单数量、占比的变化趋势。</w:t>
      </w:r>
    </w:p>
    <w:p>
      <w:pPr>
        <w:keepNext/>
        <w:keepLines/>
        <w:numPr>
          <w:ilvl w:val="3"/>
          <w:numId w:val="26"/>
        </w:numPr>
        <w:spacing w:line="360" w:lineRule="auto"/>
        <w:ind w:left="862" w:hanging="862"/>
        <w:jc w:val="left"/>
        <w:outlineLvl w:val="3"/>
        <w:rPr>
          <w:rFonts w:hint="eastAsia" w:asciiTheme="minorEastAsia" w:hAnsiTheme="minorEastAsia" w:eastAsiaTheme="minorEastAsia" w:cstheme="minorEastAsia"/>
          <w:b/>
          <w:bCs/>
          <w:color w:val="auto"/>
          <w:kern w:val="2"/>
          <w:sz w:val="24"/>
          <w:szCs w:val="24"/>
          <w:highlight w:val="none"/>
          <w:lang w:val="en-US" w:eastAsia="zh-CN" w:bidi="ar-SA"/>
        </w:rPr>
      </w:pPr>
      <w:bookmarkStart w:id="52" w:name="_Toc148626214"/>
      <w:r>
        <w:rPr>
          <w:rFonts w:hint="eastAsia" w:asciiTheme="minorEastAsia" w:hAnsiTheme="minorEastAsia" w:eastAsiaTheme="minorEastAsia" w:cstheme="minorEastAsia"/>
          <w:b/>
          <w:bCs/>
          <w:color w:val="auto"/>
          <w:kern w:val="2"/>
          <w:sz w:val="24"/>
          <w:szCs w:val="24"/>
          <w:highlight w:val="none"/>
          <w:lang w:val="en-US" w:eastAsia="zh-CN" w:bidi="ar-SA"/>
        </w:rPr>
        <w:t>清单成就分析</w:t>
      </w:r>
      <w:bookmarkEnd w:id="52"/>
    </w:p>
    <w:p>
      <w:pPr>
        <w:keepNext/>
        <w:keepLines/>
        <w:numPr>
          <w:ilvl w:val="4"/>
          <w:numId w:val="26"/>
        </w:numPr>
        <w:spacing w:line="360" w:lineRule="auto"/>
        <w:ind w:left="1009" w:hanging="1009"/>
        <w:jc w:val="left"/>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53" w:name="_Toc148626215"/>
      <w:r>
        <w:rPr>
          <w:rFonts w:hint="eastAsia" w:asciiTheme="minorEastAsia" w:hAnsiTheme="minorEastAsia" w:eastAsiaTheme="minorEastAsia" w:cstheme="minorEastAsia"/>
          <w:b/>
          <w:bCs/>
          <w:color w:val="auto"/>
          <w:kern w:val="2"/>
          <w:sz w:val="24"/>
          <w:szCs w:val="24"/>
          <w:highlight w:val="none"/>
          <w:lang w:val="en-US" w:eastAsia="zh-CN" w:bidi="ar-SA"/>
        </w:rPr>
        <w:t>清单调整情况</w:t>
      </w:r>
      <w:bookmarkEnd w:id="53"/>
    </w:p>
    <w:p>
      <w:pPr>
        <w:widowControl/>
        <w:snapToGrid w:val="0"/>
        <w:spacing w:line="360" w:lineRule="auto"/>
        <w:ind w:firstLine="424" w:firstLineChars="17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支持以月、季、年为统计区间，按院内结算时间或出院时间、科室、医疗组等维度分析清单调整情况。</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1) 支持多维度筛选结算清单，可视化展示已调整清单和未调整清单的具体数量及占比。</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2) 支持对已调整清单进行分类筛选，包括调整前后分组不一致、主要诊断不一致、其它诊断不一致、主要手术不一致、其它手术不一致；</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3) 支持查看调整清单分类的具体数量及占比，支持查看每一分类下具体科室和病例情况，支持查看具体科室清单调整前后点数差、结余差、修正问题数，支持查看清单调整前后具体对比，支持下载导出列表。</w:t>
      </w:r>
    </w:p>
    <w:p>
      <w:pPr>
        <w:keepNext/>
        <w:keepLines/>
        <w:numPr>
          <w:ilvl w:val="4"/>
          <w:numId w:val="26"/>
        </w:numPr>
        <w:spacing w:line="360" w:lineRule="auto"/>
        <w:ind w:left="1009" w:hanging="1009"/>
        <w:jc w:val="left"/>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54" w:name="_Toc148626216"/>
      <w:r>
        <w:rPr>
          <w:rFonts w:hint="eastAsia" w:asciiTheme="minorEastAsia" w:hAnsiTheme="minorEastAsia" w:eastAsiaTheme="minorEastAsia" w:cstheme="minorEastAsia"/>
          <w:b/>
          <w:bCs/>
          <w:color w:val="auto"/>
          <w:kern w:val="2"/>
          <w:sz w:val="24"/>
          <w:szCs w:val="24"/>
          <w:highlight w:val="none"/>
          <w:lang w:val="en-US" w:eastAsia="zh-CN" w:bidi="ar-SA"/>
        </w:rPr>
        <w:t>清单调整前后对比分析</w:t>
      </w:r>
      <w:bookmarkEnd w:id="54"/>
    </w:p>
    <w:p>
      <w:pPr>
        <w:widowControl/>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 支持多维度筛选条件，通过图表展示清单调整前后结余分析、质控问题分析，支持查看总点数差、结余差、修正问题数。</w:t>
      </w:r>
    </w:p>
    <w:p>
      <w:pPr>
        <w:keepNext/>
        <w:keepLines/>
        <w:numPr>
          <w:ilvl w:val="3"/>
          <w:numId w:val="26"/>
        </w:numPr>
        <w:spacing w:line="360" w:lineRule="auto"/>
        <w:ind w:left="862" w:hanging="862"/>
        <w:jc w:val="both"/>
        <w:outlineLvl w:val="3"/>
        <w:rPr>
          <w:rFonts w:hint="eastAsia" w:asciiTheme="minorEastAsia" w:hAnsiTheme="minorEastAsia" w:eastAsiaTheme="minorEastAsia" w:cstheme="minorEastAsia"/>
          <w:b/>
          <w:bCs/>
          <w:color w:val="auto"/>
          <w:kern w:val="2"/>
          <w:sz w:val="24"/>
          <w:szCs w:val="24"/>
          <w:highlight w:val="none"/>
          <w:lang w:val="en-US" w:eastAsia="zh-CN" w:bidi="ar-SA"/>
        </w:rPr>
      </w:pPr>
      <w:bookmarkStart w:id="55" w:name="_Toc148626217"/>
      <w:r>
        <w:rPr>
          <w:rFonts w:hint="eastAsia" w:asciiTheme="minorEastAsia" w:hAnsiTheme="minorEastAsia" w:eastAsiaTheme="minorEastAsia" w:cstheme="minorEastAsia"/>
          <w:b/>
          <w:bCs/>
          <w:color w:val="auto"/>
          <w:kern w:val="2"/>
          <w:sz w:val="24"/>
          <w:szCs w:val="24"/>
          <w:highlight w:val="none"/>
          <w:lang w:val="en-US" w:eastAsia="zh-CN" w:bidi="ar-SA"/>
        </w:rPr>
        <w:t>系统设置</w:t>
      </w:r>
      <w:bookmarkEnd w:id="55"/>
    </w:p>
    <w:p>
      <w:pPr>
        <w:keepNext/>
        <w:keepLines/>
        <w:numPr>
          <w:ilvl w:val="4"/>
          <w:numId w:val="26"/>
        </w:numPr>
        <w:spacing w:line="360" w:lineRule="auto"/>
        <w:ind w:left="1009" w:hanging="1009"/>
        <w:jc w:val="both"/>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56" w:name="_Toc148626218"/>
      <w:r>
        <w:rPr>
          <w:rFonts w:hint="eastAsia" w:asciiTheme="minorEastAsia" w:hAnsiTheme="minorEastAsia" w:eastAsiaTheme="minorEastAsia" w:cstheme="minorEastAsia"/>
          <w:b/>
          <w:bCs/>
          <w:color w:val="auto"/>
          <w:kern w:val="2"/>
          <w:sz w:val="24"/>
          <w:szCs w:val="24"/>
          <w:highlight w:val="none"/>
          <w:lang w:val="en-US" w:eastAsia="zh-CN" w:bidi="ar-SA"/>
        </w:rPr>
        <w:t>医保结算清单质控规则</w:t>
      </w:r>
      <w:bookmarkEnd w:id="56"/>
    </w:p>
    <w:p>
      <w:pPr>
        <w:widowControl/>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 系统提供专家知识库规则、DRG专项规则，费用专项规则，通过实时质控保证清单的完整性、逻辑性和准确性；</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2) 支持个性化开启/关闭质控规则，支持批量启用/停用；</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3) 支持个性化配置质控规则的强制性/提示性属性，强制性规则校验不通过时，不允许提交结算清单。</w:t>
      </w:r>
    </w:p>
    <w:p>
      <w:pPr>
        <w:keepNext/>
        <w:keepLines/>
        <w:numPr>
          <w:ilvl w:val="4"/>
          <w:numId w:val="26"/>
        </w:numPr>
        <w:spacing w:line="360" w:lineRule="auto"/>
        <w:ind w:left="1009" w:hanging="1009"/>
        <w:jc w:val="left"/>
        <w:outlineLvl w:val="4"/>
        <w:rPr>
          <w:rFonts w:hint="eastAsia" w:asciiTheme="minorEastAsia" w:hAnsiTheme="minorEastAsia" w:eastAsiaTheme="minorEastAsia" w:cstheme="minorEastAsia"/>
          <w:b/>
          <w:bCs/>
          <w:color w:val="auto"/>
          <w:kern w:val="2"/>
          <w:sz w:val="24"/>
          <w:szCs w:val="24"/>
          <w:highlight w:val="none"/>
          <w:lang w:val="en-US" w:eastAsia="zh-CN" w:bidi="ar-SA"/>
        </w:rPr>
      </w:pPr>
      <w:bookmarkStart w:id="57" w:name="_Toc148626219"/>
      <w:r>
        <w:rPr>
          <w:rFonts w:hint="eastAsia" w:asciiTheme="minorEastAsia" w:hAnsiTheme="minorEastAsia" w:eastAsiaTheme="minorEastAsia" w:cstheme="minorEastAsia"/>
          <w:b/>
          <w:bCs/>
          <w:color w:val="auto"/>
          <w:kern w:val="2"/>
          <w:sz w:val="24"/>
          <w:szCs w:val="24"/>
          <w:highlight w:val="none"/>
          <w:lang w:val="en-US" w:eastAsia="zh-CN" w:bidi="ar-SA"/>
        </w:rPr>
        <w:t>清单流程设置</w:t>
      </w:r>
      <w:bookmarkEnd w:id="57"/>
    </w:p>
    <w:p>
      <w:pPr>
        <w:widowControl/>
        <w:snapToGrid w:val="0"/>
        <w:spacing w:line="360" w:lineRule="auto"/>
        <w:ind w:firstLine="424" w:firstLineChars="17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支持根据医院实际情况，自定义配置结算清单管理流程；</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1) 支持个性化配置结算清单管理全流程，例如：生成-初审-上报、生成-初审-复审-上报、生成-初审-复审-终审-上报；</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2) 支持在结算清单管理流程节点中配置对应角色和用户；</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3) 流程节点支持多种审核类型，包括全量人工审核、人工+条件自动审核、无条件自动审核；</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4) 支持按照患者结算时间、出院时间、上报日期设置审核时限；支持对审核超时的清单配置进入下一流程或保持当前流程；</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5) 支持按病例类型、质控问题、异常入院的维度配置自动审核条件；满足校验条件通过的清单可自动进入下一个流程。</w:t>
      </w:r>
    </w:p>
    <w:p>
      <w:pPr>
        <w:keepNext/>
        <w:keepLines/>
        <w:numPr>
          <w:ilvl w:val="3"/>
          <w:numId w:val="26"/>
        </w:numPr>
        <w:spacing w:line="360" w:lineRule="auto"/>
        <w:ind w:left="862" w:hanging="862"/>
        <w:jc w:val="both"/>
        <w:outlineLvl w:val="3"/>
        <w:rPr>
          <w:rFonts w:hint="eastAsia" w:asciiTheme="minorEastAsia" w:hAnsiTheme="minorEastAsia" w:eastAsiaTheme="minorEastAsia" w:cstheme="minorEastAsia"/>
          <w:b/>
          <w:bCs/>
          <w:color w:val="auto"/>
          <w:kern w:val="2"/>
          <w:sz w:val="24"/>
          <w:szCs w:val="24"/>
          <w:highlight w:val="none"/>
          <w:lang w:val="en-US" w:eastAsia="zh-CN" w:bidi="ar-SA"/>
        </w:rPr>
      </w:pPr>
      <w:bookmarkStart w:id="58" w:name="_Toc148626220"/>
      <w:r>
        <w:rPr>
          <w:rFonts w:hint="eastAsia" w:asciiTheme="minorEastAsia" w:hAnsiTheme="minorEastAsia" w:eastAsiaTheme="minorEastAsia" w:cstheme="minorEastAsia"/>
          <w:b/>
          <w:bCs/>
          <w:color w:val="auto"/>
          <w:kern w:val="2"/>
          <w:sz w:val="24"/>
          <w:szCs w:val="24"/>
          <w:highlight w:val="none"/>
          <w:lang w:val="en-US" w:eastAsia="zh-CN" w:bidi="ar-SA"/>
        </w:rPr>
        <w:t>结算清单开放标准接口</w:t>
      </w:r>
      <w:bookmarkEnd w:id="58"/>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以标准视图方式提供质控完成的清单数据，支持HIS及第三方调用获取并上传医保局。</w:t>
      </w:r>
    </w:p>
    <w:p>
      <w:pPr>
        <w:widowControl/>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keepNext/>
        <w:keepLines/>
        <w:numPr>
          <w:ilvl w:val="1"/>
          <w:numId w:val="26"/>
        </w:numPr>
        <w:bidi w:val="0"/>
        <w:spacing w:line="360" w:lineRule="auto"/>
        <w:ind w:left="578" w:hanging="578"/>
        <w:jc w:val="both"/>
        <w:outlineLvl w:val="1"/>
        <w:rPr>
          <w:rFonts w:hint="eastAsia" w:asciiTheme="minorEastAsia" w:hAnsiTheme="minorEastAsia" w:eastAsiaTheme="minorEastAsia" w:cstheme="minorEastAsia"/>
          <w:b/>
          <w:bCs/>
          <w:color w:val="auto"/>
          <w:kern w:val="2"/>
          <w:sz w:val="24"/>
          <w:szCs w:val="24"/>
          <w:highlight w:val="none"/>
          <w:lang w:val="en-US" w:eastAsia="zh-CN" w:bidi="ar-SA"/>
        </w:rPr>
      </w:pPr>
      <w:bookmarkStart w:id="59" w:name="_Toc26121"/>
      <w:r>
        <w:rPr>
          <w:rFonts w:hint="eastAsia" w:asciiTheme="minorEastAsia" w:hAnsiTheme="minorEastAsia" w:eastAsiaTheme="minorEastAsia" w:cstheme="minorEastAsia"/>
          <w:b/>
          <w:bCs/>
          <w:color w:val="auto"/>
          <w:kern w:val="2"/>
          <w:sz w:val="24"/>
          <w:szCs w:val="24"/>
          <w:highlight w:val="none"/>
          <w:lang w:val="en-US" w:eastAsia="zh-CN" w:bidi="ar-SA"/>
        </w:rPr>
        <w:t>实施及商务要求</w:t>
      </w:r>
      <w:bookmarkEnd w:id="59"/>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1.付款方式</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系统到货完成安装调试、投入运行、并经验收合格后，甲方向乙方支付合同总额的</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0%货款</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剩余10%货款一年后一次性付清。</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2.售后服务</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2.1整体系统验收合格后免费维保</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服务器免费维保三年。</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供应商所承诺的服务内容应包括：供应商的服务响应及维修等承诺，详细说明服务能力、服务时间、人员配备、系统故障响应、诊断、应急处理、维修和相应的设备更换计划等；供应商的技术支持和相应软件的升级承诺等。</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2.3在系统的服务期内，供应商应确保系统的正常使用。在接到用户服务要求后应立即做出回应，并在承诺的服务时间内实施服务。</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 7×24小时的免费上门保修服务半小时内响应，4小时内到达现场，24小时内解决故障。</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2.5热线电话服务提供技术咨询、故障诊断、故障排除、以及现场支持等具体的技术支持工作，并对客户投诉做出相应处理。</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定期巡检及调优系统，复杂的运行环境等种种原因会造成系统性能的逐渐下降。通过定期的技术检查，可及时排除故障隐患，以免问题发生后影响业务运作，还能及时调优系统性能，使系统始终处于高效率运行状态。</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3、培训</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培训：供应商应制定详细的培训计划，对使用人员进行操作及相关技术培训。供应商负责用户的现场技术培训，包括产品的功能、部署条件、部署步骤和注意事项、产品升级、日常维护事项等方面，使用户达到能独立进行管理、维护测试和故障处理等工作，以使所提供的软件产品能够正常、安全的运行。</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3.2除全院系统软件培训服务外，要求实施工程师根据科室需求情况进行系统软件培训，制订培训方案，包含运营管理部，信息科，医保办，临床等相关科室的培训。</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3.3所有的培训费用必须计入投标总价。</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4、交货及安装调试</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4.1安装地点：医院指定地点。</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4.2实施周期：</w:t>
      </w:r>
      <w:r>
        <w:rPr>
          <w:rFonts w:hint="eastAsia" w:asciiTheme="minorEastAsia" w:hAnsiTheme="minorEastAsia" w:eastAsiaTheme="minorEastAsia" w:cstheme="minorEastAsia"/>
          <w:bCs/>
          <w:color w:val="auto"/>
          <w:sz w:val="24"/>
          <w:szCs w:val="24"/>
          <w:highlight w:val="none"/>
        </w:rPr>
        <w:t>合同签订</w:t>
      </w:r>
      <w:r>
        <w:rPr>
          <w:rFonts w:hint="eastAsia" w:asciiTheme="minorEastAsia" w:hAnsiTheme="minorEastAsia" w:eastAsiaTheme="minorEastAsia" w:cstheme="minorEastAsia"/>
          <w:color w:val="auto"/>
          <w:sz w:val="24"/>
          <w:szCs w:val="24"/>
          <w:highlight w:val="none"/>
        </w:rPr>
        <w:t>后</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个月，软件系统到货、安装完成。如在规定的时间内由于供应商的原因不能完成安装和调试，供应商应承担由此给用户造成的损失。</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4.3安装标准：符合我国国家有关技术规范要求和技术标准。</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4.4安装调试过程中发生的费用由供应商负责。</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4.5供应商应在投标文件中提供其安装调试过程中医院需配合的内容。</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4.6在项目实施过程中，向医院提供齐全的电子版和书面的操作说明等文档。</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、报价方式</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1所有报价为到医院人民币价（含一切税费、安装调试等伴随服务费）。</w:t>
      </w:r>
    </w:p>
    <w:p>
      <w:pPr>
        <w:numPr>
          <w:ilvl w:val="0"/>
          <w:numId w:val="0"/>
        </w:num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br w:type="page"/>
      </w:r>
      <w:r>
        <w:rPr>
          <w:rFonts w:hint="eastAsia" w:asciiTheme="minorEastAsia" w:hAnsiTheme="minorEastAsia" w:eastAsiaTheme="minorEastAsia" w:cstheme="minorEastAsia"/>
          <w:color w:val="auto"/>
          <w:sz w:val="24"/>
          <w:szCs w:val="24"/>
          <w:highlight w:val="none"/>
          <w:lang w:val="en-US" w:eastAsia="zh-CN"/>
        </w:rPr>
        <w:t>附</w:t>
      </w:r>
      <w:r>
        <w:rPr>
          <w:rFonts w:hint="eastAsia" w:asciiTheme="minorEastAsia" w:hAnsiTheme="minorEastAsia" w:eastAsiaTheme="minorEastAsia" w:cstheme="minorEastAsia"/>
          <w:color w:val="auto"/>
          <w:sz w:val="24"/>
          <w:szCs w:val="24"/>
          <w:highlight w:val="none"/>
        </w:rPr>
        <w:t>1.项目软硬件配置清单</w:t>
      </w:r>
      <w:bookmarkEnd w:id="0"/>
      <w:bookmarkEnd w:id="1"/>
      <w:bookmarkEnd w:id="2"/>
      <w:bookmarkEnd w:id="3"/>
      <w:bookmarkEnd w:id="4"/>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1.硬件配置清单</w:t>
      </w:r>
    </w:p>
    <w:tbl>
      <w:tblPr>
        <w:tblStyle w:val="10"/>
        <w:tblW w:w="44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7"/>
        <w:gridCol w:w="3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1" w:type="pct"/>
            <w:noWrap w:val="0"/>
            <w:vAlign w:val="center"/>
          </w:tcPr>
          <w:p>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应用系统服务器</w:t>
            </w:r>
          </w:p>
        </w:tc>
        <w:tc>
          <w:tcPr>
            <w:tcW w:w="2599" w:type="pct"/>
            <w:noWrap w:val="0"/>
            <w:vAlign w:val="center"/>
          </w:tcPr>
          <w:p>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应用系统服务器具体要求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1" w:type="pct"/>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CPU</w:t>
            </w:r>
          </w:p>
        </w:tc>
        <w:tc>
          <w:tcPr>
            <w:tcW w:w="2599" w:type="pct"/>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vertAlign w:val="baseline"/>
                <w:lang w:val="en-US" w:eastAsia="zh-CN"/>
              </w:rPr>
              <w:t xml:space="preserve"> 32 个核心</w:t>
            </w:r>
            <w:r>
              <w:rPr>
                <w:rFonts w:hint="eastAsia" w:asciiTheme="minorEastAsia" w:hAnsiTheme="minorEastAsia" w:eastAsiaTheme="minorEastAsia" w:cstheme="minorEastAsia"/>
                <w:color w:val="auto"/>
                <w:sz w:val="24"/>
                <w:szCs w:val="24"/>
                <w:highlight w:val="none"/>
                <w:vertAlign w:val="baseline"/>
              </w:rPr>
              <w:t xml:space="preserve">英特尔 </w:t>
            </w:r>
            <w:r>
              <w:rPr>
                <w:rFonts w:hint="eastAsia" w:asciiTheme="minorEastAsia" w:hAnsiTheme="minorEastAsia" w:eastAsiaTheme="minorEastAsia" w:cstheme="minorEastAsia"/>
                <w:color w:val="auto"/>
                <w:sz w:val="24"/>
                <w:szCs w:val="24"/>
                <w:highlight w:val="none"/>
                <w:vertAlign w:val="baseline"/>
                <w:lang w:val="en-US" w:eastAsia="zh-CN"/>
              </w:rPr>
              <w:t>双CPU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1" w:type="pct"/>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内存</w:t>
            </w:r>
          </w:p>
        </w:tc>
        <w:tc>
          <w:tcPr>
            <w:tcW w:w="2599" w:type="pct"/>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vertAlign w:val="baseline"/>
              </w:rPr>
              <w:t>≥</w:t>
            </w:r>
            <w:r>
              <w:rPr>
                <w:rFonts w:hint="eastAsia" w:asciiTheme="minorEastAsia" w:hAnsiTheme="minorEastAsia" w:eastAsiaTheme="minorEastAsia" w:cstheme="minorEastAsia"/>
                <w:color w:val="auto"/>
                <w:sz w:val="24"/>
                <w:szCs w:val="24"/>
                <w:highlight w:val="none"/>
                <w:vertAlign w:val="baseline"/>
                <w:lang w:val="en-US" w:eastAsia="zh-CN"/>
              </w:rPr>
              <w:t>128</w:t>
            </w:r>
            <w:r>
              <w:rPr>
                <w:rFonts w:hint="eastAsia" w:asciiTheme="minorEastAsia" w:hAnsiTheme="minorEastAsia" w:eastAsiaTheme="minorEastAsia" w:cstheme="minorEastAsia"/>
                <w:color w:val="auto"/>
                <w:sz w:val="24"/>
                <w:szCs w:val="24"/>
                <w:highlight w:val="none"/>
                <w:vertAlign w:val="baseline"/>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1" w:type="pct"/>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硬盘</w:t>
            </w:r>
          </w:p>
        </w:tc>
        <w:tc>
          <w:tcPr>
            <w:tcW w:w="2599" w:type="pct"/>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vertAlign w:val="baseline"/>
                <w:lang w:val="en-US" w:eastAsia="zh-CN"/>
              </w:rPr>
              <w:t>3个</w:t>
            </w:r>
            <w:r>
              <w:rPr>
                <w:rFonts w:hint="eastAsia" w:asciiTheme="minorEastAsia" w:hAnsiTheme="minorEastAsia" w:eastAsiaTheme="minorEastAsia" w:cstheme="minorEastAsia"/>
                <w:color w:val="auto"/>
                <w:sz w:val="24"/>
                <w:szCs w:val="24"/>
                <w:highlight w:val="none"/>
                <w:vertAlign w:val="baseline"/>
              </w:rPr>
              <w:t>*</w:t>
            </w:r>
            <w:r>
              <w:rPr>
                <w:rFonts w:hint="eastAsia" w:asciiTheme="minorEastAsia" w:hAnsiTheme="minorEastAsia" w:eastAsiaTheme="minorEastAsia" w:cstheme="minorEastAsia"/>
                <w:color w:val="auto"/>
                <w:sz w:val="24"/>
                <w:szCs w:val="24"/>
                <w:highlight w:val="none"/>
                <w:vertAlign w:val="baseline"/>
                <w:lang w:val="en-US" w:eastAsia="zh-CN"/>
              </w:rPr>
              <w:t>2</w:t>
            </w:r>
            <w:r>
              <w:rPr>
                <w:rFonts w:hint="eastAsia" w:asciiTheme="minorEastAsia" w:hAnsiTheme="minorEastAsia" w:eastAsiaTheme="minorEastAsia" w:cstheme="minorEastAsia"/>
                <w:color w:val="auto"/>
                <w:sz w:val="24"/>
                <w:szCs w:val="24"/>
                <w:highlight w:val="none"/>
                <w:vertAlign w:val="baseline"/>
              </w:rPr>
              <w:t xml:space="preserve">TB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1" w:type="pct"/>
            <w:noWrap w:val="0"/>
            <w:vAlign w:val="center"/>
          </w:tcPr>
          <w:p>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数据库服务器</w:t>
            </w:r>
          </w:p>
        </w:tc>
        <w:tc>
          <w:tcPr>
            <w:tcW w:w="2599" w:type="pct"/>
            <w:noWrap w:val="0"/>
            <w:vAlign w:val="center"/>
          </w:tcPr>
          <w:p>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数据库服务器具体要求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1" w:type="pct"/>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CPU</w:t>
            </w:r>
          </w:p>
        </w:tc>
        <w:tc>
          <w:tcPr>
            <w:tcW w:w="2599" w:type="pct"/>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vertAlign w:val="baseline"/>
                <w:lang w:val="en-US" w:eastAsia="zh-CN"/>
              </w:rPr>
              <w:t xml:space="preserve"> 32 个核心</w:t>
            </w:r>
            <w:r>
              <w:rPr>
                <w:rFonts w:hint="eastAsia" w:asciiTheme="minorEastAsia" w:hAnsiTheme="minorEastAsia" w:eastAsiaTheme="minorEastAsia" w:cstheme="minorEastAsia"/>
                <w:color w:val="auto"/>
                <w:sz w:val="24"/>
                <w:szCs w:val="24"/>
                <w:highlight w:val="none"/>
                <w:vertAlign w:val="baseline"/>
              </w:rPr>
              <w:t xml:space="preserve">英特尔® </w:t>
            </w:r>
            <w:r>
              <w:rPr>
                <w:rFonts w:hint="eastAsia" w:asciiTheme="minorEastAsia" w:hAnsiTheme="minorEastAsia" w:eastAsiaTheme="minorEastAsia" w:cstheme="minorEastAsia"/>
                <w:color w:val="auto"/>
                <w:sz w:val="24"/>
                <w:szCs w:val="24"/>
                <w:highlight w:val="none"/>
                <w:vertAlign w:val="baseline"/>
                <w:lang w:val="en-US" w:eastAsia="zh-CN"/>
              </w:rPr>
              <w:t>双CPU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1" w:type="pct"/>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内存</w:t>
            </w:r>
          </w:p>
        </w:tc>
        <w:tc>
          <w:tcPr>
            <w:tcW w:w="2599" w:type="pct"/>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vertAlign w:val="baseline"/>
              </w:rPr>
              <w:t>≥</w:t>
            </w:r>
            <w:r>
              <w:rPr>
                <w:rFonts w:hint="eastAsia" w:asciiTheme="minorEastAsia" w:hAnsiTheme="minorEastAsia" w:eastAsiaTheme="minorEastAsia" w:cstheme="minorEastAsia"/>
                <w:color w:val="auto"/>
                <w:sz w:val="24"/>
                <w:szCs w:val="24"/>
                <w:highlight w:val="none"/>
                <w:vertAlign w:val="baseline"/>
                <w:lang w:val="en-US" w:eastAsia="zh-CN"/>
              </w:rPr>
              <w:t>128</w:t>
            </w:r>
            <w:r>
              <w:rPr>
                <w:rFonts w:hint="eastAsia" w:asciiTheme="minorEastAsia" w:hAnsiTheme="minorEastAsia" w:eastAsiaTheme="minorEastAsia" w:cstheme="minorEastAsia"/>
                <w:color w:val="auto"/>
                <w:sz w:val="24"/>
                <w:szCs w:val="24"/>
                <w:highlight w:val="none"/>
                <w:vertAlign w:val="baseline"/>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1" w:type="pct"/>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硬盘</w:t>
            </w:r>
          </w:p>
        </w:tc>
        <w:tc>
          <w:tcPr>
            <w:tcW w:w="2599" w:type="pct"/>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vertAlign w:val="baseline"/>
                <w:lang w:val="en-US" w:eastAsia="zh-CN"/>
              </w:rPr>
              <w:t>3个</w:t>
            </w:r>
            <w:r>
              <w:rPr>
                <w:rFonts w:hint="eastAsia" w:asciiTheme="minorEastAsia" w:hAnsiTheme="minorEastAsia" w:eastAsiaTheme="minorEastAsia" w:cstheme="minorEastAsia"/>
                <w:color w:val="auto"/>
                <w:sz w:val="24"/>
                <w:szCs w:val="24"/>
                <w:highlight w:val="none"/>
                <w:vertAlign w:val="baseline"/>
              </w:rPr>
              <w:t>*</w:t>
            </w:r>
            <w:r>
              <w:rPr>
                <w:rFonts w:hint="eastAsia" w:asciiTheme="minorEastAsia" w:hAnsiTheme="minorEastAsia" w:eastAsiaTheme="minorEastAsia" w:cstheme="minorEastAsia"/>
                <w:color w:val="auto"/>
                <w:sz w:val="24"/>
                <w:szCs w:val="24"/>
                <w:highlight w:val="none"/>
                <w:vertAlign w:val="baseline"/>
                <w:lang w:val="en-US" w:eastAsia="zh-CN"/>
              </w:rPr>
              <w:t>2</w:t>
            </w:r>
            <w:r>
              <w:rPr>
                <w:rFonts w:hint="eastAsia" w:asciiTheme="minorEastAsia" w:hAnsiTheme="minorEastAsia" w:eastAsiaTheme="minorEastAsia" w:cstheme="minorEastAsia"/>
                <w:color w:val="auto"/>
                <w:sz w:val="24"/>
                <w:szCs w:val="24"/>
                <w:highlight w:val="none"/>
                <w:vertAlign w:val="baseline"/>
              </w:rPr>
              <w:t xml:space="preserve">TB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1" w:type="pct"/>
            <w:noWrap w:val="0"/>
            <w:vAlign w:val="center"/>
          </w:tcPr>
          <w:p>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规则服务器</w:t>
            </w:r>
          </w:p>
        </w:tc>
        <w:tc>
          <w:tcPr>
            <w:tcW w:w="2599" w:type="pct"/>
            <w:noWrap w:val="0"/>
            <w:vAlign w:val="center"/>
          </w:tcPr>
          <w:p>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规则服务器具体要求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1" w:type="pct"/>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CPU</w:t>
            </w:r>
          </w:p>
        </w:tc>
        <w:tc>
          <w:tcPr>
            <w:tcW w:w="2599" w:type="pct"/>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vertAlign w:val="baseline"/>
                <w:lang w:val="en-US" w:eastAsia="zh-CN"/>
              </w:rPr>
              <w:t xml:space="preserve"> 32 个核心</w:t>
            </w:r>
            <w:r>
              <w:rPr>
                <w:rFonts w:hint="eastAsia" w:asciiTheme="minorEastAsia" w:hAnsiTheme="minorEastAsia" w:eastAsiaTheme="minorEastAsia" w:cstheme="minorEastAsia"/>
                <w:color w:val="auto"/>
                <w:sz w:val="24"/>
                <w:szCs w:val="24"/>
                <w:highlight w:val="none"/>
                <w:vertAlign w:val="baseline"/>
              </w:rPr>
              <w:t>英特尔</w:t>
            </w:r>
            <w:r>
              <w:rPr>
                <w:rFonts w:hint="eastAsia" w:asciiTheme="minorEastAsia" w:hAnsiTheme="minorEastAsia" w:eastAsiaTheme="minorEastAsia" w:cstheme="minorEastAsia"/>
                <w:color w:val="auto"/>
                <w:sz w:val="24"/>
                <w:szCs w:val="24"/>
                <w:highlight w:val="none"/>
                <w:vertAlign w:val="baseline"/>
                <w:lang w:val="en-US" w:eastAsia="zh-CN"/>
              </w:rPr>
              <w:t xml:space="preserve"> 单CPU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1" w:type="pct"/>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内存</w:t>
            </w:r>
          </w:p>
        </w:tc>
        <w:tc>
          <w:tcPr>
            <w:tcW w:w="2599" w:type="pct"/>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vertAlign w:val="baseline"/>
              </w:rPr>
              <w:t>≥</w:t>
            </w:r>
            <w:r>
              <w:rPr>
                <w:rFonts w:hint="eastAsia" w:asciiTheme="minorEastAsia" w:hAnsiTheme="minorEastAsia" w:eastAsiaTheme="minorEastAsia" w:cstheme="minorEastAsia"/>
                <w:color w:val="auto"/>
                <w:sz w:val="24"/>
                <w:szCs w:val="24"/>
                <w:highlight w:val="none"/>
                <w:vertAlign w:val="baseline"/>
                <w:lang w:val="en-US" w:eastAsia="zh-CN"/>
              </w:rPr>
              <w:t>128</w:t>
            </w:r>
            <w:r>
              <w:rPr>
                <w:rFonts w:hint="eastAsia" w:asciiTheme="minorEastAsia" w:hAnsiTheme="minorEastAsia" w:eastAsiaTheme="minorEastAsia" w:cstheme="minorEastAsia"/>
                <w:color w:val="auto"/>
                <w:sz w:val="24"/>
                <w:szCs w:val="24"/>
                <w:highlight w:val="none"/>
                <w:vertAlign w:val="baseline"/>
              </w:rPr>
              <w:t>GB</w:t>
            </w:r>
            <w:r>
              <w:rPr>
                <w:rFonts w:hint="eastAsia" w:asciiTheme="minorEastAsia" w:hAnsiTheme="minorEastAsia" w:eastAsiaTheme="minorEastAsia" w:cstheme="minorEastAsia"/>
                <w:color w:val="auto"/>
                <w:sz w:val="24"/>
                <w:szCs w:val="24"/>
                <w:highlight w:val="none"/>
                <w:vertAlign w:val="baseline"/>
                <w:lang w:eastAsia="zh-CN"/>
              </w:rPr>
              <w:t>（</w:t>
            </w:r>
            <w:r>
              <w:rPr>
                <w:rFonts w:hint="eastAsia" w:asciiTheme="minorEastAsia" w:hAnsiTheme="minorEastAsia" w:eastAsiaTheme="minorEastAsia" w:cstheme="minorEastAsia"/>
                <w:color w:val="auto"/>
                <w:sz w:val="24"/>
                <w:szCs w:val="24"/>
                <w:highlight w:val="none"/>
                <w:vertAlign w:val="baseline"/>
                <w:lang w:val="en-US" w:eastAsia="zh-CN"/>
              </w:rPr>
              <w:t>32G*4条</w:t>
            </w:r>
            <w:r>
              <w:rPr>
                <w:rFonts w:hint="eastAsia" w:asciiTheme="minorEastAsia" w:hAnsiTheme="minorEastAsia" w:eastAsiaTheme="minorEastAsia" w:cstheme="minorEastAsia"/>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1" w:type="pct"/>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硬盘</w:t>
            </w:r>
          </w:p>
        </w:tc>
        <w:tc>
          <w:tcPr>
            <w:tcW w:w="2599" w:type="pct"/>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vertAlign w:val="baseline"/>
                <w:lang w:val="en-US" w:eastAsia="zh-CN"/>
              </w:rPr>
              <w:t>3个</w:t>
            </w:r>
            <w:r>
              <w:rPr>
                <w:rFonts w:hint="eastAsia" w:asciiTheme="minorEastAsia" w:hAnsiTheme="minorEastAsia" w:eastAsiaTheme="minorEastAsia" w:cstheme="minorEastAsia"/>
                <w:color w:val="auto"/>
                <w:sz w:val="24"/>
                <w:szCs w:val="24"/>
                <w:highlight w:val="none"/>
                <w:vertAlign w:val="baseline"/>
              </w:rPr>
              <w:t>*</w:t>
            </w:r>
            <w:r>
              <w:rPr>
                <w:rFonts w:hint="eastAsia" w:asciiTheme="minorEastAsia" w:hAnsiTheme="minorEastAsia" w:eastAsiaTheme="minorEastAsia" w:cstheme="minorEastAsia"/>
                <w:color w:val="auto"/>
                <w:sz w:val="24"/>
                <w:szCs w:val="24"/>
                <w:highlight w:val="none"/>
                <w:vertAlign w:val="baseline"/>
                <w:lang w:val="en-US" w:eastAsia="zh-CN"/>
              </w:rPr>
              <w:t>2</w:t>
            </w:r>
            <w:r>
              <w:rPr>
                <w:rFonts w:hint="eastAsia" w:asciiTheme="minorEastAsia" w:hAnsiTheme="minorEastAsia" w:eastAsiaTheme="minorEastAsia" w:cstheme="minorEastAsia"/>
                <w:color w:val="auto"/>
                <w:sz w:val="24"/>
                <w:szCs w:val="24"/>
                <w:highlight w:val="none"/>
                <w:vertAlign w:val="baseline"/>
              </w:rPr>
              <w:t>TB</w:t>
            </w:r>
          </w:p>
        </w:tc>
      </w:tr>
    </w:tbl>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2.软件配置清单</w:t>
      </w:r>
    </w:p>
    <w:tbl>
      <w:tblPr>
        <w:tblStyle w:val="10"/>
        <w:tblW w:w="7635" w:type="dxa"/>
        <w:tblInd w:w="474" w:type="dxa"/>
        <w:tblLayout w:type="fixed"/>
        <w:tblCellMar>
          <w:top w:w="0" w:type="dxa"/>
          <w:left w:w="108" w:type="dxa"/>
          <w:bottom w:w="0" w:type="dxa"/>
          <w:right w:w="108" w:type="dxa"/>
        </w:tblCellMar>
      </w:tblPr>
      <w:tblGrid>
        <w:gridCol w:w="823"/>
        <w:gridCol w:w="3209"/>
        <w:gridCol w:w="1270"/>
        <w:gridCol w:w="2333"/>
      </w:tblGrid>
      <w:tr>
        <w:tblPrEx>
          <w:tblCellMar>
            <w:top w:w="0" w:type="dxa"/>
            <w:left w:w="108" w:type="dxa"/>
            <w:bottom w:w="0" w:type="dxa"/>
            <w:right w:w="108" w:type="dxa"/>
          </w:tblCellMar>
        </w:tblPrEx>
        <w:trPr>
          <w:trHeight w:val="567" w:hRule="atLeast"/>
        </w:trPr>
        <w:tc>
          <w:tcPr>
            <w:tcW w:w="823"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序号</w:t>
            </w:r>
          </w:p>
        </w:tc>
        <w:tc>
          <w:tcPr>
            <w:tcW w:w="3209" w:type="dxa"/>
            <w:tcBorders>
              <w:top w:val="single" w:color="auto" w:sz="8" w:space="0"/>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功能模块</w:t>
            </w:r>
          </w:p>
        </w:tc>
        <w:tc>
          <w:tcPr>
            <w:tcW w:w="1270" w:type="dxa"/>
            <w:tcBorders>
              <w:top w:val="single" w:color="auto" w:sz="8" w:space="0"/>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数量</w:t>
            </w:r>
          </w:p>
        </w:tc>
        <w:tc>
          <w:tcPr>
            <w:tcW w:w="2333" w:type="dxa"/>
            <w:tcBorders>
              <w:top w:val="single" w:color="auto" w:sz="8" w:space="0"/>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单位</w:t>
            </w:r>
          </w:p>
        </w:tc>
      </w:tr>
      <w:tr>
        <w:tblPrEx>
          <w:tblCellMar>
            <w:top w:w="0" w:type="dxa"/>
            <w:left w:w="108" w:type="dxa"/>
            <w:bottom w:w="0" w:type="dxa"/>
            <w:right w:w="108" w:type="dxa"/>
          </w:tblCellMar>
        </w:tblPrEx>
        <w:trPr>
          <w:trHeight w:val="340" w:hRule="atLeast"/>
        </w:trPr>
        <w:tc>
          <w:tcPr>
            <w:tcW w:w="823"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3209" w:type="dxa"/>
            <w:tcBorders>
              <w:top w:val="nil"/>
              <w:left w:val="nil"/>
              <w:bottom w:val="single" w:color="auto" w:sz="8"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DRG数据中心</w:t>
            </w:r>
          </w:p>
        </w:tc>
        <w:tc>
          <w:tcPr>
            <w:tcW w:w="1270" w:type="dxa"/>
            <w:tcBorders>
              <w:top w:val="nil"/>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2333" w:type="dxa"/>
            <w:tcBorders>
              <w:top w:val="nil"/>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套</w:t>
            </w:r>
          </w:p>
        </w:tc>
      </w:tr>
      <w:tr>
        <w:tblPrEx>
          <w:tblCellMar>
            <w:top w:w="0" w:type="dxa"/>
            <w:left w:w="108" w:type="dxa"/>
            <w:bottom w:w="0" w:type="dxa"/>
            <w:right w:w="108" w:type="dxa"/>
          </w:tblCellMar>
        </w:tblPrEx>
        <w:trPr>
          <w:trHeight w:val="340" w:hRule="atLeast"/>
        </w:trPr>
        <w:tc>
          <w:tcPr>
            <w:tcW w:w="823"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3209" w:type="dxa"/>
            <w:tcBorders>
              <w:top w:val="nil"/>
              <w:left w:val="nil"/>
              <w:bottom w:val="single" w:color="auto" w:sz="8" w:space="0"/>
              <w:right w:val="single" w:color="auto" w:sz="8" w:space="0"/>
            </w:tcBorders>
            <w:noWrap w:val="0"/>
            <w:vAlign w:val="center"/>
          </w:tcPr>
          <w:p>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DRG运营分析</w:t>
            </w:r>
          </w:p>
        </w:tc>
        <w:tc>
          <w:tcPr>
            <w:tcW w:w="1270" w:type="dxa"/>
            <w:tcBorders>
              <w:top w:val="nil"/>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2333" w:type="dxa"/>
            <w:tcBorders>
              <w:top w:val="nil"/>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套</w:t>
            </w:r>
          </w:p>
        </w:tc>
      </w:tr>
      <w:tr>
        <w:tblPrEx>
          <w:tblCellMar>
            <w:top w:w="0" w:type="dxa"/>
            <w:left w:w="108" w:type="dxa"/>
            <w:bottom w:w="0" w:type="dxa"/>
            <w:right w:w="108" w:type="dxa"/>
          </w:tblCellMar>
        </w:tblPrEx>
        <w:trPr>
          <w:trHeight w:val="340" w:hRule="atLeast"/>
        </w:trPr>
        <w:tc>
          <w:tcPr>
            <w:tcW w:w="823"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p>
        </w:tc>
        <w:tc>
          <w:tcPr>
            <w:tcW w:w="3209" w:type="dxa"/>
            <w:tcBorders>
              <w:top w:val="nil"/>
              <w:left w:val="nil"/>
              <w:bottom w:val="single" w:color="auto" w:sz="8" w:space="0"/>
              <w:right w:val="single" w:color="auto" w:sz="8" w:space="0"/>
            </w:tcBorders>
            <w:noWrap w:val="0"/>
            <w:vAlign w:val="center"/>
          </w:tcPr>
          <w:p>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结算清单质控</w:t>
            </w:r>
          </w:p>
        </w:tc>
        <w:tc>
          <w:tcPr>
            <w:tcW w:w="1270" w:type="dxa"/>
            <w:tcBorders>
              <w:top w:val="nil"/>
              <w:left w:val="nil"/>
              <w:bottom w:val="single" w:color="auto" w:sz="8" w:space="0"/>
              <w:right w:val="single" w:color="auto" w:sz="8" w:space="0"/>
            </w:tcBorders>
            <w:noWrap w:val="0"/>
            <w:vAlign w:val="top"/>
          </w:tcPr>
          <w:p>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2333" w:type="dxa"/>
            <w:tcBorders>
              <w:top w:val="nil"/>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套</w:t>
            </w:r>
          </w:p>
        </w:tc>
      </w:tr>
      <w:tr>
        <w:tblPrEx>
          <w:tblCellMar>
            <w:top w:w="0" w:type="dxa"/>
            <w:left w:w="108" w:type="dxa"/>
            <w:bottom w:w="0" w:type="dxa"/>
            <w:right w:w="108" w:type="dxa"/>
          </w:tblCellMar>
        </w:tblPrEx>
        <w:trPr>
          <w:trHeight w:val="340" w:hRule="atLeast"/>
        </w:trPr>
        <w:tc>
          <w:tcPr>
            <w:tcW w:w="823"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3209" w:type="dxa"/>
            <w:tcBorders>
              <w:top w:val="nil"/>
              <w:left w:val="nil"/>
              <w:bottom w:val="single" w:color="auto" w:sz="8" w:space="0"/>
              <w:right w:val="single" w:color="auto" w:sz="8" w:space="0"/>
            </w:tcBorders>
            <w:noWrap w:val="0"/>
            <w:vAlign w:val="center"/>
          </w:tcPr>
          <w:p>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医保结算管理</w:t>
            </w:r>
          </w:p>
        </w:tc>
        <w:tc>
          <w:tcPr>
            <w:tcW w:w="1270" w:type="dxa"/>
            <w:tcBorders>
              <w:top w:val="nil"/>
              <w:left w:val="nil"/>
              <w:bottom w:val="single" w:color="auto" w:sz="8" w:space="0"/>
              <w:right w:val="single" w:color="auto" w:sz="8" w:space="0"/>
            </w:tcBorders>
            <w:noWrap w:val="0"/>
            <w:vAlign w:val="top"/>
          </w:tcPr>
          <w:p>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2333" w:type="dxa"/>
            <w:tcBorders>
              <w:top w:val="nil"/>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套</w:t>
            </w:r>
          </w:p>
        </w:tc>
      </w:tr>
    </w:tbl>
    <w:p>
      <w:pPr>
        <w:spacing w:after="120" w:line="415" w:lineRule="auto"/>
        <w:ind w:firstLine="480"/>
        <w:jc w:val="center"/>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r>
        <w:rPr>
          <w:rFonts w:ascii="宋体" w:hAnsi="宋体" w:eastAsia="宋体" w:cs="宋体"/>
          <w:color w:val="auto"/>
          <w:sz w:val="24"/>
          <w:highlight w:val="none"/>
        </w:rPr>
        <w:br w:type="page"/>
      </w:r>
    </w:p>
    <w:p>
      <w:pPr>
        <w:ind w:firstLine="240"/>
        <w:jc w:val="left"/>
        <w:rPr>
          <w:rFonts w:ascii="宋体" w:hAnsi="宋体" w:eastAsia="宋体" w:cs="宋体"/>
          <w:color w:val="auto"/>
          <w:sz w:val="24"/>
          <w:highlight w:val="none"/>
        </w:rPr>
      </w:pPr>
    </w:p>
    <w:p>
      <w:pPr>
        <w:spacing w:line="480" w:lineRule="auto"/>
        <w:jc w:val="center"/>
        <w:rPr>
          <w:rFonts w:ascii="宋体" w:hAnsi="宋体" w:eastAsia="宋体" w:cs="宋体"/>
          <w:b/>
          <w:bCs/>
          <w:color w:val="auto"/>
          <w:sz w:val="24"/>
          <w:highlight w:val="none"/>
        </w:rPr>
      </w:pPr>
      <w:r>
        <w:rPr>
          <w:rFonts w:ascii="宋体" w:hAnsi="宋体" w:eastAsia="宋体" w:cs="宋体"/>
          <w:b/>
          <w:bCs/>
          <w:color w:val="auto"/>
          <w:sz w:val="24"/>
          <w:highlight w:val="none"/>
        </w:rPr>
        <w:t>第四章  响应性文件内容及格式</w:t>
      </w:r>
    </w:p>
    <w:p>
      <w:pPr>
        <w:spacing w:line="520" w:lineRule="auto"/>
        <w:ind w:firstLine="480"/>
        <w:jc w:val="center"/>
        <w:rPr>
          <w:rFonts w:ascii="宋体" w:hAnsi="宋体" w:eastAsia="宋体" w:cs="宋体"/>
          <w:color w:val="auto"/>
          <w:sz w:val="24"/>
          <w:highlight w:val="none"/>
        </w:rPr>
      </w:pP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注：请供应商按照以下文件的要求格式、内容，顺序制作响应性文件，并编制目录及页码，否则可能将影响对响应性文件的评价。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 </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重要提示：</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．供应商在编制响应性文件时，对于给定格式的文件内容，必须按照给定的标准格式进行填报；对于没有给定标准格式的文件内容，可以由供应商自行设计。</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.法定代表人本人参加竞争性磋商的，不需提供授权委托书。</w:t>
      </w: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tabs>
          <w:tab w:val="left" w:pos="0"/>
          <w:tab w:val="left" w:pos="993"/>
          <w:tab w:val="left" w:pos="1134"/>
        </w:tabs>
        <w:ind w:firstLine="480"/>
        <w:rPr>
          <w:rFonts w:ascii="宋体" w:hAnsi="宋体" w:eastAsia="宋体" w:cs="宋体"/>
          <w:color w:val="auto"/>
          <w:sz w:val="24"/>
          <w:highlight w:val="none"/>
        </w:rPr>
      </w:pPr>
    </w:p>
    <w:p>
      <w:pPr>
        <w:tabs>
          <w:tab w:val="left" w:pos="0"/>
          <w:tab w:val="left" w:pos="993"/>
          <w:tab w:val="left" w:pos="1134"/>
        </w:tabs>
        <w:ind w:firstLine="480"/>
        <w:rPr>
          <w:rFonts w:ascii="宋体" w:hAnsi="宋体" w:eastAsia="宋体" w:cs="宋体"/>
          <w:color w:val="auto"/>
          <w:sz w:val="24"/>
          <w:highlight w:val="none"/>
        </w:rPr>
      </w:pPr>
    </w:p>
    <w:p>
      <w:pPr>
        <w:tabs>
          <w:tab w:val="left" w:pos="0"/>
          <w:tab w:val="left" w:pos="993"/>
          <w:tab w:val="left" w:pos="1134"/>
        </w:tabs>
        <w:ind w:firstLine="480"/>
        <w:rPr>
          <w:rFonts w:ascii="宋体" w:hAnsi="宋体" w:eastAsia="宋体" w:cs="宋体"/>
          <w:color w:val="auto"/>
          <w:sz w:val="24"/>
          <w:highlight w:val="none"/>
        </w:rPr>
      </w:pPr>
    </w:p>
    <w:p>
      <w:pPr>
        <w:tabs>
          <w:tab w:val="left" w:pos="0"/>
          <w:tab w:val="left" w:pos="993"/>
          <w:tab w:val="left" w:pos="1134"/>
        </w:tabs>
        <w:ind w:firstLine="480"/>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格式2-1</w:t>
      </w: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法定代表人身份证明书</w:t>
      </w: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（法定代表人参加竞争性磋商的，出具此证明书）</w:t>
      </w:r>
    </w:p>
    <w:p>
      <w:pPr>
        <w:spacing w:line="360" w:lineRule="auto"/>
        <w:ind w:firstLine="480"/>
        <w:rPr>
          <w:rFonts w:ascii="宋体" w:hAnsi="宋体" w:eastAsia="宋体" w:cs="宋体"/>
          <w:color w:val="auto"/>
          <w:sz w:val="24"/>
          <w:highlight w:val="none"/>
        </w:rPr>
      </w:pP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同志，系我单位法定代表人，任</w:t>
      </w: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职务。</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特此证明。</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附：联系地址：               </w:t>
      </w:r>
    </w:p>
    <w:p>
      <w:pPr>
        <w:spacing w:line="360" w:lineRule="auto"/>
        <w:ind w:firstLine="960"/>
        <w:rPr>
          <w:rFonts w:ascii="宋体" w:hAnsi="宋体" w:eastAsia="宋体" w:cs="宋体"/>
          <w:b/>
          <w:color w:val="auto"/>
          <w:sz w:val="24"/>
          <w:highlight w:val="none"/>
        </w:rPr>
      </w:pPr>
      <w:r>
        <w:rPr>
          <w:rFonts w:ascii="宋体" w:hAnsi="宋体" w:eastAsia="宋体" w:cs="宋体"/>
          <w:color w:val="auto"/>
          <w:sz w:val="24"/>
          <w:highlight w:val="none"/>
        </w:rPr>
        <w:t>联系电话：</w:t>
      </w:r>
    </w:p>
    <w:tbl>
      <w:tblPr>
        <w:tblStyle w:val="10"/>
        <w:tblW w:w="0" w:type="auto"/>
        <w:tblInd w:w="0" w:type="dxa"/>
        <w:tblLayout w:type="autofit"/>
        <w:tblCellMar>
          <w:top w:w="0" w:type="dxa"/>
          <w:left w:w="10" w:type="dxa"/>
          <w:bottom w:w="0" w:type="dxa"/>
          <w:right w:w="10" w:type="dxa"/>
        </w:tblCellMar>
      </w:tblPr>
      <w:tblGrid>
        <w:gridCol w:w="5328"/>
      </w:tblGrid>
      <w:tr>
        <w:tblPrEx>
          <w:tblCellMar>
            <w:top w:w="0" w:type="dxa"/>
            <w:left w:w="10" w:type="dxa"/>
            <w:bottom w:w="0" w:type="dxa"/>
            <w:right w:w="10" w:type="dxa"/>
          </w:tblCellMar>
        </w:tblPrEx>
        <w:tc>
          <w:tcPr>
            <w:tcW w:w="53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80" w:lineRule="auto"/>
              <w:rPr>
                <w:rFonts w:ascii="宋体" w:hAnsi="宋体" w:eastAsia="宋体" w:cs="宋体"/>
                <w:b/>
                <w:color w:val="auto"/>
                <w:sz w:val="24"/>
                <w:highlight w:val="none"/>
              </w:rPr>
            </w:pPr>
          </w:p>
          <w:p>
            <w:pPr>
              <w:spacing w:line="480" w:lineRule="auto"/>
              <w:rPr>
                <w:rFonts w:ascii="宋体" w:hAnsi="宋体" w:eastAsia="宋体" w:cs="宋体"/>
                <w:b/>
                <w:color w:val="auto"/>
                <w:sz w:val="24"/>
                <w:highlight w:val="none"/>
              </w:rPr>
            </w:pPr>
          </w:p>
          <w:p>
            <w:pPr>
              <w:spacing w:line="48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（※附：法定代表人身份证复印件※）</w:t>
            </w:r>
          </w:p>
          <w:p>
            <w:pPr>
              <w:spacing w:line="480" w:lineRule="auto"/>
              <w:rPr>
                <w:rFonts w:ascii="宋体" w:hAnsi="宋体" w:eastAsia="宋体" w:cs="宋体"/>
                <w:color w:val="auto"/>
                <w:sz w:val="24"/>
                <w:highlight w:val="none"/>
              </w:rPr>
            </w:pPr>
          </w:p>
          <w:p>
            <w:pPr>
              <w:spacing w:line="480" w:lineRule="auto"/>
              <w:rPr>
                <w:rFonts w:ascii="宋体" w:hAnsi="宋体" w:eastAsia="宋体" w:cs="宋体"/>
                <w:color w:val="auto"/>
                <w:highlight w:val="none"/>
              </w:rPr>
            </w:pPr>
          </w:p>
        </w:tc>
      </w:tr>
    </w:tbl>
    <w:p>
      <w:pPr>
        <w:spacing w:line="360" w:lineRule="auto"/>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spacing w:line="360" w:lineRule="auto"/>
        <w:ind w:firstLine="3840"/>
        <w:rPr>
          <w:rFonts w:ascii="宋体" w:hAnsi="宋体" w:eastAsia="宋体" w:cs="宋体"/>
          <w:color w:val="auto"/>
          <w:sz w:val="24"/>
          <w:highlight w:val="none"/>
        </w:rPr>
      </w:pPr>
      <w:r>
        <w:rPr>
          <w:rFonts w:ascii="宋体" w:hAnsi="宋体" w:eastAsia="宋体" w:cs="宋体"/>
          <w:color w:val="auto"/>
          <w:sz w:val="24"/>
          <w:highlight w:val="none"/>
        </w:rPr>
        <w:t xml:space="preserve">投标人电子签章： </w:t>
      </w: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 xml:space="preserve">                年   月  日</w:t>
      </w:r>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br w:type="page"/>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格式2-2</w:t>
      </w:r>
    </w:p>
    <w:p>
      <w:pPr>
        <w:spacing w:line="360" w:lineRule="auto"/>
        <w:ind w:firstLine="480"/>
        <w:jc w:val="center"/>
        <w:rPr>
          <w:rFonts w:ascii="宋体" w:hAnsi="宋体" w:eastAsia="宋体" w:cs="宋体"/>
          <w:color w:val="auto"/>
          <w:sz w:val="24"/>
          <w:highlight w:val="none"/>
        </w:rPr>
      </w:pPr>
      <w:r>
        <w:rPr>
          <w:rFonts w:ascii="宋体" w:hAnsi="宋体" w:eastAsia="宋体" w:cs="宋体"/>
          <w:color w:val="auto"/>
          <w:sz w:val="24"/>
          <w:highlight w:val="none"/>
        </w:rPr>
        <w:t>授权委托书</w:t>
      </w: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（委托代理人参加竞争性磋商的，出具此证明书）</w:t>
      </w:r>
    </w:p>
    <w:p>
      <w:pPr>
        <w:spacing w:line="360" w:lineRule="auto"/>
        <w:ind w:firstLine="480"/>
        <w:rPr>
          <w:rFonts w:ascii="宋体" w:hAnsi="宋体" w:eastAsia="宋体" w:cs="宋体"/>
          <w:color w:val="auto"/>
          <w:sz w:val="24"/>
          <w:highlight w:val="none"/>
        </w:rPr>
      </w:pP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委托人授权（被委托人的姓名、职务）为委托人的委托代理人，就项目编号为的项目及合同的执行，以本单位名义处理一切与之有关的事务。</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本授权书于年月日签字生效，特此声明。</w:t>
      </w:r>
    </w:p>
    <w:p>
      <w:pPr>
        <w:spacing w:line="360" w:lineRule="auto"/>
        <w:rPr>
          <w:rFonts w:ascii="宋体" w:hAnsi="宋体" w:eastAsia="宋体" w:cs="宋体"/>
          <w:color w:val="auto"/>
          <w:sz w:val="24"/>
          <w:highlight w:val="none"/>
        </w:rPr>
      </w:pP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委托人：</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投标人电子公章：           </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被委托人：</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法定代表人：</w:t>
      </w:r>
    </w:p>
    <w:tbl>
      <w:tblPr>
        <w:tblStyle w:val="10"/>
        <w:tblW w:w="0" w:type="auto"/>
        <w:tblInd w:w="0" w:type="dxa"/>
        <w:tblLayout w:type="autofit"/>
        <w:tblCellMar>
          <w:top w:w="0" w:type="dxa"/>
          <w:left w:w="10" w:type="dxa"/>
          <w:bottom w:w="0" w:type="dxa"/>
          <w:right w:w="10" w:type="dxa"/>
        </w:tblCellMar>
      </w:tblPr>
      <w:tblGrid>
        <w:gridCol w:w="5508"/>
      </w:tblGrid>
      <w:tr>
        <w:tc>
          <w:tcPr>
            <w:tcW w:w="55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80" w:lineRule="auto"/>
              <w:rPr>
                <w:rFonts w:ascii="宋体" w:hAnsi="宋体" w:eastAsia="宋体" w:cs="宋体"/>
                <w:b/>
                <w:color w:val="auto"/>
                <w:sz w:val="24"/>
                <w:highlight w:val="none"/>
              </w:rPr>
            </w:pPr>
          </w:p>
          <w:p>
            <w:pPr>
              <w:spacing w:line="480" w:lineRule="auto"/>
              <w:rPr>
                <w:rFonts w:ascii="宋体" w:hAnsi="宋体" w:eastAsia="宋体" w:cs="宋体"/>
                <w:b/>
                <w:color w:val="auto"/>
                <w:sz w:val="24"/>
                <w:highlight w:val="none"/>
              </w:rPr>
            </w:pPr>
          </w:p>
          <w:p>
            <w:pPr>
              <w:spacing w:line="480" w:lineRule="auto"/>
              <w:jc w:val="center"/>
              <w:rPr>
                <w:rFonts w:ascii="宋体" w:hAnsi="宋体" w:eastAsia="宋体" w:cs="宋体"/>
                <w:color w:val="auto"/>
                <w:highlight w:val="none"/>
              </w:rPr>
            </w:pPr>
            <w:r>
              <w:rPr>
                <w:rFonts w:ascii="宋体" w:hAnsi="宋体" w:eastAsia="宋体" w:cs="宋体"/>
                <w:b/>
                <w:color w:val="auto"/>
                <w:sz w:val="24"/>
                <w:highlight w:val="none"/>
              </w:rPr>
              <w:t>（※附：被委托人身份证复印件※）</w:t>
            </w:r>
          </w:p>
        </w:tc>
      </w:tr>
    </w:tbl>
    <w:p>
      <w:pPr>
        <w:spacing w:line="360" w:lineRule="auto"/>
        <w:ind w:firstLine="480"/>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 xml:space="preserve">投标人电子公章：                                       </w:t>
      </w: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 xml:space="preserve"> 年   月   日</w:t>
      </w:r>
    </w:p>
    <w:p>
      <w:pPr>
        <w:spacing w:line="360" w:lineRule="auto"/>
        <w:jc w:val="center"/>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pStyle w:val="13"/>
        <w:ind w:firstLine="210"/>
        <w:rPr>
          <w:color w:val="auto"/>
          <w:highlight w:val="none"/>
        </w:rPr>
      </w:pPr>
    </w:p>
    <w:p>
      <w:pPr>
        <w:ind w:firstLine="240"/>
        <w:jc w:val="left"/>
        <w:rPr>
          <w:rFonts w:ascii="宋体" w:hAnsi="宋体" w:eastAsia="宋体" w:cs="宋体"/>
          <w:color w:val="auto"/>
          <w:sz w:val="24"/>
          <w:highlight w:val="none"/>
        </w:rPr>
      </w:pPr>
      <w:r>
        <w:rPr>
          <w:rFonts w:ascii="宋体" w:hAnsi="宋体" w:eastAsia="宋体" w:cs="宋体"/>
          <w:color w:val="auto"/>
          <w:sz w:val="24"/>
          <w:highlight w:val="none"/>
        </w:rPr>
        <w:br w:type="page"/>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格式2-3</w:t>
      </w:r>
    </w:p>
    <w:p>
      <w:pPr>
        <w:ind w:firstLine="240"/>
        <w:jc w:val="left"/>
        <w:rPr>
          <w:rFonts w:ascii="宋体" w:hAnsi="宋体" w:eastAsia="宋体" w:cs="宋体"/>
          <w:color w:val="auto"/>
          <w:sz w:val="24"/>
          <w:highlight w:val="none"/>
        </w:rPr>
      </w:pPr>
      <w:r>
        <w:rPr>
          <w:rFonts w:ascii="宋体" w:hAnsi="宋体" w:eastAsia="宋体" w:cs="宋体"/>
          <w:color w:val="auto"/>
          <w:sz w:val="24"/>
          <w:highlight w:val="none"/>
        </w:rPr>
        <w:t>供应商资格其他资料</w:t>
      </w: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格式3</w:t>
      </w:r>
    </w:p>
    <w:p>
      <w:pPr>
        <w:spacing w:line="560" w:lineRule="auto"/>
        <w:jc w:val="center"/>
        <w:rPr>
          <w:rFonts w:ascii="宋体" w:hAnsi="宋体" w:eastAsia="宋体" w:cs="宋体"/>
          <w:color w:val="auto"/>
          <w:sz w:val="24"/>
          <w:highlight w:val="none"/>
        </w:rPr>
      </w:pPr>
      <w:r>
        <w:rPr>
          <w:rFonts w:ascii="宋体" w:hAnsi="宋体" w:eastAsia="宋体" w:cs="宋体"/>
          <w:color w:val="auto"/>
          <w:sz w:val="24"/>
          <w:highlight w:val="none"/>
        </w:rPr>
        <w:t>投标函</w:t>
      </w:r>
    </w:p>
    <w:p>
      <w:pPr>
        <w:spacing w:line="360" w:lineRule="auto"/>
        <w:jc w:val="left"/>
        <w:rPr>
          <w:rFonts w:ascii="宋体" w:hAnsi="宋体" w:eastAsia="宋体" w:cs="宋体"/>
          <w:color w:val="auto"/>
          <w:sz w:val="24"/>
          <w:highlight w:val="none"/>
          <w:shd w:val="clear" w:color="auto" w:fill="FFFFFF"/>
        </w:rPr>
      </w:pPr>
      <w:r>
        <w:rPr>
          <w:rFonts w:ascii="宋体" w:hAnsi="宋体" w:eastAsia="宋体" w:cs="宋体"/>
          <w:color w:val="auto"/>
          <w:sz w:val="24"/>
          <w:highlight w:val="none"/>
          <w:shd w:val="clear" w:color="auto" w:fill="FFFFFF"/>
        </w:rPr>
        <w:t>致：周口市公共资源交易中心</w:t>
      </w:r>
      <w:r>
        <w:rPr>
          <w:rFonts w:hint="eastAsia" w:ascii="宋体" w:hAnsi="宋体" w:eastAsia="宋体" w:cs="宋体"/>
          <w:color w:val="auto"/>
          <w:sz w:val="24"/>
          <w:highlight w:val="none"/>
          <w:shd w:val="clear" w:color="auto" w:fill="FFFFFF"/>
        </w:rPr>
        <w:t>（</w:t>
      </w:r>
      <w:r>
        <w:rPr>
          <w:rFonts w:ascii="宋体" w:hAnsi="宋体" w:eastAsia="宋体" w:cs="宋体"/>
          <w:color w:val="auto"/>
          <w:sz w:val="24"/>
          <w:highlight w:val="none"/>
          <w:shd w:val="clear" w:color="auto" w:fill="FFFFFF"/>
        </w:rPr>
        <w:t>政府采购中心</w:t>
      </w:r>
      <w:r>
        <w:rPr>
          <w:rFonts w:hint="eastAsia" w:ascii="宋体" w:hAnsi="宋体" w:eastAsia="宋体" w:cs="宋体"/>
          <w:color w:val="auto"/>
          <w:sz w:val="24"/>
          <w:highlight w:val="none"/>
          <w:shd w:val="clear" w:color="auto" w:fill="FFFFFF"/>
        </w:rPr>
        <w:t>)</w:t>
      </w:r>
    </w:p>
    <w:p>
      <w:pPr>
        <w:rPr>
          <w:rFonts w:ascii="宋体" w:hAnsi="宋体" w:eastAsia="宋体" w:cs="宋体"/>
          <w:color w:val="auto"/>
          <w:sz w:val="24"/>
          <w:highlight w:val="none"/>
        </w:rPr>
      </w:pPr>
    </w:p>
    <w:p>
      <w:pPr>
        <w:ind w:firstLine="600"/>
        <w:rPr>
          <w:rFonts w:ascii="宋体" w:hAnsi="宋体" w:eastAsia="宋体" w:cs="宋体"/>
          <w:color w:val="auto"/>
          <w:sz w:val="24"/>
          <w:highlight w:val="none"/>
        </w:rPr>
      </w:pPr>
      <w:r>
        <w:rPr>
          <w:rFonts w:ascii="宋体" w:hAnsi="宋体" w:eastAsia="宋体" w:cs="宋体"/>
          <w:color w:val="auto"/>
          <w:sz w:val="24"/>
          <w:highlight w:val="none"/>
        </w:rPr>
        <w:t>根据贵方              项目的竞争性磋商邀请（项目编号：          ），委托代理人      (全名、职务)代表              供应商名称、地址)提交投标文件，报价为</w:t>
      </w:r>
      <w:r>
        <w:rPr>
          <w:rFonts w:ascii="宋体" w:hAnsi="宋体" w:eastAsia="宋体" w:cs="宋体"/>
          <w:color w:val="auto"/>
          <w:sz w:val="24"/>
          <w:highlight w:val="none"/>
          <w:u w:val="single"/>
        </w:rPr>
        <w:t>：    元，</w:t>
      </w:r>
      <w:r>
        <w:rPr>
          <w:rFonts w:ascii="宋体" w:hAnsi="宋体" w:eastAsia="宋体" w:cs="宋体"/>
          <w:color w:val="auto"/>
          <w:sz w:val="24"/>
          <w:highlight w:val="none"/>
        </w:rPr>
        <w:t>并对之负法律责任。</w:t>
      </w:r>
    </w:p>
    <w:p>
      <w:pPr>
        <w:ind w:firstLine="568"/>
        <w:rPr>
          <w:rFonts w:ascii="宋体" w:hAnsi="宋体" w:eastAsia="宋体" w:cs="宋体"/>
          <w:color w:val="auto"/>
          <w:sz w:val="24"/>
          <w:highlight w:val="none"/>
        </w:rPr>
      </w:pPr>
      <w:r>
        <w:rPr>
          <w:rFonts w:ascii="宋体" w:hAnsi="宋体" w:eastAsia="宋体" w:cs="宋体"/>
          <w:color w:val="auto"/>
          <w:sz w:val="24"/>
          <w:highlight w:val="none"/>
        </w:rPr>
        <w:t>据此函，宣布同意如下：</w:t>
      </w:r>
    </w:p>
    <w:p>
      <w:pPr>
        <w:ind w:firstLine="480"/>
        <w:rPr>
          <w:rFonts w:ascii="宋体" w:hAnsi="宋体" w:eastAsia="宋体" w:cs="宋体"/>
          <w:color w:val="auto"/>
          <w:sz w:val="24"/>
          <w:highlight w:val="none"/>
        </w:rPr>
      </w:pPr>
      <w:r>
        <w:rPr>
          <w:rFonts w:ascii="宋体" w:hAnsi="宋体" w:eastAsia="宋体" w:cs="宋体"/>
          <w:color w:val="auto"/>
          <w:sz w:val="24"/>
          <w:highlight w:val="none"/>
        </w:rPr>
        <w:t>(1)我们完全理解贵方不一定要接受最低报价，并同意本文件规定的响应性文件有效期。</w:t>
      </w:r>
    </w:p>
    <w:p>
      <w:pPr>
        <w:ind w:firstLine="480"/>
        <w:rPr>
          <w:rFonts w:ascii="宋体" w:hAnsi="宋体" w:eastAsia="宋体" w:cs="宋体"/>
          <w:color w:val="auto"/>
          <w:sz w:val="24"/>
          <w:highlight w:val="none"/>
        </w:rPr>
      </w:pPr>
      <w:r>
        <w:rPr>
          <w:rFonts w:ascii="宋体" w:hAnsi="宋体" w:eastAsia="宋体" w:cs="宋体"/>
          <w:color w:val="auto"/>
          <w:sz w:val="24"/>
          <w:highlight w:val="none"/>
        </w:rPr>
        <w:t>(2)我们已详细审核全部竞争性磋商文件，我们知道必须放弃提出含糊不清或误解的问题的权利。</w:t>
      </w:r>
    </w:p>
    <w:p>
      <w:pPr>
        <w:numPr>
          <w:ilvl w:val="0"/>
          <w:numId w:val="29"/>
        </w:numPr>
        <w:ind w:firstLine="480"/>
        <w:rPr>
          <w:rFonts w:ascii="宋体" w:hAnsi="宋体" w:eastAsia="宋体" w:cs="宋体"/>
          <w:color w:val="auto"/>
          <w:sz w:val="24"/>
          <w:highlight w:val="none"/>
        </w:rPr>
      </w:pPr>
      <w:r>
        <w:rPr>
          <w:rFonts w:ascii="宋体" w:hAnsi="宋体" w:eastAsia="宋体" w:cs="宋体"/>
          <w:color w:val="auto"/>
          <w:sz w:val="24"/>
          <w:highlight w:val="none"/>
        </w:rPr>
        <w:t>同意向贵方提供贵方可能另外要求的与其竞争性磋商有关的任何证据和资料。</w:t>
      </w:r>
    </w:p>
    <w:p>
      <w:pPr>
        <w:ind w:firstLine="480"/>
        <w:rPr>
          <w:rFonts w:ascii="宋体" w:hAnsi="宋体" w:eastAsia="宋体" w:cs="宋体"/>
          <w:color w:val="auto"/>
          <w:sz w:val="24"/>
          <w:highlight w:val="none"/>
        </w:rPr>
      </w:pPr>
      <w:r>
        <w:rPr>
          <w:rFonts w:ascii="宋体" w:hAnsi="宋体" w:eastAsia="宋体" w:cs="宋体"/>
          <w:color w:val="auto"/>
          <w:sz w:val="24"/>
          <w:highlight w:val="none"/>
        </w:rPr>
        <w:t>(4)一旦我们成交，我们将严格履行合同责任和义务。</w:t>
      </w:r>
    </w:p>
    <w:p>
      <w:pPr>
        <w:ind w:firstLine="480"/>
        <w:rPr>
          <w:rFonts w:ascii="宋体" w:hAnsi="宋体" w:eastAsia="宋体" w:cs="宋体"/>
          <w:color w:val="auto"/>
          <w:sz w:val="24"/>
          <w:highlight w:val="none"/>
        </w:rPr>
      </w:pPr>
      <w:r>
        <w:rPr>
          <w:rFonts w:ascii="宋体" w:hAnsi="宋体" w:eastAsia="宋体" w:cs="宋体"/>
          <w:color w:val="auto"/>
          <w:sz w:val="24"/>
          <w:highlight w:val="none"/>
        </w:rPr>
        <w:t>(5)我们完全理解不向未成交人解释未成交理由的义务。</w:t>
      </w:r>
    </w:p>
    <w:p>
      <w:pPr>
        <w:ind w:firstLine="480"/>
        <w:rPr>
          <w:rFonts w:ascii="宋体" w:hAnsi="宋体" w:eastAsia="宋体" w:cs="宋体"/>
          <w:color w:val="auto"/>
          <w:sz w:val="24"/>
          <w:highlight w:val="none"/>
        </w:rPr>
      </w:pPr>
      <w:r>
        <w:rPr>
          <w:rFonts w:ascii="宋体" w:hAnsi="宋体" w:eastAsia="宋体" w:cs="宋体"/>
          <w:color w:val="auto"/>
          <w:sz w:val="24"/>
          <w:highlight w:val="none"/>
        </w:rPr>
        <w:t>(6)与本次竞争性磋商有关的正式通讯地址为：</w:t>
      </w:r>
    </w:p>
    <w:p>
      <w:pPr>
        <w:ind w:firstLine="480"/>
        <w:rPr>
          <w:rFonts w:ascii="宋体" w:hAnsi="宋体" w:eastAsia="宋体" w:cs="宋体"/>
          <w:color w:val="auto"/>
          <w:sz w:val="24"/>
          <w:highlight w:val="none"/>
        </w:rPr>
      </w:pPr>
      <w:r>
        <w:rPr>
          <w:rFonts w:ascii="宋体" w:hAnsi="宋体" w:eastAsia="宋体" w:cs="宋体"/>
          <w:color w:val="auto"/>
          <w:sz w:val="24"/>
          <w:highlight w:val="none"/>
        </w:rPr>
        <w:t>地 址：                  邮 编：</w:t>
      </w:r>
    </w:p>
    <w:p>
      <w:pPr>
        <w:ind w:firstLine="480"/>
        <w:rPr>
          <w:rFonts w:ascii="宋体" w:hAnsi="宋体" w:eastAsia="宋体" w:cs="宋体"/>
          <w:color w:val="auto"/>
          <w:sz w:val="24"/>
          <w:highlight w:val="none"/>
        </w:rPr>
      </w:pPr>
      <w:r>
        <w:rPr>
          <w:rFonts w:ascii="宋体" w:hAnsi="宋体" w:eastAsia="宋体" w:cs="宋体"/>
          <w:color w:val="auto"/>
          <w:sz w:val="24"/>
          <w:highlight w:val="none"/>
        </w:rPr>
        <w:t>电 话：                  传 真：</w:t>
      </w:r>
    </w:p>
    <w:p>
      <w:pPr>
        <w:ind w:firstLine="480"/>
        <w:jc w:val="left"/>
        <w:rPr>
          <w:rFonts w:ascii="宋体" w:hAnsi="宋体" w:eastAsia="宋体" w:cs="宋体"/>
          <w:color w:val="auto"/>
          <w:sz w:val="24"/>
          <w:highlight w:val="none"/>
        </w:rPr>
      </w:pPr>
      <w:r>
        <w:rPr>
          <w:rFonts w:ascii="宋体" w:hAnsi="宋体" w:eastAsia="宋体" w:cs="宋体"/>
          <w:color w:val="auto"/>
          <w:sz w:val="24"/>
          <w:highlight w:val="none"/>
        </w:rPr>
        <w:t>我们保证：</w:t>
      </w:r>
    </w:p>
    <w:p>
      <w:pPr>
        <w:ind w:firstLine="480"/>
        <w:jc w:val="left"/>
        <w:rPr>
          <w:rFonts w:ascii="宋体" w:hAnsi="宋体" w:eastAsia="宋体" w:cs="宋体"/>
          <w:color w:val="auto"/>
          <w:sz w:val="24"/>
          <w:highlight w:val="none"/>
        </w:rPr>
      </w:pPr>
      <w:r>
        <w:rPr>
          <w:rFonts w:ascii="宋体" w:hAnsi="宋体" w:eastAsia="宋体" w:cs="宋体"/>
          <w:color w:val="auto"/>
          <w:sz w:val="24"/>
          <w:highlight w:val="none"/>
        </w:rPr>
        <w:t>(1)不提供虚假材料谋取成交；</w:t>
      </w:r>
    </w:p>
    <w:p>
      <w:pPr>
        <w:ind w:firstLine="480"/>
        <w:jc w:val="left"/>
        <w:rPr>
          <w:rFonts w:ascii="宋体" w:hAnsi="宋体" w:eastAsia="宋体" w:cs="宋体"/>
          <w:color w:val="auto"/>
          <w:sz w:val="24"/>
          <w:highlight w:val="none"/>
        </w:rPr>
      </w:pPr>
      <w:r>
        <w:rPr>
          <w:rFonts w:ascii="宋体" w:hAnsi="宋体" w:eastAsia="宋体" w:cs="宋体"/>
          <w:color w:val="auto"/>
          <w:sz w:val="24"/>
          <w:highlight w:val="none"/>
        </w:rPr>
        <w:t>(2)不以不正当手段抵毁、排挤其他供应商；</w:t>
      </w:r>
    </w:p>
    <w:p>
      <w:pPr>
        <w:ind w:firstLine="480"/>
        <w:jc w:val="left"/>
        <w:rPr>
          <w:rFonts w:ascii="宋体" w:hAnsi="宋体" w:eastAsia="宋体" w:cs="宋体"/>
          <w:color w:val="auto"/>
          <w:sz w:val="24"/>
          <w:highlight w:val="none"/>
        </w:rPr>
      </w:pPr>
      <w:r>
        <w:rPr>
          <w:rFonts w:ascii="宋体" w:hAnsi="宋体" w:eastAsia="宋体" w:cs="宋体"/>
          <w:color w:val="auto"/>
          <w:sz w:val="24"/>
          <w:highlight w:val="none"/>
        </w:rPr>
        <w:t>(3)不与采购人和其它供应商恶意串通；</w:t>
      </w:r>
    </w:p>
    <w:p>
      <w:pPr>
        <w:ind w:firstLine="480"/>
        <w:jc w:val="left"/>
        <w:rPr>
          <w:rFonts w:ascii="宋体" w:hAnsi="宋体" w:eastAsia="宋体" w:cs="宋体"/>
          <w:color w:val="auto"/>
          <w:sz w:val="24"/>
          <w:highlight w:val="none"/>
        </w:rPr>
      </w:pPr>
      <w:r>
        <w:rPr>
          <w:rFonts w:ascii="宋体" w:hAnsi="宋体" w:eastAsia="宋体" w:cs="宋体"/>
          <w:color w:val="auto"/>
          <w:sz w:val="24"/>
          <w:highlight w:val="none"/>
        </w:rPr>
        <w:t>(4)不向采购人和采购代理机构提供不正当利益；</w:t>
      </w:r>
    </w:p>
    <w:p>
      <w:pPr>
        <w:ind w:firstLine="480"/>
        <w:jc w:val="left"/>
        <w:rPr>
          <w:rFonts w:ascii="宋体" w:hAnsi="宋体" w:eastAsia="宋体" w:cs="宋体"/>
          <w:color w:val="auto"/>
          <w:sz w:val="24"/>
          <w:highlight w:val="none"/>
        </w:rPr>
      </w:pPr>
      <w:r>
        <w:rPr>
          <w:rFonts w:ascii="宋体" w:hAnsi="宋体" w:eastAsia="宋体" w:cs="宋体"/>
          <w:color w:val="auto"/>
          <w:sz w:val="24"/>
          <w:highlight w:val="none"/>
        </w:rPr>
        <w:t>(5)不拒绝有关部门监督检查或提供虚假情况。</w:t>
      </w:r>
    </w:p>
    <w:p>
      <w:pPr>
        <w:spacing w:line="560" w:lineRule="auto"/>
        <w:ind w:firstLine="720"/>
        <w:jc w:val="left"/>
        <w:rPr>
          <w:rFonts w:ascii="宋体" w:hAnsi="宋体" w:eastAsia="宋体" w:cs="宋体"/>
          <w:color w:val="auto"/>
          <w:sz w:val="24"/>
          <w:highlight w:val="none"/>
        </w:rPr>
      </w:pPr>
      <w:r>
        <w:rPr>
          <w:rFonts w:ascii="宋体" w:hAnsi="宋体" w:eastAsia="宋体" w:cs="宋体"/>
          <w:color w:val="auto"/>
          <w:sz w:val="24"/>
          <w:highlight w:val="none"/>
        </w:rPr>
        <w:t xml:space="preserve"> 联系人：              联系电话：</w:t>
      </w: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ind w:firstLine="3360"/>
        <w:jc w:val="left"/>
        <w:rPr>
          <w:rFonts w:ascii="宋体" w:hAnsi="宋体" w:eastAsia="宋体" w:cs="宋体"/>
          <w:color w:val="auto"/>
          <w:sz w:val="24"/>
          <w:highlight w:val="none"/>
        </w:rPr>
      </w:pPr>
      <w:r>
        <w:rPr>
          <w:rFonts w:ascii="宋体" w:hAnsi="宋体" w:eastAsia="宋体" w:cs="宋体"/>
          <w:color w:val="auto"/>
          <w:sz w:val="24"/>
          <w:highlight w:val="none"/>
        </w:rPr>
        <w:t>投标人电子公章：</w:t>
      </w: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 xml:space="preserve">      年   月   日</w:t>
      </w: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 xml:space="preserve"> </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格式4</w:t>
      </w:r>
    </w:p>
    <w:p>
      <w:pPr>
        <w:keepNext/>
        <w:keepLines/>
        <w:spacing w:before="260" w:after="260" w:line="416" w:lineRule="auto"/>
        <w:jc w:val="center"/>
        <w:rPr>
          <w:rFonts w:ascii="宋体" w:hAnsi="宋体" w:eastAsia="宋体" w:cs="宋体"/>
          <w:color w:val="auto"/>
          <w:sz w:val="24"/>
          <w:highlight w:val="none"/>
        </w:rPr>
      </w:pPr>
      <w:r>
        <w:rPr>
          <w:rFonts w:ascii="宋体" w:hAnsi="宋体" w:eastAsia="宋体" w:cs="宋体"/>
          <w:color w:val="auto"/>
          <w:sz w:val="24"/>
          <w:highlight w:val="none"/>
        </w:rPr>
        <w:t>一．报价一览表</w:t>
      </w:r>
    </w:p>
    <w:tbl>
      <w:tblPr>
        <w:tblStyle w:val="10"/>
        <w:tblW w:w="0" w:type="auto"/>
        <w:jc w:val="center"/>
        <w:tblLayout w:type="autofit"/>
        <w:tblCellMar>
          <w:top w:w="0" w:type="dxa"/>
          <w:left w:w="10" w:type="dxa"/>
          <w:bottom w:w="0" w:type="dxa"/>
          <w:right w:w="10" w:type="dxa"/>
        </w:tblCellMar>
      </w:tblPr>
      <w:tblGrid>
        <w:gridCol w:w="2368"/>
        <w:gridCol w:w="6154"/>
      </w:tblGrid>
      <w:tr>
        <w:tblPrEx>
          <w:tblCellMar>
            <w:top w:w="0" w:type="dxa"/>
            <w:left w:w="10" w:type="dxa"/>
            <w:bottom w:w="0" w:type="dxa"/>
            <w:right w:w="10" w:type="dxa"/>
          </w:tblCellMar>
        </w:tblPrEx>
        <w:trPr>
          <w:cantSpli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项目名称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sz w:val="22"/>
                <w:highlight w:val="none"/>
              </w:rPr>
            </w:pPr>
          </w:p>
        </w:tc>
      </w:tr>
      <w:tr>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投标人全称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r>
      <w:tr>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最终投标报价（包：）</w:t>
            </w:r>
          </w:p>
          <w:p>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（人民币）</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670"/>
              <w:rPr>
                <w:rFonts w:ascii="宋体" w:hAnsi="宋体" w:eastAsia="宋体" w:cs="宋体"/>
                <w:color w:val="auto"/>
                <w:highlight w:val="none"/>
              </w:rPr>
            </w:pPr>
            <w:r>
              <w:rPr>
                <w:rFonts w:ascii="宋体" w:hAnsi="宋体" w:eastAsia="宋体" w:cs="宋体"/>
                <w:color w:val="auto"/>
                <w:sz w:val="24"/>
                <w:highlight w:val="none"/>
              </w:rPr>
              <w:t xml:space="preserve">投标总价：       大写：           </w:t>
            </w:r>
          </w:p>
        </w:tc>
      </w:tr>
      <w:tr>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备注</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宋体" w:hAnsi="宋体" w:eastAsia="宋体" w:cs="宋体"/>
                <w:color w:val="auto"/>
                <w:sz w:val="22"/>
                <w:highlight w:val="none"/>
              </w:rPr>
            </w:pPr>
          </w:p>
        </w:tc>
      </w:tr>
    </w:tbl>
    <w:p>
      <w:pPr>
        <w:spacing w:before="100" w:after="100" w:line="360" w:lineRule="auto"/>
        <w:ind w:firstLine="4920"/>
        <w:rPr>
          <w:rFonts w:ascii="宋体" w:hAnsi="宋体" w:eastAsia="宋体" w:cs="宋体"/>
          <w:color w:val="auto"/>
          <w:sz w:val="24"/>
          <w:highlight w:val="none"/>
        </w:rPr>
      </w:pPr>
      <w:r>
        <w:rPr>
          <w:rFonts w:ascii="宋体" w:hAnsi="宋体" w:eastAsia="宋体" w:cs="宋体"/>
          <w:color w:val="auto"/>
          <w:sz w:val="24"/>
          <w:highlight w:val="none"/>
        </w:rPr>
        <w:t xml:space="preserve">投标人电子公章： </w:t>
      </w: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备注：</w:t>
      </w: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1、此表用于开标会唱标之用。</w:t>
      </w: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2、表中最终投标报价即为优惠后报价，并作为评审及定标依据。任何有选择或有条件的最终投标报价，或者表中某一包填写多个报价，均为无效报价。</w:t>
      </w: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br w:type="page"/>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格式5</w:t>
      </w:r>
    </w:p>
    <w:p>
      <w:pPr>
        <w:keepNext/>
        <w:keepLines/>
        <w:spacing w:before="260" w:after="260" w:line="416" w:lineRule="auto"/>
        <w:jc w:val="center"/>
        <w:rPr>
          <w:rFonts w:ascii="宋体" w:hAnsi="宋体" w:eastAsia="宋体" w:cs="宋体"/>
          <w:color w:val="auto"/>
          <w:sz w:val="24"/>
          <w:highlight w:val="none"/>
        </w:rPr>
      </w:pPr>
      <w:r>
        <w:rPr>
          <w:rFonts w:ascii="宋体" w:hAnsi="宋体" w:eastAsia="宋体" w:cs="宋体"/>
          <w:color w:val="auto"/>
          <w:sz w:val="24"/>
          <w:highlight w:val="none"/>
        </w:rPr>
        <w:t>．投标分项报价表</w:t>
      </w:r>
    </w:p>
    <w:p>
      <w:pPr>
        <w:jc w:val="center"/>
        <w:rPr>
          <w:rFonts w:ascii="Times New Roman" w:hAnsi="Times New Roman" w:eastAsia="Times New Roman" w:cs="Times New Roman"/>
          <w:color w:val="auto"/>
          <w:sz w:val="24"/>
          <w:highlight w:val="none"/>
        </w:rPr>
      </w:pPr>
    </w:p>
    <w:p>
      <w:pPr>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谈判供应商名称：</w:t>
      </w:r>
    </w:p>
    <w:p>
      <w:pPr>
        <w:jc w:val="center"/>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单位：元</w:t>
      </w:r>
    </w:p>
    <w:tbl>
      <w:tblPr>
        <w:tblStyle w:val="10"/>
        <w:tblW w:w="0" w:type="auto"/>
        <w:tblInd w:w="0" w:type="dxa"/>
        <w:tblLayout w:type="autofit"/>
        <w:tblCellMar>
          <w:top w:w="0" w:type="dxa"/>
          <w:left w:w="10" w:type="dxa"/>
          <w:bottom w:w="0" w:type="dxa"/>
          <w:right w:w="10" w:type="dxa"/>
        </w:tblCellMar>
      </w:tblPr>
      <w:tblGrid>
        <w:gridCol w:w="806"/>
        <w:gridCol w:w="4612"/>
        <w:gridCol w:w="1034"/>
        <w:gridCol w:w="1034"/>
        <w:gridCol w:w="1036"/>
      </w:tblGrid>
      <w:tr>
        <w:tblPrEx>
          <w:tblCellMar>
            <w:top w:w="0" w:type="dxa"/>
            <w:left w:w="10" w:type="dxa"/>
            <w:bottom w:w="0" w:type="dxa"/>
            <w:right w:w="10" w:type="dxa"/>
          </w:tblCellMar>
        </w:tblPrEx>
        <w:tc>
          <w:tcPr>
            <w:tcW w:w="828"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序号</w:t>
            </w: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货物名称（标明生产厂家、品牌、规格型号等）</w:t>
            </w: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数量</w:t>
            </w: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单价</w:t>
            </w: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小计</w:t>
            </w: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905" w:type="dxa"/>
            <w:gridSpan w:val="5"/>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color w:val="auto"/>
                <w:highlight w:val="none"/>
              </w:rPr>
            </w:pPr>
            <w:r>
              <w:rPr>
                <w:rFonts w:ascii="宋体" w:hAnsi="宋体" w:eastAsia="宋体" w:cs="宋体"/>
                <w:color w:val="auto"/>
                <w:sz w:val="24"/>
                <w:highlight w:val="none"/>
              </w:rPr>
              <w:t>总价（人民币大写）：￥</w:t>
            </w:r>
            <w:r>
              <w:rPr>
                <w:rFonts w:ascii="Times New Roman" w:hAnsi="Times New Roman" w:eastAsia="Times New Roman" w:cs="Times New Roman"/>
                <w:color w:val="auto"/>
                <w:sz w:val="24"/>
                <w:highlight w:val="none"/>
              </w:rPr>
              <w:t xml:space="preserve">     </w:t>
            </w:r>
            <w:r>
              <w:rPr>
                <w:rFonts w:ascii="宋体" w:hAnsi="宋体" w:eastAsia="宋体" w:cs="宋体"/>
                <w:color w:val="auto"/>
                <w:sz w:val="24"/>
                <w:highlight w:val="none"/>
              </w:rPr>
              <w:t>元</w:t>
            </w:r>
          </w:p>
        </w:tc>
      </w:tr>
    </w:tbl>
    <w:p>
      <w:pPr>
        <w:jc w:val="center"/>
        <w:rPr>
          <w:rFonts w:ascii="Times New Roman" w:hAnsi="Times New Roman" w:eastAsia="Times New Roman" w:cs="Times New Roman"/>
          <w:color w:val="auto"/>
          <w:sz w:val="24"/>
          <w:highlight w:val="none"/>
        </w:rPr>
      </w:pPr>
    </w:p>
    <w:p>
      <w:pPr>
        <w:jc w:val="center"/>
        <w:rPr>
          <w:rFonts w:ascii="Times New Roman" w:hAnsi="Times New Roman" w:eastAsia="Times New Roman" w:cs="Times New Roman"/>
          <w:color w:val="auto"/>
          <w:sz w:val="24"/>
          <w:highlight w:val="none"/>
        </w:rPr>
      </w:pPr>
    </w:p>
    <w:p>
      <w:pPr>
        <w:jc w:val="center"/>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谈判供应商代表签字：谈判供应商公章日期：</w:t>
      </w: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r>
        <w:rPr>
          <w:rFonts w:ascii="Times New Roman" w:hAnsi="Times New Roman" w:eastAsia="Times New Roman" w:cs="Times New Roman"/>
          <w:color w:val="auto"/>
          <w:sz w:val="22"/>
          <w:highlight w:val="none"/>
        </w:rPr>
        <w:br w:type="page"/>
      </w: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xml:space="preserve">格式6                     </w:t>
      </w:r>
      <w:r>
        <w:rPr>
          <w:rFonts w:ascii="宋体" w:hAnsi="宋体" w:eastAsia="宋体" w:cs="宋体"/>
          <w:b/>
          <w:color w:val="auto"/>
          <w:sz w:val="24"/>
          <w:highlight w:val="none"/>
        </w:rPr>
        <w:t>技术参数响应表</w:t>
      </w:r>
    </w:p>
    <w:p>
      <w:pPr>
        <w:rPr>
          <w:rFonts w:ascii="宋体" w:hAnsi="宋体" w:eastAsia="宋体" w:cs="宋体"/>
          <w:color w:val="auto"/>
          <w:sz w:val="24"/>
          <w:highlight w:val="none"/>
        </w:rPr>
      </w:pPr>
    </w:p>
    <w:p>
      <w:pPr>
        <w:rPr>
          <w:rFonts w:ascii="宋体" w:hAnsi="宋体" w:eastAsia="宋体" w:cs="宋体"/>
          <w:color w:val="auto"/>
          <w:sz w:val="24"/>
          <w:highlight w:val="none"/>
        </w:rPr>
      </w:pPr>
    </w:p>
    <w:tbl>
      <w:tblPr>
        <w:tblStyle w:val="10"/>
        <w:tblW w:w="0" w:type="auto"/>
        <w:tblInd w:w="0" w:type="dxa"/>
        <w:tblLayout w:type="autofit"/>
        <w:tblCellMar>
          <w:top w:w="0" w:type="dxa"/>
          <w:left w:w="10" w:type="dxa"/>
          <w:bottom w:w="0" w:type="dxa"/>
          <w:right w:w="10" w:type="dxa"/>
        </w:tblCellMar>
      </w:tblPr>
      <w:tblGrid>
        <w:gridCol w:w="702"/>
        <w:gridCol w:w="701"/>
        <w:gridCol w:w="3240"/>
        <w:gridCol w:w="2616"/>
        <w:gridCol w:w="1263"/>
      </w:tblGrid>
      <w:tr>
        <w:tblPrEx>
          <w:tblCellMar>
            <w:top w:w="0" w:type="dxa"/>
            <w:left w:w="10" w:type="dxa"/>
            <w:bottom w:w="0" w:type="dxa"/>
            <w:right w:w="10" w:type="dxa"/>
          </w:tblCellMar>
        </w:tblPrEx>
        <w:tc>
          <w:tcPr>
            <w:tcW w:w="493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按招标文件规定填写</w:t>
            </w:r>
          </w:p>
        </w:tc>
        <w:tc>
          <w:tcPr>
            <w:tcW w:w="41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按投标人所投内容填写</w:t>
            </w:r>
          </w:p>
        </w:tc>
      </w:tr>
      <w:tr>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序号</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品名</w:t>
            </w: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磋商文件要求</w:t>
            </w: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响应文件</w:t>
            </w: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偏离说明</w:t>
            </w:r>
          </w:p>
        </w:tc>
      </w:tr>
      <w:tr>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1</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2</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bl>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ascii="宋体" w:hAnsi="宋体" w:eastAsia="宋体" w:cs="宋体"/>
          <w:color w:val="auto"/>
          <w:sz w:val="24"/>
          <w:highlight w:val="none"/>
        </w:rPr>
        <w:t>(可根据需求自行更改)</w:t>
      </w:r>
    </w:p>
    <w:p>
      <w:pPr>
        <w:rPr>
          <w:rFonts w:ascii="宋体" w:hAnsi="宋体" w:eastAsia="宋体" w:cs="宋体"/>
          <w:color w:val="auto"/>
          <w:sz w:val="24"/>
          <w:highlight w:val="none"/>
        </w:rPr>
      </w:pPr>
    </w:p>
    <w:p>
      <w:pPr>
        <w:spacing w:line="360" w:lineRule="auto"/>
        <w:ind w:left="5250" w:firstLine="240"/>
        <w:rPr>
          <w:rFonts w:ascii="宋体" w:hAnsi="宋体" w:eastAsia="宋体" w:cs="宋体"/>
          <w:color w:val="auto"/>
          <w:sz w:val="24"/>
          <w:highlight w:val="none"/>
        </w:rPr>
      </w:pPr>
      <w:r>
        <w:rPr>
          <w:rFonts w:ascii="宋体" w:hAnsi="宋体" w:eastAsia="宋体" w:cs="宋体"/>
          <w:color w:val="auto"/>
          <w:sz w:val="24"/>
          <w:highlight w:val="none"/>
        </w:rPr>
        <w:t>投标人电子公章：</w:t>
      </w:r>
    </w:p>
    <w:p>
      <w:pPr>
        <w:spacing w:line="360" w:lineRule="auto"/>
        <w:jc w:val="right"/>
        <w:rPr>
          <w:rFonts w:ascii="宋体" w:hAnsi="宋体" w:eastAsia="宋体" w:cs="宋体"/>
          <w:color w:val="auto"/>
          <w:sz w:val="24"/>
          <w:highlight w:val="none"/>
        </w:rPr>
      </w:pPr>
      <w:r>
        <w:rPr>
          <w:rFonts w:ascii="宋体" w:hAnsi="宋体" w:eastAsia="宋体" w:cs="宋体"/>
          <w:color w:val="auto"/>
          <w:sz w:val="24"/>
          <w:highlight w:val="none"/>
        </w:rPr>
        <w:t xml:space="preserve">  年  月  日</w:t>
      </w:r>
    </w:p>
    <w:p>
      <w:pPr>
        <w:spacing w:line="360" w:lineRule="auto"/>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br w:type="page"/>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格式7</w:t>
      </w:r>
    </w:p>
    <w:p>
      <w:pPr>
        <w:tabs>
          <w:tab w:val="left" w:pos="0"/>
          <w:tab w:val="left" w:pos="993"/>
          <w:tab w:val="left" w:pos="1134"/>
        </w:tabs>
        <w:ind w:firstLine="480"/>
        <w:rPr>
          <w:rFonts w:ascii="宋体" w:hAnsi="宋体" w:eastAsia="宋体" w:cs="宋体"/>
          <w:color w:val="auto"/>
          <w:sz w:val="24"/>
          <w:highlight w:val="none"/>
        </w:rPr>
      </w:pPr>
    </w:p>
    <w:p>
      <w:pPr>
        <w:spacing w:line="380" w:lineRule="auto"/>
        <w:jc w:val="center"/>
        <w:rPr>
          <w:rFonts w:ascii="宋体" w:hAnsi="宋体" w:eastAsia="宋体" w:cs="宋体"/>
          <w:color w:val="auto"/>
          <w:sz w:val="24"/>
          <w:highlight w:val="none"/>
        </w:rPr>
      </w:pPr>
      <w:r>
        <w:rPr>
          <w:rFonts w:ascii="宋体" w:hAnsi="宋体" w:eastAsia="宋体" w:cs="宋体"/>
          <w:color w:val="auto"/>
          <w:sz w:val="24"/>
          <w:highlight w:val="none"/>
        </w:rPr>
        <w:t>售后服务承诺</w:t>
      </w:r>
    </w:p>
    <w:p>
      <w:pPr>
        <w:spacing w:line="380" w:lineRule="auto"/>
        <w:jc w:val="center"/>
        <w:rPr>
          <w:rFonts w:ascii="宋体" w:hAnsi="宋体" w:eastAsia="宋体" w:cs="宋体"/>
          <w:color w:val="auto"/>
          <w:sz w:val="24"/>
          <w:highlight w:val="none"/>
        </w:rPr>
      </w:pPr>
    </w:p>
    <w:p>
      <w:pPr>
        <w:spacing w:line="380" w:lineRule="auto"/>
        <w:ind w:firstLine="360"/>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spacing w:line="380" w:lineRule="auto"/>
        <w:rPr>
          <w:rFonts w:ascii="宋体" w:hAnsi="宋体" w:eastAsia="宋体" w:cs="宋体"/>
          <w:color w:val="auto"/>
          <w:sz w:val="24"/>
          <w:highlight w:val="none"/>
        </w:rPr>
      </w:pPr>
    </w:p>
    <w:p>
      <w:pPr>
        <w:spacing w:line="380" w:lineRule="auto"/>
        <w:ind w:firstLine="4008"/>
        <w:rPr>
          <w:rFonts w:ascii="宋体" w:hAnsi="宋体" w:eastAsia="宋体" w:cs="宋体"/>
          <w:color w:val="auto"/>
          <w:sz w:val="24"/>
          <w:highlight w:val="none"/>
        </w:rPr>
      </w:pPr>
      <w:r>
        <w:rPr>
          <w:rFonts w:ascii="宋体" w:hAnsi="宋体" w:eastAsia="宋体" w:cs="宋体"/>
          <w:color w:val="auto"/>
          <w:sz w:val="24"/>
          <w:highlight w:val="none"/>
        </w:rPr>
        <w:t>投标人电子公章：</w:t>
      </w:r>
    </w:p>
    <w:p>
      <w:pPr>
        <w:spacing w:line="380" w:lineRule="auto"/>
        <w:ind w:right="640" w:firstLine="1560"/>
        <w:rPr>
          <w:rFonts w:ascii="宋体" w:hAnsi="宋体" w:eastAsia="宋体" w:cs="宋体"/>
          <w:color w:val="auto"/>
          <w:sz w:val="24"/>
          <w:highlight w:val="none"/>
        </w:rPr>
      </w:pPr>
    </w:p>
    <w:p>
      <w:pPr>
        <w:spacing w:line="380" w:lineRule="auto"/>
        <w:ind w:right="640" w:firstLine="4680"/>
        <w:rPr>
          <w:rFonts w:ascii="宋体" w:hAnsi="宋体" w:eastAsia="宋体" w:cs="宋体"/>
          <w:color w:val="auto"/>
          <w:sz w:val="24"/>
          <w:highlight w:val="none"/>
        </w:rPr>
      </w:pPr>
    </w:p>
    <w:p>
      <w:pPr>
        <w:spacing w:line="380" w:lineRule="auto"/>
        <w:jc w:val="center"/>
        <w:rPr>
          <w:rFonts w:ascii="宋体" w:hAnsi="宋体" w:eastAsia="宋体" w:cs="宋体"/>
          <w:color w:val="auto"/>
          <w:sz w:val="24"/>
          <w:highlight w:val="none"/>
        </w:rPr>
      </w:pPr>
    </w:p>
    <w:p>
      <w:pPr>
        <w:spacing w:line="380" w:lineRule="auto"/>
        <w:ind w:firstLine="3600"/>
        <w:rPr>
          <w:rFonts w:ascii="宋体" w:hAnsi="宋体" w:eastAsia="宋体" w:cs="宋体"/>
          <w:color w:val="auto"/>
          <w:sz w:val="24"/>
          <w:highlight w:val="none"/>
        </w:rPr>
      </w:pPr>
      <w:r>
        <w:rPr>
          <w:rFonts w:ascii="宋体" w:hAnsi="宋体" w:eastAsia="宋体" w:cs="宋体"/>
          <w:color w:val="auto"/>
          <w:sz w:val="24"/>
          <w:highlight w:val="none"/>
        </w:rPr>
        <w:t xml:space="preserve">      年   月    日</w:t>
      </w:r>
    </w:p>
    <w:p>
      <w:pPr>
        <w:spacing w:line="380" w:lineRule="auto"/>
        <w:ind w:firstLine="3600"/>
        <w:rPr>
          <w:rFonts w:ascii="宋体" w:hAnsi="宋体" w:eastAsia="宋体" w:cs="宋体"/>
          <w:b/>
          <w:color w:val="auto"/>
          <w:sz w:val="24"/>
          <w:highlight w:val="none"/>
        </w:rPr>
      </w:pPr>
      <w:r>
        <w:rPr>
          <w:rFonts w:ascii="宋体" w:hAnsi="宋体" w:eastAsia="宋体" w:cs="宋体"/>
          <w:b/>
          <w:color w:val="auto"/>
          <w:sz w:val="24"/>
          <w:highlight w:val="none"/>
        </w:rPr>
        <w:t xml:space="preserve"> </w:t>
      </w:r>
    </w:p>
    <w:p>
      <w:pPr>
        <w:spacing w:line="360" w:lineRule="auto"/>
        <w:jc w:val="center"/>
        <w:rPr>
          <w:rFonts w:ascii="宋体" w:hAnsi="宋体" w:eastAsia="宋体" w:cs="宋体"/>
          <w:b/>
          <w:color w:val="auto"/>
          <w:sz w:val="24"/>
          <w:highlight w:val="none"/>
        </w:rPr>
      </w:pPr>
    </w:p>
    <w:p>
      <w:pPr>
        <w:pStyle w:val="2"/>
        <w:rPr>
          <w:rFonts w:ascii="宋体" w:hAnsi="宋体" w:cs="宋体"/>
          <w:b/>
          <w:color w:val="auto"/>
          <w:sz w:val="24"/>
          <w:highlight w:val="none"/>
        </w:rPr>
      </w:pPr>
    </w:p>
    <w:p>
      <w:pPr>
        <w:pStyle w:val="4"/>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2"/>
        <w:rPr>
          <w:rFonts w:ascii="宋体" w:hAnsi="宋体" w:cs="宋体"/>
          <w:b/>
          <w:color w:val="auto"/>
          <w:sz w:val="24"/>
          <w:highlight w:val="none"/>
        </w:rPr>
      </w:pPr>
    </w:p>
    <w:p>
      <w:pPr>
        <w:pStyle w:val="4"/>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2"/>
        <w:rPr>
          <w:rFonts w:ascii="宋体" w:hAnsi="宋体" w:cs="宋体"/>
          <w:b/>
          <w:color w:val="auto"/>
          <w:sz w:val="24"/>
          <w:highlight w:val="none"/>
        </w:rPr>
      </w:pPr>
    </w:p>
    <w:p>
      <w:pPr>
        <w:pStyle w:val="4"/>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2"/>
        <w:rPr>
          <w:rFonts w:ascii="宋体" w:hAnsi="宋体" w:cs="宋体"/>
          <w:b/>
          <w:color w:val="auto"/>
          <w:sz w:val="24"/>
          <w:highlight w:val="none"/>
        </w:rPr>
      </w:pPr>
    </w:p>
    <w:p>
      <w:pPr>
        <w:pStyle w:val="4"/>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2"/>
        <w:rPr>
          <w:rFonts w:ascii="宋体" w:hAnsi="宋体" w:cs="宋体"/>
          <w:b/>
          <w:color w:val="auto"/>
          <w:sz w:val="24"/>
          <w:highlight w:val="none"/>
        </w:rPr>
      </w:pPr>
    </w:p>
    <w:p>
      <w:pPr>
        <w:pStyle w:val="4"/>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2"/>
        <w:rPr>
          <w:rFonts w:ascii="宋体" w:hAnsi="宋体" w:cs="宋体"/>
          <w:b/>
          <w:color w:val="auto"/>
          <w:sz w:val="24"/>
          <w:highlight w:val="none"/>
        </w:rPr>
      </w:pPr>
    </w:p>
    <w:p>
      <w:pPr>
        <w:pStyle w:val="4"/>
        <w:rPr>
          <w:rFonts w:ascii="宋体" w:hAnsi="宋体" w:eastAsia="宋体" w:cs="宋体"/>
          <w:b/>
          <w:color w:val="auto"/>
          <w:sz w:val="24"/>
          <w:highlight w:val="none"/>
        </w:rPr>
      </w:pPr>
    </w:p>
    <w:p>
      <w:pPr>
        <w:rPr>
          <w:color w:val="auto"/>
          <w:highlight w:val="none"/>
        </w:rPr>
      </w:pP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格式8</w:t>
      </w:r>
    </w:p>
    <w:p>
      <w:pPr>
        <w:spacing w:line="360" w:lineRule="auto"/>
        <w:ind w:firstLine="1680"/>
        <w:rPr>
          <w:rFonts w:ascii="宋体" w:hAnsi="宋体" w:eastAsia="宋体" w:cs="宋体"/>
          <w:color w:val="auto"/>
          <w:sz w:val="24"/>
          <w:highlight w:val="none"/>
        </w:rPr>
      </w:pPr>
      <w:r>
        <w:rPr>
          <w:rFonts w:ascii="宋体" w:hAnsi="宋体" w:eastAsia="宋体" w:cs="宋体"/>
          <w:color w:val="auto"/>
          <w:sz w:val="24"/>
          <w:highlight w:val="none"/>
        </w:rPr>
        <w:t>合格供应商的声明函和承诺书</w:t>
      </w: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pStyle w:val="2"/>
        <w:rPr>
          <w:color w:val="auto"/>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80" w:lineRule="auto"/>
        <w:ind w:firstLine="3360"/>
        <w:rPr>
          <w:rFonts w:ascii="宋体" w:hAnsi="宋体" w:eastAsia="宋体" w:cs="宋体"/>
          <w:color w:val="auto"/>
          <w:sz w:val="24"/>
          <w:highlight w:val="none"/>
        </w:rPr>
      </w:pPr>
      <w:r>
        <w:rPr>
          <w:rFonts w:ascii="宋体" w:hAnsi="宋体" w:eastAsia="宋体" w:cs="宋体"/>
          <w:color w:val="auto"/>
          <w:sz w:val="24"/>
          <w:highlight w:val="none"/>
        </w:rPr>
        <w:t>投标人电子公章：</w:t>
      </w:r>
    </w:p>
    <w:p>
      <w:pPr>
        <w:spacing w:line="380" w:lineRule="auto"/>
        <w:ind w:right="640" w:firstLine="1560"/>
        <w:rPr>
          <w:rFonts w:ascii="宋体" w:hAnsi="宋体" w:eastAsia="宋体" w:cs="宋体"/>
          <w:color w:val="auto"/>
          <w:sz w:val="24"/>
          <w:highlight w:val="none"/>
        </w:rPr>
      </w:pPr>
    </w:p>
    <w:p>
      <w:pPr>
        <w:spacing w:line="360" w:lineRule="auto"/>
        <w:jc w:val="center"/>
        <w:rPr>
          <w:rFonts w:ascii="宋体" w:hAnsi="宋体" w:eastAsia="宋体" w:cs="宋体"/>
          <w:b/>
          <w:color w:val="auto"/>
          <w:sz w:val="24"/>
          <w:highlight w:val="none"/>
        </w:rPr>
      </w:pPr>
      <w:r>
        <w:rPr>
          <w:rFonts w:ascii="宋体" w:hAnsi="宋体" w:eastAsia="宋体" w:cs="宋体"/>
          <w:color w:val="auto"/>
          <w:sz w:val="24"/>
          <w:highlight w:val="none"/>
        </w:rPr>
        <w:t xml:space="preserve">      年   月    日</w:t>
      </w:r>
    </w:p>
    <w:p>
      <w:pPr>
        <w:spacing w:line="360" w:lineRule="auto"/>
        <w:jc w:val="center"/>
        <w:rPr>
          <w:rFonts w:ascii="宋体" w:hAnsi="宋体" w:eastAsia="宋体" w:cs="宋体"/>
          <w:b/>
          <w:color w:val="auto"/>
          <w:sz w:val="24"/>
          <w:highlight w:val="none"/>
        </w:rPr>
      </w:pPr>
    </w:p>
    <w:p>
      <w:pPr>
        <w:pStyle w:val="2"/>
        <w:rPr>
          <w:rFonts w:ascii="宋体" w:hAnsi="宋体" w:cs="宋体"/>
          <w:b/>
          <w:color w:val="auto"/>
          <w:sz w:val="24"/>
          <w:highlight w:val="none"/>
        </w:rPr>
      </w:pPr>
    </w:p>
    <w:p>
      <w:pPr>
        <w:pStyle w:val="4"/>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2"/>
        <w:rPr>
          <w:rFonts w:ascii="宋体" w:hAnsi="宋体" w:cs="宋体"/>
          <w:b/>
          <w:color w:val="auto"/>
          <w:sz w:val="24"/>
          <w:highlight w:val="none"/>
        </w:rPr>
      </w:pPr>
    </w:p>
    <w:p>
      <w:pPr>
        <w:pStyle w:val="4"/>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2"/>
        <w:rPr>
          <w:rFonts w:ascii="宋体" w:hAnsi="宋体" w:cs="宋体"/>
          <w:b/>
          <w:color w:val="auto"/>
          <w:sz w:val="24"/>
          <w:highlight w:val="none"/>
        </w:rPr>
      </w:pPr>
    </w:p>
    <w:p>
      <w:pPr>
        <w:pStyle w:val="4"/>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2"/>
        <w:rPr>
          <w:rFonts w:ascii="宋体" w:hAnsi="宋体" w:cs="宋体"/>
          <w:b/>
          <w:color w:val="auto"/>
          <w:sz w:val="24"/>
          <w:highlight w:val="none"/>
        </w:rPr>
      </w:pPr>
    </w:p>
    <w:p>
      <w:pPr>
        <w:pStyle w:val="4"/>
        <w:rPr>
          <w:rFonts w:ascii="宋体" w:hAnsi="宋体" w:eastAsia="宋体" w:cs="宋体"/>
          <w:b/>
          <w:color w:val="auto"/>
          <w:sz w:val="24"/>
          <w:highlight w:val="none"/>
        </w:rPr>
      </w:pPr>
    </w:p>
    <w:p>
      <w:pPr>
        <w:rPr>
          <w:color w:val="auto"/>
          <w:highlight w:val="none"/>
        </w:rPr>
      </w:pPr>
    </w:p>
    <w:p>
      <w:pPr>
        <w:spacing w:line="360" w:lineRule="auto"/>
        <w:jc w:val="center"/>
        <w:rPr>
          <w:rFonts w:ascii="宋体" w:hAnsi="宋体" w:eastAsia="宋体" w:cs="宋体"/>
          <w:b/>
          <w:color w:val="auto"/>
          <w:sz w:val="24"/>
          <w:highlight w:val="none"/>
        </w:rPr>
      </w:pP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格式9</w:t>
      </w:r>
    </w:p>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中小企业声明函（货物）</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 为大企业的情形，也不存在与大企业的负责人为同一人的情形。</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 法承担相应责任。</w:t>
      </w:r>
    </w:p>
    <w:p>
      <w:pPr>
        <w:ind w:firstLine="3840" w:firstLineChars="16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pPr>
        <w:spacing w:line="360" w:lineRule="auto"/>
        <w:ind w:firstLine="5040" w:firstLineChars="2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spacing w:line="360" w:lineRule="auto"/>
        <w:rPr>
          <w:rFonts w:ascii="宋体" w:hAnsi="宋体" w:eastAsia="宋体" w:cs="宋体"/>
          <w:color w:val="auto"/>
          <w:sz w:val="24"/>
          <w:highlight w:val="none"/>
        </w:rPr>
      </w:pPr>
    </w:p>
    <w:p>
      <w:pPr>
        <w:rPr>
          <w:color w:val="auto"/>
          <w:highlight w:val="none"/>
        </w:rPr>
      </w:pPr>
    </w:p>
    <w:p>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注：1.从业人员、营业收入、资产总额填报上一年度数据，无上一年度数据的新成立企业可不填报。</w:t>
      </w:r>
    </w:p>
    <w:p>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2.本项目如是只面向中小企业采购的应当必须提供。</w:t>
      </w: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pStyle w:val="2"/>
        <w:rPr>
          <w:rFonts w:ascii="宋体" w:hAnsi="宋体" w:cs="宋体"/>
          <w:color w:val="auto"/>
          <w:sz w:val="24"/>
          <w:highlight w:val="none"/>
        </w:rPr>
      </w:pPr>
    </w:p>
    <w:p>
      <w:pPr>
        <w:pStyle w:val="4"/>
        <w:rPr>
          <w:rFonts w:ascii="宋体" w:hAnsi="宋体" w:eastAsia="宋体" w:cs="宋体"/>
          <w:color w:val="auto"/>
          <w:sz w:val="24"/>
          <w:highlight w:val="none"/>
        </w:rPr>
      </w:pPr>
    </w:p>
    <w:p>
      <w:pPr>
        <w:rPr>
          <w:rFonts w:ascii="宋体" w:hAnsi="宋体" w:eastAsia="宋体" w:cs="宋体"/>
          <w:color w:val="auto"/>
          <w:sz w:val="24"/>
          <w:highlight w:val="none"/>
        </w:rPr>
      </w:pPr>
    </w:p>
    <w:p>
      <w:pPr>
        <w:pStyle w:val="2"/>
        <w:rPr>
          <w:rFonts w:ascii="宋体" w:hAnsi="宋体" w:cs="宋体"/>
          <w:color w:val="auto"/>
          <w:sz w:val="24"/>
          <w:highlight w:val="none"/>
        </w:rPr>
      </w:pPr>
    </w:p>
    <w:p>
      <w:pPr>
        <w:pStyle w:val="4"/>
        <w:rPr>
          <w:rFonts w:ascii="宋体" w:hAnsi="宋体" w:eastAsia="宋体" w:cs="宋体"/>
          <w:color w:val="auto"/>
          <w:sz w:val="24"/>
          <w:highlight w:val="none"/>
        </w:rPr>
      </w:pPr>
    </w:p>
    <w:p>
      <w:pPr>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rPr>
          <w:color w:val="auto"/>
          <w:highlight w:val="none"/>
        </w:rPr>
      </w:pPr>
    </w:p>
    <w:p>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格式</w:t>
      </w:r>
      <w:r>
        <w:rPr>
          <w:rFonts w:hint="eastAsia" w:ascii="宋体" w:hAnsi="宋体" w:eastAsia="宋体" w:cs="宋体"/>
          <w:color w:val="auto"/>
          <w:sz w:val="24"/>
          <w:highlight w:val="none"/>
        </w:rPr>
        <w:t>10</w:t>
      </w:r>
      <w:r>
        <w:rPr>
          <w:rFonts w:ascii="宋体" w:hAnsi="宋体" w:eastAsia="宋体" w:cs="宋体"/>
          <w:color w:val="auto"/>
          <w:sz w:val="24"/>
          <w:highlight w:val="none"/>
        </w:rPr>
        <w:t xml:space="preserve">  其他资料</w:t>
      </w:r>
    </w:p>
    <w:p>
      <w:pPr>
        <w:ind w:firstLine="240"/>
        <w:jc w:val="left"/>
        <w:rPr>
          <w:rFonts w:ascii="宋体" w:hAnsi="宋体" w:eastAsia="宋体" w:cs="宋体"/>
          <w:color w:val="auto"/>
          <w:sz w:val="24"/>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jc w:val="left"/>
        <w:rPr>
          <w:rFonts w:ascii="宋体" w:hAnsi="宋体" w:eastAsia="宋体" w:cs="宋体"/>
          <w:color w:val="auto"/>
          <w:sz w:val="24"/>
          <w:highlight w:val="none"/>
        </w:rPr>
      </w:pPr>
    </w:p>
    <w:p>
      <w:pPr>
        <w:pStyle w:val="2"/>
        <w:rPr>
          <w:rFonts w:ascii="宋体" w:hAnsi="宋体" w:cs="宋体"/>
          <w:color w:val="auto"/>
          <w:sz w:val="24"/>
          <w:highlight w:val="none"/>
        </w:rPr>
      </w:pPr>
    </w:p>
    <w:p>
      <w:pPr>
        <w:pStyle w:val="4"/>
        <w:rPr>
          <w:rFonts w:ascii="宋体" w:hAnsi="宋体" w:eastAsia="宋体" w:cs="宋体"/>
          <w:color w:val="auto"/>
          <w:sz w:val="24"/>
          <w:highlight w:val="none"/>
        </w:rPr>
      </w:pPr>
    </w:p>
    <w:p>
      <w:pPr>
        <w:rPr>
          <w:rFonts w:ascii="宋体" w:hAnsi="宋体" w:eastAsia="宋体" w:cs="宋体"/>
          <w:color w:val="auto"/>
          <w:sz w:val="24"/>
          <w:highlight w:val="none"/>
        </w:rPr>
      </w:pPr>
    </w:p>
    <w:p>
      <w:pPr>
        <w:pStyle w:val="2"/>
        <w:rPr>
          <w:rFonts w:ascii="宋体" w:hAnsi="宋体" w:cs="宋体"/>
          <w:color w:val="auto"/>
          <w:sz w:val="24"/>
          <w:highlight w:val="none"/>
        </w:rPr>
      </w:pPr>
    </w:p>
    <w:p>
      <w:pPr>
        <w:pStyle w:val="4"/>
        <w:rPr>
          <w:rFonts w:ascii="宋体" w:hAnsi="宋体" w:eastAsia="宋体" w:cs="宋体"/>
          <w:color w:val="auto"/>
          <w:sz w:val="24"/>
          <w:highlight w:val="none"/>
        </w:rPr>
      </w:pPr>
    </w:p>
    <w:p>
      <w:pPr>
        <w:rPr>
          <w:rFonts w:ascii="宋体" w:hAnsi="宋体" w:eastAsia="宋体" w:cs="宋体"/>
          <w:color w:val="auto"/>
          <w:sz w:val="24"/>
          <w:highlight w:val="none"/>
        </w:rPr>
      </w:pPr>
    </w:p>
    <w:p>
      <w:pPr>
        <w:pStyle w:val="2"/>
        <w:rPr>
          <w:rFonts w:ascii="宋体" w:hAnsi="宋体" w:cs="宋体"/>
          <w:color w:val="auto"/>
          <w:sz w:val="24"/>
          <w:highlight w:val="none"/>
        </w:rPr>
      </w:pPr>
    </w:p>
    <w:p>
      <w:pPr>
        <w:pStyle w:val="4"/>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rPr>
        <w:t>、</w:t>
      </w:r>
    </w:p>
    <w:p>
      <w:pPr>
        <w:pStyle w:val="13"/>
        <w:ind w:firstLine="240"/>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pStyle w:val="13"/>
        <w:ind w:firstLine="240"/>
        <w:rPr>
          <w:rFonts w:ascii="宋体" w:hAnsi="宋体" w:eastAsia="宋体" w:cs="宋体"/>
          <w:color w:val="auto"/>
          <w:sz w:val="24"/>
          <w:highlight w:val="none"/>
        </w:rPr>
      </w:pPr>
    </w:p>
    <w:p>
      <w:pPr>
        <w:pStyle w:val="2"/>
        <w:rPr>
          <w:rFonts w:ascii="宋体" w:hAnsi="宋体" w:cs="宋体"/>
          <w:color w:val="auto"/>
          <w:sz w:val="24"/>
          <w:highlight w:val="none"/>
        </w:rPr>
      </w:pPr>
    </w:p>
    <w:p>
      <w:pPr>
        <w:pStyle w:val="4"/>
        <w:rPr>
          <w:rFonts w:ascii="宋体" w:hAnsi="宋体" w:eastAsia="宋体" w:cs="宋体"/>
          <w:color w:val="auto"/>
          <w:sz w:val="24"/>
          <w:highlight w:val="none"/>
        </w:rPr>
      </w:pPr>
    </w:p>
    <w:p>
      <w:pPr>
        <w:rPr>
          <w:rFonts w:ascii="宋体" w:hAnsi="宋体" w:eastAsia="宋体" w:cs="宋体"/>
          <w:color w:val="auto"/>
          <w:sz w:val="24"/>
          <w:highlight w:val="none"/>
        </w:rPr>
      </w:pPr>
    </w:p>
    <w:p>
      <w:pPr>
        <w:pStyle w:val="2"/>
        <w:rPr>
          <w:color w:val="auto"/>
          <w:highlight w:val="none"/>
        </w:rPr>
      </w:pPr>
    </w:p>
    <w:p>
      <w:pPr>
        <w:ind w:firstLine="240"/>
        <w:jc w:val="left"/>
        <w:rPr>
          <w:rFonts w:ascii="宋体" w:hAnsi="宋体" w:eastAsia="宋体" w:cs="宋体"/>
          <w:color w:val="auto"/>
          <w:sz w:val="24"/>
          <w:highlight w:val="none"/>
        </w:rPr>
      </w:pPr>
    </w:p>
    <w:p>
      <w:pPr>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格式11</w:t>
      </w:r>
    </w:p>
    <w:p>
      <w:pPr>
        <w:spacing w:line="38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政府采购供应商诚信承诺书</w:t>
      </w:r>
    </w:p>
    <w:p>
      <w:pPr>
        <w:spacing w:line="380" w:lineRule="auto"/>
        <w:jc w:val="center"/>
        <w:rPr>
          <w:rFonts w:ascii="宋体" w:hAnsi="宋体" w:eastAsia="宋体" w:cs="宋体"/>
          <w:b/>
          <w:color w:val="auto"/>
          <w:szCs w:val="21"/>
          <w:highlight w:val="none"/>
        </w:rPr>
      </w:pPr>
    </w:p>
    <w:p>
      <w:pPr>
        <w:spacing w:line="380" w:lineRule="auto"/>
        <w:ind w:firstLine="720"/>
        <w:rPr>
          <w:rFonts w:ascii="宋体" w:hAnsi="宋体" w:eastAsia="宋体" w:cs="宋体"/>
          <w:color w:val="auto"/>
          <w:szCs w:val="21"/>
          <w:highlight w:val="none"/>
        </w:rPr>
      </w:pPr>
      <w:r>
        <w:rPr>
          <w:rFonts w:hint="eastAsia" w:ascii="宋体" w:hAnsi="宋体" w:eastAsia="宋体" w:cs="宋体"/>
          <w:color w:val="auto"/>
          <w:szCs w:val="21"/>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（一）提供虚假材料谋取中标;</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（二）采取不正当手段诋毁、排挤其他供应商;</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（三）与招标采购单位、其他投标人恶意串通;</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（四）向招标采购单位或提供其他不正当利益;</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（五）在招标过程中与招标采购单位进行协商谈判、不按照招标文件和投标文件订立合同，或者与采购人另立背离合同实质性内容协议;</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（六）开标后擅自撤销投标，影响招标继续进行的或领取招标文件纳投标保证金后不投标导致废标;</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（七）中标后无正当理由，在规定时间内不与采购单位签订合同;</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（八）将中标项目转让给他人或非法分包他人;</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（九）无正当理由，拒绝履行合同义务;</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（十）无正当理由放弃中标（成交）项目;</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（十ー）撞自或与与采购人串通或接受采购人要求，在履约合同中通过减少货物数量，更换品牌、降低配置、技术要求、质量和服务标准等，却仍按原合同进行虚假验收或终止政府采购合同;</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（十二）与采购人串通，对尚未履约完毕的采购项目出具虚假验收报告；</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（十三）无不可抗力因素，拒绝提供售后服务、售后服务态度恶劣、故意提高维修配件价格（高于市场平均价）；</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（十四）开标后对招标文件的相关内容再进行质疑；</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（十五）恶意投诉的行为：投诉经查无实据的、捏造事实或者提供虚假设诉材料；</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（十六）拒绝有关部门监督检查或者提供虚假情况；</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（十七）政府采购监管部门认定的其他政府采购活动中的不诚信行为。</w:t>
      </w:r>
    </w:p>
    <w:p>
      <w:pPr>
        <w:spacing w:line="380" w:lineRule="auto"/>
        <w:ind w:firstLine="3360"/>
        <w:rPr>
          <w:rFonts w:ascii="宋体" w:hAnsi="宋体" w:eastAsia="宋体" w:cs="宋体"/>
          <w:color w:val="auto"/>
          <w:szCs w:val="21"/>
          <w:highlight w:val="none"/>
        </w:rPr>
      </w:pPr>
    </w:p>
    <w:p>
      <w:pPr>
        <w:spacing w:line="380" w:lineRule="auto"/>
        <w:ind w:firstLine="3360"/>
        <w:rPr>
          <w:rFonts w:ascii="宋体" w:hAnsi="宋体" w:eastAsia="宋体" w:cs="宋体"/>
          <w:color w:val="auto"/>
          <w:szCs w:val="21"/>
          <w:highlight w:val="none"/>
        </w:rPr>
      </w:pPr>
      <w:r>
        <w:rPr>
          <w:rFonts w:hint="eastAsia" w:ascii="宋体" w:hAnsi="宋体" w:eastAsia="宋体" w:cs="宋体"/>
          <w:color w:val="auto"/>
          <w:szCs w:val="21"/>
          <w:highlight w:val="none"/>
        </w:rPr>
        <w:t>供应商名称：（盖章）</w:t>
      </w:r>
    </w:p>
    <w:p>
      <w:pPr>
        <w:spacing w:line="380" w:lineRule="auto"/>
        <w:ind w:firstLine="3360"/>
        <w:rPr>
          <w:rFonts w:ascii="宋体" w:hAnsi="宋体" w:eastAsia="宋体" w:cs="宋体"/>
          <w:color w:val="auto"/>
          <w:szCs w:val="21"/>
          <w:highlight w:val="none"/>
        </w:rPr>
      </w:pPr>
      <w:r>
        <w:rPr>
          <w:rFonts w:hint="eastAsia" w:ascii="宋体" w:hAnsi="宋体" w:eastAsia="宋体" w:cs="宋体"/>
          <w:color w:val="auto"/>
          <w:szCs w:val="21"/>
          <w:highlight w:val="none"/>
        </w:rPr>
        <w:t>法人代表或授权委托人：（签字）</w:t>
      </w:r>
    </w:p>
    <w:p>
      <w:pPr>
        <w:spacing w:line="380" w:lineRule="auto"/>
        <w:ind w:firstLine="3360"/>
        <w:rPr>
          <w:rFonts w:ascii="宋体" w:hAnsi="宋体" w:eastAsia="宋体" w:cs="宋体"/>
          <w:color w:val="auto"/>
          <w:szCs w:val="21"/>
          <w:highlight w:val="none"/>
        </w:rPr>
      </w:pPr>
    </w:p>
    <w:p>
      <w:pPr>
        <w:spacing w:line="380" w:lineRule="auto"/>
        <w:ind w:firstLine="3360"/>
        <w:rPr>
          <w:rFonts w:ascii="宋体" w:hAnsi="宋体" w:eastAsia="宋体" w:cs="宋体"/>
          <w:b/>
          <w:color w:val="auto"/>
          <w:szCs w:val="21"/>
          <w:highlight w:val="none"/>
        </w:rPr>
      </w:pPr>
      <w:r>
        <w:rPr>
          <w:rFonts w:hint="eastAsia" w:ascii="宋体" w:hAnsi="宋体" w:eastAsia="宋体" w:cs="宋体"/>
          <w:color w:val="auto"/>
          <w:szCs w:val="21"/>
          <w:highlight w:val="none"/>
        </w:rPr>
        <w:t>日期：年月日</w:t>
      </w:r>
    </w:p>
    <w:p>
      <w:pPr>
        <w:spacing w:line="360" w:lineRule="auto"/>
        <w:jc w:val="center"/>
        <w:rPr>
          <w:rFonts w:ascii="宋体" w:hAnsi="宋体" w:eastAsia="宋体" w:cs="宋体"/>
          <w:b/>
          <w:color w:val="auto"/>
          <w:szCs w:val="21"/>
          <w:highlight w:val="none"/>
        </w:rPr>
      </w:pPr>
    </w:p>
    <w:p>
      <w:pPr>
        <w:spacing w:line="360" w:lineRule="auto"/>
        <w:jc w:val="center"/>
        <w:rPr>
          <w:rFonts w:ascii="宋体" w:hAnsi="宋体" w:eastAsia="宋体" w:cs="宋体"/>
          <w:b/>
          <w:color w:val="auto"/>
          <w:szCs w:val="21"/>
          <w:highlight w:val="none"/>
        </w:rPr>
      </w:pPr>
    </w:p>
    <w:p>
      <w:pPr>
        <w:ind w:firstLine="420"/>
        <w:jc w:val="left"/>
        <w:rPr>
          <w:rFonts w:ascii="宋体" w:hAnsi="宋体" w:eastAsia="宋体" w:cs="宋体"/>
          <w:b/>
          <w:color w:val="auto"/>
          <w:szCs w:val="21"/>
          <w:highlight w:val="none"/>
        </w:rPr>
      </w:pPr>
    </w:p>
    <w:p>
      <w:pPr>
        <w:ind w:firstLine="420"/>
        <w:jc w:val="left"/>
        <w:rPr>
          <w:rFonts w:ascii="宋体" w:hAnsi="宋体" w:eastAsia="宋体" w:cs="宋体"/>
          <w:b/>
          <w:color w:val="auto"/>
          <w:szCs w:val="21"/>
          <w:highlight w:val="none"/>
        </w:rPr>
      </w:pPr>
    </w:p>
    <w:p>
      <w:pPr>
        <w:ind w:firstLine="420"/>
        <w:jc w:val="left"/>
        <w:rPr>
          <w:rFonts w:ascii="宋体" w:hAnsi="宋体" w:eastAsia="宋体" w:cs="宋体"/>
          <w:b/>
          <w:color w:val="auto"/>
          <w:szCs w:val="21"/>
          <w:highlight w:val="none"/>
        </w:rPr>
      </w:pPr>
    </w:p>
    <w:p>
      <w:pPr>
        <w:ind w:firstLine="420"/>
        <w:jc w:val="left"/>
        <w:rPr>
          <w:rFonts w:ascii="宋体" w:hAnsi="宋体" w:eastAsia="宋体" w:cs="宋体"/>
          <w:b/>
          <w:color w:val="auto"/>
          <w:szCs w:val="21"/>
          <w:highlight w:val="none"/>
        </w:rPr>
      </w:pPr>
    </w:p>
    <w:p>
      <w:pPr>
        <w:ind w:firstLine="420"/>
        <w:jc w:val="left"/>
        <w:rPr>
          <w:rFonts w:ascii="宋体" w:hAnsi="宋体" w:eastAsia="宋体" w:cs="宋体"/>
          <w:b/>
          <w:color w:val="auto"/>
          <w:szCs w:val="21"/>
          <w:highlight w:val="none"/>
        </w:rPr>
      </w:pPr>
    </w:p>
    <w:p>
      <w:pPr>
        <w:pStyle w:val="2"/>
        <w:rPr>
          <w:rFonts w:ascii="宋体" w:hAnsi="宋体" w:cs="宋体"/>
          <w:b/>
          <w:color w:val="auto"/>
          <w:szCs w:val="21"/>
          <w:highlight w:val="none"/>
        </w:rPr>
      </w:pPr>
    </w:p>
    <w:p>
      <w:pPr>
        <w:pStyle w:val="4"/>
        <w:rPr>
          <w:rFonts w:ascii="宋体" w:hAnsi="宋体" w:eastAsia="宋体" w:cs="宋体"/>
          <w:b/>
          <w:color w:val="auto"/>
          <w:sz w:val="21"/>
          <w:szCs w:val="21"/>
          <w:highlight w:val="none"/>
        </w:rPr>
      </w:pPr>
    </w:p>
    <w:p>
      <w:pPr>
        <w:rPr>
          <w:rFonts w:ascii="宋体" w:hAnsi="宋体" w:eastAsia="宋体" w:cs="宋体"/>
          <w:b/>
          <w:color w:val="auto"/>
          <w:szCs w:val="21"/>
          <w:highlight w:val="none"/>
        </w:rPr>
      </w:pPr>
    </w:p>
    <w:p>
      <w:pPr>
        <w:pStyle w:val="2"/>
        <w:rPr>
          <w:rFonts w:ascii="宋体" w:hAnsi="宋体" w:cs="宋体"/>
          <w:b/>
          <w:color w:val="auto"/>
          <w:szCs w:val="21"/>
          <w:highlight w:val="none"/>
        </w:rPr>
      </w:pPr>
    </w:p>
    <w:p>
      <w:pPr>
        <w:pStyle w:val="4"/>
        <w:rPr>
          <w:rFonts w:ascii="宋体" w:hAnsi="宋体" w:eastAsia="宋体" w:cs="宋体"/>
          <w:b/>
          <w:color w:val="auto"/>
          <w:sz w:val="21"/>
          <w:szCs w:val="21"/>
          <w:highlight w:val="none"/>
        </w:rPr>
      </w:pPr>
    </w:p>
    <w:p>
      <w:pPr>
        <w:rPr>
          <w:rFonts w:ascii="宋体" w:hAnsi="宋体" w:eastAsia="宋体" w:cs="宋体"/>
          <w:b/>
          <w:color w:val="auto"/>
          <w:szCs w:val="21"/>
          <w:highlight w:val="none"/>
        </w:rPr>
      </w:pPr>
      <w:r>
        <w:rPr>
          <w:rFonts w:ascii="宋体" w:hAnsi="宋体" w:eastAsia="宋体" w:cs="宋体"/>
          <w:b/>
          <w:color w:val="auto"/>
          <w:szCs w:val="21"/>
          <w:highlight w:val="none"/>
        </w:rPr>
        <w:br w:type="page"/>
      </w:r>
    </w:p>
    <w:p>
      <w:pPr>
        <w:ind w:firstLine="420"/>
        <w:jc w:val="left"/>
        <w:rPr>
          <w:rFonts w:ascii="宋体" w:hAnsi="宋体" w:eastAsia="宋体" w:cs="宋体"/>
          <w:b/>
          <w:color w:val="auto"/>
          <w:szCs w:val="21"/>
          <w:highlight w:val="none"/>
        </w:rPr>
      </w:pPr>
    </w:p>
    <w:p>
      <w:pPr>
        <w:ind w:firstLine="321"/>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周口市政府采购合同融资政策告知函</w:t>
      </w:r>
    </w:p>
    <w:p>
      <w:pPr>
        <w:ind w:firstLine="240"/>
        <w:jc w:val="left"/>
        <w:rPr>
          <w:rFonts w:ascii="宋体" w:hAnsi="宋体" w:eastAsia="宋体" w:cs="宋体"/>
          <w:color w:val="auto"/>
          <w:szCs w:val="21"/>
          <w:highlight w:val="none"/>
        </w:rPr>
      </w:pPr>
    </w:p>
    <w:p>
      <w:pPr>
        <w:ind w:firstLine="240"/>
        <w:jc w:val="left"/>
        <w:rPr>
          <w:rFonts w:ascii="宋体" w:hAnsi="宋体" w:eastAsia="宋体" w:cs="宋体"/>
          <w:color w:val="auto"/>
          <w:szCs w:val="21"/>
          <w:highlight w:val="none"/>
        </w:rPr>
      </w:pPr>
    </w:p>
    <w:p>
      <w:pPr>
        <w:ind w:firstLine="240"/>
        <w:jc w:val="left"/>
        <w:rPr>
          <w:rFonts w:ascii="宋体" w:hAnsi="宋体" w:eastAsia="宋体" w:cs="宋体"/>
          <w:color w:val="auto"/>
          <w:szCs w:val="21"/>
          <w:highlight w:val="none"/>
        </w:rPr>
      </w:pPr>
    </w:p>
    <w:p>
      <w:pPr>
        <w:ind w:firstLine="240"/>
        <w:jc w:val="left"/>
        <w:rPr>
          <w:rFonts w:ascii="宋体" w:hAnsi="宋体" w:eastAsia="宋体" w:cs="宋体"/>
          <w:color w:val="auto"/>
          <w:szCs w:val="21"/>
          <w:highlight w:val="none"/>
        </w:rPr>
      </w:pPr>
      <w:r>
        <w:rPr>
          <w:rFonts w:hint="eastAsia" w:ascii="宋体" w:hAnsi="宋体" w:eastAsia="宋体" w:cs="宋体"/>
          <w:color w:val="auto"/>
          <w:szCs w:val="21"/>
          <w:highlight w:val="none"/>
        </w:rPr>
        <w:t>各供应商：</w:t>
      </w:r>
    </w:p>
    <w:p>
      <w:pPr>
        <w:ind w:firstLine="240"/>
        <w:jc w:val="left"/>
        <w:rPr>
          <w:rFonts w:ascii="宋体" w:hAnsi="宋体" w:eastAsia="宋体" w:cs="宋体"/>
          <w:color w:val="auto"/>
          <w:szCs w:val="21"/>
          <w:highlight w:val="none"/>
        </w:rPr>
      </w:pPr>
      <w:r>
        <w:rPr>
          <w:rFonts w:hint="eastAsia" w:ascii="宋体" w:hAnsi="宋体" w:eastAsia="宋体" w:cs="宋体"/>
          <w:color w:val="auto"/>
          <w:szCs w:val="21"/>
          <w:highlight w:val="none"/>
        </w:rPr>
        <w:t>欢迎贵公司参与周口市政府采购活动！</w:t>
      </w:r>
    </w:p>
    <w:p>
      <w:pPr>
        <w:ind w:firstLine="240"/>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ind w:firstLine="240"/>
        <w:jc w:val="left"/>
        <w:rPr>
          <w:rFonts w:ascii="宋体" w:hAnsi="宋体" w:eastAsia="宋体" w:cs="宋体"/>
          <w:color w:val="auto"/>
          <w:szCs w:val="21"/>
          <w:highlight w:val="none"/>
        </w:rPr>
      </w:pPr>
      <w:r>
        <w:rPr>
          <w:rFonts w:hint="eastAsia" w:ascii="宋体" w:hAnsi="宋体" w:eastAsia="宋体" w:cs="宋体"/>
          <w:color w:val="auto"/>
          <w:szCs w:val="21"/>
          <w:highlight w:val="none"/>
        </w:rPr>
        <w:t>贷款渠道和提供贷款的金融机构，可在河南省政府采购网“河南省政府采购合同融资平台”查询联系。</w:t>
      </w:r>
    </w:p>
    <w:p>
      <w:pPr>
        <w:ind w:firstLine="420"/>
        <w:jc w:val="left"/>
        <w:rPr>
          <w:rFonts w:ascii="宋体" w:hAnsi="宋体" w:eastAsia="宋体" w:cs="宋体"/>
          <w:b/>
          <w:color w:val="auto"/>
          <w:szCs w:val="21"/>
          <w:highlight w:val="none"/>
        </w:rPr>
      </w:pPr>
    </w:p>
    <w:p>
      <w:pPr>
        <w:pStyle w:val="2"/>
        <w:rPr>
          <w:rFonts w:ascii="宋体" w:hAnsi="宋体" w:cs="宋体"/>
          <w:b/>
          <w:color w:val="auto"/>
          <w:szCs w:val="21"/>
          <w:highlight w:val="none"/>
        </w:rPr>
      </w:pPr>
    </w:p>
    <w:p>
      <w:pPr>
        <w:pStyle w:val="4"/>
        <w:rPr>
          <w:rFonts w:ascii="宋体" w:hAnsi="宋体" w:eastAsia="宋体" w:cs="宋体"/>
          <w:b/>
          <w:color w:val="auto"/>
          <w:sz w:val="28"/>
          <w:highlight w:val="none"/>
        </w:rPr>
      </w:pPr>
    </w:p>
    <w:p>
      <w:pPr>
        <w:rPr>
          <w:rFonts w:ascii="宋体" w:hAnsi="宋体" w:eastAsia="宋体" w:cs="宋体"/>
          <w:b/>
          <w:color w:val="auto"/>
          <w:sz w:val="28"/>
          <w:highlight w:val="none"/>
        </w:rPr>
      </w:pPr>
    </w:p>
    <w:p>
      <w:pPr>
        <w:pStyle w:val="2"/>
        <w:rPr>
          <w:rFonts w:ascii="宋体" w:hAnsi="宋体" w:cs="宋体"/>
          <w:b/>
          <w:color w:val="auto"/>
          <w:sz w:val="28"/>
          <w:highlight w:val="none"/>
        </w:rPr>
      </w:pPr>
    </w:p>
    <w:p>
      <w:pPr>
        <w:pStyle w:val="4"/>
        <w:rPr>
          <w:rFonts w:ascii="宋体" w:hAnsi="宋体" w:eastAsia="宋体" w:cs="宋体"/>
          <w:b/>
          <w:color w:val="auto"/>
          <w:sz w:val="28"/>
          <w:highlight w:val="none"/>
        </w:rPr>
      </w:pPr>
    </w:p>
    <w:p>
      <w:pPr>
        <w:rPr>
          <w:rFonts w:ascii="宋体" w:hAnsi="宋体" w:eastAsia="宋体" w:cs="宋体"/>
          <w:b/>
          <w:color w:val="auto"/>
          <w:sz w:val="28"/>
          <w:highlight w:val="none"/>
        </w:rPr>
      </w:pPr>
    </w:p>
    <w:p>
      <w:pPr>
        <w:pStyle w:val="2"/>
        <w:rPr>
          <w:rFonts w:ascii="宋体" w:hAnsi="宋体" w:cs="宋体"/>
          <w:b/>
          <w:color w:val="auto"/>
          <w:sz w:val="28"/>
          <w:highlight w:val="none"/>
        </w:rPr>
      </w:pPr>
    </w:p>
    <w:p>
      <w:pPr>
        <w:pStyle w:val="4"/>
        <w:rPr>
          <w:rFonts w:ascii="宋体" w:hAnsi="宋体" w:eastAsia="宋体" w:cs="宋体"/>
          <w:b/>
          <w:color w:val="auto"/>
          <w:sz w:val="28"/>
          <w:highlight w:val="none"/>
        </w:rPr>
      </w:pPr>
    </w:p>
    <w:p>
      <w:pPr>
        <w:rPr>
          <w:rFonts w:ascii="宋体" w:hAnsi="宋体" w:eastAsia="宋体" w:cs="宋体"/>
          <w:b/>
          <w:color w:val="auto"/>
          <w:sz w:val="28"/>
          <w:highlight w:val="none"/>
        </w:rPr>
      </w:pPr>
    </w:p>
    <w:p>
      <w:pPr>
        <w:pStyle w:val="2"/>
        <w:rPr>
          <w:rFonts w:ascii="宋体" w:hAnsi="宋体" w:cs="宋体"/>
          <w:b/>
          <w:color w:val="auto"/>
          <w:sz w:val="28"/>
          <w:highlight w:val="none"/>
        </w:rPr>
      </w:pPr>
    </w:p>
    <w:p>
      <w:pPr>
        <w:pStyle w:val="4"/>
        <w:rPr>
          <w:rFonts w:ascii="宋体" w:hAnsi="宋体" w:eastAsia="宋体" w:cs="宋体"/>
          <w:b/>
          <w:color w:val="auto"/>
          <w:sz w:val="28"/>
          <w:highlight w:val="none"/>
        </w:rPr>
      </w:pPr>
    </w:p>
    <w:p>
      <w:pPr>
        <w:rPr>
          <w:rFonts w:ascii="宋体" w:hAnsi="宋体" w:eastAsia="宋体" w:cs="宋体"/>
          <w:b/>
          <w:color w:val="auto"/>
          <w:sz w:val="28"/>
          <w:highlight w:val="none"/>
        </w:rPr>
      </w:pPr>
    </w:p>
    <w:p>
      <w:pPr>
        <w:pStyle w:val="2"/>
        <w:rPr>
          <w:rFonts w:ascii="宋体" w:hAnsi="宋体" w:cs="宋体"/>
          <w:b/>
          <w:color w:val="auto"/>
          <w:sz w:val="28"/>
          <w:highlight w:val="none"/>
        </w:rPr>
      </w:pPr>
    </w:p>
    <w:p>
      <w:pPr>
        <w:pStyle w:val="4"/>
        <w:rPr>
          <w:rFonts w:ascii="宋体" w:hAnsi="宋体" w:eastAsia="宋体" w:cs="宋体"/>
          <w:b/>
          <w:color w:val="auto"/>
          <w:sz w:val="28"/>
          <w:highlight w:val="none"/>
        </w:rPr>
      </w:pPr>
    </w:p>
    <w:p>
      <w:pPr>
        <w:rPr>
          <w:rFonts w:ascii="宋体" w:hAnsi="宋体" w:eastAsia="宋体" w:cs="宋体"/>
          <w:b/>
          <w:color w:val="auto"/>
          <w:sz w:val="28"/>
          <w:highlight w:val="none"/>
        </w:rPr>
      </w:pPr>
    </w:p>
    <w:p>
      <w:pPr>
        <w:pStyle w:val="2"/>
        <w:rPr>
          <w:color w:val="auto"/>
          <w:highlight w:val="none"/>
        </w:rPr>
      </w:pPr>
    </w:p>
    <w:p>
      <w:pPr>
        <w:spacing w:line="500" w:lineRule="auto"/>
        <w:jc w:val="center"/>
        <w:rPr>
          <w:rFonts w:ascii="方正小标宋简体" w:hAnsi="方正小标宋简体" w:eastAsia="方正小标宋简体" w:cs="方正小标宋简体"/>
          <w:color w:val="auto"/>
          <w:sz w:val="28"/>
          <w:highlight w:val="none"/>
        </w:rPr>
      </w:pPr>
      <w:r>
        <w:rPr>
          <w:rFonts w:ascii="宋体" w:hAnsi="宋体" w:eastAsia="宋体" w:cs="宋体"/>
          <w:color w:val="auto"/>
          <w:sz w:val="28"/>
          <w:highlight w:val="none"/>
        </w:rPr>
        <w:t>周口市政府采购合同（货物类）标准文本</w:t>
      </w:r>
    </w:p>
    <w:p>
      <w:pPr>
        <w:rPr>
          <w:rFonts w:ascii="黑体" w:hAnsi="黑体" w:eastAsia="黑体" w:cs="黑体"/>
          <w:color w:val="auto"/>
          <w:sz w:val="32"/>
          <w:highlight w:val="none"/>
        </w:rPr>
      </w:pPr>
    </w:p>
    <w:p>
      <w:pPr>
        <w:spacing w:line="300" w:lineRule="auto"/>
        <w:rPr>
          <w:rFonts w:ascii="黑体" w:hAnsi="黑体" w:eastAsia="黑体" w:cs="黑体"/>
          <w:color w:val="auto"/>
          <w:sz w:val="30"/>
          <w:highlight w:val="none"/>
        </w:rPr>
      </w:pPr>
    </w:p>
    <w:p>
      <w:pPr>
        <w:spacing w:line="300" w:lineRule="auto"/>
        <w:rPr>
          <w:rFonts w:ascii="黑体" w:hAnsi="黑体" w:eastAsia="黑体" w:cs="黑体"/>
          <w:color w:val="auto"/>
          <w:sz w:val="30"/>
          <w:highlight w:val="none"/>
        </w:rPr>
      </w:pPr>
    </w:p>
    <w:p>
      <w:pPr>
        <w:spacing w:line="300" w:lineRule="auto"/>
        <w:rPr>
          <w:rFonts w:ascii="黑体" w:hAnsi="黑体" w:eastAsia="黑体" w:cs="黑体"/>
          <w:color w:val="auto"/>
          <w:sz w:val="30"/>
          <w:highlight w:val="none"/>
        </w:rPr>
      </w:pPr>
    </w:p>
    <w:p>
      <w:pPr>
        <w:spacing w:line="300" w:lineRule="auto"/>
        <w:rPr>
          <w:rFonts w:ascii="黑体" w:hAnsi="黑体" w:eastAsia="黑体" w:cs="黑体"/>
          <w:color w:val="auto"/>
          <w:sz w:val="30"/>
          <w:highlight w:val="none"/>
        </w:rPr>
      </w:pPr>
    </w:p>
    <w:p>
      <w:pPr>
        <w:spacing w:line="300" w:lineRule="auto"/>
        <w:rPr>
          <w:rFonts w:ascii="黑体" w:hAnsi="黑体" w:eastAsia="黑体" w:cs="黑体"/>
          <w:color w:val="auto"/>
          <w:sz w:val="30"/>
          <w:highlight w:val="none"/>
        </w:rPr>
      </w:pPr>
    </w:p>
    <w:p>
      <w:pPr>
        <w:spacing w:line="300" w:lineRule="auto"/>
        <w:rPr>
          <w:rFonts w:ascii="黑体" w:hAnsi="黑体" w:eastAsia="黑体" w:cs="黑体"/>
          <w:color w:val="auto"/>
          <w:sz w:val="30"/>
          <w:highlight w:val="none"/>
        </w:rPr>
      </w:pPr>
    </w:p>
    <w:p>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政府采购项目名称：</w:t>
      </w:r>
    </w:p>
    <w:p>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政府采购项目编号：</w:t>
      </w:r>
    </w:p>
    <w:p>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采      购    人：</w:t>
      </w:r>
    </w:p>
    <w:p>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供      应    商：</w:t>
      </w:r>
    </w:p>
    <w:p>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合  同  签 订 地：</w:t>
      </w:r>
    </w:p>
    <w:p>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合 同 签订 时 间：</w:t>
      </w:r>
    </w:p>
    <w:p>
      <w:pPr>
        <w:spacing w:line="300" w:lineRule="auto"/>
        <w:rPr>
          <w:rFonts w:ascii="黑体" w:hAnsi="黑体" w:eastAsia="黑体" w:cs="黑体"/>
          <w:color w:val="auto"/>
          <w:sz w:val="30"/>
          <w:highlight w:val="none"/>
        </w:rPr>
      </w:pPr>
    </w:p>
    <w:p>
      <w:pPr>
        <w:spacing w:line="300" w:lineRule="auto"/>
        <w:rPr>
          <w:rFonts w:ascii="黑体" w:hAnsi="黑体" w:eastAsia="黑体" w:cs="黑体"/>
          <w:color w:val="auto"/>
          <w:sz w:val="30"/>
          <w:highlight w:val="none"/>
        </w:rPr>
      </w:pPr>
    </w:p>
    <w:p>
      <w:pPr>
        <w:spacing w:line="300" w:lineRule="auto"/>
        <w:rPr>
          <w:rFonts w:ascii="黑体" w:hAnsi="黑体" w:eastAsia="黑体" w:cs="黑体"/>
          <w:color w:val="auto"/>
          <w:sz w:val="30"/>
          <w:highlight w:val="none"/>
        </w:rPr>
      </w:pPr>
    </w:p>
    <w:p>
      <w:pPr>
        <w:spacing w:line="300" w:lineRule="auto"/>
        <w:jc w:val="center"/>
        <w:rPr>
          <w:rFonts w:ascii="方正小标宋简体" w:hAnsi="方正小标宋简体" w:eastAsia="方正小标宋简体" w:cs="方正小标宋简体"/>
          <w:color w:val="auto"/>
          <w:sz w:val="32"/>
          <w:highlight w:val="none"/>
        </w:rPr>
      </w:pPr>
    </w:p>
    <w:p>
      <w:pPr>
        <w:spacing w:line="460" w:lineRule="auto"/>
        <w:jc w:val="center"/>
        <w:rPr>
          <w:rFonts w:ascii="方正小标宋简体" w:hAnsi="方正小标宋简体" w:eastAsia="方正小标宋简体" w:cs="方正小标宋简体"/>
          <w:color w:val="auto"/>
          <w:sz w:val="32"/>
          <w:highlight w:val="none"/>
        </w:rPr>
      </w:pPr>
      <w:r>
        <w:rPr>
          <w:rFonts w:ascii="宋体" w:hAnsi="宋体" w:eastAsia="宋体" w:cs="宋体"/>
          <w:color w:val="auto"/>
          <w:sz w:val="32"/>
          <w:highlight w:val="none"/>
        </w:rPr>
        <w:t>合同签订指引</w:t>
      </w:r>
    </w:p>
    <w:p>
      <w:pPr>
        <w:spacing w:line="460" w:lineRule="auto"/>
        <w:ind w:firstLine="420"/>
        <w:rPr>
          <w:rFonts w:ascii="Times New Roman" w:hAnsi="Times New Roman" w:eastAsia="Times New Roman" w:cs="Times New Roman"/>
          <w:color w:val="auto"/>
          <w:highlight w:val="none"/>
        </w:rPr>
      </w:pPr>
    </w:p>
    <w:p>
      <w:pPr>
        <w:spacing w:line="4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一、采购人在签订合同时应提供的资料：</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、该政府采购项目的招标采购文件（以网上发布内容为准）；</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、该政府采购项目招标文件的澄清和修改内容（公告内容）；</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、该政府采购项目评审报告；</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4</w:t>
      </w:r>
      <w:r>
        <w:rPr>
          <w:rFonts w:ascii="宋体" w:hAnsi="宋体" w:eastAsia="宋体" w:cs="宋体"/>
          <w:color w:val="auto"/>
          <w:highlight w:val="none"/>
        </w:rPr>
        <w:t>、采购单位法人授权委托书（法人到场并签字的除外）；</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5</w:t>
      </w:r>
      <w:r>
        <w:rPr>
          <w:rFonts w:ascii="宋体" w:hAnsi="宋体" w:eastAsia="宋体" w:cs="宋体"/>
          <w:color w:val="auto"/>
          <w:highlight w:val="none"/>
        </w:rPr>
        <w:t>、采购单位被授权人身份证件（法人到场并签字的除外）；</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6</w:t>
      </w:r>
      <w:r>
        <w:rPr>
          <w:rFonts w:ascii="宋体" w:hAnsi="宋体" w:eastAsia="宋体" w:cs="宋体"/>
          <w:color w:val="auto"/>
          <w:highlight w:val="none"/>
        </w:rPr>
        <w:t>、采购人和中标供应商约定的其它内容（不得超出招标采购文件实质性内容）。</w:t>
      </w:r>
    </w:p>
    <w:p>
      <w:pPr>
        <w:spacing w:line="4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二、供应商在签订合同时应提供的资料：</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、该政府采购项目的投标文件（纸质或</w:t>
      </w:r>
      <w:r>
        <w:rPr>
          <w:rFonts w:ascii="Times New Roman" w:hAnsi="Times New Roman" w:eastAsia="Times New Roman" w:cs="Times New Roman"/>
          <w:color w:val="auto"/>
          <w:highlight w:val="none"/>
        </w:rPr>
        <w:t>DPF</w:t>
      </w:r>
      <w:r>
        <w:rPr>
          <w:rFonts w:ascii="宋体" w:hAnsi="宋体" w:eastAsia="宋体" w:cs="宋体"/>
          <w:color w:val="auto"/>
          <w:highlight w:val="none"/>
        </w:rPr>
        <w:t>格式的电子投标文件）；</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、针对该项目评审时评审委员会提出的质询答复（纸质并签章）；</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、该政府采购项目中标通知书；</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4</w:t>
      </w:r>
      <w:r>
        <w:rPr>
          <w:rFonts w:ascii="宋体" w:hAnsi="宋体" w:eastAsia="宋体" w:cs="宋体"/>
          <w:color w:val="auto"/>
          <w:highlight w:val="none"/>
        </w:rPr>
        <w:t>、供应商法人授权委托书（法人到场并签字的除外）；</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5</w:t>
      </w:r>
      <w:r>
        <w:rPr>
          <w:rFonts w:ascii="宋体" w:hAnsi="宋体" w:eastAsia="宋体" w:cs="宋体"/>
          <w:color w:val="auto"/>
          <w:highlight w:val="none"/>
        </w:rPr>
        <w:t>、供应商被授权人身份证件（法人到场并签字的除外）；</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6</w:t>
      </w:r>
      <w:r>
        <w:rPr>
          <w:rFonts w:ascii="宋体" w:hAnsi="宋体" w:eastAsia="宋体" w:cs="宋体"/>
          <w:color w:val="auto"/>
          <w:highlight w:val="none"/>
        </w:rPr>
        <w:t>、供应商和采购人约定的其它内容（不得超出招标采购文件实质性内容）。</w:t>
      </w:r>
    </w:p>
    <w:p>
      <w:pPr>
        <w:spacing w:line="460" w:lineRule="auto"/>
        <w:ind w:firstLine="420"/>
        <w:rPr>
          <w:rFonts w:ascii="Times New Roman" w:hAnsi="Times New Roman" w:eastAsia="Times New Roman" w:cs="Times New Roman"/>
          <w:color w:val="auto"/>
          <w:sz w:val="30"/>
          <w:highlight w:val="none"/>
        </w:rPr>
      </w:pPr>
      <w:r>
        <w:rPr>
          <w:rFonts w:ascii="宋体" w:hAnsi="宋体" w:eastAsia="宋体" w:cs="宋体"/>
          <w:color w:val="auto"/>
          <w:highlight w:val="none"/>
        </w:rPr>
        <w:t>三、本合同签订后二个工作日内有采购人在“周口市政府采购网”上进行合同公示。</w:t>
      </w:r>
    </w:p>
    <w:p>
      <w:pPr>
        <w:spacing w:line="460" w:lineRule="auto"/>
        <w:ind w:firstLine="640"/>
        <w:jc w:val="center"/>
        <w:rPr>
          <w:rFonts w:ascii="方正小标宋简体" w:hAnsi="方正小标宋简体" w:eastAsia="方正小标宋简体" w:cs="方正小标宋简体"/>
          <w:color w:val="auto"/>
          <w:sz w:val="32"/>
          <w:highlight w:val="none"/>
        </w:rPr>
      </w:pPr>
    </w:p>
    <w:p>
      <w:pPr>
        <w:spacing w:line="460" w:lineRule="auto"/>
        <w:ind w:firstLine="640"/>
        <w:jc w:val="center"/>
        <w:rPr>
          <w:rFonts w:ascii="方正小标宋简体" w:hAnsi="方正小标宋简体" w:eastAsia="方正小标宋简体" w:cs="方正小标宋简体"/>
          <w:color w:val="auto"/>
          <w:sz w:val="32"/>
          <w:highlight w:val="none"/>
        </w:rPr>
      </w:pPr>
      <w:r>
        <w:rPr>
          <w:rFonts w:ascii="宋体" w:hAnsi="宋体" w:eastAsia="宋体" w:cs="宋体"/>
          <w:color w:val="auto"/>
          <w:sz w:val="32"/>
          <w:highlight w:val="none"/>
        </w:rPr>
        <w:t>供应商履约验收指引</w:t>
      </w:r>
    </w:p>
    <w:p>
      <w:pPr>
        <w:numPr>
          <w:ilvl w:val="0"/>
          <w:numId w:val="30"/>
        </w:numPr>
        <w:spacing w:line="4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供应商不得擅自变更合同标的物内容；</w:t>
      </w:r>
    </w:p>
    <w:p>
      <w:pPr>
        <w:spacing w:line="460" w:lineRule="auto"/>
        <w:ind w:firstLine="420"/>
        <w:rPr>
          <w:rFonts w:ascii="宋体" w:hAnsi="宋体" w:eastAsia="宋体" w:cs="宋体"/>
          <w:color w:val="auto"/>
          <w:highlight w:val="none"/>
        </w:rPr>
      </w:pPr>
      <w:r>
        <w:rPr>
          <w:rFonts w:ascii="宋体" w:hAnsi="宋体" w:eastAsia="宋体" w:cs="宋体"/>
          <w:color w:val="auto"/>
          <w:highlight w:val="none"/>
        </w:rPr>
        <w:t>2、不得以次充好、高投低配，确因在合同执行中不可抗力因素造成的，应提供相关依据；</w:t>
      </w:r>
    </w:p>
    <w:p>
      <w:pPr>
        <w:spacing w:line="460" w:lineRule="auto"/>
        <w:ind w:firstLine="420"/>
        <w:rPr>
          <w:rFonts w:ascii="宋体" w:hAnsi="宋体" w:eastAsia="宋体" w:cs="宋体"/>
          <w:color w:val="auto"/>
          <w:highlight w:val="none"/>
        </w:rPr>
      </w:pPr>
      <w:r>
        <w:rPr>
          <w:rFonts w:ascii="宋体" w:hAnsi="宋体" w:eastAsia="宋体" w:cs="宋体"/>
          <w:color w:val="auto"/>
          <w:highlight w:val="none"/>
        </w:rPr>
        <w:t>3、对因客观上采购人采购需求发生变化造成的，应提供采、供双方的纸质备忘录材料；</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4</w:t>
      </w:r>
      <w:r>
        <w:rPr>
          <w:rFonts w:ascii="宋体" w:hAnsi="宋体" w:eastAsia="宋体" w:cs="宋体"/>
          <w:color w:val="auto"/>
          <w:highlight w:val="none"/>
        </w:rPr>
        <w:t>、在满足验收条件</w:t>
      </w:r>
      <w:r>
        <w:rPr>
          <w:rFonts w:ascii="Times New Roman" w:hAnsi="Times New Roman" w:eastAsia="Times New Roman" w:cs="Times New Roman"/>
          <w:color w:val="auto"/>
          <w:highlight w:val="none"/>
        </w:rPr>
        <w:t>5</w:t>
      </w:r>
      <w:r>
        <w:rPr>
          <w:rFonts w:ascii="宋体" w:hAnsi="宋体" w:eastAsia="宋体" w:cs="宋体"/>
          <w:color w:val="auto"/>
          <w:highlight w:val="none"/>
        </w:rPr>
        <w:t>个工作日内通知采购人组织验收；</w:t>
      </w:r>
    </w:p>
    <w:p>
      <w:pPr>
        <w:spacing w:line="460" w:lineRule="auto"/>
        <w:ind w:firstLine="420"/>
        <w:rPr>
          <w:rFonts w:ascii="宋体" w:hAnsi="宋体" w:eastAsia="宋体" w:cs="宋体"/>
          <w:color w:val="auto"/>
          <w:highlight w:val="none"/>
        </w:rPr>
      </w:pPr>
      <w:r>
        <w:rPr>
          <w:rFonts w:ascii="Times New Roman" w:hAnsi="Times New Roman" w:eastAsia="Times New Roman" w:cs="Times New Roman"/>
          <w:color w:val="auto"/>
          <w:highlight w:val="none"/>
        </w:rPr>
        <w:t>5</w:t>
      </w:r>
      <w:r>
        <w:rPr>
          <w:rFonts w:ascii="宋体" w:hAnsi="宋体" w:eastAsia="宋体" w:cs="宋体"/>
          <w:color w:val="auto"/>
          <w:highlight w:val="none"/>
        </w:rPr>
        <w:t>、供应商应提供需验收物品的清单、参数、使用手册、人员培训情况等资料；</w:t>
      </w:r>
    </w:p>
    <w:p>
      <w:pPr>
        <w:spacing w:line="460" w:lineRule="auto"/>
        <w:ind w:firstLine="420"/>
        <w:rPr>
          <w:rFonts w:ascii="宋体" w:hAnsi="宋体" w:eastAsia="宋体" w:cs="宋体"/>
          <w:color w:val="auto"/>
          <w:highlight w:val="none"/>
        </w:rPr>
      </w:pPr>
      <w:r>
        <w:rPr>
          <w:rFonts w:ascii="宋体" w:hAnsi="宋体" w:eastAsia="宋体" w:cs="宋体"/>
          <w:color w:val="auto"/>
          <w:highlight w:val="none"/>
        </w:rPr>
        <w:t>6、采、供双方约定的验收机构及相关人员组成情况。</w:t>
      </w:r>
    </w:p>
    <w:p>
      <w:pPr>
        <w:spacing w:line="4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7、督促采购人在项目验收结束并达到相关要求后一个工作日内，在“周口市政府采购网”上进行“履约验收”公示。</w:t>
      </w:r>
    </w:p>
    <w:p>
      <w:pPr>
        <w:spacing w:line="520" w:lineRule="auto"/>
        <w:jc w:val="center"/>
        <w:rPr>
          <w:rFonts w:ascii="方正小标宋简体" w:hAnsi="方正小标宋简体" w:eastAsia="方正小标宋简体" w:cs="方正小标宋简体"/>
          <w:color w:val="auto"/>
          <w:sz w:val="28"/>
          <w:highlight w:val="none"/>
        </w:rPr>
      </w:pPr>
      <w:r>
        <w:rPr>
          <w:rFonts w:ascii="宋体" w:hAnsi="宋体" w:eastAsia="宋体" w:cs="宋体"/>
          <w:color w:val="auto"/>
          <w:sz w:val="28"/>
          <w:highlight w:val="none"/>
        </w:rPr>
        <w:t>采购合同内容</w:t>
      </w:r>
    </w:p>
    <w:p>
      <w:pPr>
        <w:spacing w:line="520" w:lineRule="auto"/>
        <w:ind w:firstLine="420"/>
        <w:rPr>
          <w:rFonts w:ascii="Times New Roman" w:hAnsi="Times New Roman" w:eastAsia="Times New Roman" w:cs="Times New Roman"/>
          <w:color w:val="auto"/>
          <w:highlight w:val="none"/>
        </w:rPr>
      </w:pPr>
    </w:p>
    <w:p>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采购人（甲方）：</w:t>
      </w:r>
      <w:r>
        <w:rPr>
          <w:rFonts w:ascii="Times New Roman" w:hAnsi="Times New Roman" w:eastAsia="Times New Roman" w:cs="Times New Roman"/>
          <w:color w:val="auto"/>
          <w:highlight w:val="none"/>
        </w:rPr>
        <w:t xml:space="preserve"> </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供应商（乙方）：</w:t>
      </w:r>
    </w:p>
    <w:p>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签订地点：</w:t>
      </w:r>
    </w:p>
    <w:p>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项目名称：</w:t>
      </w:r>
    </w:p>
    <w:p>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项目编号：</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财政委托号：</w:t>
      </w:r>
      <w:r>
        <w:rPr>
          <w:rFonts w:ascii="Times New Roman" w:hAnsi="Times New Roman" w:eastAsia="Times New Roman" w:cs="Times New Roman"/>
          <w:color w:val="auto"/>
          <w:highlight w:val="none"/>
          <w:u w:val="single"/>
        </w:rPr>
        <w:t xml:space="preserve">      </w:t>
      </w:r>
      <w:r>
        <w:rPr>
          <w:rFonts w:ascii="Times New Roman" w:hAnsi="Times New Roman" w:eastAsia="Times New Roman" w:cs="Times New Roman"/>
          <w:color w:val="auto"/>
          <w:highlight w:val="none"/>
        </w:rPr>
        <w:t>(</w:t>
      </w:r>
      <w:r>
        <w:rPr>
          <w:rFonts w:ascii="宋体" w:hAnsi="宋体" w:eastAsia="宋体" w:cs="宋体"/>
          <w:color w:val="auto"/>
          <w:highlight w:val="none"/>
        </w:rPr>
        <w:t>财政资金项目必须填写</w:t>
      </w:r>
      <w:r>
        <w:rPr>
          <w:rFonts w:ascii="Times New Roman" w:hAnsi="Times New Roman" w:eastAsia="Times New Roman" w:cs="Times New Roman"/>
          <w:color w:val="auto"/>
          <w:highlight w:val="none"/>
        </w:rPr>
        <w:t>)</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本项目经批准采用</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采购方式，经本项目评审委员会认真评审，决定将采购合同授予乙方。为进一步明确双方的责任，确保合同的顺利履行，根据《中华人民共和国采购法》、《中华人民共和国</w:t>
      </w:r>
      <w:r>
        <w:rPr>
          <w:rFonts w:hint="eastAsia" w:ascii="宋体" w:hAnsi="宋体" w:eastAsia="宋体" w:cs="宋体"/>
          <w:color w:val="auto"/>
          <w:highlight w:val="none"/>
          <w:lang w:val="en-US" w:eastAsia="zh-CN"/>
        </w:rPr>
        <w:t>民法典</w:t>
      </w:r>
      <w:r>
        <w:rPr>
          <w:rFonts w:ascii="宋体" w:hAnsi="宋体" w:eastAsia="宋体" w:cs="宋体"/>
          <w:color w:val="auto"/>
          <w:highlight w:val="none"/>
        </w:rPr>
        <w:t>》之规定，经甲乙双方充分协商，特订立本合同，以便共同遵守。</w:t>
      </w:r>
    </w:p>
    <w:p>
      <w:pPr>
        <w:spacing w:line="360" w:lineRule="auto"/>
        <w:ind w:firstLine="422"/>
        <w:rPr>
          <w:rFonts w:ascii="Times New Roman" w:hAnsi="Times New Roman" w:eastAsia="Times New Roman" w:cs="Times New Roman"/>
          <w:color w:val="auto"/>
          <w:highlight w:val="none"/>
          <w:u w:val="single"/>
        </w:rPr>
      </w:pPr>
      <w:r>
        <w:rPr>
          <w:rFonts w:ascii="宋体" w:hAnsi="宋体" w:eastAsia="宋体" w:cs="宋体"/>
          <w:b/>
          <w:color w:val="auto"/>
          <w:highlight w:val="none"/>
        </w:rPr>
        <w:t>第一条</w:t>
      </w:r>
      <w:r>
        <w:rPr>
          <w:rFonts w:ascii="宋体" w:hAnsi="宋体" w:eastAsia="宋体" w:cs="宋体"/>
          <w:color w:val="auto"/>
          <w:highlight w:val="none"/>
        </w:rPr>
        <w:t> </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产品的名称、品种、规格、数量和价格：（若产品过多则见附表，如有附表则必须加盖印章）</w:t>
      </w:r>
    </w:p>
    <w:tbl>
      <w:tblPr>
        <w:tblStyle w:val="10"/>
        <w:tblW w:w="0" w:type="auto"/>
        <w:tblInd w:w="108" w:type="dxa"/>
        <w:tblLayout w:type="autofit"/>
        <w:tblCellMar>
          <w:top w:w="0" w:type="dxa"/>
          <w:left w:w="10" w:type="dxa"/>
          <w:bottom w:w="0" w:type="dxa"/>
          <w:right w:w="10" w:type="dxa"/>
        </w:tblCellMar>
      </w:tblPr>
      <w:tblGrid>
        <w:gridCol w:w="1818"/>
        <w:gridCol w:w="1510"/>
        <w:gridCol w:w="894"/>
        <w:gridCol w:w="894"/>
        <w:gridCol w:w="1038"/>
        <w:gridCol w:w="1191"/>
        <w:gridCol w:w="1069"/>
      </w:tblGrid>
      <w:tr>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产品名称</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规格型号</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单位</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数量</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单价</w:t>
            </w: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小计</w:t>
            </w: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备注</w:t>
            </w:r>
          </w:p>
        </w:tc>
      </w:tr>
      <w:tr>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r>
      <w:tr>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r>
      <w:tr>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r>
      <w:tr>
        <w:tblPrEx>
          <w:tblCellMar>
            <w:top w:w="0" w:type="dxa"/>
            <w:left w:w="10" w:type="dxa"/>
            <w:bottom w:w="0" w:type="dxa"/>
            <w:right w:w="10" w:type="dxa"/>
          </w:tblCellMar>
        </w:tblPrEx>
        <w:tc>
          <w:tcPr>
            <w:tcW w:w="8837"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合同总价款（大小写）：</w:t>
            </w:r>
          </w:p>
          <w:p>
            <w:pPr>
              <w:spacing w:line="360" w:lineRule="auto"/>
              <w:ind w:firstLine="420"/>
              <w:rPr>
                <w:color w:val="auto"/>
                <w:highlight w:val="none"/>
              </w:rPr>
            </w:pPr>
            <w:r>
              <w:rPr>
                <w:rFonts w:ascii="宋体" w:hAnsi="宋体" w:eastAsia="宋体" w:cs="宋体"/>
                <w:color w:val="auto"/>
                <w:highlight w:val="none"/>
              </w:rPr>
              <w:t>备注：上述产品报价含产品生产、运输</w:t>
            </w:r>
            <w:r>
              <w:rPr>
                <w:rFonts w:ascii="Times New Roman" w:hAnsi="Times New Roman" w:eastAsia="Times New Roman" w:cs="Times New Roman"/>
                <w:color w:val="auto"/>
                <w:highlight w:val="none"/>
              </w:rPr>
              <w:t>&lt;</w:t>
            </w:r>
            <w:r>
              <w:rPr>
                <w:rFonts w:ascii="宋体" w:hAnsi="宋体" w:eastAsia="宋体" w:cs="宋体"/>
                <w:color w:val="auto"/>
                <w:highlight w:val="none"/>
              </w:rPr>
              <w:t>送达至甲方指定地点并下货</w:t>
            </w:r>
            <w:r>
              <w:rPr>
                <w:rFonts w:ascii="Times New Roman" w:hAnsi="Times New Roman" w:eastAsia="Times New Roman" w:cs="Times New Roman"/>
                <w:color w:val="auto"/>
                <w:highlight w:val="none"/>
              </w:rPr>
              <w:t>&gt;</w:t>
            </w:r>
            <w:r>
              <w:rPr>
                <w:rFonts w:ascii="宋体" w:hAnsi="宋体" w:eastAsia="宋体" w:cs="宋体"/>
                <w:color w:val="auto"/>
                <w:highlight w:val="none"/>
              </w:rPr>
              <w:t>、安装、调试、检验及售后服务、税金、劳保基金、人员培训等费用。</w:t>
            </w:r>
          </w:p>
        </w:tc>
      </w:tr>
    </w:tbl>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第二条</w:t>
      </w:r>
      <w:r>
        <w:rPr>
          <w:rFonts w:ascii="Times New Roman" w:hAnsi="Times New Roman" w:eastAsia="Times New Roman" w:cs="Times New Roman"/>
          <w:b/>
          <w:color w:val="auto"/>
          <w:highlight w:val="none"/>
        </w:rPr>
        <w:t xml:space="preserve">  </w:t>
      </w:r>
      <w:r>
        <w:rPr>
          <w:rFonts w:ascii="宋体" w:hAnsi="宋体" w:eastAsia="宋体" w:cs="宋体"/>
          <w:color w:val="auto"/>
          <w:highlight w:val="none"/>
        </w:rPr>
        <w:t>产品的技术标准（包括质量要求），按下列第（</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）项执行：</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①按国家标准执行；②按部颁标准执行；③若无以上标准，则应不低于同行业质量标准；④有特殊要求的，按甲乙双方在合同中商定的技术条件、样品或补充的技术要求执行；</w:t>
      </w:r>
    </w:p>
    <w:p>
      <w:pPr>
        <w:spacing w:line="360" w:lineRule="auto"/>
        <w:ind w:firstLine="420"/>
        <w:rPr>
          <w:rFonts w:ascii="Times New Roman" w:hAnsi="Times New Roman" w:eastAsia="Times New Roman" w:cs="Times New Roman"/>
          <w:color w:val="auto"/>
          <w:highlight w:val="none"/>
        </w:rPr>
      </w:pPr>
      <w:r>
        <w:rPr>
          <w:rFonts w:hint="eastAsia" w:ascii="宋体" w:hAnsi="宋体" w:eastAsia="宋体" w:cs="宋体"/>
          <w:color w:val="auto"/>
          <w:highlight w:val="none"/>
        </w:rPr>
        <w:t>乙方在</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文件中提供和交付的货物技术标准应与招标采购文件规定的技术标准相一致</w:t>
      </w:r>
      <w:r>
        <w:rPr>
          <w:rFonts w:ascii="宋体" w:hAnsi="宋体" w:eastAsia="宋体" w:cs="宋体"/>
          <w:color w:val="auto"/>
          <w:highlight w:val="none"/>
        </w:rPr>
        <w:t>。若技术标准中无相应规定，所投货物应符合相应的国际标准或原产地国家有关部门最新颁布的相应的正式标准。</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进口产品的质量标准为</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pPr>
        <w:spacing w:after="120" w:line="360" w:lineRule="auto"/>
        <w:ind w:firstLine="482"/>
        <w:rPr>
          <w:rFonts w:ascii="宋体" w:hAnsi="宋体" w:eastAsia="宋体" w:cs="宋体"/>
          <w:color w:val="auto"/>
          <w:sz w:val="24"/>
          <w:highlight w:val="none"/>
        </w:rPr>
      </w:pPr>
      <w:r>
        <w:rPr>
          <w:rFonts w:ascii="宋体" w:hAnsi="宋体" w:eastAsia="宋体" w:cs="宋体"/>
          <w:b/>
          <w:color w:val="auto"/>
          <w:sz w:val="24"/>
          <w:highlight w:val="none"/>
        </w:rPr>
        <w:t>第三条</w:t>
      </w:r>
      <w:r>
        <w:rPr>
          <w:rFonts w:ascii="宋体" w:hAnsi="宋体" w:eastAsia="宋体" w:cs="宋体"/>
          <w:color w:val="auto"/>
          <w:sz w:val="24"/>
          <w:highlight w:val="none"/>
        </w:rPr>
        <w:t>产品的包装标准和包装物的供应与回收</w:t>
      </w:r>
      <w:r>
        <w:rPr>
          <w:rFonts w:ascii="宋体" w:hAnsi="宋体" w:eastAsia="宋体" w:cs="宋体"/>
          <w:color w:val="auto"/>
          <w:sz w:val="24"/>
          <w:highlight w:val="none"/>
          <w:u w:val="single"/>
        </w:rPr>
        <w:t xml:space="preserve">                 </w:t>
      </w:r>
      <w:r>
        <w:rPr>
          <w:rFonts w:ascii="宋体" w:hAnsi="宋体" w:eastAsia="宋体" w:cs="宋体"/>
          <w:color w:val="auto"/>
          <w:sz w:val="24"/>
          <w:highlight w:val="none"/>
        </w:rPr>
        <w:t>。</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（国家或行业主管部门有技术规定的，按技术规定执行；国家与行业主管部门无技术规定的，由甲乙双方商定。）</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【注：合同中约定的包装标准应与乙方在投标文件中承诺的一致，且投标文件应作为合同附件与合同具有同等法律效力。】</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第四条</w:t>
      </w:r>
      <w:r>
        <w:rPr>
          <w:rFonts w:ascii="Times New Roman" w:hAnsi="Times New Roman" w:eastAsia="Times New Roman" w:cs="Times New Roman"/>
          <w:b/>
          <w:color w:val="auto"/>
          <w:highlight w:val="none"/>
        </w:rPr>
        <w:t xml:space="preserve">  </w:t>
      </w:r>
      <w:r>
        <w:rPr>
          <w:rFonts w:ascii="宋体" w:hAnsi="宋体" w:eastAsia="宋体" w:cs="宋体"/>
          <w:color w:val="auto"/>
          <w:highlight w:val="none"/>
        </w:rPr>
        <w:t>产品的交货方法、到货地点和交货期限</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交货方法，按下列第（</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）项执行：</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①乙方送货上门；②乙方代运；③甲方自提自运。</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到货地点：</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甲方指定的任何地点，安装并调试</w:t>
      </w:r>
      <w:r>
        <w:rPr>
          <w:rFonts w:ascii="Times New Roman" w:hAnsi="Times New Roman" w:eastAsia="Times New Roman" w:cs="Times New Roman"/>
          <w:color w:val="auto"/>
          <w:highlight w:val="none"/>
        </w:rPr>
        <w:t>.)</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产品的交货期限</w:t>
      </w:r>
      <w:r>
        <w:rPr>
          <w:rFonts w:ascii="宋体" w:hAnsi="宋体" w:eastAsia="宋体" w:cs="宋体"/>
          <w:color w:val="auto"/>
          <w:highlight w:val="none"/>
          <w:u w:val="single"/>
        </w:rPr>
        <w:t>                         </w:t>
      </w:r>
      <w:r>
        <w:rPr>
          <w:rFonts w:ascii="宋体" w:hAnsi="宋体" w:eastAsia="宋体" w:cs="宋体"/>
          <w:color w:val="auto"/>
          <w:highlight w:val="none"/>
        </w:rPr>
        <w:t>。</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第五条</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合同总价款</w:t>
      </w:r>
    </w:p>
    <w:p>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合同总价款（大小写）：</w:t>
      </w:r>
      <w:r>
        <w:rPr>
          <w:rFonts w:ascii="Times New Roman" w:hAnsi="Times New Roman" w:eastAsia="Times New Roman" w:cs="Times New Roman"/>
          <w:color w:val="auto"/>
          <w:highlight w:val="none"/>
          <w:u w:val="single"/>
        </w:rPr>
        <w:t xml:space="preserve">                        </w:t>
      </w:r>
    </w:p>
    <w:p>
      <w:pPr>
        <w:numPr>
          <w:ilvl w:val="0"/>
          <w:numId w:val="31"/>
        </w:numPr>
        <w:tabs>
          <w:tab w:val="left" w:pos="1125"/>
        </w:tabs>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付款条件</w:t>
      </w:r>
      <w:r>
        <w:rPr>
          <w:rFonts w:ascii="Times New Roman" w:hAnsi="Times New Roman" w:eastAsia="Times New Roman" w:cs="Times New Roman"/>
          <w:color w:val="auto"/>
          <w:highlight w:val="none"/>
        </w:rPr>
        <w:t xml:space="preserve">                  </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本合同以人民币付款。</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该项目是否实行预付款：</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实行预付款的条件和比例：</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合同款项结算方式和支付比例：</w:t>
      </w:r>
      <w:r>
        <w:rPr>
          <w:rFonts w:ascii="Times New Roman" w:hAnsi="Times New Roman" w:eastAsia="Times New Roman" w:cs="Times New Roman"/>
          <w:color w:val="auto"/>
          <w:highlight w:val="none"/>
        </w:rPr>
        <w:t xml:space="preserve">   </w:t>
      </w:r>
    </w:p>
    <w:p>
      <w:pPr>
        <w:spacing w:line="360" w:lineRule="auto"/>
        <w:ind w:firstLine="420"/>
        <w:rPr>
          <w:rFonts w:ascii="Times New Roman" w:hAnsi="Times New Roman" w:eastAsia="Times New Roman" w:cs="Times New Roman"/>
          <w:b/>
          <w:color w:val="auto"/>
          <w:highlight w:val="none"/>
        </w:rPr>
      </w:pPr>
      <w:r>
        <w:rPr>
          <w:rFonts w:ascii="Times New Roman" w:hAnsi="Times New Roman" w:eastAsia="Times New Roman" w:cs="Times New Roman"/>
          <w:color w:val="auto"/>
          <w:highlight w:val="none"/>
        </w:rPr>
        <w:t>(</w:t>
      </w:r>
      <w:r>
        <w:rPr>
          <w:rFonts w:ascii="宋体" w:hAnsi="宋体" w:eastAsia="宋体" w:cs="宋体"/>
          <w:color w:val="auto"/>
          <w:highlight w:val="none"/>
        </w:rPr>
        <w:t>具体付款方式</w:t>
      </w:r>
      <w:r>
        <w:rPr>
          <w:rFonts w:ascii="宋体" w:hAnsi="宋体" w:eastAsia="宋体" w:cs="宋体"/>
          <w:color w:val="auto"/>
          <w:highlight w:val="none"/>
          <w:u w:val="single"/>
        </w:rPr>
        <w:t>按投标人须知前附表以及采、购双方的具体约定</w:t>
      </w:r>
    </w:p>
    <w:p>
      <w:pPr>
        <w:numPr>
          <w:ilvl w:val="0"/>
          <w:numId w:val="32"/>
        </w:numPr>
        <w:tabs>
          <w:tab w:val="left" w:pos="1125"/>
        </w:tabs>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验收方法</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乙方安装调试后，在</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天内通知甲方组织验收，采购代理机构保留受托参与本项目验收的权利。验收不合格的，乙方应负责重新提供达到本合同约定的质量要求的产品。</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甲、乙双方应严格履行合同有关条款，如果验收过程中发现乙方在没有征得采购人同意的情况下擅自变更合同标的物，将拒绝通过验收，由此引起的一切后果及损失由乙方承担。</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4</w:t>
      </w:r>
      <w:r>
        <w:rPr>
          <w:rFonts w:ascii="宋体" w:hAnsi="宋体" w:eastAsia="宋体" w:cs="宋体"/>
          <w:color w:val="auto"/>
          <w:highlight w:val="none"/>
        </w:rPr>
        <w:t>、甲方视情况可以邀请参加本项目的其他投标人或者第三方机构参与验收，参与验收的投标人或者第三方机构的意见作为验收书的参考资料一并存档。</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涉及安全、消防、环保等其他需要由质检或行业主管部门进行验收的项目，必须邀请相关部门或相关专家参与验收。</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检测、验收费用承担方式：</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第八条 </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对产品提出异议的时间和办法</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甲方在验收中，如果发现产品不符合合同约定的，应一面妥为保管，一面在</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工作日内向乙方书面提出异议，并抄送采购代理机构，具体说明产品不符合规定的内容并附相关验收材料，同时提出不符合规定产品的处理意见。</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甲方因使用、保管、保养不善等造成产品质量下降的，不得提出异议。</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乙方在接到甲方异议后，应在</w:t>
      </w:r>
      <w:r>
        <w:rPr>
          <w:rFonts w:ascii="Times New Roman" w:hAnsi="Times New Roman" w:eastAsia="Times New Roman" w:cs="Times New Roman"/>
          <w:color w:val="auto"/>
          <w:highlight w:val="none"/>
        </w:rPr>
        <w:t xml:space="preserve"> </w:t>
      </w:r>
      <w:r>
        <w:rPr>
          <w:rFonts w:ascii="Times New Roman" w:hAnsi="Times New Roman" w:eastAsia="Times New Roman" w:cs="Times New Roman"/>
          <w:color w:val="auto"/>
          <w:highlight w:val="none"/>
          <w:u w:val="single"/>
        </w:rPr>
        <w:t xml:space="preserve">       </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工作日内负责处理，否则，即视为默认甲方提出的异议和处理意见。</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第九条</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乙方应提供完善周到的技术支持和售后服务，否则甲方视情节轻重从乙方的质量保证金中扣除部分或全部补偿甲方。</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保修</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乙方对其所提供的货物免费保修</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年，保修期从</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开始。乙方应在接到报修通知后</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天内上门维修，负责更换有瑕疵的货物、部件或提供相应的质量保证期内的服务。由此造成的损失，甲方保留索赔的权利。</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如果乙方在收到报修通知后</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天内没有弥补缺陷，甲方可采取必要的补救措施，但费用和风险由乙方承担。</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维修</w:t>
      </w:r>
    </w:p>
    <w:p>
      <w:pPr>
        <w:spacing w:after="120"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保修期届满后，乙方应对其提供的货物负有维修义务，但所涉及的费用由甲方承担。</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第十条</w:t>
      </w:r>
      <w:r>
        <w:rPr>
          <w:rFonts w:ascii="宋体" w:hAnsi="宋体" w:eastAsia="宋体" w:cs="宋体"/>
          <w:color w:val="auto"/>
          <w:highlight w:val="none"/>
        </w:rPr>
        <w:t> </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乙方的违约责任</w:t>
      </w:r>
    </w:p>
    <w:p>
      <w:pPr>
        <w:numPr>
          <w:ilvl w:val="0"/>
          <w:numId w:val="0"/>
        </w:num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乙方不能交货的，应向甲方偿付不能交货部分货款的5%(通用产品的幅度为</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%-5%，专用产品的幅度为10%-30%)的违约金，在响应文件中作出声明。</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乙方所交产品不符合合同规定的，如果甲方同意利用，应当按质论价；如果甲方不能利用的，应根据产品的具体情况，由乙方负责包换或包修，并承担修理、调换或退货而支付的实际费用</w:t>
      </w:r>
      <w:r>
        <w:rPr>
          <w:rFonts w:ascii="Times New Roman" w:hAnsi="Times New Roman" w:eastAsia="Times New Roman" w:cs="Times New Roman"/>
          <w:color w:val="auto"/>
          <w:highlight w:val="none"/>
        </w:rPr>
        <w:t>,</w:t>
      </w:r>
      <w:r>
        <w:rPr>
          <w:rFonts w:ascii="宋体" w:hAnsi="宋体" w:eastAsia="宋体" w:cs="宋体"/>
          <w:color w:val="auto"/>
          <w:highlight w:val="none"/>
        </w:rPr>
        <w:t>同时，乙方应按规定，对更换件相应延长质量保证期，并赔偿甲方相应的损失。乙方不能修理或者不能调换的，按不能交货处理。</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4.</w:t>
      </w:r>
      <w:r>
        <w:rPr>
          <w:rFonts w:ascii="宋体" w:hAnsi="宋体" w:eastAsia="宋体" w:cs="宋体"/>
          <w:color w:val="auto"/>
          <w:highlight w:val="none"/>
        </w:rPr>
        <w:t>如果乙方没有按照规定的时间交货、完成货物安装和提供服务，应向甲方支付违约金，违约金从货款中扣除，按每周迟交货物或未提供服务交货价的</w:t>
      </w:r>
      <w:r>
        <w:rPr>
          <w:rFonts w:ascii="Times New Roman" w:hAnsi="Times New Roman" w:eastAsia="Times New Roman" w:cs="Times New Roman"/>
          <w:color w:val="auto"/>
          <w:highlight w:val="none"/>
        </w:rPr>
        <w:t>0.5%</w:t>
      </w:r>
      <w:r>
        <w:rPr>
          <w:rFonts w:ascii="宋体" w:hAnsi="宋体" w:eastAsia="宋体" w:cs="宋体"/>
          <w:color w:val="auto"/>
          <w:highlight w:val="none"/>
        </w:rPr>
        <w:t>计收。但违约金的最高限额为迟交货物或提供服务合同价的</w:t>
      </w:r>
      <w:r>
        <w:rPr>
          <w:rFonts w:ascii="Times New Roman" w:hAnsi="Times New Roman" w:eastAsia="Times New Roman" w:cs="Times New Roman"/>
          <w:color w:val="auto"/>
          <w:highlight w:val="none"/>
        </w:rPr>
        <w:t>5%</w:t>
      </w:r>
      <w:r>
        <w:rPr>
          <w:rFonts w:ascii="宋体" w:hAnsi="宋体" w:eastAsia="宋体" w:cs="宋体"/>
          <w:color w:val="auto"/>
          <w:highlight w:val="none"/>
        </w:rPr>
        <w:t>。一周按</w:t>
      </w:r>
      <w:r>
        <w:rPr>
          <w:rFonts w:ascii="Times New Roman" w:hAnsi="Times New Roman" w:eastAsia="Times New Roman" w:cs="Times New Roman"/>
          <w:color w:val="auto"/>
          <w:highlight w:val="none"/>
        </w:rPr>
        <w:t>7</w:t>
      </w:r>
      <w:r>
        <w:rPr>
          <w:rFonts w:ascii="宋体" w:hAnsi="宋体" w:eastAsia="宋体" w:cs="宋体"/>
          <w:color w:val="auto"/>
          <w:highlight w:val="none"/>
        </w:rPr>
        <w:t>天计算，不足</w:t>
      </w:r>
      <w:r>
        <w:rPr>
          <w:rFonts w:ascii="Times New Roman" w:hAnsi="Times New Roman" w:eastAsia="Times New Roman" w:cs="Times New Roman"/>
          <w:color w:val="auto"/>
          <w:highlight w:val="none"/>
        </w:rPr>
        <w:t>7</w:t>
      </w:r>
      <w:r>
        <w:rPr>
          <w:rFonts w:ascii="宋体" w:hAnsi="宋体" w:eastAsia="宋体" w:cs="宋体"/>
          <w:color w:val="auto"/>
          <w:highlight w:val="none"/>
        </w:rPr>
        <w:t>天按一周计算。如果达到最高限额，甲方应考虑终止合同，由此给甲方造成的损失由乙方承担。</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5.</w:t>
      </w:r>
      <w:r>
        <w:rPr>
          <w:rFonts w:ascii="宋体" w:hAnsi="宋体" w:eastAsia="宋体" w:cs="宋体"/>
          <w:color w:val="auto"/>
          <w:highlight w:val="none"/>
        </w:rPr>
        <w:t>乙方提前交货的产品、多交的产品和不符合合同规定的产品，甲方在代保管期内实际支付的保管、保养等费用以及非因甲方保管不善而发生的损失，应当由乙方承担。</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6.</w:t>
      </w:r>
      <w:r>
        <w:rPr>
          <w:rFonts w:ascii="宋体" w:hAnsi="宋体" w:eastAsia="宋体" w:cs="宋体"/>
          <w:color w:val="auto"/>
          <w:highlight w:val="none"/>
        </w:rPr>
        <w:t>乙方应对其所提供的货物承担所有权担保责任，并应保证甲方在中华人民共和国内使用该货物时不侵犯第三人的知识产权。否则乙方应承担由此引起的一切法律责任及费用。</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7.</w:t>
      </w:r>
      <w:r>
        <w:rPr>
          <w:rFonts w:ascii="宋体" w:hAnsi="宋体" w:eastAsia="宋体" w:cs="宋体"/>
          <w:color w:val="auto"/>
          <w:highlight w:val="none"/>
        </w:rPr>
        <w:t>任何一方未经对方同意而单方面终止合同的，应向对方赔偿相当于本合同总价款</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违约金。</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第十一条</w:t>
      </w:r>
      <w:r>
        <w:rPr>
          <w:rFonts w:ascii="宋体" w:hAnsi="宋体" w:eastAsia="宋体" w:cs="宋体"/>
          <w:color w:val="auto"/>
          <w:highlight w:val="none"/>
        </w:rPr>
        <w:t> </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甲方的违约责任</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甲方中途退货，应向乙方偿付退货部分货款</w:t>
      </w: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Times New Roman" w:hAnsi="Times New Roman" w:eastAsia="Times New Roman" w:cs="Times New Roman"/>
          <w:color w:val="auto"/>
          <w:highlight w:val="none"/>
        </w:rPr>
        <w:t>%</w:t>
      </w:r>
      <w:r>
        <w:rPr>
          <w:rFonts w:ascii="宋体" w:hAnsi="宋体" w:eastAsia="宋体" w:cs="宋体"/>
          <w:color w:val="auto"/>
          <w:highlight w:val="none"/>
        </w:rPr>
        <w:t>（通用产品的幅度为</w:t>
      </w:r>
      <w:r>
        <w:rPr>
          <w:rFonts w:ascii="Times New Roman" w:hAnsi="Times New Roman" w:eastAsia="Times New Roman" w:cs="Times New Roman"/>
          <w:color w:val="auto"/>
          <w:highlight w:val="none"/>
        </w:rPr>
        <w:t>1%~5%</w:t>
      </w:r>
      <w:r>
        <w:rPr>
          <w:rFonts w:ascii="宋体" w:hAnsi="宋体" w:eastAsia="宋体" w:cs="宋体"/>
          <w:color w:val="auto"/>
          <w:highlight w:val="none"/>
        </w:rPr>
        <w:t>专用产品的幅度为</w:t>
      </w:r>
      <w:r>
        <w:rPr>
          <w:rFonts w:ascii="Times New Roman" w:hAnsi="Times New Roman" w:eastAsia="Times New Roman" w:cs="Times New Roman"/>
          <w:color w:val="auto"/>
          <w:highlight w:val="none"/>
        </w:rPr>
        <w:t>15%-30%</w:t>
      </w:r>
      <w:r>
        <w:rPr>
          <w:rFonts w:ascii="宋体" w:hAnsi="宋体" w:eastAsia="宋体" w:cs="宋体"/>
          <w:color w:val="auto"/>
          <w:highlight w:val="none"/>
        </w:rPr>
        <w:t>）的违约金。</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甲方违反合同规定拒绝接货的，应当承担由此造成的损失。</w:t>
      </w:r>
    </w:p>
    <w:p>
      <w:pPr>
        <w:spacing w:line="360" w:lineRule="auto"/>
        <w:ind w:firstLine="420"/>
        <w:rPr>
          <w:rFonts w:ascii="Times New Roman" w:hAnsi="Times New Roman" w:eastAsia="Times New Roman" w:cs="Times New Roman"/>
          <w:color w:val="auto"/>
          <w:highlight w:val="none"/>
          <w:u w:val="single"/>
        </w:rPr>
      </w:pPr>
      <w:r>
        <w:rPr>
          <w:rFonts w:ascii="Times New Roman" w:hAnsi="Times New Roman" w:eastAsia="Times New Roman" w:cs="Times New Roman"/>
          <w:color w:val="auto"/>
          <w:highlight w:val="none"/>
        </w:rPr>
        <w:t xml:space="preserve">3. </w:t>
      </w:r>
      <w:r>
        <w:rPr>
          <w:rFonts w:ascii="宋体" w:hAnsi="宋体" w:eastAsia="宋体" w:cs="宋体"/>
          <w:color w:val="auto"/>
          <w:highlight w:val="none"/>
        </w:rPr>
        <w:t>甲方未按照合同约定支付货款，应向乙方违约金</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元。</w:t>
      </w:r>
    </w:p>
    <w:p>
      <w:pPr>
        <w:spacing w:line="360" w:lineRule="auto"/>
        <w:ind w:firstLine="422"/>
        <w:rPr>
          <w:rFonts w:ascii="Times New Roman" w:hAnsi="Times New Roman" w:eastAsia="Times New Roman" w:cs="Times New Roman"/>
          <w:b/>
          <w:color w:val="auto"/>
          <w:highlight w:val="none"/>
        </w:rPr>
      </w:pPr>
      <w:r>
        <w:rPr>
          <w:rFonts w:ascii="宋体" w:hAnsi="宋体" w:eastAsia="宋体" w:cs="宋体"/>
          <w:b/>
          <w:color w:val="auto"/>
          <w:highlight w:val="none"/>
        </w:rPr>
        <w:t>第十二条 </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不可抗力</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pPr>
        <w:spacing w:line="360" w:lineRule="auto"/>
        <w:ind w:firstLine="422"/>
        <w:rPr>
          <w:rFonts w:ascii="Times New Roman" w:hAnsi="Times New Roman" w:eastAsia="Times New Roman" w:cs="Times New Roman"/>
          <w:b/>
          <w:color w:val="auto"/>
          <w:highlight w:val="none"/>
        </w:rPr>
      </w:pPr>
      <w:r>
        <w:rPr>
          <w:rFonts w:ascii="宋体" w:hAnsi="宋体" w:eastAsia="宋体" w:cs="宋体"/>
          <w:b/>
          <w:color w:val="auto"/>
          <w:highlight w:val="none"/>
        </w:rPr>
        <w:t>第十三条</w:t>
      </w:r>
      <w:r>
        <w:rPr>
          <w:rFonts w:ascii="Times New Roman" w:hAnsi="Times New Roman" w:eastAsia="Times New Roman" w:cs="Times New Roman"/>
          <w:b/>
          <w:color w:val="auto"/>
          <w:highlight w:val="none"/>
        </w:rPr>
        <w:t xml:space="preserve">  </w:t>
      </w:r>
      <w:r>
        <w:rPr>
          <w:rFonts w:ascii="宋体" w:hAnsi="宋体" w:eastAsia="宋体" w:cs="宋体"/>
          <w:color w:val="auto"/>
          <w:highlight w:val="none"/>
        </w:rPr>
        <w:t>履约（或质量）保证金</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本项目不收取履约保证金。确需收取履约保证金的，甲方不得要求乙方以现款的形式提供。乙方提供的履约保证金按规定格式以银行保函形式提供，与此有关的费用由卖方承担。</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若确需质量保证金的，质量保证金不得超过合同总价款的</w:t>
      </w:r>
      <w:r>
        <w:rPr>
          <w:rFonts w:ascii="Times New Roman" w:hAnsi="Times New Roman" w:eastAsia="Times New Roman" w:cs="Times New Roman"/>
          <w:color w:val="auto"/>
          <w:highlight w:val="none"/>
        </w:rPr>
        <w:t>5%</w:t>
      </w:r>
      <w:r>
        <w:rPr>
          <w:rFonts w:ascii="宋体" w:hAnsi="宋体" w:eastAsia="宋体" w:cs="宋体"/>
          <w:color w:val="auto"/>
          <w:highlight w:val="none"/>
        </w:rPr>
        <w:t>。</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如乙方未能履行其合同规定的任何义务，甲方有权从履约保证金中取得补偿。</w:t>
      </w:r>
    </w:p>
    <w:p>
      <w:pPr>
        <w:spacing w:line="360" w:lineRule="auto"/>
        <w:ind w:firstLine="422"/>
        <w:rPr>
          <w:rFonts w:ascii="Times New Roman" w:hAnsi="Times New Roman" w:eastAsia="Times New Roman" w:cs="Times New Roman"/>
          <w:b/>
          <w:color w:val="auto"/>
          <w:highlight w:val="none"/>
        </w:rPr>
      </w:pPr>
      <w:r>
        <w:rPr>
          <w:rFonts w:ascii="宋体" w:hAnsi="宋体" w:eastAsia="宋体" w:cs="宋体"/>
          <w:b/>
          <w:color w:val="auto"/>
          <w:highlight w:val="none"/>
        </w:rPr>
        <w:t>第十四条</w:t>
      </w:r>
      <w:r>
        <w:rPr>
          <w:rFonts w:ascii="Times New Roman" w:hAnsi="Times New Roman" w:eastAsia="Times New Roman" w:cs="Times New Roman"/>
          <w:b/>
          <w:color w:val="auto"/>
          <w:highlight w:val="none"/>
        </w:rPr>
        <w:t xml:space="preserve"> </w:t>
      </w:r>
      <w:r>
        <w:rPr>
          <w:rFonts w:ascii="宋体" w:hAnsi="宋体" w:eastAsia="宋体" w:cs="宋体"/>
          <w:color w:val="auto"/>
          <w:highlight w:val="none"/>
        </w:rPr>
        <w:t>转让与分包</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除甲方事先书面同意外，乙方不得部分转让或全部转让其应履行的合同义务。</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乙方应在投标文件中或以其他书面形式对甲方确认本合同项下所授予的所有分包合同。但该确认不解除乙方承担的本合同下的任何责任或义务。意即在本合同项下，乙方对甲方负总责。</w:t>
      </w:r>
    </w:p>
    <w:p>
      <w:pPr>
        <w:spacing w:line="360" w:lineRule="auto"/>
        <w:ind w:firstLine="422"/>
        <w:rPr>
          <w:rFonts w:ascii="Times New Roman" w:hAnsi="Times New Roman" w:eastAsia="Times New Roman" w:cs="Times New Roman"/>
          <w:b/>
          <w:color w:val="auto"/>
          <w:highlight w:val="none"/>
        </w:rPr>
      </w:pPr>
      <w:r>
        <w:rPr>
          <w:rFonts w:ascii="宋体" w:hAnsi="宋体" w:eastAsia="宋体" w:cs="宋体"/>
          <w:b/>
          <w:color w:val="auto"/>
          <w:highlight w:val="none"/>
        </w:rPr>
        <w:t>第十五条</w:t>
      </w:r>
      <w:r>
        <w:rPr>
          <w:rFonts w:ascii="Times New Roman" w:hAnsi="Times New Roman" w:eastAsia="Times New Roman" w:cs="Times New Roman"/>
          <w:b/>
          <w:color w:val="auto"/>
          <w:highlight w:val="none"/>
        </w:rPr>
        <w:t xml:space="preserve"> </w:t>
      </w:r>
      <w:r>
        <w:rPr>
          <w:rFonts w:ascii="宋体" w:hAnsi="宋体" w:eastAsia="宋体" w:cs="宋体"/>
          <w:color w:val="auto"/>
          <w:highlight w:val="none"/>
        </w:rPr>
        <w:t>合同文件及资料的使用</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乙方在未经甲方同意的情况下，不得将合同、合同中的规定、有关计划、图纸、样本或甲方为上述内容向乙方提供的资料透露给任何人。</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除非执行合同需要，在事先未得到甲方同意的情况下，乙方不得使用前款所列的任何文件和资料。</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第十六条 </w:t>
      </w:r>
      <w:r>
        <w:rPr>
          <w:rFonts w:ascii="宋体" w:hAnsi="宋体" w:eastAsia="宋体" w:cs="宋体"/>
          <w:color w:val="auto"/>
          <w:highlight w:val="none"/>
        </w:rPr>
        <w:t>合同纠纷调处</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按本合同规定应该偿付的违约金、赔偿金、保管保养费和各种经济损失，应当在明确责任后</w:t>
      </w:r>
      <w:r>
        <w:rPr>
          <w:rFonts w:ascii="Times New Roman" w:hAnsi="Times New Roman" w:eastAsia="Times New Roman" w:cs="Times New Roman"/>
          <w:color w:val="auto"/>
          <w:highlight w:val="none"/>
        </w:rPr>
        <w:t>10</w:t>
      </w:r>
      <w:r>
        <w:rPr>
          <w:rFonts w:ascii="宋体" w:hAnsi="宋体" w:eastAsia="宋体" w:cs="宋体"/>
          <w:color w:val="auto"/>
          <w:highlight w:val="none"/>
        </w:rPr>
        <w:t>天内，按银行规定的结算办法付清，否则按逾期付款处理。但任何一方不得自行扣发货物或扣付货款来充抵。</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本合同如发生纠纷，当事人双方应当及时协商解决，协商不成时，任何一方均可请本项目政府采购监督管理部门调解，调解不成，按以下第（</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）项方式处理：①根据《中华人民共和国仲裁法》的规定向</w:t>
      </w:r>
      <w:r>
        <w:rPr>
          <w:rFonts w:ascii="宋体" w:hAnsi="宋体" w:eastAsia="宋体" w:cs="宋体"/>
          <w:b/>
          <w:color w:val="auto"/>
          <w:highlight w:val="none"/>
          <w:u w:val="single"/>
        </w:rPr>
        <w:t>周口仲裁委员会</w:t>
      </w:r>
      <w:r>
        <w:rPr>
          <w:rFonts w:ascii="宋体" w:hAnsi="宋体" w:eastAsia="宋体" w:cs="宋体"/>
          <w:color w:val="auto"/>
          <w:highlight w:val="none"/>
        </w:rPr>
        <w:t>申请仲裁。②向合同签订地有级别管辖权的人民法院起诉。</w:t>
      </w:r>
    </w:p>
    <w:p>
      <w:pPr>
        <w:spacing w:line="30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、甲、乙双方均有权利向本项目具有监管职能的政府采购监督管理部门举报反映对方在合同履约中的违法违纪行为。</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第十七条</w:t>
      </w:r>
      <w:r>
        <w:rPr>
          <w:rFonts w:ascii="Times New Roman" w:hAnsi="Times New Roman" w:eastAsia="Times New Roman" w:cs="Times New Roman"/>
          <w:b/>
          <w:color w:val="auto"/>
          <w:highlight w:val="none"/>
        </w:rPr>
        <w:t xml:space="preserve">  </w:t>
      </w:r>
      <w:r>
        <w:rPr>
          <w:rFonts w:ascii="宋体" w:hAnsi="宋体" w:eastAsia="宋体" w:cs="宋体"/>
          <w:color w:val="auto"/>
          <w:highlight w:val="none"/>
        </w:rPr>
        <w:t>下列关于周口市公共资源交易中心政府采购代理机构名称</w:t>
      </w:r>
      <w:r>
        <w:rPr>
          <w:rFonts w:ascii="宋体" w:hAnsi="宋体" w:eastAsia="宋体" w:cs="宋体"/>
          <w:color w:val="auto"/>
          <w:highlight w:val="none"/>
          <w:u w:val="single"/>
        </w:rPr>
        <w:t>某项目（项目编号：某编号）</w:t>
      </w:r>
      <w:r>
        <w:rPr>
          <w:rFonts w:ascii="宋体" w:hAnsi="宋体" w:eastAsia="宋体" w:cs="宋体"/>
          <w:color w:val="auto"/>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本合同一式</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份，甲乙双方各执</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份，自双方当事人签字盖章之日起生效。</w:t>
      </w:r>
    </w:p>
    <w:p>
      <w:pPr>
        <w:spacing w:line="360" w:lineRule="auto"/>
        <w:ind w:firstLine="420"/>
        <w:rPr>
          <w:rFonts w:ascii="Times New Roman" w:hAnsi="Times New Roman" w:eastAsia="Times New Roman" w:cs="Times New Roman"/>
          <w:color w:val="auto"/>
          <w:highlight w:val="none"/>
        </w:rPr>
      </w:pPr>
    </w:p>
    <w:p>
      <w:pPr>
        <w:spacing w:line="360" w:lineRule="auto"/>
        <w:ind w:firstLine="420"/>
        <w:rPr>
          <w:rFonts w:ascii="Times New Roman" w:hAnsi="Times New Roman" w:eastAsia="Times New Roman" w:cs="Times New Roman"/>
          <w:color w:val="auto"/>
          <w:highlight w:val="none"/>
        </w:rPr>
      </w:pP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采购人（甲方）：</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（公章）</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供货人（乙方）：</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（公章）</w:t>
      </w:r>
      <w:r>
        <w:rPr>
          <w:rFonts w:ascii="Times New Roman" w:hAnsi="Times New Roman" w:eastAsia="Times New Roman" w:cs="Times New Roman"/>
          <w:color w:val="auto"/>
          <w:highlight w:val="none"/>
        </w:rPr>
        <w:t xml:space="preserve">  </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地址：</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地址：</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法定代表人：</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法定代表人：</w:t>
      </w:r>
    </w:p>
    <w:p>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委托代理人：</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委托代理人：</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电话：</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电话：</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开户银行：</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开户银行：</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账号：</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账号：</w:t>
      </w:r>
    </w:p>
    <w:p>
      <w:pPr>
        <w:spacing w:line="640" w:lineRule="auto"/>
        <w:ind w:firstLine="1575"/>
        <w:rPr>
          <w:rFonts w:ascii="Times New Roman" w:hAnsi="Times New Roman" w:eastAsia="Times New Roman" w:cs="Times New Roman"/>
          <w:color w:val="auto"/>
          <w:highlight w:val="none"/>
          <w:u w:val="single"/>
        </w:rPr>
      </w:pPr>
    </w:p>
    <w:p>
      <w:pPr>
        <w:spacing w:line="500" w:lineRule="auto"/>
        <w:rPr>
          <w:rFonts w:ascii="Times New Roman" w:hAnsi="Times New Roman" w:eastAsia="Times New Roman" w:cs="Times New Roman"/>
          <w:color w:val="auto"/>
          <w:highlight w:val="none"/>
        </w:rPr>
      </w:pP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日</w:t>
      </w:r>
      <w:r>
        <w:rPr>
          <w:rFonts w:ascii="Times New Roman" w:hAnsi="Times New Roman" w:eastAsia="Times New Roman" w:cs="Times New Roman"/>
          <w:color w:val="auto"/>
          <w:highlight w:val="none"/>
        </w:rPr>
        <w:t xml:space="preserve">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日</w:t>
      </w:r>
    </w:p>
    <w:p>
      <w:pPr>
        <w:ind w:firstLine="321"/>
        <w:jc w:val="center"/>
        <w:rPr>
          <w:rFonts w:ascii="Times New Roman" w:hAnsi="Times New Roman" w:eastAsia="Times New Roman" w:cs="Times New Roman"/>
          <w:b/>
          <w:color w:val="auto"/>
          <w:sz w:val="32"/>
          <w:highlight w:val="none"/>
        </w:rPr>
      </w:pPr>
    </w:p>
    <w:p>
      <w:pPr>
        <w:ind w:firstLine="420"/>
        <w:jc w:val="left"/>
        <w:rPr>
          <w:rFonts w:ascii="Times New Roman" w:hAnsi="Times New Roman" w:eastAsia="Times New Roman" w:cs="Times New Roman"/>
          <w:color w:val="auto"/>
          <w:sz w:val="22"/>
          <w:highlight w:val="none"/>
        </w:rPr>
      </w:pP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C0FF5B-4709-431E-8E48-CA61600C56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embedRegular r:id="rId2" w:fontKey="{B53211B2-32EA-448C-AF2E-B30A2BB7A339}"/>
  </w:font>
  <w:font w:name="仿宋_GB2312">
    <w:altName w:val="仿宋"/>
    <w:panose1 w:val="00000000000000000000"/>
    <w:charset w:val="00"/>
    <w:family w:val="auto"/>
    <w:pitch w:val="default"/>
    <w:sig w:usb0="00000000" w:usb1="00000000" w:usb2="00000000" w:usb3="00000000" w:csb0="00000000" w:csb1="00000000"/>
    <w:embedRegular r:id="rId3" w:fontKey="{BF4FAE29-60BB-4466-BC79-3FDA1583CB1E}"/>
  </w:font>
  <w:font w:name="微软简标宋">
    <w:altName w:val="黑体"/>
    <w:panose1 w:val="00000000000000000000"/>
    <w:charset w:val="00"/>
    <w:family w:val="auto"/>
    <w:pitch w:val="default"/>
    <w:sig w:usb0="00000000" w:usb1="00000000" w:usb2="00000000" w:usb3="00000000" w:csb0="00000000" w:csb1="00000000"/>
    <w:embedRegular r:id="rId4" w:fontKey="{C42C2FC2-BEB4-45C1-BF07-E44BAAA44D8A}"/>
  </w:font>
  <w:font w:name="方正小标宋简体">
    <w:altName w:val="方正舒体"/>
    <w:panose1 w:val="03000509000000000000"/>
    <w:charset w:val="86"/>
    <w:family w:val="script"/>
    <w:pitch w:val="default"/>
    <w:sig w:usb0="00000000" w:usb1="00000000" w:usb2="00000010" w:usb3="00000000" w:csb0="00040000" w:csb1="00000000"/>
    <w:embedRegular r:id="rId5" w:fontKey="{8B4C5CF1-995F-4192-B9DA-6A891259349A}"/>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lvl>
  </w:abstractNum>
  <w:abstractNum w:abstractNumId="1">
    <w:nsid w:val="9288B902"/>
    <w:multiLevelType w:val="singleLevel"/>
    <w:tmpl w:val="9288B902"/>
    <w:lvl w:ilvl="0" w:tentative="0">
      <w:start w:val="1"/>
      <w:numFmt w:val="bullet"/>
      <w:lvlText w:val="•"/>
      <w:lvlJc w:val="left"/>
    </w:lvl>
  </w:abstractNum>
  <w:abstractNum w:abstractNumId="2">
    <w:nsid w:val="9C8AC8EF"/>
    <w:multiLevelType w:val="singleLevel"/>
    <w:tmpl w:val="9C8AC8EF"/>
    <w:lvl w:ilvl="0" w:tentative="0">
      <w:start w:val="1"/>
      <w:numFmt w:val="bullet"/>
      <w:lvlText w:val="•"/>
      <w:lvlJc w:val="left"/>
    </w:lvl>
  </w:abstractNum>
  <w:abstractNum w:abstractNumId="3">
    <w:nsid w:val="B0F1ACD9"/>
    <w:multiLevelType w:val="singleLevel"/>
    <w:tmpl w:val="B0F1ACD9"/>
    <w:lvl w:ilvl="0" w:tentative="0">
      <w:start w:val="1"/>
      <w:numFmt w:val="bullet"/>
      <w:lvlText w:val="•"/>
      <w:lvlJc w:val="left"/>
    </w:lvl>
  </w:abstractNum>
  <w:abstractNum w:abstractNumId="4">
    <w:nsid w:val="B5E306ED"/>
    <w:multiLevelType w:val="singleLevel"/>
    <w:tmpl w:val="B5E306ED"/>
    <w:lvl w:ilvl="0" w:tentative="0">
      <w:start w:val="1"/>
      <w:numFmt w:val="bullet"/>
      <w:lvlText w:val="•"/>
      <w:lvlJc w:val="left"/>
    </w:lvl>
  </w:abstractNum>
  <w:abstractNum w:abstractNumId="5">
    <w:nsid w:val="BF205925"/>
    <w:multiLevelType w:val="singleLevel"/>
    <w:tmpl w:val="BF205925"/>
    <w:lvl w:ilvl="0" w:tentative="0">
      <w:start w:val="1"/>
      <w:numFmt w:val="bullet"/>
      <w:lvlText w:val="•"/>
      <w:lvlJc w:val="left"/>
    </w:lvl>
  </w:abstractNum>
  <w:abstractNum w:abstractNumId="6">
    <w:nsid w:val="C8879AEF"/>
    <w:multiLevelType w:val="singleLevel"/>
    <w:tmpl w:val="C8879AEF"/>
    <w:lvl w:ilvl="0" w:tentative="0">
      <w:start w:val="1"/>
      <w:numFmt w:val="bullet"/>
      <w:lvlText w:val="•"/>
      <w:lvlJc w:val="left"/>
    </w:lvl>
  </w:abstractNum>
  <w:abstractNum w:abstractNumId="7">
    <w:nsid w:val="CF092B84"/>
    <w:multiLevelType w:val="singleLevel"/>
    <w:tmpl w:val="CF092B84"/>
    <w:lvl w:ilvl="0" w:tentative="0">
      <w:start w:val="1"/>
      <w:numFmt w:val="bullet"/>
      <w:lvlText w:val="•"/>
      <w:lvlJc w:val="left"/>
    </w:lvl>
  </w:abstractNum>
  <w:abstractNum w:abstractNumId="8">
    <w:nsid w:val="D7F9FE59"/>
    <w:multiLevelType w:val="singleLevel"/>
    <w:tmpl w:val="D7F9FE59"/>
    <w:lvl w:ilvl="0" w:tentative="0">
      <w:start w:val="1"/>
      <w:numFmt w:val="bullet"/>
      <w:lvlText w:val="•"/>
      <w:lvlJc w:val="left"/>
    </w:lvl>
  </w:abstractNum>
  <w:abstractNum w:abstractNumId="9">
    <w:nsid w:val="DCBA6B53"/>
    <w:multiLevelType w:val="singleLevel"/>
    <w:tmpl w:val="DCBA6B53"/>
    <w:lvl w:ilvl="0" w:tentative="0">
      <w:start w:val="1"/>
      <w:numFmt w:val="bullet"/>
      <w:lvlText w:val="•"/>
      <w:lvlJc w:val="left"/>
    </w:lvl>
  </w:abstractNum>
  <w:abstractNum w:abstractNumId="10">
    <w:nsid w:val="F4B5D9F5"/>
    <w:multiLevelType w:val="singleLevel"/>
    <w:tmpl w:val="F4B5D9F5"/>
    <w:lvl w:ilvl="0" w:tentative="0">
      <w:start w:val="1"/>
      <w:numFmt w:val="bullet"/>
      <w:lvlText w:val="•"/>
      <w:lvlJc w:val="left"/>
    </w:lvl>
  </w:abstractNum>
  <w:abstractNum w:abstractNumId="11">
    <w:nsid w:val="0053208E"/>
    <w:multiLevelType w:val="singleLevel"/>
    <w:tmpl w:val="0053208E"/>
    <w:lvl w:ilvl="0" w:tentative="0">
      <w:start w:val="1"/>
      <w:numFmt w:val="bullet"/>
      <w:lvlText w:val="•"/>
      <w:lvlJc w:val="left"/>
    </w:lvl>
  </w:abstractNum>
  <w:abstractNum w:abstractNumId="12">
    <w:nsid w:val="0248C179"/>
    <w:multiLevelType w:val="singleLevel"/>
    <w:tmpl w:val="0248C179"/>
    <w:lvl w:ilvl="0" w:tentative="0">
      <w:start w:val="1"/>
      <w:numFmt w:val="bullet"/>
      <w:lvlText w:val="•"/>
      <w:lvlJc w:val="left"/>
    </w:lvl>
  </w:abstractNum>
  <w:abstractNum w:abstractNumId="13">
    <w:nsid w:val="03D62ECE"/>
    <w:multiLevelType w:val="singleLevel"/>
    <w:tmpl w:val="03D62ECE"/>
    <w:lvl w:ilvl="0" w:tentative="0">
      <w:start w:val="1"/>
      <w:numFmt w:val="bullet"/>
      <w:lvlText w:val="•"/>
      <w:lvlJc w:val="left"/>
    </w:lvl>
  </w:abstractNum>
  <w:abstractNum w:abstractNumId="14">
    <w:nsid w:val="09831105"/>
    <w:multiLevelType w:val="multilevel"/>
    <w:tmpl w:val="09831105"/>
    <w:lvl w:ilvl="0" w:tentative="0">
      <w:start w:val="1"/>
      <w:numFmt w:val="decimal"/>
      <w:lvlText w:val="%1."/>
      <w:lvlJc w:val="left"/>
      <w:pPr>
        <w:ind w:left="900" w:hanging="480"/>
      </w:p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abstractNum w:abstractNumId="15">
    <w:nsid w:val="0E640482"/>
    <w:multiLevelType w:val="singleLevel"/>
    <w:tmpl w:val="0E640482"/>
    <w:lvl w:ilvl="0" w:tentative="0">
      <w:start w:val="1"/>
      <w:numFmt w:val="bullet"/>
      <w:lvlText w:val="•"/>
      <w:lvlJc w:val="left"/>
    </w:lvl>
  </w:abstractNum>
  <w:abstractNum w:abstractNumId="16">
    <w:nsid w:val="20A502F6"/>
    <w:multiLevelType w:val="multilevel"/>
    <w:tmpl w:val="20A502F6"/>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7">
    <w:nsid w:val="2470EC97"/>
    <w:multiLevelType w:val="singleLevel"/>
    <w:tmpl w:val="2470EC97"/>
    <w:lvl w:ilvl="0" w:tentative="0">
      <w:start w:val="1"/>
      <w:numFmt w:val="bullet"/>
      <w:lvlText w:val="•"/>
      <w:lvlJc w:val="left"/>
    </w:lvl>
  </w:abstractNum>
  <w:abstractNum w:abstractNumId="18">
    <w:nsid w:val="25B654F3"/>
    <w:multiLevelType w:val="singleLevel"/>
    <w:tmpl w:val="25B654F3"/>
    <w:lvl w:ilvl="0" w:tentative="0">
      <w:start w:val="1"/>
      <w:numFmt w:val="bullet"/>
      <w:lvlText w:val="•"/>
      <w:lvlJc w:val="left"/>
    </w:lvl>
  </w:abstractNum>
  <w:abstractNum w:abstractNumId="19">
    <w:nsid w:val="2A8F537B"/>
    <w:multiLevelType w:val="singleLevel"/>
    <w:tmpl w:val="2A8F537B"/>
    <w:lvl w:ilvl="0" w:tentative="0">
      <w:start w:val="1"/>
      <w:numFmt w:val="bullet"/>
      <w:lvlText w:val="•"/>
      <w:lvlJc w:val="left"/>
    </w:lvl>
  </w:abstractNum>
  <w:abstractNum w:abstractNumId="20">
    <w:nsid w:val="39A0D9AC"/>
    <w:multiLevelType w:val="singleLevel"/>
    <w:tmpl w:val="39A0D9AC"/>
    <w:lvl w:ilvl="0" w:tentative="0">
      <w:start w:val="1"/>
      <w:numFmt w:val="bullet"/>
      <w:lvlText w:val="•"/>
      <w:lvlJc w:val="left"/>
    </w:lvl>
  </w:abstractNum>
  <w:abstractNum w:abstractNumId="21">
    <w:nsid w:val="412610AC"/>
    <w:multiLevelType w:val="singleLevel"/>
    <w:tmpl w:val="412610AC"/>
    <w:lvl w:ilvl="0" w:tentative="0">
      <w:start w:val="1"/>
      <w:numFmt w:val="decimal"/>
      <w:suff w:val="space"/>
      <w:lvlText w:val="%1)"/>
      <w:lvlJc w:val="left"/>
    </w:lvl>
  </w:abstractNum>
  <w:abstractNum w:abstractNumId="22">
    <w:nsid w:val="46A08BB8"/>
    <w:multiLevelType w:val="singleLevel"/>
    <w:tmpl w:val="46A08BB8"/>
    <w:lvl w:ilvl="0" w:tentative="0">
      <w:start w:val="1"/>
      <w:numFmt w:val="bullet"/>
      <w:lvlText w:val="•"/>
      <w:lvlJc w:val="left"/>
    </w:lvl>
  </w:abstractNum>
  <w:abstractNum w:abstractNumId="23">
    <w:nsid w:val="4C1BAE26"/>
    <w:multiLevelType w:val="singleLevel"/>
    <w:tmpl w:val="4C1BAE26"/>
    <w:lvl w:ilvl="0" w:tentative="0">
      <w:start w:val="1"/>
      <w:numFmt w:val="bullet"/>
      <w:lvlText w:val="•"/>
      <w:lvlJc w:val="left"/>
    </w:lvl>
  </w:abstractNum>
  <w:abstractNum w:abstractNumId="24">
    <w:nsid w:val="4D4DC07F"/>
    <w:multiLevelType w:val="singleLevel"/>
    <w:tmpl w:val="4D4DC07F"/>
    <w:lvl w:ilvl="0" w:tentative="0">
      <w:start w:val="1"/>
      <w:numFmt w:val="bullet"/>
      <w:lvlText w:val="•"/>
      <w:lvlJc w:val="left"/>
    </w:lvl>
  </w:abstractNum>
  <w:abstractNum w:abstractNumId="25">
    <w:nsid w:val="59ADCABA"/>
    <w:multiLevelType w:val="singleLevel"/>
    <w:tmpl w:val="59ADCABA"/>
    <w:lvl w:ilvl="0" w:tentative="0">
      <w:start w:val="1"/>
      <w:numFmt w:val="bullet"/>
      <w:lvlText w:val="•"/>
      <w:lvlJc w:val="left"/>
    </w:lvl>
  </w:abstractNum>
  <w:abstractNum w:abstractNumId="26">
    <w:nsid w:val="5A241D34"/>
    <w:multiLevelType w:val="singleLevel"/>
    <w:tmpl w:val="5A241D34"/>
    <w:lvl w:ilvl="0" w:tentative="0">
      <w:start w:val="1"/>
      <w:numFmt w:val="bullet"/>
      <w:lvlText w:val="•"/>
      <w:lvlJc w:val="left"/>
    </w:lvl>
  </w:abstractNum>
  <w:abstractNum w:abstractNumId="27">
    <w:nsid w:val="60086184"/>
    <w:multiLevelType w:val="singleLevel"/>
    <w:tmpl w:val="60086184"/>
    <w:lvl w:ilvl="0" w:tentative="0">
      <w:start w:val="3"/>
      <w:numFmt w:val="chineseCounting"/>
      <w:suff w:val="space"/>
      <w:lvlText w:val="第%1章"/>
      <w:lvlJc w:val="left"/>
      <w:rPr>
        <w:rFonts w:hint="eastAsia"/>
      </w:rPr>
    </w:lvl>
  </w:abstractNum>
  <w:abstractNum w:abstractNumId="28">
    <w:nsid w:val="60382F6E"/>
    <w:multiLevelType w:val="singleLevel"/>
    <w:tmpl w:val="60382F6E"/>
    <w:lvl w:ilvl="0" w:tentative="0">
      <w:start w:val="1"/>
      <w:numFmt w:val="bullet"/>
      <w:lvlText w:val="•"/>
      <w:lvlJc w:val="left"/>
    </w:lvl>
  </w:abstractNum>
  <w:abstractNum w:abstractNumId="29">
    <w:nsid w:val="629F7852"/>
    <w:multiLevelType w:val="singleLevel"/>
    <w:tmpl w:val="629F7852"/>
    <w:lvl w:ilvl="0" w:tentative="0">
      <w:start w:val="1"/>
      <w:numFmt w:val="decimal"/>
      <w:lvlText w:val="%1."/>
      <w:lvlJc w:val="left"/>
    </w:lvl>
  </w:abstractNum>
  <w:abstractNum w:abstractNumId="30">
    <w:nsid w:val="72183CF9"/>
    <w:multiLevelType w:val="singleLevel"/>
    <w:tmpl w:val="72183CF9"/>
    <w:lvl w:ilvl="0" w:tentative="0">
      <w:start w:val="1"/>
      <w:numFmt w:val="bullet"/>
      <w:lvlText w:val="•"/>
      <w:lvlJc w:val="left"/>
    </w:lvl>
  </w:abstractNum>
  <w:abstractNum w:abstractNumId="31">
    <w:nsid w:val="77ECEA79"/>
    <w:multiLevelType w:val="singleLevel"/>
    <w:tmpl w:val="77ECEA79"/>
    <w:lvl w:ilvl="0" w:tentative="0">
      <w:start w:val="1"/>
      <w:numFmt w:val="decimal"/>
      <w:lvlText w:val="%1."/>
      <w:lvlJc w:val="left"/>
    </w:lvl>
  </w:abstractNum>
  <w:num w:numId="1">
    <w:abstractNumId w:val="11"/>
  </w:num>
  <w:num w:numId="2">
    <w:abstractNumId w:val="7"/>
  </w:num>
  <w:num w:numId="3">
    <w:abstractNumId w:val="25"/>
  </w:num>
  <w:num w:numId="4">
    <w:abstractNumId w:val="5"/>
  </w:num>
  <w:num w:numId="5">
    <w:abstractNumId w:val="4"/>
  </w:num>
  <w:num w:numId="6">
    <w:abstractNumId w:val="13"/>
  </w:num>
  <w:num w:numId="7">
    <w:abstractNumId w:val="18"/>
  </w:num>
  <w:num w:numId="8">
    <w:abstractNumId w:val="30"/>
  </w:num>
  <w:num w:numId="9">
    <w:abstractNumId w:val="12"/>
  </w:num>
  <w:num w:numId="10">
    <w:abstractNumId w:val="0"/>
  </w:num>
  <w:num w:numId="11">
    <w:abstractNumId w:val="19"/>
  </w:num>
  <w:num w:numId="12">
    <w:abstractNumId w:val="26"/>
  </w:num>
  <w:num w:numId="13">
    <w:abstractNumId w:val="6"/>
  </w:num>
  <w:num w:numId="14">
    <w:abstractNumId w:val="24"/>
  </w:num>
  <w:num w:numId="15">
    <w:abstractNumId w:val="10"/>
  </w:num>
  <w:num w:numId="16">
    <w:abstractNumId w:val="17"/>
  </w:num>
  <w:num w:numId="17">
    <w:abstractNumId w:val="9"/>
  </w:num>
  <w:num w:numId="18">
    <w:abstractNumId w:val="8"/>
  </w:num>
  <w:num w:numId="19">
    <w:abstractNumId w:val="2"/>
  </w:num>
  <w:num w:numId="20">
    <w:abstractNumId w:val="23"/>
  </w:num>
  <w:num w:numId="21">
    <w:abstractNumId w:val="28"/>
  </w:num>
  <w:num w:numId="22">
    <w:abstractNumId w:val="15"/>
  </w:num>
  <w:num w:numId="23">
    <w:abstractNumId w:val="22"/>
  </w:num>
  <w:num w:numId="24">
    <w:abstractNumId w:val="3"/>
  </w:num>
  <w:num w:numId="25">
    <w:abstractNumId w:val="27"/>
  </w:num>
  <w:num w:numId="26">
    <w:abstractNumId w:val="16"/>
  </w:num>
  <w:num w:numId="27">
    <w:abstractNumId w:val="14"/>
  </w:num>
  <w:num w:numId="28">
    <w:abstractNumId w:val="21"/>
  </w:num>
  <w:num w:numId="29">
    <w:abstractNumId w:val="31"/>
  </w:num>
  <w:num w:numId="30">
    <w:abstractNumId w:val="29"/>
  </w:num>
  <w:num w:numId="31">
    <w:abstractNumId w:val="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3"/>
    </o:shapelayout>
  </w:hdrShapeDefaults>
  <w:compat>
    <w:doNotExpandShiftReturn/>
    <w:doNotWrapTextWithPunct/>
    <w:doNotUseEastAsianBreakRules/>
    <w:useFELayout/>
    <w:doNotUseIndentAsNumberingTabStop/>
    <w:splitPgBreakAndParaMark/>
    <w:compatSetting w:name="compatibilityMode" w:uri="http://schemas.microsoft.com/office/word" w:val="12"/>
  </w:compat>
  <w:docVars>
    <w:docVar w:name="commondata" w:val="eyJoZGlkIjoiN2VjOTQ5NGFmNGFjMTAwMjZiODlhMzA0ZTU0NWNjMTYifQ=="/>
  </w:docVars>
  <w:rsids>
    <w:rsidRoot w:val="00C35B2F"/>
    <w:rsid w:val="00283378"/>
    <w:rsid w:val="00434734"/>
    <w:rsid w:val="00576AC5"/>
    <w:rsid w:val="005D2854"/>
    <w:rsid w:val="00C35B2F"/>
    <w:rsid w:val="011E0236"/>
    <w:rsid w:val="01A22C15"/>
    <w:rsid w:val="03AF33C1"/>
    <w:rsid w:val="03DC51AC"/>
    <w:rsid w:val="04640B52"/>
    <w:rsid w:val="04F75026"/>
    <w:rsid w:val="05A5591B"/>
    <w:rsid w:val="06680F2C"/>
    <w:rsid w:val="06D01FD2"/>
    <w:rsid w:val="0AC769A1"/>
    <w:rsid w:val="0BF71DAF"/>
    <w:rsid w:val="0C4A0F50"/>
    <w:rsid w:val="0D240982"/>
    <w:rsid w:val="0DFE5677"/>
    <w:rsid w:val="0EDE591C"/>
    <w:rsid w:val="0EED0A31"/>
    <w:rsid w:val="0F2F360E"/>
    <w:rsid w:val="0F672DA8"/>
    <w:rsid w:val="0F73799F"/>
    <w:rsid w:val="0FB16404"/>
    <w:rsid w:val="1021564D"/>
    <w:rsid w:val="10611EED"/>
    <w:rsid w:val="10861954"/>
    <w:rsid w:val="10C5422A"/>
    <w:rsid w:val="13914897"/>
    <w:rsid w:val="13B27236"/>
    <w:rsid w:val="1484072D"/>
    <w:rsid w:val="1561271F"/>
    <w:rsid w:val="15910B7E"/>
    <w:rsid w:val="15AA1C40"/>
    <w:rsid w:val="166D339A"/>
    <w:rsid w:val="16F21AF1"/>
    <w:rsid w:val="172B0B5F"/>
    <w:rsid w:val="173E272D"/>
    <w:rsid w:val="17771FF6"/>
    <w:rsid w:val="17914E66"/>
    <w:rsid w:val="18624A54"/>
    <w:rsid w:val="18822A00"/>
    <w:rsid w:val="189B7EFC"/>
    <w:rsid w:val="190A277E"/>
    <w:rsid w:val="19510D51"/>
    <w:rsid w:val="1B1E273A"/>
    <w:rsid w:val="1CE343B6"/>
    <w:rsid w:val="1E37428D"/>
    <w:rsid w:val="1E396257"/>
    <w:rsid w:val="1E8219AC"/>
    <w:rsid w:val="1F35597B"/>
    <w:rsid w:val="201523AC"/>
    <w:rsid w:val="214A2AC2"/>
    <w:rsid w:val="217557F8"/>
    <w:rsid w:val="21EE534A"/>
    <w:rsid w:val="226A69DF"/>
    <w:rsid w:val="247E49C4"/>
    <w:rsid w:val="26BB1EFF"/>
    <w:rsid w:val="27403FDA"/>
    <w:rsid w:val="275A34C6"/>
    <w:rsid w:val="27CB6172"/>
    <w:rsid w:val="27E234BC"/>
    <w:rsid w:val="28575C58"/>
    <w:rsid w:val="28773C04"/>
    <w:rsid w:val="288F719F"/>
    <w:rsid w:val="295108F9"/>
    <w:rsid w:val="295126A7"/>
    <w:rsid w:val="29564161"/>
    <w:rsid w:val="29656152"/>
    <w:rsid w:val="2A225DF1"/>
    <w:rsid w:val="2B116592"/>
    <w:rsid w:val="2BD63337"/>
    <w:rsid w:val="2CBB5CE4"/>
    <w:rsid w:val="2EB55486"/>
    <w:rsid w:val="30F42A4E"/>
    <w:rsid w:val="31836FD5"/>
    <w:rsid w:val="31A041CB"/>
    <w:rsid w:val="33802506"/>
    <w:rsid w:val="33E12879"/>
    <w:rsid w:val="341449FD"/>
    <w:rsid w:val="3436271A"/>
    <w:rsid w:val="347100A1"/>
    <w:rsid w:val="34B63D06"/>
    <w:rsid w:val="36174C78"/>
    <w:rsid w:val="361B6516"/>
    <w:rsid w:val="36571D0B"/>
    <w:rsid w:val="390414E4"/>
    <w:rsid w:val="394B7113"/>
    <w:rsid w:val="39A06075"/>
    <w:rsid w:val="39CE1AF2"/>
    <w:rsid w:val="3A654B5F"/>
    <w:rsid w:val="3AE856DE"/>
    <w:rsid w:val="3B0A71ED"/>
    <w:rsid w:val="3B9F54F4"/>
    <w:rsid w:val="3BBC60A6"/>
    <w:rsid w:val="3CEB7E0C"/>
    <w:rsid w:val="3E1321C9"/>
    <w:rsid w:val="3EDB2CE7"/>
    <w:rsid w:val="3F334F30"/>
    <w:rsid w:val="3F3917BB"/>
    <w:rsid w:val="40093884"/>
    <w:rsid w:val="42823479"/>
    <w:rsid w:val="42927B60"/>
    <w:rsid w:val="42D71A17"/>
    <w:rsid w:val="42DE4B54"/>
    <w:rsid w:val="435B43F6"/>
    <w:rsid w:val="44C30432"/>
    <w:rsid w:val="45440EBA"/>
    <w:rsid w:val="4A233794"/>
    <w:rsid w:val="4A9B157C"/>
    <w:rsid w:val="4AD36F68"/>
    <w:rsid w:val="4CB84667"/>
    <w:rsid w:val="4D07114B"/>
    <w:rsid w:val="4DF0398D"/>
    <w:rsid w:val="4E4D0DDF"/>
    <w:rsid w:val="4EB946C7"/>
    <w:rsid w:val="4F8B6063"/>
    <w:rsid w:val="4FF5172F"/>
    <w:rsid w:val="50923421"/>
    <w:rsid w:val="50E023DF"/>
    <w:rsid w:val="5144296E"/>
    <w:rsid w:val="51B472F3"/>
    <w:rsid w:val="52505342"/>
    <w:rsid w:val="536270DB"/>
    <w:rsid w:val="55733821"/>
    <w:rsid w:val="56186177"/>
    <w:rsid w:val="567A473C"/>
    <w:rsid w:val="58675193"/>
    <w:rsid w:val="5A1629CD"/>
    <w:rsid w:val="5B264E92"/>
    <w:rsid w:val="5BAD6997"/>
    <w:rsid w:val="5CB12E81"/>
    <w:rsid w:val="5D0128BF"/>
    <w:rsid w:val="5D6A375C"/>
    <w:rsid w:val="5D7E0FB5"/>
    <w:rsid w:val="5DD15589"/>
    <w:rsid w:val="5DDE1A54"/>
    <w:rsid w:val="5E79352B"/>
    <w:rsid w:val="5ED76C4F"/>
    <w:rsid w:val="5FFC08B7"/>
    <w:rsid w:val="60251BBC"/>
    <w:rsid w:val="602A2D2E"/>
    <w:rsid w:val="607466A0"/>
    <w:rsid w:val="60964868"/>
    <w:rsid w:val="624B5761"/>
    <w:rsid w:val="63D70E99"/>
    <w:rsid w:val="63E37DC4"/>
    <w:rsid w:val="64542A70"/>
    <w:rsid w:val="6488096B"/>
    <w:rsid w:val="65FF6A0B"/>
    <w:rsid w:val="660D2ED6"/>
    <w:rsid w:val="660E6C4E"/>
    <w:rsid w:val="662E4F23"/>
    <w:rsid w:val="66391F1D"/>
    <w:rsid w:val="667E2026"/>
    <w:rsid w:val="66AD6AFC"/>
    <w:rsid w:val="68146D44"/>
    <w:rsid w:val="691D7CD6"/>
    <w:rsid w:val="697F233D"/>
    <w:rsid w:val="69A55B1C"/>
    <w:rsid w:val="69D40FEA"/>
    <w:rsid w:val="69F4781C"/>
    <w:rsid w:val="6C735A5D"/>
    <w:rsid w:val="6CB15C3E"/>
    <w:rsid w:val="6D9D5488"/>
    <w:rsid w:val="6DD66137"/>
    <w:rsid w:val="6E58315D"/>
    <w:rsid w:val="6F1277AF"/>
    <w:rsid w:val="6F926B42"/>
    <w:rsid w:val="705F07D2"/>
    <w:rsid w:val="72DC25AE"/>
    <w:rsid w:val="73DE4104"/>
    <w:rsid w:val="740F0761"/>
    <w:rsid w:val="747C5A5B"/>
    <w:rsid w:val="74992CD1"/>
    <w:rsid w:val="75204CB3"/>
    <w:rsid w:val="759F78C3"/>
    <w:rsid w:val="768D3BBF"/>
    <w:rsid w:val="76AA29C3"/>
    <w:rsid w:val="76C07AF1"/>
    <w:rsid w:val="77020109"/>
    <w:rsid w:val="77D93560"/>
    <w:rsid w:val="79C913B2"/>
    <w:rsid w:val="7B272834"/>
    <w:rsid w:val="7B2F3497"/>
    <w:rsid w:val="7B7F441F"/>
    <w:rsid w:val="7BF070CA"/>
    <w:rsid w:val="7BFD3595"/>
    <w:rsid w:val="7C185920"/>
    <w:rsid w:val="7C741AA9"/>
    <w:rsid w:val="7D0F532E"/>
    <w:rsid w:val="7E891110"/>
    <w:rsid w:val="7E912C47"/>
    <w:rsid w:val="7F427C3D"/>
    <w:rsid w:val="7F4D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2"/>
    <w:basedOn w:val="1"/>
    <w:next w:val="1"/>
    <w:autoRedefine/>
    <w:qFormat/>
    <w:uiPriority w:val="1"/>
    <w:pPr>
      <w:spacing w:before="54"/>
      <w:ind w:right="394"/>
      <w:jc w:val="center"/>
      <w:outlineLvl w:val="1"/>
    </w:pPr>
    <w:rPr>
      <w:b/>
      <w:bCs/>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caption"/>
    <w:basedOn w:val="1"/>
    <w:next w:val="1"/>
    <w:autoRedefine/>
    <w:qFormat/>
    <w:uiPriority w:val="0"/>
    <w:rPr>
      <w:rFonts w:ascii="Cambria" w:hAnsi="Cambria" w:eastAsia="黑体"/>
      <w:sz w:val="20"/>
    </w:rPr>
  </w:style>
  <w:style w:type="paragraph" w:styleId="5">
    <w:name w:val="Body Text"/>
    <w:basedOn w:val="1"/>
    <w:next w:val="6"/>
    <w:autoRedefine/>
    <w:qFormat/>
    <w:uiPriority w:val="0"/>
    <w:rPr>
      <w:rFonts w:ascii="宋体" w:hAnsi="Arial"/>
      <w:sz w:val="28"/>
    </w:rPr>
  </w:style>
  <w:style w:type="paragraph" w:customStyle="1" w:styleId="6">
    <w:name w:val="toc 34"/>
    <w:next w:val="1"/>
    <w:autoRedefine/>
    <w:qFormat/>
    <w:uiPriority w:val="0"/>
    <w:pPr>
      <w:wordWrap w:val="0"/>
      <w:ind w:left="850"/>
      <w:jc w:val="both"/>
    </w:pPr>
    <w:rPr>
      <w:rFonts w:ascii="Times New Roman" w:hAnsi="Times New Roman" w:eastAsia="Calibri" w:cs="Times New Roman"/>
      <w:sz w:val="21"/>
      <w:lang w:val="en-US" w:eastAsia="zh-CN"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99"/>
    <w:pPr>
      <w:widowControl/>
      <w:spacing w:before="100" w:beforeAutospacing="1" w:after="100" w:afterAutospacing="1"/>
      <w:jc w:val="left"/>
    </w:pPr>
    <w:rPr>
      <w:rFonts w:ascii="宋体" w:hAnsi="宋体"/>
      <w:sz w:val="24"/>
      <w:szCs w:val="24"/>
    </w:rPr>
  </w:style>
  <w:style w:type="character" w:styleId="12">
    <w:name w:val="Strong"/>
    <w:autoRedefine/>
    <w:qFormat/>
    <w:uiPriority w:val="22"/>
    <w:rPr>
      <w:b/>
      <w:bCs/>
    </w:rPr>
  </w:style>
  <w:style w:type="paragraph" w:customStyle="1" w:styleId="13">
    <w:name w:val="BodyText1I"/>
    <w:basedOn w:val="14"/>
    <w:autoRedefine/>
    <w:qFormat/>
    <w:uiPriority w:val="99"/>
    <w:pPr>
      <w:ind w:firstLine="420" w:firstLineChars="100"/>
    </w:pPr>
  </w:style>
  <w:style w:type="paragraph" w:customStyle="1" w:styleId="14">
    <w:name w:val="BodyText"/>
    <w:basedOn w:val="1"/>
    <w:autoRedefine/>
    <w:qFormat/>
    <w:uiPriority w:val="99"/>
    <w:pPr>
      <w:spacing w:after="120"/>
    </w:p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3297</Words>
  <Characters>18795</Characters>
  <Lines>156</Lines>
  <Paragraphs>44</Paragraphs>
  <TotalTime>10</TotalTime>
  <ScaleCrop>false</ScaleCrop>
  <LinksUpToDate>false</LinksUpToDate>
  <CharactersWithSpaces>22048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2021-12-14T13:31:00Z</dcterms:created>
  <dc:creator>Administrator</dc:creator>
  <cp:lastModifiedBy>张光</cp:lastModifiedBy>
  <dcterms:modified xsi:type="dcterms:W3CDTF">2024-04-11T07:07:53Z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C17062F0C12B4DEABC74939960AD8055</vt:lpwstr>
  </property>
</Properties>
</file>