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7" w:line="360" w:lineRule="auto"/>
        <w:jc w:val="center"/>
        <w:rPr>
          <w:rFonts w:hint="eastAsia" w:ascii="仿宋" w:hAnsi="仿宋" w:eastAsia="仿宋" w:cs="仿宋"/>
          <w:b/>
          <w:sz w:val="52"/>
          <w:szCs w:val="52"/>
        </w:rPr>
      </w:pPr>
      <w:bookmarkStart w:id="0" w:name="_Toc28208"/>
      <w:r>
        <w:rPr>
          <w:rFonts w:hint="default" w:ascii="仿宋" w:hAnsi="仿宋" w:eastAsia="仿宋" w:cs="仿宋"/>
          <w:b/>
          <w:sz w:val="52"/>
          <w:szCs w:val="52"/>
          <w:lang w:val="en-US"/>
        </w:rPr>
        <w:t xml:space="preserve"> </w:t>
      </w:r>
      <w:r>
        <w:rPr>
          <w:rFonts w:hint="eastAsia" w:ascii="仿宋" w:hAnsi="仿宋" w:eastAsia="仿宋" w:cs="仿宋"/>
          <w:b/>
          <w:sz w:val="52"/>
          <w:szCs w:val="52"/>
        </w:rPr>
        <w:t>中牟县自然资源和规划局中牟县</w:t>
      </w:r>
      <w:r>
        <w:rPr>
          <w:rFonts w:hint="eastAsia" w:ascii="仿宋" w:hAnsi="仿宋" w:eastAsia="仿宋" w:cs="仿宋"/>
          <w:b/>
          <w:sz w:val="52"/>
          <w:szCs w:val="52"/>
          <w:lang w:eastAsia="zh-CN"/>
        </w:rPr>
        <w:t>省级试点村青谷堆村村庄规划</w:t>
      </w:r>
      <w:r>
        <w:rPr>
          <w:rFonts w:hint="eastAsia" w:ascii="仿宋" w:hAnsi="仿宋" w:eastAsia="仿宋" w:cs="仿宋"/>
          <w:b/>
          <w:sz w:val="52"/>
          <w:szCs w:val="52"/>
        </w:rPr>
        <w:t>项目</w:t>
      </w:r>
    </w:p>
    <w:p>
      <w:pPr>
        <w:spacing w:before="417" w:line="360" w:lineRule="auto"/>
        <w:jc w:val="center"/>
        <w:rPr>
          <w:rFonts w:hint="eastAsia" w:ascii="仿宋" w:hAnsi="仿宋" w:eastAsia="仿宋" w:cs="仿宋"/>
          <w:b/>
          <w:sz w:val="52"/>
          <w:szCs w:val="52"/>
        </w:rPr>
      </w:pPr>
      <w:r>
        <w:rPr>
          <w:rFonts w:hint="eastAsia" w:ascii="仿宋" w:hAnsi="仿宋" w:eastAsia="仿宋" w:cs="仿宋"/>
          <w:b/>
          <w:sz w:val="52"/>
          <w:szCs w:val="52"/>
          <w:lang w:eastAsia="zh-CN"/>
        </w:rPr>
        <w:t>竞争性磋商文件</w:t>
      </w:r>
    </w:p>
    <w:p>
      <w:pPr>
        <w:spacing w:line="360" w:lineRule="auto"/>
        <w:jc w:val="center"/>
        <w:rPr>
          <w:rFonts w:hint="eastAsia" w:ascii="仿宋" w:hAnsi="仿宋" w:eastAsia="仿宋" w:cs="仿宋"/>
          <w:b/>
          <w:sz w:val="30"/>
          <w:szCs w:val="30"/>
        </w:rPr>
      </w:pPr>
    </w:p>
    <w:p>
      <w:pPr>
        <w:spacing w:line="360" w:lineRule="auto"/>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采购编号：</w:t>
      </w:r>
      <w:r>
        <w:rPr>
          <w:rFonts w:hint="eastAsia" w:ascii="宋体" w:hAnsi="宋体" w:eastAsia="宋体" w:cs="宋体"/>
          <w:b/>
          <w:bCs/>
          <w:color w:val="000000" w:themeColor="text1"/>
          <w:sz w:val="24"/>
          <w:szCs w:val="24"/>
          <w:highlight w:val="none"/>
          <w:lang w:eastAsia="zh-CN"/>
          <w14:textFill>
            <w14:solidFill>
              <w14:schemeClr w14:val="tx1"/>
            </w14:solidFill>
          </w14:textFill>
        </w:rPr>
        <w:t>中牟磋商采购-2023-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131</w:t>
      </w:r>
    </w:p>
    <w:p>
      <w:pPr>
        <w:spacing w:line="360" w:lineRule="auto"/>
        <w:jc w:val="center"/>
        <w:rPr>
          <w:rFonts w:ascii="仿宋" w:hAnsi="仿宋" w:eastAsia="仿宋" w:cs="仿宋"/>
          <w:bCs/>
          <w:color w:val="FF0000"/>
          <w:sz w:val="30"/>
          <w:szCs w:val="30"/>
        </w:rPr>
      </w:pPr>
      <w:r>
        <w:rPr>
          <w:rFonts w:hint="default" w:ascii="宋体" w:hAnsi="宋体" w:eastAsia="宋体" w:cs="宋体"/>
          <w:b/>
          <w:bCs/>
          <w:color w:val="FF0000"/>
          <w:highlight w:val="none"/>
          <w:lang w:val="en-US" w:eastAsia="zh-CN"/>
        </w:rPr>
        <w:t xml:space="preserve"> </w:t>
      </w:r>
      <w:r>
        <w:rPr>
          <w:rFonts w:hint="default" w:ascii="仿宋" w:hAnsi="仿宋" w:eastAsia="仿宋" w:cs="仿宋"/>
          <w:b/>
          <w:color w:val="FF0000"/>
          <w:sz w:val="30"/>
          <w:szCs w:val="30"/>
          <w:lang w:val="en-US"/>
        </w:rPr>
        <w:t xml:space="preserve"> </w:t>
      </w:r>
      <w:r>
        <w:rPr>
          <w:rFonts w:hint="eastAsia" w:ascii="仿宋" w:hAnsi="仿宋" w:eastAsia="仿宋" w:cs="仿宋"/>
          <w:b/>
          <w:color w:val="FF0000"/>
          <w:sz w:val="30"/>
          <w:szCs w:val="30"/>
        </w:rPr>
        <w:t xml:space="preserve"> </w:t>
      </w:r>
      <w:r>
        <w:rPr>
          <w:rFonts w:hint="eastAsia" w:ascii="仿宋" w:hAnsi="仿宋" w:eastAsia="仿宋" w:cs="仿宋"/>
          <w:b/>
          <w:sz w:val="30"/>
          <w:szCs w:val="30"/>
        </w:rPr>
        <w:t xml:space="preserve"> </w:t>
      </w:r>
      <w:r>
        <w:rPr>
          <w:rFonts w:hint="eastAsia" w:ascii="仿宋" w:hAnsi="仿宋" w:eastAsia="仿宋" w:cs="仿宋"/>
          <w:color w:val="FF0000"/>
          <w:kern w:val="0"/>
          <w:sz w:val="32"/>
          <w:szCs w:val="32"/>
          <w:shd w:val="clear" w:color="auto" w:fill="FFFFFF"/>
          <w:lang w:bidi="ar"/>
        </w:rPr>
        <w:t xml:space="preserve">  </w:t>
      </w:r>
    </w:p>
    <w:p>
      <w:pPr>
        <w:spacing w:line="360" w:lineRule="auto"/>
        <w:rPr>
          <w:rFonts w:hint="eastAsia" w:ascii="仿宋" w:hAnsi="仿宋" w:eastAsia="仿宋" w:cs="仿宋"/>
          <w:b/>
          <w:szCs w:val="21"/>
        </w:rPr>
      </w:pPr>
    </w:p>
    <w:p>
      <w:pPr>
        <w:pStyle w:val="38"/>
        <w:rPr>
          <w:rFonts w:hint="eastAsia" w:ascii="仿宋" w:hAnsi="仿宋" w:eastAsia="仿宋" w:cs="仿宋"/>
          <w:b/>
          <w:szCs w:val="21"/>
        </w:rPr>
      </w:pPr>
    </w:p>
    <w:p>
      <w:pPr>
        <w:spacing w:line="360" w:lineRule="auto"/>
        <w:rPr>
          <w:rFonts w:ascii="仿宋" w:hAnsi="仿宋" w:eastAsia="仿宋" w:cs="仿宋"/>
          <w:b/>
          <w:sz w:val="11"/>
          <w:szCs w:val="11"/>
        </w:rPr>
      </w:pPr>
      <w:r>
        <w:rPr>
          <w:rFonts w:hint="eastAsia" w:ascii="仿宋" w:hAnsi="仿宋" w:eastAsia="仿宋" w:cs="仿宋"/>
          <w:b/>
          <w:szCs w:val="21"/>
        </w:rPr>
        <w:t xml:space="preserve">               </w:t>
      </w:r>
      <w:r>
        <w:rPr>
          <w:rFonts w:hint="eastAsia" w:ascii="仿宋" w:hAnsi="仿宋" w:eastAsia="仿宋" w:cs="仿宋"/>
          <w:b/>
          <w:szCs w:val="21"/>
        </w:rPr>
        <w:drawing>
          <wp:inline distT="0" distB="0" distL="114300" distR="114300">
            <wp:extent cx="2962275" cy="2257425"/>
            <wp:effectExtent l="0" t="0" r="9525" b="9525"/>
            <wp:docPr id="3" name="图片 1" descr="ee57a8adfd82b83d4b1a4001b19d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e57a8adfd82b83d4b1a4001b19d7ce"/>
                    <pic:cNvPicPr>
                      <a:picLocks noChangeAspect="1"/>
                    </pic:cNvPicPr>
                  </pic:nvPicPr>
                  <pic:blipFill>
                    <a:blip r:embed="rId7"/>
                    <a:stretch>
                      <a:fillRect/>
                    </a:stretch>
                  </pic:blipFill>
                  <pic:spPr>
                    <a:xfrm>
                      <a:off x="0" y="0"/>
                      <a:ext cx="2962275" cy="2257425"/>
                    </a:xfrm>
                    <a:prstGeom prst="rect">
                      <a:avLst/>
                    </a:prstGeom>
                    <a:noFill/>
                    <a:ln>
                      <a:noFill/>
                    </a:ln>
                  </pic:spPr>
                </pic:pic>
              </a:graphicData>
            </a:graphic>
          </wp:inline>
        </w:drawing>
      </w:r>
    </w:p>
    <w:p>
      <w:pPr>
        <w:spacing w:line="360" w:lineRule="auto"/>
        <w:rPr>
          <w:rFonts w:hint="eastAsia" w:ascii="仿宋" w:hAnsi="仿宋" w:eastAsia="仿宋" w:cs="仿宋"/>
          <w:b/>
          <w:szCs w:val="21"/>
        </w:rPr>
      </w:pPr>
    </w:p>
    <w:p>
      <w:pPr>
        <w:pStyle w:val="37"/>
        <w:spacing w:before="156" w:beforeLines="50" w:after="156" w:afterLines="50" w:line="500" w:lineRule="exact"/>
        <w:ind w:firstLine="1490" w:firstLineChars="530"/>
        <w:jc w:val="both"/>
        <w:rPr>
          <w:rFonts w:hint="eastAsia" w:hAnsi="宋体" w:eastAsia="宋体" w:cs="黑体"/>
          <w:b/>
          <w:color w:val="auto"/>
          <w:sz w:val="28"/>
          <w:szCs w:val="28"/>
        </w:rPr>
      </w:pPr>
    </w:p>
    <w:p>
      <w:pPr>
        <w:pStyle w:val="37"/>
        <w:spacing w:before="156" w:beforeLines="50" w:after="156" w:afterLines="50" w:line="500" w:lineRule="exact"/>
        <w:ind w:firstLine="1490" w:firstLineChars="530"/>
        <w:jc w:val="both"/>
        <w:rPr>
          <w:rFonts w:hint="eastAsia" w:hAnsi="宋体" w:eastAsia="宋体" w:cs="黑体"/>
          <w:b/>
          <w:color w:val="auto"/>
          <w:sz w:val="28"/>
          <w:szCs w:val="28"/>
        </w:rPr>
      </w:pPr>
    </w:p>
    <w:p>
      <w:pPr>
        <w:pStyle w:val="37"/>
        <w:spacing w:before="156" w:beforeLines="50" w:after="156" w:afterLines="50" w:line="500" w:lineRule="exact"/>
        <w:ind w:firstLine="1490" w:firstLineChars="530"/>
        <w:jc w:val="both"/>
        <w:rPr>
          <w:rFonts w:hint="eastAsia" w:hAnsi="宋体" w:eastAsia="宋体" w:cs="黑体"/>
          <w:b/>
          <w:color w:val="auto"/>
          <w:sz w:val="28"/>
          <w:szCs w:val="28"/>
        </w:rPr>
      </w:pPr>
      <w:r>
        <w:rPr>
          <w:rFonts w:hint="eastAsia" w:hAnsi="宋体" w:eastAsia="宋体" w:cs="黑体"/>
          <w:b/>
          <w:color w:val="auto"/>
          <w:sz w:val="28"/>
          <w:szCs w:val="28"/>
        </w:rPr>
        <w:t xml:space="preserve">采  </w:t>
      </w:r>
      <w:r>
        <w:rPr>
          <w:rFonts w:hint="eastAsia" w:hAnsi="宋体" w:cs="黑体"/>
          <w:b/>
          <w:color w:val="auto"/>
          <w:sz w:val="28"/>
          <w:szCs w:val="28"/>
        </w:rPr>
        <w:t xml:space="preserve"> </w:t>
      </w:r>
      <w:r>
        <w:rPr>
          <w:rFonts w:hint="eastAsia" w:hAnsi="宋体" w:eastAsia="宋体" w:cs="黑体"/>
          <w:b/>
          <w:color w:val="auto"/>
          <w:sz w:val="28"/>
          <w:szCs w:val="28"/>
        </w:rPr>
        <w:t>购</w:t>
      </w:r>
      <w:r>
        <w:rPr>
          <w:rFonts w:hint="eastAsia" w:hAnsi="宋体" w:cs="黑体"/>
          <w:b/>
          <w:color w:val="auto"/>
          <w:sz w:val="28"/>
          <w:szCs w:val="28"/>
        </w:rPr>
        <w:t xml:space="preserve"> </w:t>
      </w:r>
      <w:r>
        <w:rPr>
          <w:rFonts w:hint="eastAsia" w:hAnsi="宋体" w:eastAsia="宋体" w:cs="黑体"/>
          <w:b/>
          <w:color w:val="auto"/>
          <w:sz w:val="28"/>
          <w:szCs w:val="28"/>
        </w:rPr>
        <w:t xml:space="preserve">  </w:t>
      </w:r>
      <w:r>
        <w:rPr>
          <w:rFonts w:hint="eastAsia" w:hAnsi="宋体" w:cs="黑体"/>
          <w:b/>
          <w:color w:val="auto"/>
          <w:sz w:val="28"/>
          <w:szCs w:val="28"/>
        </w:rPr>
        <w:t>人</w:t>
      </w:r>
      <w:r>
        <w:rPr>
          <w:rFonts w:hint="eastAsia" w:hAnsi="宋体" w:eastAsia="宋体" w:cs="黑体"/>
          <w:b/>
          <w:color w:val="auto"/>
          <w:sz w:val="28"/>
          <w:szCs w:val="28"/>
        </w:rPr>
        <w:t>：中牟县自然资源和规划局</w:t>
      </w:r>
    </w:p>
    <w:p>
      <w:pPr>
        <w:pStyle w:val="37"/>
        <w:spacing w:before="156" w:beforeLines="50" w:after="156" w:afterLines="50" w:line="500" w:lineRule="exact"/>
        <w:ind w:firstLine="1490" w:firstLineChars="530"/>
        <w:jc w:val="both"/>
        <w:rPr>
          <w:rFonts w:hint="eastAsia" w:hAnsi="宋体" w:cs="黑体"/>
          <w:b/>
          <w:color w:val="auto"/>
          <w:sz w:val="28"/>
          <w:szCs w:val="28"/>
        </w:rPr>
      </w:pPr>
      <w:r>
        <w:rPr>
          <w:rFonts w:hint="eastAsia" w:hAnsi="宋体" w:eastAsia="宋体" w:cs="黑体"/>
          <w:b/>
          <w:color w:val="auto"/>
          <w:sz w:val="28"/>
          <w:szCs w:val="28"/>
        </w:rPr>
        <w:t>采购</w:t>
      </w:r>
      <w:r>
        <w:rPr>
          <w:rFonts w:hint="eastAsia" w:hAnsi="宋体" w:cs="黑体"/>
          <w:b/>
          <w:color w:val="auto"/>
          <w:sz w:val="28"/>
          <w:szCs w:val="28"/>
        </w:rPr>
        <w:t>代理</w:t>
      </w:r>
      <w:r>
        <w:rPr>
          <w:rFonts w:hint="eastAsia" w:hAnsi="宋体" w:eastAsia="宋体" w:cs="黑体"/>
          <w:b/>
          <w:color w:val="auto"/>
          <w:sz w:val="28"/>
          <w:szCs w:val="28"/>
        </w:rPr>
        <w:t>机构：恒之宇工程集团有限公司</w:t>
      </w:r>
    </w:p>
    <w:p>
      <w:pPr>
        <w:spacing w:line="500" w:lineRule="exact"/>
        <w:jc w:val="center"/>
        <w:rPr>
          <w:rFonts w:hint="eastAsia" w:ascii="宋体" w:hAnsi="宋体"/>
          <w:b/>
          <w:sz w:val="32"/>
          <w:szCs w:val="32"/>
        </w:rPr>
      </w:pPr>
      <w:r>
        <w:rPr>
          <w:rFonts w:hint="eastAsia" w:hAnsi="宋体" w:cs="黑体"/>
          <w:b/>
          <w:sz w:val="28"/>
          <w:szCs w:val="28"/>
        </w:rPr>
        <w:t>二零二三年</w:t>
      </w:r>
      <w:r>
        <w:rPr>
          <w:rFonts w:hint="eastAsia" w:hAnsi="宋体" w:cs="黑体"/>
          <w:b/>
          <w:sz w:val="28"/>
          <w:szCs w:val="28"/>
          <w:lang w:val="en-US" w:eastAsia="zh-CN"/>
        </w:rPr>
        <w:t>十二</w:t>
      </w:r>
      <w:r>
        <w:rPr>
          <w:rFonts w:hint="eastAsia" w:hAnsi="宋体" w:cs="黑体"/>
          <w:b/>
          <w:sz w:val="28"/>
          <w:szCs w:val="28"/>
        </w:rPr>
        <w:t>月</w:t>
      </w:r>
    </w:p>
    <w:p>
      <w:pPr>
        <w:rPr>
          <w:rFonts w:hint="eastAsia" w:cs="宋体"/>
          <w:b/>
          <w:sz w:val="44"/>
          <w:szCs w:val="22"/>
          <w:highlight w:val="none"/>
          <w:lang w:eastAsia="zh-CN"/>
        </w:rPr>
      </w:pPr>
    </w:p>
    <w:bookmarkEnd w:id="0"/>
    <w:sdt>
      <w:sdtPr>
        <w:rPr>
          <w:rFonts w:ascii="宋体" w:hAnsi="宋体" w:eastAsia="宋体"/>
          <w:sz w:val="48"/>
          <w:szCs w:val="56"/>
          <w:highlight w:val="none"/>
        </w:rPr>
        <w:id w:val="147467778"/>
        <w15:color w:val="DBDBDB"/>
        <w:docPartObj>
          <w:docPartGallery w:val="Table of Contents"/>
          <w:docPartUnique/>
        </w:docPartObj>
      </w:sdtPr>
      <w:sdtEndPr>
        <w:rPr>
          <w:rFonts w:hint="eastAsia" w:ascii="Times New Roman" w:hAnsi="Times New Roman" w:eastAsia="Times New Roman"/>
          <w:sz w:val="24"/>
          <w:szCs w:val="24"/>
          <w:highlight w:val="none"/>
          <w:lang w:eastAsia="zh-CN"/>
        </w:rPr>
      </w:sdtEndPr>
      <w:sdtContent>
        <w:p>
          <w:pPr>
            <w:jc w:val="center"/>
            <w:rPr>
              <w:sz w:val="56"/>
              <w:szCs w:val="56"/>
              <w:highlight w:val="none"/>
              <w:lang w:eastAsia="zh-CN"/>
            </w:rPr>
          </w:pPr>
          <w:r>
            <w:rPr>
              <w:rFonts w:ascii="宋体" w:hAnsi="宋体" w:eastAsia="宋体"/>
              <w:sz w:val="48"/>
              <w:szCs w:val="56"/>
              <w:highlight w:val="none"/>
              <w:lang w:eastAsia="zh-CN"/>
            </w:rPr>
            <w:t>目录</w:t>
          </w:r>
        </w:p>
        <w:p>
          <w:pPr>
            <w:pStyle w:val="15"/>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TOC \o "1-1" \h \u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_Toc2245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lang w:eastAsia="zh-CN"/>
            </w:rPr>
            <w:t>第一章 竞争性磋商公告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_Toc2245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5"/>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_Toc266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第二章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_Toc266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5"/>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_Toc6622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第三章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评标办法（综合评分法）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_Toc6622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5"/>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_Toc29860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第四章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合同文本</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_Toc29860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5"/>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_Toc13821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章</w:t>
          </w:r>
          <w:r>
            <w:rPr>
              <w:rFonts w:hint="eastAsia" w:ascii="宋体" w:hAnsi="宋体" w:eastAsia="宋体" w:cs="宋体"/>
              <w:sz w:val="30"/>
              <w:szCs w:val="30"/>
              <w:highlight w:val="none"/>
              <w:lang w:val="en-US" w:eastAsia="zh-CN"/>
            </w:rPr>
            <w:t xml:space="preserve"> 项目需求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_Toc13821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36</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5"/>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_Toc27032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六</w:t>
          </w:r>
          <w:r>
            <w:rPr>
              <w:rFonts w:hint="eastAsia" w:ascii="宋体" w:hAnsi="宋体" w:eastAsia="宋体" w:cs="宋体"/>
              <w:sz w:val="30"/>
              <w:szCs w:val="30"/>
              <w:highlight w:val="none"/>
            </w:rPr>
            <w:t>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竞争性磋商响应文件格式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_Toc27032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38</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38"/>
            <w:spacing w:line="360" w:lineRule="auto"/>
            <w:jc w:val="center"/>
            <w:rPr>
              <w:highlight w:val="none"/>
              <w:lang w:eastAsia="zh-CN"/>
            </w:rPr>
          </w:pPr>
          <w:r>
            <w:rPr>
              <w:rFonts w:hint="eastAsia" w:ascii="宋体" w:hAnsi="宋体" w:eastAsia="宋体" w:cs="宋体"/>
              <w:sz w:val="30"/>
              <w:szCs w:val="30"/>
              <w:highlight w:val="none"/>
              <w:lang w:eastAsia="zh-CN"/>
            </w:rPr>
            <w:fldChar w:fldCharType="end"/>
          </w:r>
        </w:p>
      </w:sdtContent>
    </w:sdt>
    <w:p>
      <w:pPr>
        <w:jc w:val="center"/>
        <w:rPr>
          <w:highlight w:val="none"/>
          <w:lang w:eastAsia="zh-CN"/>
        </w:rPr>
      </w:pPr>
    </w:p>
    <w:p>
      <w:pPr>
        <w:pStyle w:val="38"/>
        <w:keepNext/>
        <w:keepLines/>
        <w:spacing w:after="300" w:line="240" w:lineRule="auto"/>
        <w:jc w:val="center"/>
        <w:outlineLvl w:val="0"/>
        <w:rPr>
          <w:rFonts w:ascii="宋体" w:hAnsi="宋体" w:eastAsia="宋体" w:cs="宋体"/>
          <w:b/>
          <w:bCs/>
          <w:sz w:val="32"/>
          <w:szCs w:val="32"/>
          <w:highlight w:val="none"/>
          <w:lang w:eastAsia="zh-CN"/>
        </w:rPr>
      </w:pPr>
      <w:r>
        <w:rPr>
          <w:rFonts w:hint="eastAsia"/>
          <w:highlight w:val="none"/>
          <w:lang w:eastAsia="zh-CN"/>
        </w:rPr>
        <w:br w:type="page"/>
      </w:r>
      <w:bookmarkStart w:id="1" w:name="bookmark3"/>
      <w:bookmarkStart w:id="2" w:name="_Toc23873"/>
      <w:bookmarkStart w:id="3" w:name="bookmark6"/>
      <w:bookmarkStart w:id="4" w:name="_Toc14718"/>
      <w:bookmarkStart w:id="5" w:name="_Toc16364"/>
      <w:bookmarkStart w:id="6" w:name="bookmark4"/>
      <w:bookmarkStart w:id="7" w:name="_Toc31"/>
      <w:bookmarkStart w:id="8" w:name="_Toc2245"/>
      <w:r>
        <w:rPr>
          <w:rFonts w:hint="eastAsia" w:ascii="宋体" w:hAnsi="宋体" w:eastAsia="宋体" w:cs="宋体"/>
          <w:b/>
          <w:bCs/>
          <w:sz w:val="32"/>
          <w:szCs w:val="32"/>
          <w:highlight w:val="none"/>
          <w:lang w:eastAsia="zh-CN"/>
        </w:rPr>
        <w:t>第一章 竞争性磋商公告</w:t>
      </w:r>
      <w:bookmarkEnd w:id="1"/>
      <w:bookmarkEnd w:id="2"/>
      <w:bookmarkEnd w:id="3"/>
      <w:bookmarkEnd w:id="4"/>
      <w:bookmarkEnd w:id="5"/>
      <w:bookmarkEnd w:id="6"/>
      <w:bookmarkEnd w:id="7"/>
      <w:bookmarkEnd w:id="8"/>
    </w:p>
    <w:p>
      <w:pPr>
        <w:widowControl/>
        <w:shd w:val="clear" w:color="auto" w:fill="FFFFFF"/>
        <w:spacing w:line="360" w:lineRule="auto"/>
        <w:jc w:val="center"/>
        <w:rPr>
          <w:rFonts w:hint="eastAsia" w:ascii="宋体" w:hAnsi="宋体" w:eastAsia="宋体" w:cs="宋体"/>
          <w:b/>
          <w:color w:val="444444"/>
          <w:kern w:val="0"/>
          <w:sz w:val="28"/>
          <w:szCs w:val="28"/>
          <w:lang w:eastAsia="zh-CN" w:bidi="ar"/>
        </w:rPr>
      </w:pPr>
      <w:bookmarkStart w:id="9" w:name="bookmark74"/>
      <w:bookmarkStart w:id="10" w:name="bookmark73"/>
      <w:bookmarkStart w:id="11" w:name="bookmark76"/>
      <w:r>
        <w:rPr>
          <w:rFonts w:hint="eastAsia" w:ascii="宋体" w:hAnsi="宋体" w:eastAsia="宋体" w:cs="宋体"/>
          <w:b/>
          <w:color w:val="444444"/>
          <w:kern w:val="0"/>
          <w:sz w:val="28"/>
          <w:szCs w:val="28"/>
          <w:lang w:bidi="ar"/>
        </w:rPr>
        <w:t>中牟县自然资源和规划局中牟县</w:t>
      </w:r>
      <w:r>
        <w:rPr>
          <w:rFonts w:hint="eastAsia" w:ascii="宋体" w:hAnsi="宋体" w:eastAsia="宋体" w:cs="宋体"/>
          <w:b/>
          <w:color w:val="444444"/>
          <w:kern w:val="0"/>
          <w:sz w:val="28"/>
          <w:szCs w:val="28"/>
          <w:lang w:eastAsia="zh-CN" w:bidi="ar"/>
        </w:rPr>
        <w:t>省级试点村青谷堆村村庄规划项目</w:t>
      </w:r>
    </w:p>
    <w:p>
      <w:pPr>
        <w:widowControl/>
        <w:shd w:val="clear" w:color="auto" w:fill="FFFFFF"/>
        <w:spacing w:line="360" w:lineRule="auto"/>
        <w:jc w:val="center"/>
        <w:rPr>
          <w:rFonts w:hint="eastAsia" w:ascii="宋体" w:hAnsi="宋体" w:eastAsia="宋体" w:cs="宋体"/>
          <w:b/>
          <w:color w:val="444444"/>
          <w:kern w:val="0"/>
          <w:sz w:val="28"/>
          <w:szCs w:val="28"/>
          <w:lang w:bidi="ar"/>
        </w:rPr>
      </w:pPr>
      <w:r>
        <w:rPr>
          <w:rFonts w:hint="eastAsia" w:ascii="宋体" w:hAnsi="宋体" w:eastAsia="宋体" w:cs="宋体"/>
          <w:b/>
          <w:color w:val="444444"/>
          <w:kern w:val="0"/>
          <w:sz w:val="28"/>
          <w:szCs w:val="28"/>
          <w:lang w:bidi="ar"/>
        </w:rPr>
        <w:t>竞争性磋商公告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项目概况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中牟县自然资源和规划局中牟县省级试点村青谷堆村村庄规划项目的潜在供应商应在“中牟县公共资源交易中心”网站获取磋商文件，并于</w:t>
      </w:r>
      <w:r>
        <w:rPr>
          <w:rFonts w:hint="eastAsia" w:ascii="宋体" w:hAnsi="宋体" w:eastAsia="宋体" w:cs="宋体"/>
          <w:color w:val="auto"/>
          <w:kern w:val="0"/>
          <w:sz w:val="28"/>
          <w:szCs w:val="28"/>
          <w:lang w:val="en-US" w:eastAsia="zh-CN" w:bidi="ar"/>
        </w:rPr>
        <w:t xml:space="preserve"> 2023年12月28日</w:t>
      </w:r>
      <w:r>
        <w:rPr>
          <w:rFonts w:hint="eastAsia" w:ascii="宋体" w:hAnsi="宋体" w:eastAsia="宋体" w:cs="宋体"/>
          <w:color w:val="000000"/>
          <w:kern w:val="0"/>
          <w:sz w:val="28"/>
          <w:szCs w:val="28"/>
          <w:lang w:val="en-US" w:eastAsia="zh-CN" w:bidi="ar"/>
        </w:rPr>
        <w:t>09时00分（北京时间）前递交响应文件。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一、项目基本情况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left"/>
        <w:rPr>
          <w:rFonts w:hint="eastAsia" w:ascii="宋体" w:hAnsi="宋体" w:eastAsia="宋体" w:cs="宋体"/>
          <w:color w:val="FF0000"/>
          <w:sz w:val="28"/>
          <w:szCs w:val="28"/>
          <w:lang w:val="en-US"/>
        </w:rPr>
      </w:pP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采购编号：中牟磋商采购-2023-131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right="-88" w:firstLine="1120" w:firstLineChars="400"/>
        <w:jc w:val="left"/>
        <w:rPr>
          <w:rFonts w:hint="eastAsia" w:ascii="宋体" w:hAnsi="宋体" w:eastAsia="宋体" w:cs="宋体"/>
          <w:sz w:val="28"/>
          <w:szCs w:val="28"/>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进场编号：牟公资采2023- 1214 -220     </w:t>
      </w:r>
      <w:r>
        <w:rPr>
          <w:rFonts w:hint="eastAsia" w:ascii="宋体" w:hAnsi="宋体" w:eastAsia="宋体" w:cs="宋体"/>
          <w:color w:val="333333"/>
          <w:kern w:val="0"/>
          <w:sz w:val="28"/>
          <w:szCs w:val="28"/>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2、项目名称：中牟县自然资源和规划局中牟县省级试点村青谷堆村村庄规划项目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3、采购方式：竞争性磋商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4、预算金额：724800元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1120" w:firstLineChars="4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最高限价：724800元</w:t>
      </w:r>
    </w:p>
    <w:tbl>
      <w:tblPr>
        <w:tblStyle w:val="21"/>
        <w:tblW w:w="929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9"/>
        <w:gridCol w:w="2044"/>
        <w:gridCol w:w="2689"/>
        <w:gridCol w:w="171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6"/>
              <w:jc w:val="center"/>
              <w:rPr>
                <w:rFonts w:hint="eastAsia" w:ascii="宋体" w:hAnsi="宋体" w:eastAsia="宋体" w:cs="宋体"/>
                <w:sz w:val="28"/>
                <w:szCs w:val="28"/>
              </w:rPr>
            </w:pPr>
            <w:r>
              <w:rPr>
                <w:rFonts w:hint="eastAsia" w:ascii="宋体" w:hAnsi="宋体" w:eastAsia="宋体" w:cs="宋体"/>
                <w:color w:val="000000"/>
                <w:sz w:val="28"/>
                <w:szCs w:val="28"/>
              </w:rPr>
              <w:t>序号</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139" w:rightChars="0"/>
              <w:jc w:val="center"/>
              <w:rPr>
                <w:rFonts w:hint="eastAsia" w:ascii="宋体" w:hAnsi="宋体" w:eastAsia="宋体" w:cs="宋体"/>
                <w:sz w:val="28"/>
                <w:szCs w:val="28"/>
              </w:rPr>
            </w:pPr>
            <w:r>
              <w:rPr>
                <w:rFonts w:hint="eastAsia" w:ascii="宋体" w:hAnsi="宋体" w:eastAsia="宋体" w:cs="宋体"/>
                <w:color w:val="000000"/>
                <w:sz w:val="28"/>
                <w:szCs w:val="28"/>
              </w:rPr>
              <w:t>包号</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61" w:rightChars="0"/>
              <w:jc w:val="center"/>
              <w:rPr>
                <w:rFonts w:hint="eastAsia" w:ascii="宋体" w:hAnsi="宋体" w:eastAsia="宋体" w:cs="宋体"/>
                <w:sz w:val="28"/>
                <w:szCs w:val="28"/>
              </w:rPr>
            </w:pPr>
            <w:r>
              <w:rPr>
                <w:rFonts w:hint="eastAsia" w:ascii="宋体" w:hAnsi="宋体" w:eastAsia="宋体" w:cs="宋体"/>
                <w:color w:val="000000"/>
                <w:sz w:val="28"/>
                <w:szCs w:val="28"/>
              </w:rPr>
              <w:t> 包名称</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sz w:val="28"/>
                <w:szCs w:val="28"/>
              </w:rPr>
            </w:pPr>
            <w:r>
              <w:rPr>
                <w:rFonts w:hint="eastAsia" w:ascii="宋体" w:hAnsi="宋体" w:eastAsia="宋体" w:cs="宋体"/>
                <w:color w:val="000000"/>
                <w:sz w:val="28"/>
                <w:szCs w:val="28"/>
              </w:rPr>
              <w:t>包预算（元）</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29"/>
              <w:jc w:val="center"/>
              <w:rPr>
                <w:rFonts w:hint="eastAsia" w:ascii="宋体" w:hAnsi="宋体" w:eastAsia="宋体" w:cs="宋体"/>
                <w:sz w:val="28"/>
                <w:szCs w:val="28"/>
              </w:rPr>
            </w:pPr>
            <w:r>
              <w:rPr>
                <w:rFonts w:hint="eastAsia" w:ascii="宋体" w:hAnsi="宋体" w:eastAsia="宋体" w:cs="宋体"/>
                <w:color w:val="000000"/>
                <w:sz w:val="28"/>
                <w:szCs w:val="28"/>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sz w:val="28"/>
                <w:szCs w:val="28"/>
              </w:rPr>
            </w:pPr>
            <w:r>
              <w:rPr>
                <w:rFonts w:hint="eastAsia" w:ascii="宋体" w:hAnsi="宋体" w:eastAsia="宋体" w:cs="宋体"/>
                <w:color w:val="000000"/>
                <w:sz w:val="28"/>
                <w:szCs w:val="28"/>
              </w:rPr>
              <w:t>1</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97"/>
              <w:jc w:val="center"/>
              <w:rPr>
                <w:rFonts w:hint="default" w:ascii="宋体" w:hAnsi="宋体" w:eastAsia="宋体" w:cs="宋体"/>
                <w:color w:val="FF0000"/>
                <w:sz w:val="28"/>
                <w:szCs w:val="28"/>
                <w:lang w:val="en-US" w:eastAsia="zh-CN"/>
              </w:rPr>
            </w:pPr>
            <w:r>
              <w:rPr>
                <w:rFonts w:hint="eastAsia" w:ascii="宋体" w:hAnsi="宋体" w:eastAsia="宋体" w:cs="宋体"/>
                <w:color w:val="000000" w:themeColor="text1"/>
                <w:sz w:val="28"/>
                <w:szCs w:val="28"/>
                <w14:textFill>
                  <w14:solidFill>
                    <w14:schemeClr w14:val="tx1"/>
                  </w14:solidFill>
                </w14:textFill>
              </w:rPr>
              <w:t>中牟磋商采购-2023-</w:t>
            </w:r>
            <w:r>
              <w:rPr>
                <w:rFonts w:hint="eastAsia" w:ascii="宋体" w:hAnsi="宋体" w:eastAsia="宋体" w:cs="宋体"/>
                <w:color w:val="000000" w:themeColor="text1"/>
                <w:sz w:val="28"/>
                <w:szCs w:val="28"/>
                <w:lang w:val="en-US" w:eastAsia="zh-CN"/>
                <w14:textFill>
                  <w14:solidFill>
                    <w14:schemeClr w14:val="tx1"/>
                  </w14:solidFill>
                </w14:textFill>
              </w:rPr>
              <w:t>131</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rightChars="0"/>
              <w:jc w:val="center"/>
              <w:rPr>
                <w:rFonts w:hint="eastAsia" w:ascii="宋体" w:hAnsi="宋体" w:eastAsia="宋体" w:cs="宋体"/>
                <w:color w:val="FF0000"/>
                <w:sz w:val="28"/>
                <w:szCs w:val="28"/>
              </w:rPr>
            </w:pPr>
            <w:r>
              <w:rPr>
                <w:rFonts w:hint="eastAsia" w:ascii="宋体" w:hAnsi="宋体" w:eastAsia="宋体" w:cs="宋体"/>
                <w:color w:val="000000"/>
                <w:kern w:val="0"/>
                <w:sz w:val="28"/>
                <w:szCs w:val="28"/>
                <w:lang w:val="en-US" w:eastAsia="zh-CN" w:bidi="ar"/>
              </w:rPr>
              <w:t>中牟县自然资源和规划局中牟县省级试点村青谷堆村村庄规划项目</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724800</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97"/>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724800</w:t>
            </w:r>
          </w:p>
        </w:tc>
      </w:tr>
    </w:tbl>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5、采购需求（包括但不限于标的的名称、数量、简要技术需求或服务要求等）： </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sz w:val="28"/>
          <w:szCs w:val="28"/>
        </w:rPr>
        <w:t>5.1、采购内容：</w:t>
      </w:r>
      <w:r>
        <w:rPr>
          <w:rFonts w:hint="eastAsia" w:ascii="宋体" w:hAnsi="宋体" w:eastAsia="宋体" w:cs="宋体"/>
          <w:sz w:val="28"/>
          <w:szCs w:val="28"/>
          <w:lang w:bidi="ar"/>
        </w:rPr>
        <w:t>郑州市中牟县狼城岗镇青谷堆村</w:t>
      </w:r>
      <w:r>
        <w:rPr>
          <w:rFonts w:hint="eastAsia" w:ascii="宋体" w:hAnsi="宋体" w:eastAsia="宋体" w:cs="宋体"/>
          <w:sz w:val="28"/>
          <w:szCs w:val="28"/>
          <w:lang w:val="en-US" w:eastAsia="zh-CN" w:bidi="ar"/>
        </w:rPr>
        <w:t>规划</w:t>
      </w:r>
      <w:r>
        <w:rPr>
          <w:rFonts w:hint="eastAsia" w:ascii="宋体" w:hAnsi="宋体" w:eastAsia="宋体" w:cs="宋体"/>
          <w:color w:val="000000"/>
          <w:sz w:val="28"/>
          <w:szCs w:val="28"/>
          <w:lang w:val="en-US" w:eastAsia="zh-CN"/>
        </w:rPr>
        <w:t>。（详见磋商文件）</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5.2包段划分：本项目共分为</w:t>
      </w: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rPr>
        <w:t>个标段。</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5.</w:t>
      </w:r>
      <w:r>
        <w:rPr>
          <w:rFonts w:hint="eastAsia" w:ascii="宋体" w:hAnsi="宋体" w:eastAsia="宋体" w:cs="宋体"/>
          <w:color w:val="000000" w:themeColor="text1"/>
          <w:sz w:val="28"/>
          <w:szCs w:val="28"/>
          <w14:textFill>
            <w14:solidFill>
              <w14:schemeClr w14:val="tx1"/>
            </w14:solidFill>
          </w14:textFill>
        </w:rPr>
        <w:t>3服务期限：</w:t>
      </w:r>
      <w:r>
        <w:rPr>
          <w:rFonts w:hint="eastAsia" w:ascii="宋体" w:hAnsi="宋体" w:eastAsia="宋体" w:cs="宋体"/>
          <w:color w:val="000000" w:themeColor="text1"/>
          <w:sz w:val="28"/>
          <w:szCs w:val="28"/>
          <w:lang w:eastAsia="zh-CN"/>
          <w14:textFill>
            <w14:solidFill>
              <w14:schemeClr w14:val="tx1"/>
            </w14:solidFill>
          </w14:textFill>
        </w:rPr>
        <w:t>自合同签订后一年</w:t>
      </w:r>
      <w:r>
        <w:rPr>
          <w:rFonts w:hint="eastAsia" w:ascii="宋体" w:hAnsi="宋体" w:eastAsia="宋体" w:cs="宋体"/>
          <w:color w:val="000000" w:themeColor="text1"/>
          <w:sz w:val="28"/>
          <w:szCs w:val="28"/>
          <w14:textFill>
            <w14:solidFill>
              <w14:schemeClr w14:val="tx1"/>
            </w14:solidFill>
          </w14:textFill>
        </w:rPr>
        <w:t>；</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5.4服务质量：执行国家最新的强制标准和国</w:t>
      </w:r>
      <w:r>
        <w:rPr>
          <w:rFonts w:hint="eastAsia" w:ascii="宋体" w:hAnsi="宋体" w:eastAsia="宋体" w:cs="宋体"/>
          <w:color w:val="000000"/>
          <w:sz w:val="28"/>
          <w:szCs w:val="28"/>
        </w:rPr>
        <w:t>家及行业最新的规范；</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6、合同履行期限：</w:t>
      </w:r>
      <w:r>
        <w:rPr>
          <w:rFonts w:hint="eastAsia" w:ascii="宋体" w:hAnsi="宋体" w:eastAsia="宋体" w:cs="宋体"/>
          <w:color w:val="000000"/>
          <w:sz w:val="28"/>
          <w:szCs w:val="28"/>
          <w:lang w:eastAsia="zh-CN"/>
        </w:rPr>
        <w:t>同</w:t>
      </w:r>
      <w:r>
        <w:rPr>
          <w:rFonts w:hint="eastAsia" w:ascii="宋体" w:hAnsi="宋体" w:eastAsia="宋体" w:cs="宋体"/>
          <w:color w:val="000000"/>
          <w:sz w:val="28"/>
          <w:szCs w:val="28"/>
          <w:lang w:val="en-US" w:eastAsia="zh-CN"/>
        </w:rPr>
        <w:t>5.3项</w:t>
      </w:r>
      <w:r>
        <w:rPr>
          <w:rFonts w:hint="eastAsia" w:ascii="宋体" w:hAnsi="宋体" w:eastAsia="宋体" w:cs="宋体"/>
          <w:color w:val="000000" w:themeColor="text1"/>
          <w:sz w:val="28"/>
          <w:szCs w:val="28"/>
          <w14:textFill>
            <w14:solidFill>
              <w14:schemeClr w14:val="tx1"/>
            </w14:solidFill>
          </w14:textFill>
        </w:rPr>
        <w:t>；</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rPr>
        <w:t>7、本项目是否接受联合体投标：</w:t>
      </w:r>
      <w:r>
        <w:rPr>
          <w:rFonts w:hint="eastAsia" w:ascii="宋体" w:hAnsi="宋体" w:eastAsia="宋体" w:cs="宋体"/>
          <w:color w:val="000000"/>
          <w:sz w:val="28"/>
          <w:szCs w:val="28"/>
          <w:lang w:eastAsia="zh-CN"/>
        </w:rPr>
        <w:t>是</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8、是否接受进口产品：否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9、是否专门面向中小企业：否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二、申请人资格要求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1</w:t>
      </w:r>
      <w:r>
        <w:rPr>
          <w:rFonts w:hint="eastAsia" w:ascii="宋体" w:hAnsi="宋体" w:eastAsia="宋体" w:cs="宋体"/>
          <w:color w:val="000000"/>
          <w:kern w:val="0"/>
          <w:sz w:val="28"/>
          <w:szCs w:val="28"/>
          <w:lang w:val="en-US" w:eastAsia="zh-CN" w:bidi="ar"/>
        </w:rPr>
        <w:t>、满足《中华人民共和国政府采购法》第二十二条规定；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落实政府采购政策满足的资格要求：本项目落实政府采购促进中小企业发展（监狱企业、残疾人福利性企业视同小微企业）等相关政府采购政策。本项目对小型和微型企业，报价给予20%的扣除参与评审。（具体政策详见磋商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3、本项目的特定资格要求：</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3.1、具有独立承担民事责任的能力（具有有效的企业营业执照）；</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3.2、资质要求：</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（1）供应商须具备行政主管部门核发的城乡规划编制</w:t>
      </w:r>
      <w:r>
        <w:rPr>
          <w:rFonts w:hint="eastAsia" w:ascii="宋体" w:hAnsi="宋体" w:eastAsia="宋体" w:cs="宋体"/>
          <w:color w:val="000000" w:themeColor="text1"/>
          <w:sz w:val="28"/>
          <w:szCs w:val="28"/>
          <w:lang w:val="en-US" w:eastAsia="zh-CN"/>
          <w14:textFill>
            <w14:solidFill>
              <w14:schemeClr w14:val="tx1"/>
            </w14:solidFill>
          </w14:textFill>
        </w:rPr>
        <w:t>乙级</w:t>
      </w:r>
      <w:r>
        <w:rPr>
          <w:rFonts w:hint="eastAsia" w:ascii="宋体" w:hAnsi="宋体" w:eastAsia="宋体" w:cs="宋体"/>
          <w:color w:val="000000" w:themeColor="text1"/>
          <w:sz w:val="28"/>
          <w:szCs w:val="28"/>
          <w14:textFill>
            <w14:solidFill>
              <w14:schemeClr w14:val="tx1"/>
            </w14:solidFill>
          </w14:textFill>
        </w:rPr>
        <w:t xml:space="preserve">及以上的资质证； </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（2）项目负责人具有国家注册城市（乡）规划师注册证书及</w:t>
      </w:r>
      <w:r>
        <w:rPr>
          <w:rFonts w:hint="eastAsia" w:ascii="宋体" w:hAnsi="宋体" w:eastAsia="宋体" w:cs="宋体"/>
          <w:color w:val="000000" w:themeColor="text1"/>
          <w:sz w:val="28"/>
          <w:szCs w:val="28"/>
          <w:lang w:val="en-US" w:eastAsia="zh-CN"/>
          <w14:textFill>
            <w14:solidFill>
              <w14:schemeClr w14:val="tx1"/>
            </w14:solidFill>
          </w14:textFill>
        </w:rPr>
        <w:t>中级工程师</w:t>
      </w:r>
      <w:r>
        <w:rPr>
          <w:rFonts w:hint="eastAsia" w:ascii="宋体" w:hAnsi="宋体" w:eastAsia="宋体" w:cs="宋体"/>
          <w:color w:val="000000" w:themeColor="text1"/>
          <w:sz w:val="28"/>
          <w:szCs w:val="28"/>
          <w14:textFill>
            <w14:solidFill>
              <w14:schemeClr w14:val="tx1"/>
            </w14:solidFill>
          </w14:textFill>
        </w:rPr>
        <w:t>及以上职称。</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3.3、具有良好的商业信誉和健全的财务会计制度（提供完整的2021年或2022年度经审计的财务审计报告，新成立企业提供银行出具的资信证明）；</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3.4、具有履行合同所必需的设备和专业技术能力，（提供承诺函，格式自拟）；</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6" w:rightChars="-36"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3.5、具有依法缴纳税收和社会保障资金的良好记录（提供2023年1月以来任意 1 个月的社会保障资金及税收缴纳证明材料。新成立企业从成立之日起计算，依法免税或不需要缴纳社会保障资金的供应商，应提供相应文件证明其依法免税或不需要缴纳社会保障资金）；</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3.6、供应商在参加政府采购活动前三年内，在经营活动中没有重大违法记录（供应商出具承诺书，格式自拟）；</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3.7信誉要求：根据财政部《关于在政府采购活动中查询及使用信用记录有关问题的通知》(财库[2016]125号) 和豫财购[2016]15号的规定，对列入失信被执行人、重大税收违法失信主体、政府采购严重违法失信行为记录名单的供应商，视为无效投标。查询渠道：“信用中国”网站（www.creditchina.gov.cn ）或通过信用中国转至中国执行信息公开网、中国政府采购网（www.ccgp.gov.cn ），查询截止时点为：从磋商公告发布之日起至投标截止之日止；</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color w:val="333333"/>
          <w:sz w:val="28"/>
          <w:szCs w:val="28"/>
        </w:rPr>
      </w:pPr>
      <w:r>
        <w:rPr>
          <w:rFonts w:hint="eastAsia" w:ascii="宋体" w:hAnsi="宋体" w:eastAsia="宋体" w:cs="宋体"/>
          <w:color w:val="000000"/>
          <w:sz w:val="28"/>
          <w:szCs w:val="28"/>
        </w:rPr>
        <w:t>3.8、单位负责人为同一人或者存在控股、管理关系的不同单位，不得同时参加本项</w:t>
      </w:r>
      <w:r>
        <w:rPr>
          <w:rFonts w:hint="eastAsia" w:ascii="宋体" w:hAnsi="宋体" w:eastAsia="宋体" w:cs="宋体"/>
          <w:color w:val="333333"/>
          <w:sz w:val="28"/>
          <w:szCs w:val="28"/>
        </w:rPr>
        <w:t>目投标；（提供“国家企业信用信息公示系统”中查询的相关材料并加盖公章，查询信息需包含公司基本信息、股东信息及股权变更信息等相关信息，查询日期为本项目磋商公告发布之后）。</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3.9本次招标接受联合体投标。以联合体形式投标的，应满足下列要求：</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1）联合体须由牵头人及一名成员组成，联合体各方必须按招标文件提供的格式签订联合体协议书，明确联合体牵头人和各方的权利义务；联合体各方必须在本项目合同执行过程中严格遵循联合体协议的规定并承担相应的责任与义务，联合体各方不得对联合体协议及联合体成员组成作任何变更。</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（2）联合体各方不得再以自己名义单独或加入其他联合体在本项目中参加投标。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三、获取竞争性磋商文件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1.时</w:t>
      </w:r>
      <w:r>
        <w:rPr>
          <w:rFonts w:hint="eastAsia" w:ascii="宋体" w:hAnsi="宋体" w:eastAsia="宋体" w:cs="宋体"/>
          <w:color w:val="000000" w:themeColor="text1"/>
          <w:kern w:val="0"/>
          <w:sz w:val="28"/>
          <w:szCs w:val="28"/>
          <w:lang w:val="en-US" w:eastAsia="zh-CN" w:bidi="ar"/>
          <w14:textFill>
            <w14:solidFill>
              <w14:schemeClr w14:val="tx1"/>
            </w14:solidFill>
          </w14:textFill>
        </w:rPr>
        <w:t>间：</w:t>
      </w:r>
      <w:r>
        <w:rPr>
          <w:rFonts w:hint="eastAsia" w:ascii="宋体" w:hAnsi="宋体" w:eastAsia="宋体" w:cs="宋体"/>
          <w:color w:val="auto"/>
          <w:kern w:val="0"/>
          <w:sz w:val="28"/>
          <w:szCs w:val="28"/>
          <w:lang w:val="en-US" w:eastAsia="zh-CN" w:bidi="ar"/>
        </w:rPr>
        <w:t>2023年12月18日至2023年12月22日，每天上午8:0</w:t>
      </w:r>
      <w:r>
        <w:rPr>
          <w:rFonts w:hint="eastAsia" w:ascii="宋体" w:hAnsi="宋体" w:eastAsia="宋体" w:cs="宋体"/>
          <w:color w:val="333333"/>
          <w:kern w:val="0"/>
          <w:sz w:val="28"/>
          <w:szCs w:val="28"/>
          <w:lang w:val="en-US" w:eastAsia="zh-CN" w:bidi="ar"/>
        </w:rPr>
        <w:t>0至12:00，下午12:00至17:30（北京时间，法定节假日除外。）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2.地点：中牟县公共资源交易中心网站网上下载电子磋商文件</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333333"/>
          <w:sz w:val="28"/>
          <w:szCs w:val="28"/>
        </w:rPr>
        <w:t>3.方式：凡有意参加投标者，需进入中牟</w:t>
      </w:r>
      <w:r>
        <w:rPr>
          <w:rFonts w:hint="eastAsia" w:ascii="宋体" w:hAnsi="宋体" w:eastAsia="宋体" w:cs="宋体"/>
          <w:color w:val="000000"/>
          <w:sz w:val="28"/>
          <w:szCs w:val="28"/>
        </w:rPr>
        <w:t>县公共资源交易中心网站（</w:t>
      </w:r>
      <w:r>
        <w:rPr>
          <w:rFonts w:hint="eastAsia" w:ascii="宋体" w:hAnsi="宋体" w:eastAsia="宋体" w:cs="宋体"/>
          <w:sz w:val="28"/>
          <w:szCs w:val="28"/>
          <w:u w:val="none"/>
        </w:rPr>
        <w:fldChar w:fldCharType="begin"/>
      </w:r>
      <w:r>
        <w:rPr>
          <w:rFonts w:hint="eastAsia" w:ascii="宋体" w:hAnsi="宋体" w:eastAsia="宋体" w:cs="宋体"/>
          <w:sz w:val="28"/>
          <w:szCs w:val="28"/>
          <w:u w:val="none"/>
        </w:rPr>
        <w:instrText xml:space="preserve"> HYPERLINK "http://www.zmxggzy.gov.cn/" </w:instrText>
      </w:r>
      <w:r>
        <w:rPr>
          <w:rFonts w:hint="eastAsia" w:ascii="宋体" w:hAnsi="宋体" w:eastAsia="宋体" w:cs="宋体"/>
          <w:sz w:val="28"/>
          <w:szCs w:val="28"/>
          <w:u w:val="none"/>
        </w:rPr>
        <w:fldChar w:fldCharType="separate"/>
      </w:r>
      <w:r>
        <w:rPr>
          <w:rStyle w:val="32"/>
          <w:rFonts w:hint="eastAsia" w:ascii="宋体" w:hAnsi="宋体" w:eastAsia="宋体" w:cs="宋体"/>
          <w:color w:val="000000"/>
          <w:sz w:val="28"/>
          <w:szCs w:val="28"/>
          <w:u w:val="none"/>
        </w:rPr>
        <w:t>http:// www.zmxggzy.com</w:t>
      </w:r>
      <w:r>
        <w:rPr>
          <w:rFonts w:hint="eastAsia" w:ascii="宋体" w:hAnsi="宋体" w:eastAsia="宋体" w:cs="宋体"/>
          <w:sz w:val="28"/>
          <w:szCs w:val="28"/>
          <w:u w:val="none"/>
        </w:rPr>
        <w:fldChar w:fldCharType="end"/>
      </w:r>
      <w:r>
        <w:rPr>
          <w:rFonts w:hint="eastAsia" w:ascii="宋体" w:hAnsi="宋体" w:eastAsia="宋体" w:cs="宋体"/>
          <w:color w:val="000000"/>
          <w:sz w:val="28"/>
          <w:szCs w:val="28"/>
        </w:rPr>
        <w:t>），进行供应商/供应商会员注册，（注册步骤详见办事指南-办事流程），完成后需到中牟县公共资源交易中心进行现场审核，现场审核需携带相关资料原件及加盖公章的复印件一套，审核通过后供应商需在中牟县房产交易大厦 18 楼办理 CA 锁，办理完毕携带 CA 锁到中牟县公共资源交易中心受理科（中牟县房产交易大厦 18 楼）审核激活，供应商通过 CA 锁登陆进行网上磋商文件等相关文件的下载，纸质文件不再出售；</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4.售价：0 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kern w:val="0"/>
          <w:sz w:val="28"/>
          <w:szCs w:val="28"/>
          <w:lang w:val="en-US" w:eastAsia="zh-CN" w:bidi="ar"/>
        </w:rPr>
        <w:t>四、提</w:t>
      </w:r>
      <w:r>
        <w:rPr>
          <w:rFonts w:hint="eastAsia" w:ascii="宋体" w:hAnsi="宋体" w:eastAsia="宋体" w:cs="宋体"/>
          <w:color w:val="000000" w:themeColor="text1"/>
          <w:kern w:val="0"/>
          <w:sz w:val="28"/>
          <w:szCs w:val="28"/>
          <w:lang w:val="en-US" w:eastAsia="zh-CN" w:bidi="ar"/>
          <w14:textFill>
            <w14:solidFill>
              <w14:schemeClr w14:val="tx1"/>
            </w14:solidFill>
          </w14:textFill>
        </w:rPr>
        <w:t>交响应文件截止时间及地点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1.时间：202</w:t>
      </w:r>
      <w:r>
        <w:rPr>
          <w:rFonts w:hint="eastAsia" w:ascii="宋体" w:hAnsi="宋体" w:eastAsia="宋体" w:cs="宋体"/>
          <w:color w:val="auto"/>
          <w:kern w:val="0"/>
          <w:sz w:val="28"/>
          <w:szCs w:val="28"/>
          <w:lang w:val="en-US" w:eastAsia="zh-CN" w:bidi="ar"/>
        </w:rPr>
        <w:t>3年12月28日09点00分</w:t>
      </w:r>
      <w:r>
        <w:rPr>
          <w:rFonts w:hint="eastAsia" w:ascii="宋体" w:hAnsi="宋体" w:eastAsia="宋体" w:cs="宋体"/>
          <w:color w:val="000000" w:themeColor="text1"/>
          <w:kern w:val="0"/>
          <w:sz w:val="28"/>
          <w:szCs w:val="28"/>
          <w:lang w:val="en-US" w:eastAsia="zh-CN" w:bidi="ar"/>
          <w14:textFill>
            <w14:solidFill>
              <w14:schemeClr w14:val="tx1"/>
            </w14:solidFill>
          </w14:textFill>
        </w:rPr>
        <w:t>（北京时间）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2.地点：中牟县公共资源交易中心（http:// </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 </w:instrText>
      </w:r>
      <w:r>
        <w:rPr>
          <w:rFonts w:hint="eastAsia" w:ascii="宋体" w:hAnsi="宋体" w:eastAsia="宋体" w:cs="宋体"/>
          <w:kern w:val="0"/>
          <w:sz w:val="28"/>
          <w:szCs w:val="28"/>
          <w:u w:val="none"/>
          <w:lang w:val="en-US" w:eastAsia="zh-CN" w:bidi="ar"/>
        </w:rPr>
        <w:fldChar w:fldCharType="separate"/>
      </w:r>
      <w:r>
        <w:rPr>
          <w:rStyle w:val="32"/>
          <w:rFonts w:hint="eastAsia" w:ascii="宋体" w:hAnsi="宋体" w:eastAsia="宋体" w:cs="宋体"/>
          <w:sz w:val="28"/>
          <w:szCs w:val="28"/>
          <w:u w:val="none"/>
        </w:rPr>
        <w:t>www.zmxggzy.com</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333333"/>
          <w:kern w:val="0"/>
          <w:sz w:val="28"/>
          <w:szCs w:val="28"/>
          <w:lang w:val="en-US" w:eastAsia="zh-CN" w:bidi="ar"/>
        </w:rPr>
        <w:t>）电子交易平台；供应商须在响应文件递交截止时间前登录中牟县公共资源交易中心网站 （http://www.zmxggzy.com）通过电子交易平台上传加密的电子响应文件，确保成功上传电子响应文件。加密电子响应文件逾期上传或者未上传指定地点的响应文件，采购人不予受理。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五、开标时间及地点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1572"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1.时间：</w:t>
      </w:r>
      <w:r>
        <w:rPr>
          <w:rFonts w:hint="eastAsia" w:ascii="宋体" w:hAnsi="宋体" w:eastAsia="宋体" w:cs="宋体"/>
          <w:color w:val="auto"/>
          <w:kern w:val="0"/>
          <w:sz w:val="28"/>
          <w:szCs w:val="28"/>
          <w:lang w:val="en-US" w:eastAsia="zh-CN" w:bidi="ar"/>
        </w:rPr>
        <w:t>2023年 12月28日09点</w:t>
      </w:r>
      <w:r>
        <w:rPr>
          <w:rFonts w:hint="eastAsia" w:ascii="宋体" w:hAnsi="宋体" w:eastAsia="宋体" w:cs="宋体"/>
          <w:color w:val="000000" w:themeColor="text1"/>
          <w:kern w:val="0"/>
          <w:sz w:val="28"/>
          <w:szCs w:val="28"/>
          <w:lang w:val="en-US" w:eastAsia="zh-CN" w:bidi="ar"/>
          <w14:textFill>
            <w14:solidFill>
              <w14:schemeClr w14:val="tx1"/>
            </w14:solidFill>
          </w14:textFill>
        </w:rPr>
        <w:t>00分（北京时间）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34" w:firstLine="560" w:firstLineChars="200"/>
        <w:jc w:val="left"/>
        <w:rPr>
          <w:rFonts w:hint="eastAsia" w:ascii="宋体" w:hAnsi="宋体" w:eastAsia="宋体" w:cs="宋体"/>
          <w:sz w:val="28"/>
          <w:szCs w:val="28"/>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2.地点：中牟县公共资源交易中心</w:t>
      </w:r>
      <w:r>
        <w:rPr>
          <w:rFonts w:hint="eastAsia" w:ascii="宋体" w:hAnsi="宋体" w:eastAsia="宋体" w:cs="宋体"/>
          <w:color w:val="333333"/>
          <w:kern w:val="0"/>
          <w:sz w:val="28"/>
          <w:szCs w:val="28"/>
          <w:lang w:val="en-US" w:eastAsia="zh-CN" w:bidi="ar"/>
        </w:rPr>
        <w:t>（http:// </w:t>
      </w:r>
      <w:r>
        <w:rPr>
          <w:rFonts w:hint="eastAsia" w:ascii="宋体" w:hAnsi="宋体" w:eastAsia="宋体" w:cs="宋体"/>
          <w:color w:val="333333"/>
          <w:kern w:val="0"/>
          <w:sz w:val="28"/>
          <w:szCs w:val="28"/>
          <w:lang w:val="en-US" w:eastAsia="zh-CN" w:bidi="ar"/>
        </w:rPr>
        <w:fldChar w:fldCharType="begin"/>
      </w:r>
      <w:r>
        <w:rPr>
          <w:rFonts w:hint="eastAsia" w:ascii="宋体" w:hAnsi="宋体" w:eastAsia="宋体" w:cs="宋体"/>
          <w:color w:val="333333"/>
          <w:kern w:val="0"/>
          <w:sz w:val="28"/>
          <w:szCs w:val="28"/>
          <w:lang w:val="en-US" w:eastAsia="zh-CN" w:bidi="ar"/>
        </w:rPr>
        <w:instrText xml:space="preserve"> HYPERLINK "http://www.zmxggzy.xn--com),(4)-pd0ma02kcac5b979fkc864cwma24af77eplk1lrb9gf5pxjxiag165v1u7av4x2pt4u7b402i/" </w:instrText>
      </w:r>
      <w:r>
        <w:rPr>
          <w:rFonts w:hint="eastAsia" w:ascii="宋体" w:hAnsi="宋体" w:eastAsia="宋体" w:cs="宋体"/>
          <w:color w:val="333333"/>
          <w:kern w:val="0"/>
          <w:sz w:val="28"/>
          <w:szCs w:val="28"/>
          <w:lang w:val="en-US" w:eastAsia="zh-CN" w:bidi="ar"/>
        </w:rPr>
        <w:fldChar w:fldCharType="separate"/>
      </w:r>
      <w:r>
        <w:rPr>
          <w:rFonts w:hint="eastAsia" w:ascii="宋体" w:hAnsi="宋体" w:eastAsia="宋体" w:cs="宋体"/>
          <w:color w:val="333333"/>
          <w:kern w:val="0"/>
          <w:sz w:val="28"/>
          <w:szCs w:val="28"/>
          <w:lang w:val="en-US" w:eastAsia="zh-CN" w:bidi="ar"/>
        </w:rPr>
        <w:t>www.zmxggzy.com）电子交易平台</w:t>
      </w:r>
      <w:r>
        <w:rPr>
          <w:rFonts w:hint="eastAsia" w:ascii="宋体" w:hAnsi="宋体" w:eastAsia="宋体" w:cs="宋体"/>
          <w:color w:val="333333"/>
          <w:kern w:val="0"/>
          <w:sz w:val="28"/>
          <w:szCs w:val="28"/>
          <w:lang w:val="en-US" w:eastAsia="zh-CN" w:bidi="ar"/>
        </w:rPr>
        <w:fldChar w:fldCharType="end"/>
      </w:r>
      <w:r>
        <w:rPr>
          <w:rFonts w:hint="eastAsia" w:ascii="宋体" w:hAnsi="宋体" w:eastAsia="宋体" w:cs="宋体"/>
          <w:color w:val="333333"/>
          <w:kern w:val="0"/>
          <w:sz w:val="28"/>
          <w:szCs w:val="28"/>
          <w:lang w:val="en-US" w:eastAsia="zh-CN" w:bidi="ar"/>
        </w:rPr>
        <w:t>，中牟县公共资源交易中心（中牟县政务服务中心2楼）第一开标室；本项目采用“远程不见面”开标方式，供应商无需到开标现场参与开标活动，供应商须在投标截止前进入远程开标大厅（</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"http://www.zmxggzy.com/BidOpening" </w:instrText>
      </w:r>
      <w:r>
        <w:rPr>
          <w:rFonts w:hint="eastAsia" w:ascii="宋体" w:hAnsi="宋体" w:eastAsia="宋体" w:cs="宋体"/>
          <w:kern w:val="0"/>
          <w:sz w:val="28"/>
          <w:szCs w:val="28"/>
          <w:u w:val="none"/>
          <w:lang w:val="en-US" w:eastAsia="zh-CN" w:bidi="ar"/>
        </w:rPr>
        <w:fldChar w:fldCharType="separate"/>
      </w:r>
      <w:r>
        <w:rPr>
          <w:rStyle w:val="32"/>
          <w:rFonts w:hint="eastAsia" w:ascii="宋体" w:hAnsi="宋体" w:eastAsia="宋体" w:cs="宋体"/>
          <w:sz w:val="28"/>
          <w:szCs w:val="28"/>
          <w:u w:val="none"/>
        </w:rPr>
        <w:t>http://www.zmxggzy.com/BidOpening</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333333"/>
          <w:kern w:val="0"/>
          <w:sz w:val="28"/>
          <w:szCs w:val="28"/>
          <w:lang w:val="en-US" w:eastAsia="zh-CN" w:bidi="ar"/>
        </w:rPr>
        <w:t>）进行开标操作和响应文件的解密；在规定时间内响应文件未解密的供应商，视为放弃投标；具体操作流程及程序，请供应商查阅中牟县公共资源交易中心网站（http:// www.zmxggzy.com）“下载中心”专区的“中牟不见面开标-操作手册”。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六、发布公告的媒介及磋商公告期限</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本次磋商公告在《河南省政府采购网》、《中牟县政府采购网》、《中牟县公共资源交易中心网》上发布，磋商公告期限为五个工作日。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七、其他补充事宜</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1、本项目同时落实但不重复享受以下相关政府采购政策：</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（1）执行财政部工业和信息化部《政府采购促进中小企业发展管理办法》（财库〔2020〕46号）；对小型和微型企业产品的价格给予20%的扣除，用扣除后的价格参与评审。</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（2）执行财政部、司法部《关于政府采购支持监狱企业发展有关问题的通知》（财库〔2014〕68号）；</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（3）执行财政部、民政部、中国残疾人联合会《关于促进残疾人就业政府采购政策的通知》（财库〔2017〕141号）；</w:t>
      </w:r>
    </w:p>
    <w:p>
      <w:pPr>
        <w:pStyle w:val="2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（4）执行财政部、发展改革委、生态环境部、市场监管总局《关于调整优化节能产品、环境标志产品政府采购执行机制的通知》（财库〔2019〕9号）。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2、本项目实行电子开评标，获取磋商文件后，请各供应商在“中牟县公共资源交易中心门户网站（http:// </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 </w:instrText>
      </w:r>
      <w:r>
        <w:rPr>
          <w:rFonts w:hint="eastAsia" w:ascii="宋体" w:hAnsi="宋体" w:eastAsia="宋体" w:cs="宋体"/>
          <w:kern w:val="0"/>
          <w:sz w:val="28"/>
          <w:szCs w:val="28"/>
          <w:u w:val="none"/>
          <w:lang w:val="en-US" w:eastAsia="zh-CN" w:bidi="ar"/>
        </w:rPr>
        <w:fldChar w:fldCharType="separate"/>
      </w:r>
      <w:r>
        <w:rPr>
          <w:rStyle w:val="32"/>
          <w:rFonts w:hint="eastAsia" w:ascii="宋体" w:hAnsi="宋体" w:eastAsia="宋体" w:cs="宋体"/>
          <w:color w:val="000000"/>
          <w:sz w:val="28"/>
          <w:szCs w:val="28"/>
          <w:u w:val="none"/>
        </w:rPr>
        <w:t>http:// www.zmxggzy.com</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000000"/>
          <w:kern w:val="0"/>
          <w:sz w:val="28"/>
          <w:szCs w:val="28"/>
          <w:lang w:val="en-US" w:eastAsia="zh-CN" w:bidi="ar"/>
        </w:rPr>
        <w:t>）“下载中心”栏目下载相关驱动和电子投标工具。供应商在制作电子标书过程中，如遇到电子交易系统的软件操作问题时，可通过热线电话（4009980000）进行咨询。</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3、响应文件的上传：供应商须使用电子交易系统提供的响应文件制作工具进行电子响应文件的制作，并按要求上传经 CA 锁签章和加密的电子磋商响应文件（.ZMTF 格式），加密电子响应文件逾期上传或者未上传的，采购人不予受理。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4、本项目采用“远程不见面”开标方式，各供应商无需到交易中心现场参加开标会议，无需现场提交原件。各供应商应当在磋商文件确定的投标截止时间前,登录远程开标大厅</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"http://www.zmxggzy.com/BidOpening" </w:instrText>
      </w:r>
      <w:r>
        <w:rPr>
          <w:rFonts w:hint="eastAsia" w:ascii="宋体" w:hAnsi="宋体" w:eastAsia="宋体" w:cs="宋体"/>
          <w:kern w:val="0"/>
          <w:sz w:val="28"/>
          <w:szCs w:val="28"/>
          <w:u w:val="none"/>
          <w:lang w:val="en-US" w:eastAsia="zh-CN" w:bidi="ar"/>
        </w:rPr>
        <w:fldChar w:fldCharType="separate"/>
      </w:r>
      <w:r>
        <w:rPr>
          <w:rStyle w:val="32"/>
          <w:rFonts w:hint="eastAsia" w:ascii="宋体" w:hAnsi="宋体" w:eastAsia="宋体" w:cs="宋体"/>
          <w:color w:val="000000"/>
          <w:sz w:val="28"/>
          <w:szCs w:val="28"/>
          <w:u w:val="none"/>
        </w:rPr>
        <w:t>（http://http:// www.zmxggzy.com/BidOpening</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000000"/>
          <w:kern w:val="0"/>
          <w:sz w:val="28"/>
          <w:szCs w:val="28"/>
          <w:lang w:val="en-US" w:eastAsia="zh-CN" w:bidi="ar"/>
        </w:rPr>
        <w:t>），在线准时参加开标活动并进行文件解密、答疑澄清等。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5、本项目所有供应商应提前 30 分钟登录“中牟县公共资源交易中心门户网站远</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"http://www.zmxggzy.com/BidOpening" </w:instrText>
      </w:r>
      <w:r>
        <w:rPr>
          <w:rFonts w:hint="eastAsia" w:ascii="宋体" w:hAnsi="宋体" w:eastAsia="宋体" w:cs="宋体"/>
          <w:kern w:val="0"/>
          <w:sz w:val="28"/>
          <w:szCs w:val="28"/>
          <w:u w:val="none"/>
          <w:lang w:val="en-US" w:eastAsia="zh-CN" w:bidi="ar"/>
        </w:rPr>
        <w:fldChar w:fldCharType="separate"/>
      </w:r>
      <w:r>
        <w:rPr>
          <w:rStyle w:val="32"/>
          <w:rFonts w:hint="eastAsia" w:ascii="宋体" w:hAnsi="宋体" w:eastAsia="宋体" w:cs="宋体"/>
          <w:color w:val="000000"/>
          <w:sz w:val="28"/>
          <w:szCs w:val="28"/>
          <w:u w:val="none"/>
        </w:rPr>
        <w:t>程开标大厅（http://http:// www.zmxggzy.com/BidOpening</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000000"/>
          <w:kern w:val="0"/>
          <w:sz w:val="28"/>
          <w:szCs w:val="28"/>
          <w:lang w:val="en-US" w:eastAsia="zh-CN" w:bidi="ar"/>
        </w:rPr>
        <w:t> ）”进行远程开标准备工作。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6、供应商登录“中牟县公共资源交易中心门户网站远程开标大厅”后，须先进行签到，其后应一直保持在线状态，保证能准时参加开标大会、响应文件的解密、现场答疑澄清等活动。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7、不见面开标操作说明详见中牟县公共资源交易中心网站下载中心《中牟不见面开标-操作手册（供应商）V1.0》。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八、对本次招标提出询问，请按以下方式联系。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4692"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1.采购人信息</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名 称：中牟县自然资源和规划局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地址：中牟县商都大道与清阳街交叉口东南角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联系方式：</w:t>
      </w:r>
      <w:bookmarkStart w:id="12" w:name="_Toc28359009"/>
      <w:bookmarkStart w:id="13" w:name="_Toc28359086"/>
      <w:r>
        <w:rPr>
          <w:rFonts w:hint="eastAsia" w:ascii="宋体" w:hAnsi="宋体" w:eastAsia="宋体" w:cs="宋体"/>
          <w:color w:val="000000"/>
          <w:kern w:val="0"/>
          <w:sz w:val="28"/>
          <w:szCs w:val="28"/>
          <w:lang w:val="en-US" w:eastAsia="zh-CN" w:bidi="ar"/>
        </w:rPr>
        <w:t>0371-62160019</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2.采购代理机构信息</w:t>
      </w:r>
      <w:bookmarkEnd w:id="12"/>
      <w:bookmarkEnd w:id="13"/>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名 称：恒之宇工程集团有限公司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　址：郑州市国基路7号3号楼5层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联系方式：</w:t>
      </w:r>
      <w:bookmarkStart w:id="14" w:name="_Toc28359087"/>
      <w:bookmarkStart w:id="15" w:name="_Toc28359010"/>
      <w:r>
        <w:rPr>
          <w:rFonts w:hint="eastAsia" w:ascii="宋体" w:hAnsi="宋体" w:eastAsia="宋体" w:cs="宋体"/>
          <w:color w:val="000000"/>
          <w:kern w:val="0"/>
          <w:sz w:val="28"/>
          <w:szCs w:val="28"/>
          <w:lang w:val="en-US" w:eastAsia="zh-CN" w:bidi="ar"/>
        </w:rPr>
        <w:t>15517772702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3.项目联系方式</w:t>
      </w:r>
      <w:bookmarkEnd w:id="14"/>
      <w:bookmarkEnd w:id="15"/>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项目联系人：王亚钉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电　话：15517772702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监督部门：中牟县财政局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righ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发 布 人：恒之宇工程集团有限公司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right"/>
        <w:outlineLvl w:val="9"/>
        <w:rPr>
          <w:rFonts w:hint="eastAsia" w:ascii="宋体" w:hAnsi="宋体" w:eastAsia="宋体" w:cs="宋体"/>
          <w:color w:val="FF0000"/>
          <w:kern w:val="0"/>
          <w:sz w:val="28"/>
          <w:szCs w:val="28"/>
          <w:lang w:val="en-US" w:eastAsia="zh-CN" w:bidi="ar"/>
        </w:rPr>
      </w:pPr>
      <w:r>
        <w:rPr>
          <w:rFonts w:hint="eastAsia" w:ascii="宋体" w:hAnsi="宋体" w:eastAsia="宋体" w:cs="宋体"/>
          <w:color w:val="000000"/>
          <w:kern w:val="0"/>
          <w:sz w:val="28"/>
          <w:szCs w:val="28"/>
          <w:lang w:val="en-US" w:eastAsia="zh-CN" w:bidi="ar"/>
        </w:rPr>
        <w:t>发布时</w:t>
      </w:r>
      <w:r>
        <w:rPr>
          <w:rFonts w:hint="eastAsia" w:ascii="宋体" w:hAnsi="宋体" w:eastAsia="宋体" w:cs="宋体"/>
          <w:color w:val="auto"/>
          <w:kern w:val="0"/>
          <w:sz w:val="28"/>
          <w:szCs w:val="28"/>
          <w:lang w:val="en-US" w:eastAsia="zh-CN" w:bidi="ar"/>
        </w:rPr>
        <w:t>间：2023年12月15日</w:t>
      </w:r>
    </w:p>
    <w:p>
      <w:pPr>
        <w:pStyle w:val="38"/>
        <w:ind w:firstLine="560" w:firstLineChars="200"/>
        <w:outlineLvl w:val="9"/>
        <w:rPr>
          <w:rFonts w:hint="eastAsia" w:ascii="宋体" w:hAnsi="宋体" w:eastAsia="宋体" w:cs="宋体"/>
          <w:sz w:val="28"/>
          <w:szCs w:val="28"/>
          <w:lang w:val="en-US" w:eastAsia="zh-CN"/>
        </w:rPr>
      </w:pPr>
    </w:p>
    <w:p>
      <w:pPr>
        <w:rPr>
          <w:sz w:val="32"/>
          <w:szCs w:val="32"/>
          <w:highlight w:val="none"/>
        </w:rPr>
      </w:pPr>
      <w:bookmarkStart w:id="16" w:name="_Toc5227"/>
      <w:bookmarkStart w:id="17" w:name="_Toc28129"/>
      <w:bookmarkStart w:id="18" w:name="_Toc20596"/>
      <w:bookmarkStart w:id="19" w:name="_Toc266"/>
      <w:bookmarkStart w:id="20" w:name="_Toc22901"/>
      <w:bookmarkStart w:id="21" w:name="_Toc25024"/>
      <w:r>
        <w:rPr>
          <w:sz w:val="32"/>
          <w:szCs w:val="32"/>
          <w:highlight w:val="none"/>
        </w:rPr>
        <w:br w:type="page"/>
      </w:r>
    </w:p>
    <w:p>
      <w:pPr>
        <w:pStyle w:val="42"/>
        <w:keepNext/>
        <w:keepLines/>
        <w:spacing w:after="300" w:line="240" w:lineRule="auto"/>
        <w:rPr>
          <w:sz w:val="32"/>
          <w:szCs w:val="32"/>
          <w:highlight w:val="none"/>
        </w:rPr>
      </w:pPr>
      <w:r>
        <w:rPr>
          <w:sz w:val="32"/>
          <w:szCs w:val="32"/>
          <w:highlight w:val="none"/>
        </w:rPr>
        <w:t>第二章</w:t>
      </w:r>
      <w:r>
        <w:rPr>
          <w:rFonts w:hint="eastAsia"/>
          <w:sz w:val="32"/>
          <w:szCs w:val="32"/>
          <w:highlight w:val="none"/>
          <w:lang w:val="en-US" w:eastAsia="zh-CN"/>
        </w:rPr>
        <w:t xml:space="preserve"> </w:t>
      </w:r>
      <w:r>
        <w:rPr>
          <w:sz w:val="32"/>
          <w:szCs w:val="32"/>
          <w:highlight w:val="none"/>
        </w:rPr>
        <w:t>供应商须知</w:t>
      </w:r>
      <w:bookmarkEnd w:id="9"/>
      <w:bookmarkEnd w:id="10"/>
      <w:bookmarkEnd w:id="11"/>
      <w:bookmarkEnd w:id="16"/>
      <w:bookmarkEnd w:id="17"/>
      <w:bookmarkEnd w:id="18"/>
      <w:bookmarkEnd w:id="19"/>
      <w:bookmarkEnd w:id="20"/>
      <w:bookmarkEnd w:id="21"/>
    </w:p>
    <w:p>
      <w:pPr>
        <w:pStyle w:val="68"/>
        <w:keepNext/>
        <w:keepLines/>
        <w:pageBreakBefore w:val="0"/>
        <w:widowControl w:val="0"/>
        <w:kinsoku/>
        <w:wordWrap/>
        <w:overflowPunct/>
        <w:topLinePunct w:val="0"/>
        <w:autoSpaceDE/>
        <w:autoSpaceDN/>
        <w:bidi w:val="0"/>
        <w:adjustRightInd/>
        <w:snapToGrid/>
        <w:ind w:firstLine="142"/>
        <w:jc w:val="center"/>
        <w:textAlignment w:val="auto"/>
        <w:outlineLvl w:val="1"/>
        <w:rPr>
          <w:sz w:val="28"/>
          <w:szCs w:val="28"/>
          <w:highlight w:val="none"/>
        </w:rPr>
      </w:pPr>
      <w:bookmarkStart w:id="22" w:name="_Toc32121"/>
      <w:bookmarkStart w:id="23" w:name="_Toc12089"/>
      <w:bookmarkStart w:id="24" w:name="_Toc30755"/>
      <w:bookmarkStart w:id="25" w:name="_Toc3409"/>
      <w:r>
        <w:rPr>
          <w:sz w:val="28"/>
          <w:szCs w:val="28"/>
          <w:highlight w:val="none"/>
        </w:rPr>
        <w:t>供应商须知前附表</w:t>
      </w:r>
      <w:bookmarkEnd w:id="22"/>
      <w:bookmarkEnd w:id="23"/>
      <w:bookmarkEnd w:id="24"/>
      <w:bookmarkEnd w:id="25"/>
      <w:bookmarkStart w:id="26" w:name="bookmark78"/>
      <w:bookmarkStart w:id="27" w:name="bookmark77"/>
      <w:bookmarkStart w:id="28" w:name="bookmark79"/>
    </w:p>
    <w:tbl>
      <w:tblPr>
        <w:tblStyle w:val="21"/>
        <w:tblW w:w="9205" w:type="dxa"/>
        <w:tblInd w:w="96" w:type="dxa"/>
        <w:tblLayout w:type="autofit"/>
        <w:tblCellMar>
          <w:top w:w="0" w:type="dxa"/>
          <w:left w:w="108" w:type="dxa"/>
          <w:bottom w:w="0" w:type="dxa"/>
          <w:right w:w="108" w:type="dxa"/>
        </w:tblCellMar>
      </w:tblPr>
      <w:tblGrid>
        <w:gridCol w:w="960"/>
        <w:gridCol w:w="2004"/>
        <w:gridCol w:w="6241"/>
      </w:tblGrid>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条款号</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条款名称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编列内容</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采购人</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名 称：中牟县自然资源和规划局</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地址：中牟县商都大道与清阳街交叉口东南角</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0371-62160019</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代理机构</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名 称：恒之宇工程集团有限公司</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地　址：郑州市国基路7号3号楼5层</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15517772702</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项目名称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中牟县自然资源和规划局中牟县省级试点村青谷堆村村庄规划项目</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建设地点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中牟县</w:t>
            </w:r>
          </w:p>
        </w:tc>
      </w:tr>
      <w:tr>
        <w:tblPrEx>
          <w:tblCellMar>
            <w:top w:w="0" w:type="dxa"/>
            <w:left w:w="108" w:type="dxa"/>
            <w:bottom w:w="0" w:type="dxa"/>
            <w:right w:w="108" w:type="dxa"/>
          </w:tblCellMar>
        </w:tblPrEx>
        <w:trPr>
          <w:trHeight w:val="50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资金来源</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财政资金</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出资比例</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100%</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1.2.3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资金落实情况</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已落实</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1.3.1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采购范围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default" w:ascii="宋体" w:hAnsi="宋体" w:eastAsia="宋体" w:cs="宋体"/>
                <w:highlight w:val="none"/>
                <w:lang w:val="en-US" w:eastAsia="zh-CN"/>
              </w:rPr>
            </w:pPr>
            <w:r>
              <w:rPr>
                <w:rFonts w:hint="eastAsia" w:ascii="宋体" w:hAnsi="宋体" w:eastAsia="宋体" w:cs="宋体"/>
                <w:color w:val="000000" w:themeColor="text1"/>
                <w:highlight w:val="none"/>
                <w:lang w:eastAsia="zh-CN"/>
                <w14:textFill>
                  <w14:solidFill>
                    <w14:schemeClr w14:val="tx1"/>
                  </w14:solidFill>
                </w14:textFill>
              </w:rPr>
              <w:t>郑州市中牟县狼城岗镇青谷堆村</w:t>
            </w:r>
            <w:r>
              <w:rPr>
                <w:rFonts w:hint="eastAsia" w:ascii="宋体" w:hAnsi="宋体" w:eastAsia="宋体" w:cs="宋体"/>
                <w:color w:val="000000" w:themeColor="text1"/>
                <w:highlight w:val="none"/>
                <w:lang w:val="en-US" w:eastAsia="zh-CN"/>
                <w14:textFill>
                  <w14:solidFill>
                    <w14:schemeClr w14:val="tx1"/>
                  </w14:solidFill>
                </w14:textFill>
              </w:rPr>
              <w:t>规划</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1.3.2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服务期限</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自合同签订后一年</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1.3.3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rPr>
              <w:t>服务质量</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执行国家最新的强制标准和国家及行业最新的规范</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1.4.1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供应商资质条件</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autoSpaceDE w:val="0"/>
              <w:autoSpaceDN w:val="0"/>
              <w:spacing w:line="360" w:lineRule="auto"/>
              <w:rPr>
                <w:rFonts w:ascii="宋体" w:hAnsi="宋体" w:eastAsia="宋体" w:cs="宋体"/>
                <w:highlight w:val="none"/>
                <w:lang w:eastAsia="zh-CN"/>
              </w:rPr>
            </w:pPr>
            <w:r>
              <w:rPr>
                <w:rFonts w:hint="eastAsia" w:ascii="宋体" w:hAnsi="宋体" w:eastAsia="宋体" w:cs="宋体"/>
                <w:color w:val="333333"/>
                <w:highlight w:val="none"/>
                <w:lang w:eastAsia="zh-CN"/>
              </w:rPr>
              <w:t>1</w:t>
            </w:r>
            <w:r>
              <w:rPr>
                <w:rFonts w:hint="eastAsia" w:ascii="宋体" w:hAnsi="宋体" w:eastAsia="宋体" w:cs="宋体"/>
                <w:highlight w:val="none"/>
                <w:lang w:eastAsia="zh-CN"/>
              </w:rPr>
              <w:t>、满足《中华人民共和国政府采购法》第二十二条规定；</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2、落实政府采购政策满足的资格要求：本项目落实政府采购促进中小企业发展（监狱企业、残疾人福利性企业视同小微企业）等相关政府采购政策。本项目对小型和微型企业，报价给予 20%的扣除参与评审。（具体政策详见磋商文件）</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3、本项目的特定资格要求：</w:t>
            </w:r>
          </w:p>
          <w:p>
            <w:pPr>
              <w:pStyle w:val="72"/>
              <w:tabs>
                <w:tab w:val="left" w:pos="1676"/>
              </w:tabs>
              <w:autoSpaceDE w:val="0"/>
              <w:autoSpaceDN w:val="0"/>
              <w:spacing w:line="360" w:lineRule="auto"/>
              <w:ind w:left="0" w:right="-87" w:firstLine="0"/>
              <w:rPr>
                <w:highlight w:val="none"/>
              </w:rPr>
            </w:pPr>
            <w:r>
              <w:rPr>
                <w:rFonts w:hint="eastAsia"/>
                <w:highlight w:val="none"/>
                <w:lang w:val="en-US"/>
              </w:rPr>
              <w:t>3.1、</w:t>
            </w:r>
            <w:r>
              <w:rPr>
                <w:rFonts w:hint="eastAsia"/>
                <w:highlight w:val="none"/>
              </w:rPr>
              <w:t>具有独立承担民事责任的能力（具有有效的企业营业执照）；</w:t>
            </w:r>
          </w:p>
          <w:p>
            <w:pPr>
              <w:pStyle w:val="72"/>
              <w:tabs>
                <w:tab w:val="left" w:pos="1673"/>
              </w:tabs>
              <w:autoSpaceDE w:val="0"/>
              <w:autoSpaceDN w:val="0"/>
              <w:spacing w:line="360" w:lineRule="auto"/>
              <w:ind w:left="0" w:right="-87" w:firstLine="0"/>
              <w:jc w:val="both"/>
              <w:rPr>
                <w:highlight w:val="none"/>
                <w:lang w:val="en-US"/>
              </w:rPr>
            </w:pPr>
            <w:r>
              <w:rPr>
                <w:rFonts w:hint="eastAsia"/>
                <w:highlight w:val="none"/>
                <w:lang w:val="en-US"/>
              </w:rPr>
              <w:t>3.2、资质要求：</w:t>
            </w:r>
          </w:p>
          <w:p>
            <w:pPr>
              <w:pStyle w:val="72"/>
              <w:tabs>
                <w:tab w:val="left" w:pos="1673"/>
              </w:tabs>
              <w:autoSpaceDE w:val="0"/>
              <w:autoSpaceDN w:val="0"/>
              <w:spacing w:line="360" w:lineRule="auto"/>
              <w:ind w:left="0" w:right="-87" w:firstLin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供应商须具备行政主管部门核发的城乡规划编制</w:t>
            </w:r>
            <w:r>
              <w:rPr>
                <w:rFonts w:hint="eastAsia"/>
                <w:color w:val="000000" w:themeColor="text1"/>
                <w:highlight w:val="none"/>
                <w:lang w:val="en-US" w:eastAsia="zh-CN"/>
                <w14:textFill>
                  <w14:solidFill>
                    <w14:schemeClr w14:val="tx1"/>
                  </w14:solidFill>
                </w14:textFill>
              </w:rPr>
              <w:t>乙级</w:t>
            </w:r>
            <w:r>
              <w:rPr>
                <w:rFonts w:hint="eastAsia"/>
                <w:color w:val="000000" w:themeColor="text1"/>
                <w:highlight w:val="none"/>
                <w14:textFill>
                  <w14:solidFill>
                    <w14:schemeClr w14:val="tx1"/>
                  </w14:solidFill>
                </w14:textFill>
              </w:rPr>
              <w:t xml:space="preserve">及以上的资质证； </w:t>
            </w:r>
          </w:p>
          <w:p>
            <w:pPr>
              <w:pStyle w:val="72"/>
              <w:tabs>
                <w:tab w:val="left" w:pos="1673"/>
              </w:tabs>
              <w:autoSpaceDE w:val="0"/>
              <w:autoSpaceDN w:val="0"/>
              <w:spacing w:line="360" w:lineRule="auto"/>
              <w:ind w:left="0" w:right="-87" w:firstLine="0"/>
              <w:jc w:val="both"/>
              <w:rPr>
                <w:color w:val="FF0000"/>
                <w:highlight w:val="none"/>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项目负责人具有国家注册城市（乡）规划师注册证书及</w:t>
            </w:r>
            <w:r>
              <w:rPr>
                <w:rFonts w:hint="eastAsia"/>
                <w:color w:val="000000" w:themeColor="text1"/>
                <w:highlight w:val="none"/>
                <w:lang w:val="en-US" w:eastAsia="zh-CN"/>
                <w14:textFill>
                  <w14:solidFill>
                    <w14:schemeClr w14:val="tx1"/>
                  </w14:solidFill>
                </w14:textFill>
              </w:rPr>
              <w:t>中级工程师</w:t>
            </w:r>
            <w:r>
              <w:rPr>
                <w:rFonts w:hint="eastAsia"/>
                <w:color w:val="000000" w:themeColor="text1"/>
                <w:highlight w:val="none"/>
                <w14:textFill>
                  <w14:solidFill>
                    <w14:schemeClr w14:val="tx1"/>
                  </w14:solidFill>
                </w14:textFill>
              </w:rPr>
              <w:t>及以上职称；</w:t>
            </w:r>
          </w:p>
          <w:p>
            <w:pPr>
              <w:pStyle w:val="72"/>
              <w:tabs>
                <w:tab w:val="left" w:pos="1673"/>
              </w:tabs>
              <w:autoSpaceDE w:val="0"/>
              <w:autoSpaceDN w:val="0"/>
              <w:spacing w:line="360" w:lineRule="auto"/>
              <w:ind w:left="0" w:right="-87" w:firstLine="0"/>
              <w:jc w:val="both"/>
              <w:rPr>
                <w:highlight w:val="none"/>
                <w:lang w:val="en-US"/>
              </w:rPr>
            </w:pPr>
            <w:r>
              <w:rPr>
                <w:rFonts w:hint="eastAsia"/>
                <w:highlight w:val="none"/>
                <w:lang w:val="en-US"/>
              </w:rPr>
              <w:t>3.3、具有良好的商业信誉和健全的财务会计制度（提供完整的</w:t>
            </w:r>
            <w:r>
              <w:rPr>
                <w:rFonts w:hint="eastAsia"/>
                <w:highlight w:val="none"/>
                <w:lang w:val="en-US" w:eastAsia="zh-CN"/>
              </w:rPr>
              <w:t>2021年或</w:t>
            </w:r>
            <w:r>
              <w:rPr>
                <w:rFonts w:hint="eastAsia"/>
                <w:highlight w:val="none"/>
                <w:lang w:val="en-US"/>
              </w:rPr>
              <w:t>2022年度经审计的财务审计报告</w:t>
            </w:r>
            <w:r>
              <w:rPr>
                <w:rFonts w:hint="eastAsia"/>
                <w:highlight w:val="none"/>
                <w:lang w:val="en-US" w:eastAsia="zh-CN"/>
              </w:rPr>
              <w:t>，</w:t>
            </w:r>
            <w:r>
              <w:rPr>
                <w:rFonts w:hint="eastAsia"/>
                <w:highlight w:val="none"/>
                <w:lang w:val="en-US"/>
              </w:rPr>
              <w:t>新成立企业提供银行出具的资信证明）；</w:t>
            </w:r>
          </w:p>
          <w:p>
            <w:pPr>
              <w:pStyle w:val="72"/>
              <w:tabs>
                <w:tab w:val="left" w:pos="1676"/>
              </w:tabs>
              <w:autoSpaceDE w:val="0"/>
              <w:autoSpaceDN w:val="0"/>
              <w:spacing w:line="360" w:lineRule="auto"/>
              <w:ind w:left="0" w:right="-87" w:firstLine="0"/>
              <w:rPr>
                <w:highlight w:val="none"/>
              </w:rPr>
            </w:pPr>
            <w:r>
              <w:rPr>
                <w:rFonts w:hint="eastAsia"/>
                <w:highlight w:val="none"/>
                <w:lang w:val="en-US"/>
              </w:rPr>
              <w:t>3.4、</w:t>
            </w:r>
            <w:r>
              <w:rPr>
                <w:rFonts w:hint="eastAsia"/>
                <w:highlight w:val="none"/>
              </w:rPr>
              <w:t>具有履行合同所必需的设备和专业技术能力，（提供承诺函，格式自拟）；</w:t>
            </w:r>
          </w:p>
          <w:p>
            <w:pPr>
              <w:pStyle w:val="72"/>
              <w:tabs>
                <w:tab w:val="left" w:pos="1673"/>
              </w:tabs>
              <w:autoSpaceDE w:val="0"/>
              <w:autoSpaceDN w:val="0"/>
              <w:spacing w:line="360" w:lineRule="auto"/>
              <w:ind w:left="0" w:right="-86" w:rightChars="-36" w:firstLine="0"/>
              <w:jc w:val="both"/>
              <w:rPr>
                <w:highlight w:val="none"/>
              </w:rPr>
            </w:pPr>
            <w:r>
              <w:rPr>
                <w:rFonts w:hint="eastAsia"/>
                <w:highlight w:val="none"/>
                <w:lang w:val="en-US"/>
              </w:rPr>
              <w:t>3.5、</w:t>
            </w:r>
            <w:r>
              <w:rPr>
                <w:rFonts w:hint="eastAsia"/>
                <w:highlight w:val="none"/>
              </w:rPr>
              <w:t>具有依法缴纳税收和社会保障资金的良好记录（提供202</w:t>
            </w:r>
            <w:r>
              <w:rPr>
                <w:rFonts w:hint="eastAsia"/>
                <w:highlight w:val="none"/>
                <w:lang w:val="en-US"/>
              </w:rPr>
              <w:t>3</w:t>
            </w:r>
            <w:r>
              <w:rPr>
                <w:rFonts w:hint="eastAsia"/>
                <w:highlight w:val="none"/>
              </w:rPr>
              <w:t>年</w:t>
            </w:r>
            <w:r>
              <w:rPr>
                <w:rFonts w:hint="eastAsia"/>
                <w:highlight w:val="none"/>
                <w:lang w:val="en-US"/>
              </w:rPr>
              <w:t>1</w:t>
            </w:r>
            <w:r>
              <w:rPr>
                <w:rFonts w:hint="eastAsia"/>
                <w:highlight w:val="none"/>
              </w:rPr>
              <w:t>月以来任意 1 个月的社会保障资金及税收缴纳证明材料。新成立企业从成立之日起计算，依法免税或不需要缴纳社会保障资金的供应商，应提供相应文件证明其依法免税或不需要缴纳社会保障资金）；</w:t>
            </w:r>
          </w:p>
          <w:p>
            <w:pPr>
              <w:pStyle w:val="72"/>
              <w:tabs>
                <w:tab w:val="left" w:pos="1673"/>
              </w:tabs>
              <w:autoSpaceDE w:val="0"/>
              <w:autoSpaceDN w:val="0"/>
              <w:spacing w:line="360" w:lineRule="auto"/>
              <w:ind w:left="0" w:right="-87" w:firstLine="0"/>
              <w:rPr>
                <w:highlight w:val="none"/>
              </w:rPr>
            </w:pPr>
            <w:r>
              <w:rPr>
                <w:rFonts w:hint="eastAsia"/>
                <w:highlight w:val="none"/>
                <w:lang w:val="en-US"/>
              </w:rPr>
              <w:t>3.6、</w:t>
            </w:r>
            <w:r>
              <w:rPr>
                <w:rFonts w:hint="eastAsia"/>
                <w:highlight w:val="none"/>
              </w:rPr>
              <w:t>供应商在参加政府采购活动前三年内，在经营活动中没有重大违法记录（ 供应商出具承诺书，格式自拟）</w:t>
            </w:r>
            <w:r>
              <w:rPr>
                <w:rFonts w:hint="eastAsia"/>
                <w:highlight w:val="none"/>
                <w:lang w:val="en-US"/>
              </w:rPr>
              <w:t>；</w:t>
            </w:r>
          </w:p>
          <w:p>
            <w:pPr>
              <w:pStyle w:val="72"/>
              <w:tabs>
                <w:tab w:val="left" w:pos="1492"/>
              </w:tabs>
              <w:autoSpaceDE w:val="0"/>
              <w:autoSpaceDN w:val="0"/>
              <w:spacing w:line="360" w:lineRule="auto"/>
              <w:ind w:left="0" w:firstLine="0"/>
              <w:jc w:val="both"/>
              <w:rPr>
                <w:highlight w:val="none"/>
                <w:lang w:val="en-US"/>
              </w:rPr>
            </w:pPr>
            <w:r>
              <w:rPr>
                <w:rFonts w:hint="eastAsia"/>
                <w:highlight w:val="none"/>
                <w:lang w:val="en-US"/>
              </w:rPr>
              <w:t>3.7</w:t>
            </w:r>
            <w:r>
              <w:rPr>
                <w:rFonts w:hint="eastAsia"/>
                <w:highlight w:val="none"/>
              </w:rPr>
              <w:t>信誉要求：根据财政部《关于在政府采购活动中查询及使用信用记录有关问题的通知》(财库[2016]125号) 和豫财购[2016]15号的规定，对列入失信被执行人、重大税收违法失信主体、政府采购严重违法失信行为记录名单的供应商，视为无效投标。查询渠道：“信用中国”网站（www.creditchina.gov.cn ）</w:t>
            </w:r>
            <w:r>
              <w:rPr>
                <w:rFonts w:hint="eastAsia"/>
                <w:highlight w:val="none"/>
                <w:lang w:val="en-US"/>
              </w:rPr>
              <w:t>或通过信用中国转至中国执行信息公开网</w:t>
            </w:r>
            <w:r>
              <w:rPr>
                <w:rFonts w:hint="eastAsia"/>
                <w:highlight w:val="none"/>
              </w:rPr>
              <w:t>、中国政府采购网（www.ccgp.gov.cn ），查询截止时点为：从</w:t>
            </w:r>
            <w:r>
              <w:rPr>
                <w:rFonts w:hint="eastAsia"/>
                <w:highlight w:val="none"/>
                <w:lang w:val="en-US"/>
              </w:rPr>
              <w:t>磋商</w:t>
            </w:r>
            <w:r>
              <w:rPr>
                <w:rFonts w:hint="eastAsia"/>
                <w:highlight w:val="none"/>
              </w:rPr>
              <w:t>公告发布之日起至投标截止之日止；</w:t>
            </w:r>
          </w:p>
          <w:p>
            <w:pPr>
              <w:pStyle w:val="72"/>
              <w:tabs>
                <w:tab w:val="left" w:pos="1673"/>
              </w:tabs>
              <w:autoSpaceDE w:val="0"/>
              <w:autoSpaceDN w:val="0"/>
              <w:spacing w:line="360" w:lineRule="auto"/>
              <w:ind w:left="0" w:right="-87" w:firstLine="0"/>
              <w:rPr>
                <w:color w:val="auto"/>
                <w:highlight w:val="none"/>
              </w:rPr>
            </w:pPr>
            <w:r>
              <w:rPr>
                <w:rFonts w:hint="eastAsia"/>
                <w:highlight w:val="none"/>
                <w:lang w:val="en-US"/>
              </w:rPr>
              <w:t>3.8、</w:t>
            </w:r>
            <w:r>
              <w:rPr>
                <w:rFonts w:hint="eastAsia"/>
                <w:highlight w:val="none"/>
              </w:rPr>
              <w:t>单位负责人为同一人或者存在控股、管理关系的不同单位，不得同时参加本项</w:t>
            </w:r>
            <w:r>
              <w:rPr>
                <w:rFonts w:hint="eastAsia"/>
                <w:color w:val="auto"/>
                <w:highlight w:val="none"/>
              </w:rPr>
              <w:t>目投标；提供投标企业在“国家企业信用信息公示系统”中公示的公司基本信息、股东或投资人信息</w:t>
            </w:r>
            <w:r>
              <w:rPr>
                <w:rFonts w:hint="eastAsia"/>
                <w:highlight w:val="none"/>
              </w:rPr>
              <w:t>（提供“国家企业信用信息公示系统”中查询的相关材料并加盖公章，查询信息需包含公司基本信息、股东信息及股权变更信息等相关信息，查询日期为本项目</w:t>
            </w:r>
            <w:r>
              <w:rPr>
                <w:rFonts w:hint="eastAsia"/>
                <w:highlight w:val="none"/>
                <w:lang w:val="en-US"/>
              </w:rPr>
              <w:t>磋商</w:t>
            </w:r>
            <w:r>
              <w:rPr>
                <w:rFonts w:hint="eastAsia"/>
                <w:highlight w:val="none"/>
              </w:rPr>
              <w:t>公告发布之后）</w:t>
            </w:r>
            <w:r>
              <w:rPr>
                <w:rFonts w:hint="eastAsia"/>
                <w:color w:val="auto"/>
                <w:highlight w:val="none"/>
              </w:rPr>
              <w:t>。</w:t>
            </w:r>
          </w:p>
          <w:p>
            <w:pPr>
              <w:pStyle w:val="72"/>
              <w:tabs>
                <w:tab w:val="left" w:pos="1673"/>
              </w:tabs>
              <w:autoSpaceDE w:val="0"/>
              <w:autoSpaceDN w:val="0"/>
              <w:spacing w:line="360" w:lineRule="auto"/>
              <w:ind w:left="0" w:right="-87" w:firstLine="0"/>
              <w:rPr>
                <w:rFonts w:hint="eastAsia"/>
                <w:highlight w:val="none"/>
              </w:rPr>
            </w:pPr>
            <w:r>
              <w:rPr>
                <w:rFonts w:hint="eastAsia"/>
                <w:color w:val="auto"/>
                <w:highlight w:val="none"/>
                <w:lang w:val="en-US"/>
              </w:rPr>
              <w:t>3.9</w:t>
            </w:r>
            <w:r>
              <w:rPr>
                <w:rFonts w:hint="eastAsia"/>
                <w:highlight w:val="none"/>
              </w:rPr>
              <w:t>本次招标接受联合体投标。以联合体形式投标的，应满足下列要求：</w:t>
            </w:r>
          </w:p>
          <w:p>
            <w:pPr>
              <w:pStyle w:val="72"/>
              <w:tabs>
                <w:tab w:val="left" w:pos="1673"/>
              </w:tabs>
              <w:autoSpaceDE w:val="0"/>
              <w:autoSpaceDN w:val="0"/>
              <w:spacing w:line="360" w:lineRule="auto"/>
              <w:ind w:left="0" w:right="-87" w:firstLine="0"/>
              <w:rPr>
                <w:rFonts w:hint="eastAsia"/>
                <w:highlight w:val="none"/>
              </w:rPr>
            </w:pPr>
            <w:r>
              <w:rPr>
                <w:rFonts w:hint="eastAsia"/>
                <w:highlight w:val="none"/>
              </w:rPr>
              <w:t>（1）联合体须由牵头人及一名成员组成，联合体各方必须按招标文件提供的格式签订联合体协议书，明确联合体牵头人和各方的权利义务；联合体各方必须在本项目合同执行过程中严格遵循联合体协议的规定并承担相应的责任与义务，联合体各方不得对联合体协议及联合体成员组成作任何变更。</w:t>
            </w:r>
          </w:p>
          <w:p>
            <w:pPr>
              <w:pStyle w:val="72"/>
              <w:tabs>
                <w:tab w:val="left" w:pos="1673"/>
              </w:tabs>
              <w:autoSpaceDE w:val="0"/>
              <w:autoSpaceDN w:val="0"/>
              <w:spacing w:line="360" w:lineRule="auto"/>
              <w:ind w:left="0" w:right="-87" w:firstLine="0"/>
              <w:rPr>
                <w:highlight w:val="none"/>
                <w:lang w:val="en-US"/>
              </w:rPr>
            </w:pPr>
            <w:r>
              <w:rPr>
                <w:rFonts w:hint="eastAsia"/>
                <w:highlight w:val="none"/>
              </w:rPr>
              <w:t>（2）联合体各方不得再以自己名义单独或加入其他联合体在本项目中参加投标。</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both"/>
              <w:textAlignment w:val="center"/>
              <w:rPr>
                <w:rFonts w:ascii="宋体" w:hAnsi="宋体" w:eastAsia="宋体" w:cs="宋体"/>
                <w:highlight w:val="none"/>
              </w:rPr>
            </w:pPr>
            <w:r>
              <w:rPr>
                <w:rFonts w:hint="eastAsia" w:ascii="宋体" w:hAnsi="宋体" w:eastAsia="宋体" w:cs="宋体"/>
                <w:highlight w:val="none"/>
                <w:lang w:eastAsia="zh-CN" w:bidi="ar"/>
              </w:rPr>
              <w:t>1.4.2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both"/>
              <w:textAlignment w:val="bottom"/>
              <w:rPr>
                <w:rFonts w:ascii="宋体" w:hAnsi="宋体" w:eastAsia="宋体" w:cs="宋体"/>
                <w:highlight w:val="none"/>
              </w:rPr>
            </w:pPr>
            <w:r>
              <w:rPr>
                <w:rFonts w:hint="eastAsia" w:ascii="宋体" w:hAnsi="宋体" w:eastAsia="宋体" w:cs="宋体"/>
                <w:highlight w:val="none"/>
                <w:lang w:eastAsia="zh-CN" w:bidi="ar"/>
              </w:rPr>
              <w:t>是否接受联合体投标</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2"/>
              <w:tabs>
                <w:tab w:val="left" w:pos="1673"/>
              </w:tabs>
              <w:autoSpaceDE w:val="0"/>
              <w:autoSpaceDN w:val="0"/>
              <w:spacing w:line="360" w:lineRule="auto"/>
              <w:ind w:left="0" w:right="-87" w:firstLine="0"/>
              <w:rPr>
                <w:rFonts w:hint="eastAsia"/>
                <w:highlight w:val="none"/>
              </w:rPr>
            </w:pPr>
            <w:r>
              <w:rPr>
                <w:rFonts w:hint="eastAsia"/>
                <w:highlight w:val="none"/>
              </w:rPr>
              <w:t>本次招标接受联合体投标。以联合体形式投标的，应满足下列要求：</w:t>
            </w:r>
          </w:p>
          <w:p>
            <w:pPr>
              <w:pStyle w:val="72"/>
              <w:tabs>
                <w:tab w:val="left" w:pos="1673"/>
              </w:tabs>
              <w:autoSpaceDE w:val="0"/>
              <w:autoSpaceDN w:val="0"/>
              <w:spacing w:line="360" w:lineRule="auto"/>
              <w:ind w:left="0" w:right="-87" w:firstLine="0"/>
              <w:rPr>
                <w:rFonts w:hint="eastAsia"/>
                <w:highlight w:val="none"/>
              </w:rPr>
            </w:pPr>
            <w:r>
              <w:rPr>
                <w:rFonts w:hint="eastAsia"/>
                <w:highlight w:val="none"/>
              </w:rPr>
              <w:t>（1）联合体须由牵头人及一名成员组成，联合体各方必须按招标文件提供的格式签订联合体协议书，明确联合体牵头人和各方的权利义务；联合体各方必须在本项目合同执行过程中严格遵循联合体协议的规定并承担相应的责任与义务，联合体各方不得对联合体协议及联合体成员组成作任何变更。</w:t>
            </w:r>
          </w:p>
          <w:p>
            <w:pPr>
              <w:pStyle w:val="72"/>
              <w:tabs>
                <w:tab w:val="left" w:pos="1673"/>
              </w:tabs>
              <w:autoSpaceDE w:val="0"/>
              <w:autoSpaceDN w:val="0"/>
              <w:spacing w:line="360" w:lineRule="auto"/>
              <w:ind w:left="0" w:right="-87" w:firstLine="0"/>
              <w:rPr>
                <w:rFonts w:ascii="宋体" w:hAnsi="宋体" w:eastAsia="宋体" w:cs="宋体"/>
                <w:highlight w:val="none"/>
              </w:rPr>
            </w:pPr>
            <w:r>
              <w:rPr>
                <w:rFonts w:hint="eastAsia"/>
                <w:highlight w:val="none"/>
              </w:rPr>
              <w:t>（2）联合体各方不得再以自己名义单独或加入其他联合体在本项目中参加投标。</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1.10.1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投标预备会</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不召开</w:t>
            </w:r>
          </w:p>
        </w:tc>
      </w:tr>
      <w:tr>
        <w:tblPrEx>
          <w:tblCellMar>
            <w:top w:w="0" w:type="dxa"/>
            <w:left w:w="108" w:type="dxa"/>
            <w:bottom w:w="0" w:type="dxa"/>
            <w:right w:w="108" w:type="dxa"/>
          </w:tblCellMar>
        </w:tblPrEx>
        <w:trPr>
          <w:trHeight w:val="5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1.10.2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供应商提出问题的截止时间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磋商文件公告期限届满之日</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1.10.3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采购人书面澄 清的时间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递交响应文件的截止之日</w:t>
            </w:r>
            <w:r>
              <w:rPr>
                <w:rStyle w:val="75"/>
                <w:rFonts w:hint="eastAsia" w:ascii="宋体" w:hAnsi="宋体" w:eastAsia="宋体" w:cs="宋体"/>
                <w:sz w:val="24"/>
                <w:szCs w:val="24"/>
                <w:highlight w:val="none"/>
                <w:lang w:eastAsia="zh-CN" w:bidi="ar"/>
              </w:rPr>
              <w:t>5</w:t>
            </w:r>
            <w:r>
              <w:rPr>
                <w:rStyle w:val="76"/>
                <w:rFonts w:hint="default"/>
                <w:sz w:val="24"/>
                <w:szCs w:val="24"/>
                <w:highlight w:val="none"/>
                <w:lang w:eastAsia="zh-CN" w:bidi="ar"/>
              </w:rPr>
              <w:t>日前</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1.11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分包</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不允许</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构成磋商文件</w:t>
            </w:r>
          </w:p>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的其他材料</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除磋商文件外，采购人在磋商期间发出的澄清、修改、补充、补遗和其他有效正式函件等内容均是磋商文件的组成部分</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2.2.1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供应商要求澄 清磋商文件的截止时间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递交响应文件的截止之日</w:t>
            </w:r>
            <w:r>
              <w:rPr>
                <w:rStyle w:val="75"/>
                <w:rFonts w:hint="eastAsia" w:ascii="宋体" w:hAnsi="宋体" w:eastAsia="宋体" w:cs="宋体"/>
                <w:sz w:val="24"/>
                <w:szCs w:val="24"/>
                <w:highlight w:val="none"/>
                <w:lang w:eastAsia="zh-CN" w:bidi="ar"/>
              </w:rPr>
              <w:t>5</w:t>
            </w:r>
            <w:r>
              <w:rPr>
                <w:rStyle w:val="76"/>
                <w:rFonts w:hint="default"/>
                <w:sz w:val="24"/>
                <w:szCs w:val="24"/>
                <w:highlight w:val="none"/>
                <w:lang w:eastAsia="zh-CN" w:bidi="ar"/>
              </w:rPr>
              <w:t>日前</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2.2.2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提交响应文件截止时间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color w:val="auto"/>
                <w:highlight w:val="none"/>
              </w:rPr>
            </w:pPr>
            <w:r>
              <w:rPr>
                <w:rFonts w:hint="eastAsia" w:ascii="宋体" w:hAnsi="宋体" w:eastAsia="宋体" w:cs="宋体"/>
                <w:color w:val="auto"/>
                <w:highlight w:val="none"/>
                <w:lang w:eastAsia="zh-CN" w:bidi="ar"/>
              </w:rPr>
              <w:t>详见竞争性磋商公告</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构成响应文件的其他材料</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供应商认为需要提交的其他证明材料</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3.3.1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磋商有效期</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60</w:t>
            </w:r>
            <w:r>
              <w:rPr>
                <w:rStyle w:val="76"/>
                <w:rFonts w:hint="default"/>
                <w:sz w:val="24"/>
                <w:szCs w:val="24"/>
                <w:highlight w:val="none"/>
                <w:lang w:eastAsia="zh-CN" w:bidi="ar"/>
              </w:rPr>
              <w:t>日历天（自提交响应文件截止之日起计算）</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3.4.1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磋商保证金</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不收取</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3.5.3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签字盖章要求</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按磋商文件格式要求签字盖章。</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3.5.4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响应文件份数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加密的电子磋商响应文件1份（.ZMTF格式）须在磋商响应文件递交截止时间前通过“中牟县公共资源交易中心网站（http:// www. zmxggzy. com）”电子交易平台加密上传；上传文件尽量在截止日前1-2日内完成，以避免网络拥堵或其他原因造成上传失败，由于响应文件未按时提交所造成的后果由供应商自行承担。</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3.5.5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装订要求</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rPr>
            </w:pPr>
            <w:r>
              <w:rPr>
                <w:rFonts w:hint="eastAsia" w:ascii="宋体" w:hAnsi="宋体" w:eastAsia="宋体" w:cs="宋体"/>
                <w:highlight w:val="none"/>
                <w:lang w:eastAsia="zh-CN" w:bidi="ar"/>
              </w:rPr>
              <w:t>供应商无需到交易中心现场参加开标会议，无需现场提交纸质版响应文件或原件。供应商须使用电子交易系统提供的响应文件制作工具进行电子响应文件的制作，并按要求上传经CA锁签章和加密的电子响应文件（.ZMTF格式）。</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4.2.2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提交响应文件 时间及地点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截止时间：详见公告</w:t>
            </w:r>
          </w:p>
          <w:p>
            <w:pPr>
              <w:widowControl/>
              <w:spacing w:line="500" w:lineRule="exact"/>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地点：详见公告</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4.2.3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rPr>
            </w:pPr>
            <w:r>
              <w:rPr>
                <w:rFonts w:hint="eastAsia" w:ascii="宋体" w:hAnsi="宋体" w:eastAsia="宋体" w:cs="宋体"/>
                <w:highlight w:val="none"/>
                <w:lang w:eastAsia="zh-CN" w:bidi="ar"/>
              </w:rPr>
              <w:t>是否退还响应 文件</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否</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5.1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开标时间和地 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磋商时间：同响应文件提交截止时间</w:t>
            </w:r>
          </w:p>
          <w:p>
            <w:pPr>
              <w:widowControl/>
              <w:spacing w:line="500" w:lineRule="exact"/>
              <w:textAlignment w:val="bottom"/>
              <w:rPr>
                <w:rFonts w:ascii="宋体" w:hAnsi="宋体" w:eastAsia="宋体" w:cs="宋体"/>
                <w:highlight w:val="none"/>
              </w:rPr>
            </w:pPr>
            <w:r>
              <w:rPr>
                <w:rFonts w:hint="eastAsia" w:ascii="宋体" w:hAnsi="宋体" w:eastAsia="宋体" w:cs="宋体"/>
                <w:highlight w:val="none"/>
                <w:lang w:eastAsia="zh-CN" w:bidi="ar"/>
              </w:rPr>
              <w:t>开标地点：详见公告</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6.1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rPr>
            </w:pPr>
            <w:r>
              <w:rPr>
                <w:rFonts w:hint="eastAsia" w:ascii="宋体" w:hAnsi="宋体" w:eastAsia="宋体" w:cs="宋体"/>
                <w:highlight w:val="none"/>
                <w:lang w:eastAsia="zh-CN" w:bidi="ar"/>
              </w:rPr>
              <w:t>磋商小组的组建</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磋商小组构成：3 人；</w:t>
            </w:r>
          </w:p>
          <w:p>
            <w:pPr>
              <w:widowControl/>
              <w:spacing w:line="500" w:lineRule="exact"/>
              <w:textAlignment w:val="bottom"/>
              <w:rPr>
                <w:rFonts w:ascii="宋体" w:hAnsi="宋体" w:eastAsia="宋体" w:cs="宋体"/>
                <w:highlight w:val="none"/>
                <w:lang w:eastAsia="zh-CN"/>
              </w:rPr>
            </w:pPr>
            <w:r>
              <w:rPr>
                <w:rFonts w:hint="eastAsia" w:ascii="宋体" w:hAnsi="宋体" w:eastAsia="宋体" w:cs="宋体"/>
                <w:highlight w:val="none"/>
                <w:lang w:eastAsia="zh-CN" w:bidi="ar"/>
              </w:rPr>
              <w:t>采购代表1人，相关专业经济、技术专家2人。</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7.1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是否授权磋商 小组确定成交 人</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否；推荐的成交候选人数：</w:t>
            </w:r>
            <w:r>
              <w:rPr>
                <w:rStyle w:val="75"/>
                <w:rFonts w:hint="eastAsia" w:ascii="宋体" w:hAnsi="宋体" w:eastAsia="宋体" w:cs="宋体"/>
                <w:sz w:val="24"/>
                <w:szCs w:val="24"/>
                <w:highlight w:val="none"/>
                <w:lang w:eastAsia="zh-CN" w:bidi="ar"/>
              </w:rPr>
              <w:t>3</w:t>
            </w:r>
            <w:r>
              <w:rPr>
                <w:rStyle w:val="76"/>
                <w:rFonts w:hint="default"/>
                <w:sz w:val="24"/>
                <w:szCs w:val="24"/>
                <w:highlight w:val="none"/>
                <w:lang w:eastAsia="zh-CN" w:bidi="ar"/>
              </w:rPr>
              <w:t>名</w:t>
            </w:r>
          </w:p>
        </w:tc>
      </w:tr>
      <w:tr>
        <w:tblPrEx>
          <w:tblCellMar>
            <w:top w:w="0" w:type="dxa"/>
            <w:left w:w="108" w:type="dxa"/>
            <w:bottom w:w="0" w:type="dxa"/>
            <w:right w:w="108" w:type="dxa"/>
          </w:tblCellMar>
        </w:tblPrEx>
        <w:trPr>
          <w:trHeight w:val="23" w:hRule="atLeast"/>
        </w:trPr>
        <w:tc>
          <w:tcPr>
            <w:tcW w:w="92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需要补充的其他内容</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10.1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招标控制价</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同磋商公告最高限价，超过最高限价的按废标处理。</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代理服务费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本项目收费标准根据《河南省招标代理服务收费指导意见》豫招协【2023】002号文件的标准计取，由中标人在领取中标通知书前一次性缴纳代理服务费。</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政府采购政策</w:t>
            </w:r>
          </w:p>
        </w:tc>
        <w:tc>
          <w:tcPr>
            <w:tcW w:w="6241" w:type="dxa"/>
            <w:tcBorders>
              <w:top w:val="single" w:color="000000" w:sz="4" w:space="0"/>
              <w:left w:val="single" w:color="000000" w:sz="4" w:space="0"/>
              <w:bottom w:val="single" w:color="000000" w:sz="4" w:space="0"/>
              <w:right w:val="single" w:color="000000" w:sz="4" w:space="0"/>
            </w:tcBorders>
            <w:shd w:val="clear" w:color="auto" w:fill="FFFFFF"/>
          </w:tcPr>
          <w:p>
            <w:pPr>
              <w:pStyle w:val="37"/>
              <w:spacing w:line="360" w:lineRule="auto"/>
              <w:jc w:val="both"/>
              <w:rPr>
                <w:rFonts w:hAnsi="宋体"/>
                <w:color w:val="auto"/>
                <w:highlight w:val="none"/>
              </w:rPr>
            </w:pPr>
            <w:r>
              <w:rPr>
                <w:rFonts w:hint="eastAsia" w:hAnsi="宋体"/>
                <w:color w:val="auto"/>
                <w:highlight w:val="none"/>
              </w:rPr>
              <w:t xml:space="preserve">1.本项目非专门面向中小企业、监狱企业及残疾人福利性单位采购项目。政府采购政策：本项目执行节约能源、保护环境、扶持不发达及少数民族地区，促进中小企业发展等政府采购政策。 </w:t>
            </w:r>
          </w:p>
          <w:p>
            <w:pPr>
              <w:pStyle w:val="37"/>
              <w:spacing w:line="360" w:lineRule="auto"/>
              <w:jc w:val="both"/>
              <w:rPr>
                <w:rFonts w:hAnsi="宋体"/>
                <w:color w:val="auto"/>
                <w:highlight w:val="none"/>
              </w:rPr>
            </w:pPr>
            <w:r>
              <w:rPr>
                <w:rFonts w:hint="eastAsia" w:hAnsi="宋体"/>
                <w:color w:val="auto"/>
                <w:highlight w:val="none"/>
              </w:rPr>
              <w:t>2.中小微型企业有关政策：</w:t>
            </w:r>
          </w:p>
          <w:p>
            <w:pPr>
              <w:pStyle w:val="37"/>
              <w:spacing w:line="360" w:lineRule="auto"/>
              <w:jc w:val="both"/>
              <w:rPr>
                <w:rFonts w:hAnsi="宋体"/>
                <w:color w:val="auto"/>
                <w:highlight w:val="none"/>
              </w:rPr>
            </w:pPr>
            <w:r>
              <w:rPr>
                <w:rFonts w:hint="eastAsia" w:hAnsi="宋体"/>
                <w:color w:val="auto"/>
                <w:highlight w:val="none"/>
              </w:rPr>
              <w:t xml:space="preserve">对于供应商为监狱企业、小型和微型企业及其投标产品为小型和微型企业生产的，将以扣除优惠比率后的报价参与价格评议，但不作为中标价和合同签约价。中标价和合同签约价仍以其响应文件中的报价为准。小型和微型企业价格给予扣除标准：根据《政府采购促进中小企业发展管理办法》(财库[2020]46 号)及《关于进一步加大政府采购支持中小企业力度的通知》（财库〔2022〕19 号）的规定，对于非专门面向中小企业的项目，对小型和微型企业的价格给予 20%的扣除，用扣除后的报价参与评审。对于中型企业的价格不予扣除。供应商应当在响应文件中提供中小企业声明函（见附件），否则不予认可。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 20%的扣除，用扣除后的报价参与评审。根据《财政部、民政部、中国残疾人联合会关于促进残疾人就业政府采购政策的通知》（财库[2017]141 号）的规定，提供《残疾人福利性单位声明函》（见附件），并对声明的真实性负责。中标人为残疾人福利性单位的，采购人或者其委托的采购代理机构应当随中标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价格给予 20%的扣除，用扣除后的报价参与评审。 </w:t>
            </w:r>
          </w:p>
          <w:p>
            <w:pPr>
              <w:pStyle w:val="37"/>
              <w:spacing w:line="360" w:lineRule="auto"/>
              <w:jc w:val="both"/>
              <w:rPr>
                <w:rFonts w:hAnsi="宋体"/>
                <w:color w:val="auto"/>
                <w:highlight w:val="none"/>
              </w:rPr>
            </w:pPr>
            <w:r>
              <w:rPr>
                <w:rFonts w:hint="eastAsia" w:hAnsi="宋体"/>
                <w:color w:val="auto"/>
                <w:highlight w:val="none"/>
              </w:rPr>
              <w:t>备注：监狱企业和残疾人福利性单位属于小型、微型企业的，不重复享受政策。</w:t>
            </w:r>
          </w:p>
          <w:p>
            <w:pPr>
              <w:pStyle w:val="37"/>
              <w:spacing w:line="360" w:lineRule="auto"/>
              <w:jc w:val="both"/>
              <w:rPr>
                <w:rFonts w:hAnsi="宋体"/>
                <w:color w:val="auto"/>
                <w:highlight w:val="none"/>
              </w:rPr>
            </w:pPr>
            <w:r>
              <w:rPr>
                <w:rFonts w:hint="eastAsia" w:hAnsi="宋体"/>
                <w:color w:val="auto"/>
                <w:highlight w:val="none"/>
              </w:rPr>
              <w:t>3.优先采购的节能产品、环境标志产品要求：</w:t>
            </w:r>
          </w:p>
          <w:p>
            <w:pPr>
              <w:pStyle w:val="37"/>
              <w:spacing w:line="360" w:lineRule="auto"/>
              <w:jc w:val="both"/>
              <w:rPr>
                <w:rFonts w:hAnsi="宋体"/>
                <w:color w:val="auto"/>
                <w:highlight w:val="none"/>
              </w:rPr>
            </w:pPr>
            <w:r>
              <w:rPr>
                <w:rFonts w:hint="eastAsia" w:hAnsi="宋体"/>
                <w:color w:val="auto"/>
                <w:highlight w:val="none"/>
              </w:rPr>
              <w:t xml:space="preserve">如果所投产品是国家规定的节能产品及环境标志产品的（强制采购节能产品的除外），给予优先采购的权利，须提供以下材料：投标产品中属于政府优先采购节能产品、环境标志产品，应提供对应型号的国家确定的认证机构出具的处于有效期之内的节能产品、环境标志产品认证证书等证明材料，否则视为主动放弃被优先采购的权利。优先采购节能产品和环境标志产品在同等条件下属于优先采购范围（优先采购指最终得分相等时，投标报价也相同时，按技术指标优劣顺序排序，技术指标优劣情况相同的，优先采购节能产品和环境标志产品合计金额占自身投标报价比例大的）。 </w:t>
            </w:r>
          </w:p>
          <w:p>
            <w:pPr>
              <w:pStyle w:val="37"/>
              <w:spacing w:line="360" w:lineRule="auto"/>
              <w:jc w:val="both"/>
              <w:rPr>
                <w:rFonts w:hAnsi="宋体"/>
                <w:color w:val="auto"/>
                <w:highlight w:val="none"/>
              </w:rPr>
            </w:pPr>
            <w:r>
              <w:rPr>
                <w:rFonts w:hint="eastAsia" w:hAnsi="宋体"/>
                <w:color w:val="auto"/>
                <w:highlight w:val="none"/>
              </w:rPr>
              <w:t>4.根据《财政部工业和信息化部国家质检总局国家认监委关于信息安全产品实施政府采购的通知》财库〔2010〕48 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pPr>
              <w:widowControl/>
              <w:spacing w:line="500" w:lineRule="exact"/>
              <w:textAlignment w:val="top"/>
              <w:rPr>
                <w:rFonts w:ascii="宋体" w:hAnsi="宋体" w:eastAsia="宋体" w:cs="宋体"/>
                <w:highlight w:val="none"/>
                <w:lang w:eastAsia="zh-CN"/>
              </w:rPr>
            </w:pPr>
            <w:r>
              <w:rPr>
                <w:rFonts w:hint="eastAsia" w:hAnsi="宋体" w:eastAsia="宋体"/>
                <w:color w:val="auto"/>
                <w:highlight w:val="none"/>
                <w:lang w:eastAsia="zh-CN"/>
              </w:rPr>
              <w:t>5.</w:t>
            </w:r>
            <w:r>
              <w:rPr>
                <w:rFonts w:hint="eastAsia" w:hAnsi="宋体"/>
                <w:color w:val="auto"/>
                <w:highlight w:val="none"/>
                <w:lang w:eastAsia="zh-CN"/>
              </w:rPr>
              <w:t>所投产品已列入国家强制性产品认证或生产许可的产品，必须提供通过认证或生产许可的有关证明材料。</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付款方式</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hint="default" w:ascii="宋体" w:hAnsi="宋体" w:eastAsia="宋体" w:cs="宋体"/>
                <w:highlight w:val="none"/>
                <w:lang w:val="en-US" w:eastAsia="zh-CN"/>
              </w:rPr>
            </w:pPr>
            <w:r>
              <w:rPr>
                <w:rFonts w:hint="eastAsia" w:ascii="宋体" w:hAnsi="宋体" w:eastAsia="宋体" w:cs="宋体"/>
                <w:highlight w:val="none"/>
                <w:lang w:val="en-US" w:eastAsia="zh-CN"/>
              </w:rPr>
              <w:t>签订合同时另行约定</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合同签订</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rPr>
            </w:pPr>
            <w:r>
              <w:rPr>
                <w:rFonts w:hint="eastAsia" w:ascii="宋体" w:hAnsi="宋体" w:eastAsia="宋体" w:cs="宋体"/>
                <w:highlight w:val="none"/>
                <w:lang w:eastAsia="zh-CN" w:bidi="ar"/>
              </w:rPr>
              <w:t>成交供应商确定后，在成交通知书发出之日起30日内，成交供应商与采购人签订本项目合同。</w:t>
            </w:r>
          </w:p>
        </w:tc>
      </w:tr>
      <w:tr>
        <w:tblPrEx>
          <w:tblCellMar>
            <w:top w:w="0" w:type="dxa"/>
            <w:left w:w="108" w:type="dxa"/>
            <w:bottom w:w="0" w:type="dxa"/>
            <w:right w:w="108" w:type="dxa"/>
          </w:tblCellMar>
        </w:tblPrEx>
        <w:trPr>
          <w:trHeight w:val="4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10.6</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履约保证金</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default" w:ascii="宋体" w:hAnsi="宋体" w:eastAsia="宋体" w:cs="宋体"/>
                <w:highlight w:val="none"/>
                <w:lang w:val="en-US"/>
              </w:rPr>
            </w:pPr>
            <w:r>
              <w:rPr>
                <w:rFonts w:hint="default" w:ascii="宋体" w:hAnsi="宋体" w:eastAsia="宋体" w:cs="宋体"/>
                <w:highlight w:val="none"/>
                <w:lang w:val="en-US"/>
              </w:rPr>
              <w:t>/</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10.7</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其他</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Style w:val="75"/>
                <w:rFonts w:ascii="宋体" w:hAnsi="宋体" w:eastAsia="宋体" w:cs="宋体"/>
                <w:sz w:val="24"/>
                <w:szCs w:val="24"/>
                <w:highlight w:val="none"/>
                <w:lang w:eastAsia="zh-CN" w:bidi="ar"/>
              </w:rPr>
            </w:pPr>
            <w:r>
              <w:rPr>
                <w:rFonts w:hint="eastAsia" w:ascii="宋体" w:hAnsi="宋体" w:eastAsia="宋体" w:cs="宋体"/>
                <w:highlight w:val="none"/>
                <w:lang w:eastAsia="zh-CN" w:bidi="ar"/>
              </w:rPr>
              <w:t>1</w:t>
            </w:r>
            <w:r>
              <w:rPr>
                <w:rStyle w:val="76"/>
                <w:rFonts w:hint="default"/>
                <w:sz w:val="24"/>
                <w:szCs w:val="24"/>
                <w:highlight w:val="none"/>
                <w:lang w:eastAsia="zh-CN" w:bidi="ar"/>
              </w:rPr>
              <w:t>、本文件解释权归招标人；</w:t>
            </w:r>
          </w:p>
          <w:p>
            <w:pPr>
              <w:widowControl/>
              <w:spacing w:line="500" w:lineRule="exact"/>
              <w:textAlignment w:val="center"/>
              <w:rPr>
                <w:rStyle w:val="75"/>
                <w:rFonts w:ascii="宋体" w:hAnsi="宋体" w:eastAsia="宋体" w:cs="宋体"/>
                <w:sz w:val="24"/>
                <w:szCs w:val="24"/>
                <w:highlight w:val="none"/>
                <w:lang w:eastAsia="zh-CN" w:bidi="ar"/>
              </w:rPr>
            </w:pPr>
            <w:r>
              <w:rPr>
                <w:rStyle w:val="75"/>
                <w:rFonts w:hint="eastAsia" w:ascii="宋体" w:hAnsi="宋体" w:eastAsia="宋体" w:cs="宋体"/>
                <w:sz w:val="24"/>
                <w:szCs w:val="24"/>
                <w:highlight w:val="none"/>
                <w:lang w:eastAsia="zh-CN" w:bidi="ar"/>
              </w:rPr>
              <w:t>2</w:t>
            </w:r>
            <w:r>
              <w:rPr>
                <w:rStyle w:val="76"/>
                <w:rFonts w:hint="default"/>
                <w:sz w:val="24"/>
                <w:szCs w:val="24"/>
                <w:highlight w:val="none"/>
                <w:lang w:eastAsia="zh-CN" w:bidi="ar"/>
              </w:rPr>
              <w:t>、本文件未尽事宜，参照现行有关的法律、法规、规章、办法等执行；</w:t>
            </w:r>
          </w:p>
          <w:p>
            <w:pPr>
              <w:widowControl/>
              <w:spacing w:line="500" w:lineRule="exact"/>
              <w:textAlignment w:val="center"/>
              <w:rPr>
                <w:rStyle w:val="75"/>
                <w:rFonts w:ascii="宋体" w:hAnsi="宋体" w:eastAsia="宋体" w:cs="宋体"/>
                <w:sz w:val="24"/>
                <w:szCs w:val="24"/>
                <w:highlight w:val="none"/>
                <w:lang w:eastAsia="zh-CN" w:bidi="ar"/>
              </w:rPr>
            </w:pPr>
            <w:r>
              <w:rPr>
                <w:rStyle w:val="75"/>
                <w:rFonts w:hint="eastAsia" w:ascii="宋体" w:hAnsi="宋体" w:eastAsia="宋体" w:cs="宋体"/>
                <w:sz w:val="24"/>
                <w:szCs w:val="24"/>
                <w:highlight w:val="none"/>
                <w:lang w:eastAsia="zh-CN" w:bidi="ar"/>
              </w:rPr>
              <w:t>3</w:t>
            </w:r>
            <w:r>
              <w:rPr>
                <w:rStyle w:val="76"/>
                <w:rFonts w:hint="default"/>
                <w:sz w:val="24"/>
                <w:szCs w:val="24"/>
                <w:highlight w:val="none"/>
                <w:lang w:eastAsia="zh-CN" w:bidi="ar"/>
              </w:rPr>
              <w:t>、</w:t>
            </w:r>
            <w:r>
              <w:rPr>
                <w:rStyle w:val="77"/>
                <w:rFonts w:hint="eastAsia" w:ascii="宋体" w:hAnsi="宋体" w:eastAsia="宋体" w:cs="宋体"/>
                <w:sz w:val="24"/>
                <w:szCs w:val="24"/>
                <w:highlight w:val="none"/>
                <w:lang w:eastAsia="zh-CN" w:bidi="ar"/>
              </w:rPr>
              <w:t xml:space="preserve"> </w:t>
            </w:r>
            <w:r>
              <w:rPr>
                <w:rStyle w:val="76"/>
                <w:rFonts w:hint="default"/>
                <w:sz w:val="24"/>
                <w:szCs w:val="24"/>
                <w:highlight w:val="none"/>
                <w:lang w:eastAsia="zh-CN" w:bidi="ar"/>
              </w:rPr>
              <w:t>本次采购如有变更、答疑或其他通知将在中牟县公共资源交易中心电子系统或竞争性磋商公告发布的相同网站上公布。</w:t>
            </w:r>
          </w:p>
          <w:p>
            <w:pPr>
              <w:widowControl/>
              <w:spacing w:line="500" w:lineRule="exact"/>
              <w:textAlignment w:val="center"/>
              <w:rPr>
                <w:rFonts w:ascii="宋体" w:hAnsi="宋体" w:eastAsia="宋体" w:cs="宋体"/>
                <w:highlight w:val="none"/>
                <w:lang w:eastAsia="zh-CN"/>
              </w:rPr>
            </w:pPr>
            <w:r>
              <w:rPr>
                <w:rStyle w:val="75"/>
                <w:rFonts w:hint="eastAsia" w:ascii="宋体" w:hAnsi="宋体" w:eastAsia="宋体" w:cs="宋体"/>
                <w:sz w:val="24"/>
                <w:szCs w:val="24"/>
                <w:highlight w:val="none"/>
                <w:lang w:eastAsia="zh-CN" w:bidi="ar"/>
              </w:rPr>
              <w:t>4</w:t>
            </w:r>
            <w:r>
              <w:rPr>
                <w:rStyle w:val="76"/>
                <w:rFonts w:hint="default"/>
                <w:sz w:val="24"/>
                <w:szCs w:val="24"/>
                <w:highlight w:val="none"/>
                <w:lang w:eastAsia="zh-CN" w:bidi="ar"/>
              </w:rPr>
              <w:t>、供应商在磋商响应文件递交截止时间前须自行查看项目进展、变更通知、澄清及回复，因供应商未及时查看而造成的后果自负。</w:t>
            </w:r>
          </w:p>
        </w:tc>
      </w:tr>
    </w:tbl>
    <w:p>
      <w:pPr>
        <w:pStyle w:val="68"/>
        <w:keepNext/>
        <w:keepLines/>
        <w:ind w:firstLine="0"/>
        <w:outlineLvl w:val="9"/>
        <w:rPr>
          <w:sz w:val="21"/>
          <w:szCs w:val="21"/>
          <w:highlight w:val="none"/>
        </w:rPr>
      </w:pPr>
    </w:p>
    <w:p>
      <w:pPr>
        <w:pStyle w:val="68"/>
        <w:keepNext/>
        <w:keepLines/>
        <w:spacing w:line="360" w:lineRule="auto"/>
        <w:outlineLvl w:val="9"/>
        <w:rPr>
          <w:sz w:val="24"/>
          <w:szCs w:val="24"/>
          <w:highlight w:val="none"/>
        </w:rPr>
      </w:pPr>
      <w:bookmarkStart w:id="29" w:name="_Toc22936"/>
      <w:bookmarkStart w:id="30" w:name="_Toc31424"/>
      <w:bookmarkStart w:id="31" w:name="_Toc3440"/>
      <w:bookmarkStart w:id="32" w:name="_Toc22560"/>
      <w:r>
        <w:rPr>
          <w:sz w:val="24"/>
          <w:szCs w:val="24"/>
          <w:highlight w:val="none"/>
        </w:rPr>
        <w:t>注：本磋商文件中内容与供应商须知前附表中内容不一致时以供应商须知前附表中内容为准。</w:t>
      </w:r>
      <w:bookmarkEnd w:id="26"/>
      <w:bookmarkEnd w:id="27"/>
      <w:bookmarkEnd w:id="28"/>
      <w:bookmarkEnd w:id="29"/>
      <w:bookmarkEnd w:id="30"/>
      <w:bookmarkEnd w:id="31"/>
      <w:bookmarkEnd w:id="32"/>
    </w:p>
    <w:p>
      <w:pPr>
        <w:pStyle w:val="68"/>
        <w:keepNext/>
        <w:keepLines/>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33" w:name="_Toc23959"/>
      <w:r>
        <w:rPr>
          <w:rFonts w:hint="eastAsia" w:ascii="宋体" w:hAnsi="宋体" w:eastAsia="宋体" w:cs="宋体"/>
          <w:sz w:val="24"/>
          <w:szCs w:val="24"/>
          <w:highlight w:val="none"/>
          <w:lang w:val="zh-CN" w:eastAsia="zh-CN" w:bidi="zh-CN"/>
        </w:rPr>
        <w:t>1</w:t>
      </w:r>
      <w:r>
        <w:rPr>
          <w:rFonts w:hint="eastAsia" w:ascii="宋体" w:hAnsi="宋体" w:eastAsia="宋体" w:cs="宋体"/>
          <w:sz w:val="24"/>
          <w:szCs w:val="24"/>
          <w:highlight w:val="none"/>
        </w:rPr>
        <w:t>.总则</w:t>
      </w:r>
      <w:bookmarkEnd w:id="33"/>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1.1</w:t>
      </w:r>
      <w:r>
        <w:rPr>
          <w:rFonts w:hint="eastAsia" w:ascii="宋体" w:hAnsi="宋体" w:eastAsia="宋体" w:cs="宋体"/>
          <w:b/>
          <w:bCs/>
          <w:sz w:val="24"/>
          <w:szCs w:val="24"/>
          <w:highlight w:val="none"/>
        </w:rPr>
        <w:t>适用范围</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1.1.1</w:t>
      </w:r>
      <w:r>
        <w:rPr>
          <w:rFonts w:hint="eastAsia" w:ascii="宋体" w:hAnsi="宋体" w:eastAsia="宋体" w:cs="宋体"/>
          <w:sz w:val="24"/>
          <w:szCs w:val="24"/>
          <w:highlight w:val="none"/>
        </w:rPr>
        <w:t>根据《中华人民共和国政府采购法》等有关法律、法规和规章的规定，编制本项目磋商文件。</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1.1.2</w:t>
      </w:r>
      <w:r>
        <w:rPr>
          <w:rFonts w:hint="eastAsia" w:ascii="宋体" w:hAnsi="宋体" w:eastAsia="宋体" w:cs="宋体"/>
          <w:sz w:val="24"/>
          <w:szCs w:val="24"/>
          <w:highlight w:val="none"/>
        </w:rPr>
        <w:t>本项目采购人：见供应商须知前附表。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1.1.3</w:t>
      </w:r>
      <w:r>
        <w:rPr>
          <w:rFonts w:hint="eastAsia" w:ascii="宋体" w:hAnsi="宋体" w:eastAsia="宋体" w:cs="宋体"/>
          <w:sz w:val="24"/>
          <w:szCs w:val="24"/>
          <w:highlight w:val="none"/>
        </w:rPr>
        <w:t>本项目采购代理机构：见供应商须知前附表。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1.1.4</w:t>
      </w:r>
      <w:r>
        <w:rPr>
          <w:rFonts w:hint="eastAsia" w:ascii="宋体" w:hAnsi="宋体" w:eastAsia="宋体" w:cs="宋体"/>
          <w:sz w:val="24"/>
          <w:szCs w:val="24"/>
          <w:highlight w:val="none"/>
        </w:rPr>
        <w:t>本项目名称：见供应商须知前附表。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1.1.5</w:t>
      </w:r>
      <w:r>
        <w:rPr>
          <w:rFonts w:hint="eastAsia" w:ascii="宋体" w:hAnsi="宋体" w:eastAsia="宋体" w:cs="宋体"/>
          <w:sz w:val="24"/>
          <w:szCs w:val="24"/>
          <w:highlight w:val="none"/>
        </w:rPr>
        <w:t>本项目建设地点：见供应商须知前附表。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1.2资金来源和落实情况</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1.2.1</w:t>
      </w:r>
      <w:r>
        <w:rPr>
          <w:rFonts w:hint="eastAsia" w:ascii="宋体" w:hAnsi="宋体" w:eastAsia="宋体" w:cs="宋体"/>
          <w:sz w:val="24"/>
          <w:szCs w:val="24"/>
          <w:highlight w:val="none"/>
        </w:rPr>
        <w:t>本招标项目的资金来源：见供应商须知前附表。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1.2.2</w:t>
      </w:r>
      <w:r>
        <w:rPr>
          <w:rFonts w:hint="eastAsia" w:ascii="宋体" w:hAnsi="宋体" w:eastAsia="宋体" w:cs="宋体"/>
          <w:sz w:val="24"/>
          <w:szCs w:val="24"/>
          <w:highlight w:val="none"/>
        </w:rPr>
        <w:t>本招标项目的出资比例：见供应商须知前附表。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1.2.3</w:t>
      </w:r>
      <w:r>
        <w:rPr>
          <w:rFonts w:hint="eastAsia" w:ascii="宋体" w:hAnsi="宋体" w:eastAsia="宋体" w:cs="宋体"/>
          <w:sz w:val="24"/>
          <w:szCs w:val="24"/>
          <w:highlight w:val="none"/>
        </w:rPr>
        <w:t>本招标项目的资金落实情况：见供应商须知前附表。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1.3招标范围、设计周期和质量要求</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1.3.1</w:t>
      </w:r>
      <w:r>
        <w:rPr>
          <w:rFonts w:hint="eastAsia" w:ascii="宋体" w:hAnsi="宋体" w:eastAsia="宋体" w:cs="宋体"/>
          <w:sz w:val="24"/>
          <w:szCs w:val="24"/>
          <w:highlight w:val="none"/>
        </w:rPr>
        <w:t>本次招标范围：见供应商须知前附表。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1.3.2</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设计周期</w:t>
      </w:r>
      <w:r>
        <w:rPr>
          <w:rFonts w:hint="eastAsia" w:ascii="宋体" w:hAnsi="宋体" w:eastAsia="宋体" w:cs="宋体"/>
          <w:sz w:val="24"/>
          <w:szCs w:val="24"/>
          <w:highlight w:val="none"/>
        </w:rPr>
        <w:t>：见供应商须知前附表。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1.3.3</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的质量要求：见供应商须知前附表。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1.4供应商资质条件和能力</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1.4.1</w:t>
      </w:r>
      <w:r>
        <w:rPr>
          <w:rFonts w:hint="eastAsia" w:ascii="宋体" w:hAnsi="宋体" w:eastAsia="宋体" w:cs="宋体"/>
          <w:sz w:val="24"/>
          <w:szCs w:val="24"/>
          <w:highlight w:val="none"/>
        </w:rPr>
        <w:t>供应商资质及能力要求：见供应商须知前附表。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1.4.2</w:t>
      </w:r>
      <w:r>
        <w:rPr>
          <w:rFonts w:hint="eastAsia" w:ascii="宋体" w:hAnsi="宋体" w:eastAsia="宋体" w:cs="宋体"/>
          <w:sz w:val="24"/>
          <w:szCs w:val="24"/>
          <w:highlight w:val="none"/>
        </w:rPr>
        <w:t>是否接受联合体投标：见供应商须知前附表。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1.5定义及解释</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1.5.1</w:t>
      </w:r>
      <w:r>
        <w:rPr>
          <w:rFonts w:hint="eastAsia" w:ascii="宋体" w:hAnsi="宋体" w:eastAsia="宋体" w:cs="宋体"/>
          <w:sz w:val="24"/>
          <w:szCs w:val="24"/>
          <w:highlight w:val="none"/>
        </w:rPr>
        <w:t>采购人：依法进行政府采购的国家机关、事业单位、团体组织。</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1.5.2</w:t>
      </w:r>
      <w:r>
        <w:rPr>
          <w:rFonts w:hint="eastAsia" w:ascii="宋体" w:hAnsi="宋体" w:eastAsia="宋体" w:cs="宋体"/>
          <w:sz w:val="24"/>
          <w:szCs w:val="24"/>
          <w:highlight w:val="none"/>
        </w:rPr>
        <w:t>采购代理机构：取得政府采购招标代理资质，受采购人委托组织招标活动的社会中介组织。</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1.5.3</w:t>
      </w:r>
      <w:r>
        <w:rPr>
          <w:rFonts w:hint="eastAsia" w:ascii="宋体" w:hAnsi="宋体" w:eastAsia="宋体" w:cs="宋体"/>
          <w:sz w:val="24"/>
          <w:szCs w:val="24"/>
          <w:highlight w:val="none"/>
        </w:rPr>
        <w:t>供应商：供应商是响应磋商文件、参加磋商竞争的中华人民共和国境内的法人、其他组织。</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1.5.4</w:t>
      </w:r>
      <w:r>
        <w:rPr>
          <w:rFonts w:hint="eastAsia" w:ascii="宋体" w:hAnsi="宋体" w:eastAsia="宋体" w:cs="宋体"/>
          <w:sz w:val="24"/>
          <w:szCs w:val="24"/>
          <w:highlight w:val="none"/>
        </w:rPr>
        <w:t>响应文件：指供应商根据磋商文件提交的所有文件。</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1.5.5</w:t>
      </w:r>
      <w:r>
        <w:rPr>
          <w:rFonts w:hint="eastAsia" w:ascii="宋体" w:hAnsi="宋体" w:eastAsia="宋体" w:cs="宋体"/>
          <w:sz w:val="24"/>
          <w:szCs w:val="24"/>
          <w:highlight w:val="none"/>
        </w:rPr>
        <w:t>磋商小组：依据《中华人民共和国政府采购法》及有关法律、法规的规定依法组建的专门负责本次评标工作的临时机构。</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zh-CN" w:eastAsia="zh-CN" w:bidi="zh-CN"/>
        </w:rPr>
        <w:t>”或“天”：</w:t>
      </w:r>
      <w:r>
        <w:rPr>
          <w:rFonts w:hint="eastAsia" w:ascii="宋体" w:hAnsi="宋体" w:eastAsia="宋体" w:cs="宋体"/>
          <w:sz w:val="24"/>
          <w:szCs w:val="24"/>
          <w:highlight w:val="none"/>
        </w:rPr>
        <w:t>指日历天。</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1.5.7</w:t>
      </w:r>
      <w:r>
        <w:rPr>
          <w:rFonts w:hint="eastAsia" w:ascii="宋体" w:hAnsi="宋体" w:eastAsia="宋体" w:cs="宋体"/>
          <w:sz w:val="24"/>
          <w:szCs w:val="24"/>
          <w:highlight w:val="none"/>
        </w:rPr>
        <w:t>合同：指依据本次货物采购招标结果签订的协议或合约文件。</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1.5.8</w:t>
      </w:r>
      <w:r>
        <w:rPr>
          <w:rFonts w:hint="eastAsia" w:ascii="宋体" w:hAnsi="宋体" w:eastAsia="宋体" w:cs="宋体"/>
          <w:sz w:val="24"/>
          <w:szCs w:val="24"/>
          <w:highlight w:val="none"/>
        </w:rPr>
        <w:t>磋商文件中的标题或题名仅起引导作用，而不应视为对磋商文件内容的理解和解释。</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1.6费用承担</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供应商准备和参加磋商活动发生的费用自理，不论磋商的结果如何，采购人和采购代理机 构在任何情况下均无义务和责任承担这些费用。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1.7保密</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参与磋商活动的各方应对磋商文件和响应文件中的商业和技术等秘密保密，违者应对由此 造成的后果承担法律责任。</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1.8语言文字</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除专用术语外，与磋商有关的语言均使用中文。必要时专用术语应附有中文注释，对不同 文字文本响应文件的解释发生异议的，以中文文本为准。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1.9计量单位</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1.10投标预备会</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1.10.1</w:t>
      </w:r>
      <w:r>
        <w:rPr>
          <w:rFonts w:hint="eastAsia" w:ascii="宋体" w:hAnsi="宋体" w:eastAsia="宋体" w:cs="宋体"/>
          <w:sz w:val="24"/>
          <w:szCs w:val="24"/>
          <w:highlight w:val="none"/>
        </w:rPr>
        <w:t>供应商须知前附表规定召开磋商预备会的，采购人按供应商须知前附表规定的时间 和地点召开投标预备会，澄清供应商提出的问题。</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1.10.2</w:t>
      </w:r>
      <w:r>
        <w:rPr>
          <w:rFonts w:hint="eastAsia" w:ascii="宋体" w:hAnsi="宋体" w:eastAsia="宋体" w:cs="宋体"/>
          <w:sz w:val="24"/>
          <w:szCs w:val="24"/>
          <w:highlight w:val="none"/>
        </w:rPr>
        <w:t>供应商应在供应商须知前附表规定的时间前，以书面形式将提出的问题送达采购人, 以便采购人在会议期间澄清。</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1.10.3</w:t>
      </w:r>
      <w:r>
        <w:rPr>
          <w:rFonts w:hint="eastAsia" w:ascii="宋体" w:hAnsi="宋体" w:eastAsia="宋体" w:cs="宋体"/>
          <w:sz w:val="24"/>
          <w:szCs w:val="24"/>
          <w:highlight w:val="none"/>
        </w:rPr>
        <w:t>磋商预备会后，采购人在供应商须知前附表规定的时间内，将对供应商所提问题的 澄清，通知所有购买磋商文件的供应商。该澄清内容为磋商文件的组成部分。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1.11分包</w:t>
      </w:r>
    </w:p>
    <w:p>
      <w:pPr>
        <w:pStyle w:val="56"/>
        <w:spacing w:line="360" w:lineRule="auto"/>
        <w:ind w:firstLine="700"/>
        <w:rPr>
          <w:rFonts w:hint="eastAsia" w:ascii="宋体" w:hAnsi="宋体" w:eastAsia="宋体" w:cs="宋体"/>
          <w:sz w:val="24"/>
          <w:szCs w:val="24"/>
          <w:highlight w:val="none"/>
        </w:rPr>
      </w:pPr>
      <w:r>
        <w:rPr>
          <w:rFonts w:hint="eastAsia" w:ascii="宋体" w:hAnsi="宋体" w:eastAsia="宋体" w:cs="宋体"/>
          <w:sz w:val="24"/>
          <w:szCs w:val="24"/>
          <w:highlight w:val="none"/>
        </w:rPr>
        <w:t>是否允许分包：见供应商须知前附表。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2.</w:t>
      </w:r>
      <w:r>
        <w:rPr>
          <w:rFonts w:hint="eastAsia" w:ascii="宋体" w:hAnsi="宋体" w:eastAsia="宋体" w:cs="宋体"/>
          <w:b/>
          <w:bCs/>
          <w:sz w:val="24"/>
          <w:szCs w:val="24"/>
          <w:highlight w:val="none"/>
        </w:rPr>
        <w:t>磋商文件</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2.1</w:t>
      </w:r>
      <w:r>
        <w:rPr>
          <w:rFonts w:hint="eastAsia" w:ascii="宋体" w:hAnsi="宋体" w:eastAsia="宋体" w:cs="宋体"/>
          <w:b/>
          <w:bCs/>
          <w:sz w:val="24"/>
          <w:szCs w:val="24"/>
          <w:highlight w:val="none"/>
        </w:rPr>
        <w:t>磋商文件的组成</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本磋商文件包括：</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第一章竞争性磋商公告</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第二章供应商须知及供应商须知前附表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第三章评分办法</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第四章合同文本</w:t>
      </w:r>
    </w:p>
    <w:p>
      <w:pPr>
        <w:pStyle w:val="56"/>
        <w:spacing w:line="360" w:lineRule="auto"/>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采购需求</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章竞争性磋商响应文件格式</w:t>
      </w:r>
    </w:p>
    <w:p>
      <w:pPr>
        <w:pStyle w:val="56"/>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根据本章第</w:t>
      </w:r>
      <w:r>
        <w:rPr>
          <w:rFonts w:hint="eastAsia" w:ascii="宋体" w:hAnsi="宋体" w:eastAsia="宋体" w:cs="宋体"/>
          <w:sz w:val="24"/>
          <w:szCs w:val="24"/>
          <w:highlight w:val="none"/>
          <w:lang w:val="en-US" w:eastAsia="zh-CN" w:bidi="en-US"/>
        </w:rPr>
        <w:t>1.10</w:t>
      </w:r>
      <w:r>
        <w:rPr>
          <w:rFonts w:hint="eastAsia" w:ascii="宋体" w:hAnsi="宋体" w:eastAsia="宋体" w:cs="宋体"/>
          <w:sz w:val="24"/>
          <w:szCs w:val="24"/>
          <w:highlight w:val="none"/>
        </w:rPr>
        <w:t>款、第</w:t>
      </w:r>
      <w:r>
        <w:rPr>
          <w:rFonts w:hint="eastAsia" w:ascii="宋体" w:hAnsi="宋体" w:eastAsia="宋体" w:cs="宋体"/>
          <w:sz w:val="24"/>
          <w:szCs w:val="24"/>
          <w:highlight w:val="none"/>
          <w:lang w:val="en-US" w:eastAsia="zh-CN" w:bidi="en-US"/>
        </w:rPr>
        <w:t>2.2</w:t>
      </w:r>
      <w:r>
        <w:rPr>
          <w:rFonts w:hint="eastAsia" w:ascii="宋体" w:hAnsi="宋体" w:eastAsia="宋体" w:cs="宋体"/>
          <w:sz w:val="24"/>
          <w:szCs w:val="24"/>
          <w:highlight w:val="none"/>
        </w:rPr>
        <w:t>款和第</w:t>
      </w:r>
      <w:r>
        <w:rPr>
          <w:rFonts w:hint="eastAsia" w:ascii="宋体" w:hAnsi="宋体" w:eastAsia="宋体" w:cs="宋体"/>
          <w:sz w:val="24"/>
          <w:szCs w:val="24"/>
          <w:highlight w:val="none"/>
          <w:lang w:val="en-US" w:eastAsia="zh-CN" w:bidi="en-US"/>
        </w:rPr>
        <w:t>2.3</w:t>
      </w:r>
      <w:r>
        <w:rPr>
          <w:rFonts w:hint="eastAsia" w:ascii="宋体" w:hAnsi="宋体" w:eastAsia="宋体" w:cs="宋体"/>
          <w:sz w:val="24"/>
          <w:szCs w:val="24"/>
          <w:highlight w:val="none"/>
        </w:rPr>
        <w:t>款对磋商文件所作的澄清、修改，构成磋商文件的 组成部分。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2.2磋商文件的澄清</w:t>
      </w:r>
    </w:p>
    <w:p>
      <w:pPr>
        <w:pStyle w:val="56"/>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2.2.1</w:t>
      </w:r>
      <w:r>
        <w:rPr>
          <w:rFonts w:hint="eastAsia" w:ascii="宋体" w:hAnsi="宋体" w:eastAsia="宋体" w:cs="宋体"/>
          <w:sz w:val="24"/>
          <w:szCs w:val="24"/>
          <w:highlight w:val="none"/>
        </w:rPr>
        <w:t>供应商应仔细阅读和检查磋商文件的全部内容。如发现缺页或附件不全，应及时向采 购人提出，以便补齐。如有疑问，应按供应商须知前附表规定的时间以书面形式将提出的问题 送达采购代理机构，要求对磋商文件予以澄清。</w:t>
      </w:r>
    </w:p>
    <w:p>
      <w:pPr>
        <w:pStyle w:val="56"/>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2.2.2</w:t>
      </w:r>
      <w:r>
        <w:rPr>
          <w:rFonts w:hint="eastAsia" w:ascii="宋体" w:hAnsi="宋体" w:eastAsia="宋体" w:cs="宋体"/>
          <w:sz w:val="24"/>
          <w:szCs w:val="24"/>
          <w:highlight w:val="none"/>
        </w:rPr>
        <w:t>提交响应文件截止时间：见供应商须知前附表。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2.3磋商文件的修改</w:t>
      </w:r>
    </w:p>
    <w:p>
      <w:pPr>
        <w:pStyle w:val="56"/>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2.3.1</w:t>
      </w:r>
      <w:r>
        <w:rPr>
          <w:rFonts w:hint="eastAsia" w:ascii="宋体" w:hAnsi="宋体" w:eastAsia="宋体" w:cs="宋体"/>
          <w:sz w:val="24"/>
          <w:szCs w:val="24"/>
          <w:highlight w:val="none"/>
        </w:rPr>
        <w:t>磋商文件的澄清、修改按供应商须知前附表规定的形式发出。澄清、修改发出的时 间距提交响应文件截止时间不足5日的，并且修改内容可能影响响应文件编制的，将相应延长 提交响应文件截止时间。</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3.</w:t>
      </w:r>
      <w:r>
        <w:rPr>
          <w:rFonts w:hint="eastAsia" w:ascii="宋体" w:hAnsi="宋体" w:eastAsia="宋体" w:cs="宋体"/>
          <w:b/>
          <w:bCs/>
          <w:sz w:val="24"/>
          <w:szCs w:val="24"/>
          <w:highlight w:val="none"/>
        </w:rPr>
        <w:t>响应文件</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3.1</w:t>
      </w:r>
      <w:r>
        <w:rPr>
          <w:rFonts w:hint="eastAsia" w:ascii="宋体" w:hAnsi="宋体" w:eastAsia="宋体" w:cs="宋体"/>
          <w:b/>
          <w:bCs/>
          <w:sz w:val="24"/>
          <w:szCs w:val="24"/>
          <w:highlight w:val="none"/>
        </w:rPr>
        <w:t>响应文件的组成</w:t>
      </w:r>
    </w:p>
    <w:p>
      <w:pPr>
        <w:pStyle w:val="56"/>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rPr>
        <w:t>详见第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zh-CN" w:eastAsia="zh-CN" w:bidi="zh-CN"/>
        </w:rPr>
        <w:t>“竞争</w:t>
      </w:r>
      <w:r>
        <w:rPr>
          <w:rFonts w:hint="eastAsia" w:ascii="宋体" w:hAnsi="宋体" w:eastAsia="宋体" w:cs="宋体"/>
          <w:sz w:val="24"/>
          <w:szCs w:val="24"/>
          <w:highlight w:val="none"/>
        </w:rPr>
        <w:t>性磋商响应文件格式</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3.2磋商报价</w:t>
      </w:r>
    </w:p>
    <w:p>
      <w:pPr>
        <w:pStyle w:val="56"/>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3.2.1供应商的报价应含包括完成该项目的全部工作而发生的人工费、材料费、交通费、差旅费等的全部成本、保险、税金及利润，并考虑了应承担的风险及相关费用。最终磋商报价为签订合同的依据</w:t>
      </w:r>
      <w:r>
        <w:rPr>
          <w:rFonts w:hint="eastAsia" w:ascii="宋体" w:hAnsi="宋体" w:eastAsia="宋体" w:cs="宋体"/>
          <w:sz w:val="24"/>
          <w:szCs w:val="24"/>
          <w:highlight w:val="none"/>
        </w:rPr>
        <w:t>。</w:t>
      </w:r>
    </w:p>
    <w:p>
      <w:pPr>
        <w:pStyle w:val="56"/>
        <w:spacing w:line="360" w:lineRule="auto"/>
        <w:ind w:firstLine="500"/>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3.2.2除政策性文件规定以外，供应商所报价格在合同实施期间不因市场变化因素而变动。</w:t>
      </w:r>
    </w:p>
    <w:p>
      <w:pPr>
        <w:pStyle w:val="56"/>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3.2.3</w:t>
      </w:r>
      <w:r>
        <w:rPr>
          <w:rFonts w:hint="eastAsia" w:ascii="宋体" w:hAnsi="宋体" w:eastAsia="宋体" w:cs="宋体"/>
          <w:sz w:val="24"/>
          <w:szCs w:val="24"/>
          <w:highlight w:val="none"/>
        </w:rPr>
        <w:t>投标报价以人民币为计量币种报价，并以人民币币种签约、结算。</w:t>
      </w:r>
    </w:p>
    <w:p>
      <w:pPr>
        <w:pStyle w:val="56"/>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3.2.4供应商在磋商截止时间前修改磋商报价，应同时修改相应的报价。</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3.2.5</w:t>
      </w:r>
      <w:r>
        <w:rPr>
          <w:rFonts w:hint="eastAsia" w:ascii="宋体" w:hAnsi="宋体" w:eastAsia="宋体" w:cs="宋体"/>
          <w:sz w:val="24"/>
          <w:szCs w:val="24"/>
          <w:highlight w:val="none"/>
        </w:rPr>
        <w:t>落实政府采购政策要求</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1.本项目非专门面向中小企业、监狱企业及残疾人福利性单位采购项目。政府采购政策：本项目执行节约能源、保护环境、扶持不发达及少数民族地区，促进中小企业发展等政府采购政策。 </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2.中小微型企业有关政策：</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对于供应商为监狱企业、小型和微型企业及其投标产品为小型和微型企业生产的，将以扣除优惠比率后的报价参与价格评议，但不作为中标价和合同签约价。中标价和合同签约价仍以其响应文件中的报价为准。小型和微型企业价格给予扣除标准：根据《政府采购促进中小企业发展管理办法》(财库[2020]46 号)及《关于进一步加大政府采购支持中小企业力度的通知》（财库〔2022〕19 号）的规定，对于非专门面向中小企业的项目，对小型和微型企业的价格给予 20%的扣除，用扣除后的报价参与评审。对于中型企业的价格不予扣除。供应商应当在响应文件中提供中小企业声明函（见附件），否则不予认可。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 20%的扣除，用扣除后的报价参与评审。根据《财政部、民政部、中国残疾人联合会关于促进残疾人就业政府采购政策的通知》（财库[2017]141 号）的规定，提供《残疾人福利性单位声明函》（见附件），并对声明的真实性负责。中标人为残疾人福利性单位的，采购人或者其委托的采购代理机构应当随中标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价格给予20%的扣除，用扣除后的报价参与评审。 </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备注：监狱企业和残疾人福利性单位属于小型、微型企业的，不重复享受政策。</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3.优先采购的节能产品、环境标志产品要求：</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所投产品是国家规定的节能产品及环境标志产品的（强制采购节能产品的除外），给予优先采购的权利，须提供以下材料：投标产品中属于政府优先采购节能产品、环境标志产品，应提供对应型号的国家确定的认证机构出具的处于有效期之内的节能产品、环境标志产品认证证书等证明材料，否则视为主动放弃被优先采购的权利。优先采购节能产品和环境标志产品在同等条件下属于优先采购范围（优先采购指最终得分相等时，投标报价也相同时，按技术指标优劣顺序排序，技术指标优劣情况相同的，优先采购节能产品和环境标志产品合计金额占自身投标报价比例大的）。 </w:t>
      </w:r>
    </w:p>
    <w:p>
      <w:pPr>
        <w:pStyle w:val="37"/>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根据《财政部工业和信息化部国家质检总局国家认监委关于信息安全产品实施政府采购的通知》财库〔2010〕48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.所投产品已列入国家强制性产品认证或生产许可的产品，必须提供通过认证或生产许可的有关证明材料。</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3.3磋商有效期</w:t>
      </w:r>
    </w:p>
    <w:p>
      <w:pPr>
        <w:pStyle w:val="56"/>
        <w:tabs>
          <w:tab w:val="left" w:pos="1157"/>
        </w:tabs>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3.3.1</w:t>
      </w:r>
      <w:r>
        <w:rPr>
          <w:rFonts w:hint="eastAsia" w:ascii="宋体" w:hAnsi="宋体" w:eastAsia="宋体" w:cs="宋体"/>
          <w:sz w:val="24"/>
          <w:szCs w:val="24"/>
          <w:highlight w:val="none"/>
        </w:rPr>
        <w:t>在供应商须知前附表规定的磋商有效期内，供应商不得要求撤销或修改其响应文件。</w:t>
      </w:r>
    </w:p>
    <w:p>
      <w:pPr>
        <w:pStyle w:val="56"/>
        <w:tabs>
          <w:tab w:val="left" w:pos="1157"/>
        </w:tabs>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3.3.2</w:t>
      </w:r>
      <w:r>
        <w:rPr>
          <w:rFonts w:hint="eastAsia" w:ascii="宋体" w:hAnsi="宋体" w:eastAsia="宋体" w:cs="宋体"/>
          <w:sz w:val="24"/>
          <w:szCs w:val="24"/>
          <w:highlight w:val="none"/>
        </w:rPr>
        <w:t>出现特殊情况需要延长磋商有效期的，采购人以书面形式通知所有供应商延长磋商有 效期。供应商同意延长的，但不得要求或被允许修改或撤销其响应文件；供应商拒绝延长的，其响应性文件失效。</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3.4磋商保证金（不适用于本项目）</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3.5响应文件的编制</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3.5.1</w:t>
      </w:r>
      <w:r>
        <w:rPr>
          <w:rFonts w:hint="eastAsia" w:ascii="宋体" w:hAnsi="宋体" w:eastAsia="宋体" w:cs="宋体"/>
          <w:sz w:val="24"/>
          <w:szCs w:val="24"/>
          <w:highlight w:val="none"/>
        </w:rPr>
        <w:t>响应文件应按第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zh-CN" w:eastAsia="zh-CN" w:bidi="zh-CN"/>
        </w:rPr>
        <w:t>“响</w:t>
      </w:r>
      <w:r>
        <w:rPr>
          <w:rFonts w:hint="eastAsia" w:ascii="宋体" w:hAnsi="宋体" w:eastAsia="宋体" w:cs="宋体"/>
          <w:sz w:val="24"/>
          <w:szCs w:val="24"/>
          <w:highlight w:val="none"/>
        </w:rPr>
        <w:t>应文件格式</w:t>
      </w:r>
      <w:r>
        <w:rPr>
          <w:rFonts w:hint="eastAsia" w:ascii="宋体" w:hAnsi="宋体" w:eastAsia="宋体" w:cs="宋体"/>
          <w:sz w:val="24"/>
          <w:szCs w:val="24"/>
          <w:highlight w:val="none"/>
          <w:lang w:val="zh-CN" w:eastAsia="zh-CN" w:bidi="zh-CN"/>
        </w:rPr>
        <w:t>”进行</w:t>
      </w:r>
      <w:r>
        <w:rPr>
          <w:rFonts w:hint="eastAsia" w:ascii="宋体" w:hAnsi="宋体" w:eastAsia="宋体" w:cs="宋体"/>
          <w:sz w:val="24"/>
          <w:szCs w:val="24"/>
          <w:highlight w:val="none"/>
        </w:rPr>
        <w:t>编写，如有必要，可以增加附页，作为响应 文件的组成部分。</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3.5.2</w:t>
      </w:r>
      <w:r>
        <w:rPr>
          <w:rFonts w:hint="eastAsia" w:ascii="宋体" w:hAnsi="宋体" w:eastAsia="宋体" w:cs="宋体"/>
          <w:sz w:val="24"/>
          <w:szCs w:val="24"/>
          <w:highlight w:val="none"/>
        </w:rPr>
        <w:t>响应文件应当对磋商文件有关采购内容等实质性内容作出响应。</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3.5.3</w:t>
      </w:r>
      <w:r>
        <w:rPr>
          <w:rFonts w:hint="eastAsia" w:ascii="宋体" w:hAnsi="宋体" w:eastAsia="宋体" w:cs="宋体"/>
          <w:sz w:val="24"/>
          <w:szCs w:val="24"/>
          <w:highlight w:val="none"/>
        </w:rPr>
        <w:t>响应文件应按照磋商文件格式要求由供应商的法定代表人或其委托代理人签字或盖 单位公章。根据磋商文件格式要求，委托代理人签字的，响应文件应附法定代表人签署的授权 委托书。响应文件应尽量避免涂改、行间插字或删除。如果出现上述情况，改动之处应加盖单 位公章并由供应商的法定代表人或其授权的代理人签字确认。签字或盖章的具体要求见供应商 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3.5.4</w:t>
      </w:r>
      <w:r>
        <w:rPr>
          <w:rFonts w:hint="eastAsia" w:ascii="宋体" w:hAnsi="宋体" w:eastAsia="宋体" w:cs="宋体"/>
          <w:sz w:val="24"/>
          <w:szCs w:val="24"/>
          <w:highlight w:val="none"/>
        </w:rPr>
        <w:t>响应文件份数：见供应商须知前附表。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3.5.5</w:t>
      </w:r>
      <w:r>
        <w:rPr>
          <w:rFonts w:hint="eastAsia" w:ascii="宋体" w:hAnsi="宋体" w:eastAsia="宋体" w:cs="宋体"/>
          <w:sz w:val="24"/>
          <w:szCs w:val="24"/>
          <w:highlight w:val="none"/>
        </w:rPr>
        <w:t>装订要求：见供应商须知前附表。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4.</w:t>
      </w:r>
      <w:r>
        <w:rPr>
          <w:rFonts w:hint="eastAsia" w:ascii="宋体" w:hAnsi="宋体" w:eastAsia="宋体" w:cs="宋体"/>
          <w:b/>
          <w:bCs/>
          <w:sz w:val="24"/>
          <w:szCs w:val="24"/>
          <w:highlight w:val="none"/>
        </w:rPr>
        <w:t>投标</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4.1</w:t>
      </w:r>
      <w:r>
        <w:rPr>
          <w:rFonts w:hint="eastAsia" w:ascii="宋体" w:hAnsi="宋体" w:eastAsia="宋体" w:cs="宋体"/>
          <w:b/>
          <w:bCs/>
          <w:sz w:val="24"/>
          <w:szCs w:val="24"/>
          <w:highlight w:val="none"/>
        </w:rPr>
        <w:t>响应文件的制作</w:t>
      </w:r>
    </w:p>
    <w:p>
      <w:pPr>
        <w:pStyle w:val="56"/>
        <w:spacing w:line="360" w:lineRule="auto"/>
        <w:ind w:left="140" w:firstLine="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4.1.1</w:t>
      </w:r>
      <w:r>
        <w:rPr>
          <w:rFonts w:hint="eastAsia" w:ascii="宋体" w:hAnsi="宋体" w:eastAsia="宋体" w:cs="宋体"/>
          <w:sz w:val="24"/>
          <w:szCs w:val="24"/>
          <w:highlight w:val="none"/>
        </w:rPr>
        <w:t>响应文件应由供应商使用电子交易系统提供的响应文件制作工具进行电子响应文件的 制作，并按要求上传经</w:t>
      </w:r>
      <w:r>
        <w:rPr>
          <w:rFonts w:hint="eastAsia" w:ascii="宋体" w:hAnsi="宋体" w:eastAsia="宋体" w:cs="宋体"/>
          <w:sz w:val="24"/>
          <w:szCs w:val="24"/>
          <w:highlight w:val="none"/>
          <w:lang w:val="en-US" w:eastAsia="zh-CN" w:bidi="en-US"/>
        </w:rPr>
        <w:t>CA</w:t>
      </w:r>
      <w:r>
        <w:rPr>
          <w:rFonts w:hint="eastAsia" w:ascii="宋体" w:hAnsi="宋体" w:eastAsia="宋体" w:cs="宋体"/>
          <w:sz w:val="24"/>
          <w:szCs w:val="24"/>
          <w:highlight w:val="none"/>
        </w:rPr>
        <w:t>锁签章和加密的电子响应文件</w:t>
      </w:r>
      <w:r>
        <w:rPr>
          <w:rFonts w:hint="eastAsia" w:ascii="宋体" w:hAnsi="宋体" w:eastAsia="宋体" w:cs="宋体"/>
          <w:sz w:val="24"/>
          <w:szCs w:val="24"/>
          <w:highlight w:val="none"/>
          <w:lang w:val="en-US" w:eastAsia="zh-CN" w:bidi="en-US"/>
        </w:rPr>
        <w:t>（.ZMTF</w:t>
      </w:r>
      <w:r>
        <w:rPr>
          <w:rFonts w:hint="eastAsia" w:ascii="宋体" w:hAnsi="宋体" w:eastAsia="宋体" w:cs="宋体"/>
          <w:sz w:val="24"/>
          <w:szCs w:val="24"/>
          <w:highlight w:val="none"/>
        </w:rPr>
        <w:t>格式）。</w:t>
      </w:r>
    </w:p>
    <w:p>
      <w:pPr>
        <w:pStyle w:val="56"/>
        <w:spacing w:line="360" w:lineRule="auto"/>
        <w:ind w:firstLine="34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4.1.2</w:t>
      </w:r>
      <w:r>
        <w:rPr>
          <w:rFonts w:hint="eastAsia" w:ascii="宋体" w:hAnsi="宋体" w:eastAsia="宋体" w:cs="宋体"/>
          <w:sz w:val="24"/>
          <w:szCs w:val="24"/>
          <w:highlight w:val="none"/>
        </w:rPr>
        <w:t>未按本章第</w:t>
      </w:r>
      <w:r>
        <w:rPr>
          <w:rFonts w:hint="eastAsia" w:ascii="宋体" w:hAnsi="宋体" w:eastAsia="宋体" w:cs="宋体"/>
          <w:sz w:val="24"/>
          <w:szCs w:val="24"/>
          <w:highlight w:val="none"/>
          <w:lang w:val="en-US" w:eastAsia="zh-CN" w:bidi="en-US"/>
        </w:rPr>
        <w:t>4.1.1</w:t>
      </w:r>
      <w:r>
        <w:rPr>
          <w:rFonts w:hint="eastAsia" w:ascii="宋体" w:hAnsi="宋体" w:eastAsia="宋体" w:cs="宋体"/>
          <w:sz w:val="24"/>
          <w:szCs w:val="24"/>
          <w:highlight w:val="none"/>
        </w:rPr>
        <w:t>项要求制作的响应文件，采购人不承担责任并有权不予受理。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4.2响应文件的递交</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4.2.1 </w:t>
      </w:r>
      <w:r>
        <w:rPr>
          <w:rFonts w:hint="eastAsia" w:ascii="宋体" w:hAnsi="宋体" w:eastAsia="宋体" w:cs="宋体"/>
          <w:sz w:val="24"/>
          <w:szCs w:val="24"/>
          <w:highlight w:val="none"/>
        </w:rPr>
        <w:t>（1）加密的电子磋商响应文件1份</w:t>
      </w:r>
      <w:r>
        <w:rPr>
          <w:rFonts w:hint="eastAsia" w:ascii="宋体" w:hAnsi="宋体" w:eastAsia="宋体" w:cs="宋体"/>
          <w:sz w:val="24"/>
          <w:szCs w:val="24"/>
          <w:highlight w:val="none"/>
          <w:lang w:val="en-US" w:eastAsia="zh-CN"/>
        </w:rPr>
        <w:t>（.ZMTF</w:t>
      </w:r>
      <w:r>
        <w:rPr>
          <w:rFonts w:hint="eastAsia" w:ascii="宋体" w:hAnsi="宋体" w:eastAsia="宋体" w:cs="宋体"/>
          <w:sz w:val="24"/>
          <w:szCs w:val="24"/>
          <w:highlight w:val="none"/>
        </w:rPr>
        <w:t>格式）须在磋商响应文件递交截止时间 前通过“中牟县公共资源交易中心网站</w:t>
      </w:r>
      <w:r>
        <w:rPr>
          <w:rFonts w:hint="eastAsia" w:ascii="宋体" w:hAnsi="宋体" w:eastAsia="宋体" w:cs="宋体"/>
          <w:sz w:val="24"/>
          <w:szCs w:val="24"/>
          <w:highlight w:val="none"/>
          <w:lang w:val="en-US" w:eastAsia="zh-CN"/>
        </w:rPr>
        <w:t xml:space="preserve">（http://http:// www.zmxggzy.com） </w:t>
      </w:r>
      <w:r>
        <w:rPr>
          <w:rFonts w:hint="eastAsia" w:ascii="宋体" w:hAnsi="宋体" w:eastAsia="宋体" w:cs="宋体"/>
          <w:sz w:val="24"/>
          <w:szCs w:val="24"/>
          <w:highlight w:val="none"/>
        </w:rPr>
        <w:t>”电子交易平台加密上传; 上传文件尽量在截止日前</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日内完成，以避免网络拥堵或其他原因造成上传失败，由于响应 文件未按时提交所造成的后果由供应商自行承担。</w:t>
      </w:r>
    </w:p>
    <w:p>
      <w:pPr>
        <w:pStyle w:val="56"/>
        <w:spacing w:line="360" w:lineRule="auto"/>
        <w:ind w:firstLine="760"/>
        <w:rPr>
          <w:rFonts w:hint="eastAsia" w:ascii="宋体" w:hAnsi="宋体" w:eastAsia="宋体" w:cs="宋体"/>
          <w:sz w:val="24"/>
          <w:szCs w:val="24"/>
          <w:highlight w:val="none"/>
        </w:rPr>
      </w:pPr>
      <w:r>
        <w:rPr>
          <w:rFonts w:hint="eastAsia" w:ascii="宋体" w:hAnsi="宋体" w:eastAsia="宋体" w:cs="宋体"/>
          <w:sz w:val="24"/>
          <w:szCs w:val="24"/>
          <w:highlight w:val="none"/>
        </w:rPr>
        <w:t>（2）供应商无需到交易中心现场参加开标会议，无需现场提交纸质版响应文件或原件。</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4.2.2</w:t>
      </w:r>
      <w:r>
        <w:rPr>
          <w:rFonts w:hint="eastAsia" w:ascii="宋体" w:hAnsi="宋体" w:eastAsia="宋体" w:cs="宋体"/>
          <w:sz w:val="24"/>
          <w:szCs w:val="24"/>
          <w:highlight w:val="none"/>
        </w:rPr>
        <w:t>供应商递交响应文件的地点：见供应商须知前附表。</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4.2.3</w:t>
      </w:r>
      <w:r>
        <w:rPr>
          <w:rFonts w:hint="eastAsia" w:ascii="宋体" w:hAnsi="宋体" w:eastAsia="宋体" w:cs="宋体"/>
          <w:sz w:val="24"/>
          <w:szCs w:val="24"/>
          <w:highlight w:val="none"/>
        </w:rPr>
        <w:t>除供应商须知前附表另有规定外，供应商所递交的响应文件不予退还。</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4.2.4</w:t>
      </w:r>
      <w:r>
        <w:rPr>
          <w:rFonts w:hint="eastAsia" w:ascii="宋体" w:hAnsi="宋体" w:eastAsia="宋体" w:cs="宋体"/>
          <w:sz w:val="24"/>
          <w:szCs w:val="24"/>
          <w:highlight w:val="none"/>
        </w:rPr>
        <w:t>逾期送达的或者未送达指定地点的响应文件，采购人不予受理。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4.3响应文件的修改与撤回</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4.3.1</w:t>
      </w:r>
      <w:r>
        <w:rPr>
          <w:rFonts w:hint="eastAsia" w:ascii="宋体" w:hAnsi="宋体" w:eastAsia="宋体" w:cs="宋体"/>
          <w:sz w:val="24"/>
          <w:szCs w:val="24"/>
          <w:highlight w:val="none"/>
        </w:rPr>
        <w:t>供应商在递交磋商响应文件后，在磋商响应文件递交截止时间之前可以修改或撤回其 磋商响应文件，最终响应文件以响应文件递交截止时间前完成上传至中牟县公共资源交易中心 交易系统最后一份响应文件为准。</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4.3.2</w:t>
      </w:r>
      <w:r>
        <w:rPr>
          <w:rFonts w:hint="eastAsia" w:ascii="宋体" w:hAnsi="宋体" w:eastAsia="宋体" w:cs="宋体"/>
          <w:sz w:val="24"/>
          <w:szCs w:val="24"/>
          <w:highlight w:val="none"/>
        </w:rPr>
        <w:t>在磋商响应文件递交截止时间之后，供应商不得撤回其磋商响应文件或对其磋商响应 文件做任何修改。</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5.</w:t>
      </w:r>
      <w:r>
        <w:rPr>
          <w:rFonts w:hint="eastAsia" w:ascii="宋体" w:hAnsi="宋体" w:eastAsia="宋体" w:cs="宋体"/>
          <w:b/>
          <w:bCs/>
          <w:sz w:val="24"/>
          <w:szCs w:val="24"/>
          <w:highlight w:val="none"/>
        </w:rPr>
        <w:t>磋商会议</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5.1</w:t>
      </w:r>
      <w:r>
        <w:rPr>
          <w:rFonts w:hint="eastAsia" w:ascii="宋体" w:hAnsi="宋体" w:eastAsia="宋体" w:cs="宋体"/>
          <w:b/>
          <w:bCs/>
          <w:sz w:val="24"/>
          <w:szCs w:val="24"/>
          <w:highlight w:val="none"/>
        </w:rPr>
        <w:t>开标时间和地点</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采购代理机构将在</w:t>
      </w:r>
      <w:r>
        <w:rPr>
          <w:rFonts w:hint="eastAsia" w:ascii="宋体" w:hAnsi="宋体" w:eastAsia="宋体" w:cs="宋体"/>
          <w:sz w:val="24"/>
          <w:szCs w:val="24"/>
          <w:highlight w:val="none"/>
          <w:lang w:val="zh-CN" w:eastAsia="zh-CN" w:bidi="zh-CN"/>
        </w:rPr>
        <w:t>“供</w:t>
      </w:r>
      <w:r>
        <w:rPr>
          <w:rFonts w:hint="eastAsia" w:ascii="宋体" w:hAnsi="宋体" w:eastAsia="宋体" w:cs="宋体"/>
          <w:sz w:val="24"/>
          <w:szCs w:val="24"/>
          <w:highlight w:val="none"/>
        </w:rPr>
        <w:t>应商须知”中规定的时间和地点组织供应商磋商，准时采用</w:t>
      </w:r>
      <w:r>
        <w:rPr>
          <w:rFonts w:hint="eastAsia" w:ascii="宋体" w:hAnsi="宋体" w:eastAsia="宋体" w:cs="宋体"/>
          <w:sz w:val="24"/>
          <w:szCs w:val="24"/>
          <w:highlight w:val="none"/>
          <w:lang w:val="zh-CN" w:eastAsia="zh-CN" w:bidi="zh-CN"/>
        </w:rPr>
        <w:t xml:space="preserve">“远程 </w:t>
      </w:r>
      <w:r>
        <w:rPr>
          <w:rFonts w:hint="eastAsia" w:ascii="宋体" w:hAnsi="宋体" w:eastAsia="宋体" w:cs="宋体"/>
          <w:sz w:val="24"/>
          <w:szCs w:val="24"/>
          <w:highlight w:val="none"/>
        </w:rPr>
        <w:t>不见面”开标方式参加磋商会议。</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5.2磋商程序</w:t>
      </w:r>
    </w:p>
    <w:p>
      <w:pPr>
        <w:pStyle w:val="56"/>
        <w:tabs>
          <w:tab w:val="left" w:pos="1245"/>
        </w:tabs>
        <w:spacing w:line="360" w:lineRule="auto"/>
        <w:ind w:firstLine="560"/>
        <w:rPr>
          <w:rFonts w:hint="eastAsia" w:ascii="宋体" w:hAnsi="宋体" w:eastAsia="宋体" w:cs="宋体"/>
          <w:sz w:val="24"/>
          <w:szCs w:val="24"/>
          <w:highlight w:val="none"/>
        </w:rPr>
      </w:pPr>
      <w:bookmarkStart w:id="34" w:name="bookmark88"/>
      <w:r>
        <w:rPr>
          <w:rFonts w:hint="eastAsia" w:ascii="宋体" w:hAnsi="宋体" w:eastAsia="宋体" w:cs="宋体"/>
          <w:sz w:val="24"/>
          <w:szCs w:val="24"/>
          <w:highlight w:val="none"/>
        </w:rPr>
        <w:t>5</w:t>
      </w:r>
      <w:bookmarkEnd w:id="34"/>
      <w:r>
        <w:rPr>
          <w:rFonts w:hint="eastAsia" w:ascii="宋体" w:hAnsi="宋体" w:eastAsia="宋体" w:cs="宋体"/>
          <w:sz w:val="24"/>
          <w:szCs w:val="24"/>
          <w:highlight w:val="none"/>
        </w:rPr>
        <w:t>.2.1、磋商小组对磋商文件进行熟悉确认。</w:t>
      </w:r>
    </w:p>
    <w:p>
      <w:pPr>
        <w:pStyle w:val="56"/>
        <w:tabs>
          <w:tab w:val="left" w:pos="1245"/>
        </w:tabs>
        <w:spacing w:line="360" w:lineRule="auto"/>
        <w:ind w:firstLine="560"/>
        <w:rPr>
          <w:rFonts w:hint="eastAsia" w:ascii="宋体" w:hAnsi="宋体" w:eastAsia="宋体" w:cs="宋体"/>
          <w:sz w:val="24"/>
          <w:szCs w:val="24"/>
          <w:highlight w:val="none"/>
        </w:rPr>
      </w:pPr>
      <w:bookmarkStart w:id="35" w:name="bookmark89"/>
      <w:r>
        <w:rPr>
          <w:rFonts w:hint="eastAsia" w:ascii="宋体" w:hAnsi="宋体" w:eastAsia="宋体" w:cs="宋体"/>
          <w:sz w:val="24"/>
          <w:szCs w:val="24"/>
          <w:highlight w:val="none"/>
        </w:rPr>
        <w:t>5</w:t>
      </w:r>
      <w:bookmarkEnd w:id="35"/>
      <w:r>
        <w:rPr>
          <w:rFonts w:hint="eastAsia" w:ascii="宋体" w:hAnsi="宋体" w:eastAsia="宋体" w:cs="宋体"/>
          <w:sz w:val="24"/>
          <w:szCs w:val="24"/>
          <w:highlight w:val="none"/>
        </w:rPr>
        <w:t>.2.2、磋商小组推选组长，讨论、通过磋商工作流程和磋商要点。</w:t>
      </w:r>
    </w:p>
    <w:p>
      <w:pPr>
        <w:pStyle w:val="56"/>
        <w:tabs>
          <w:tab w:val="left" w:pos="1223"/>
        </w:tabs>
        <w:spacing w:line="360" w:lineRule="auto"/>
        <w:ind w:left="140" w:firstLine="420"/>
        <w:jc w:val="both"/>
        <w:rPr>
          <w:rFonts w:hint="eastAsia" w:ascii="宋体" w:hAnsi="宋体" w:eastAsia="宋体" w:cs="宋体"/>
          <w:sz w:val="24"/>
          <w:szCs w:val="24"/>
          <w:highlight w:val="none"/>
        </w:rPr>
      </w:pPr>
      <w:bookmarkStart w:id="36" w:name="bookmark90"/>
      <w:r>
        <w:rPr>
          <w:rFonts w:hint="eastAsia" w:ascii="宋体" w:hAnsi="宋体" w:eastAsia="宋体" w:cs="宋体"/>
          <w:sz w:val="24"/>
          <w:szCs w:val="24"/>
          <w:highlight w:val="none"/>
        </w:rPr>
        <w:t>5</w:t>
      </w:r>
      <w:bookmarkEnd w:id="36"/>
      <w:r>
        <w:rPr>
          <w:rFonts w:hint="eastAsia" w:ascii="宋体" w:hAnsi="宋体" w:eastAsia="宋体" w:cs="宋体"/>
          <w:sz w:val="24"/>
          <w:szCs w:val="24"/>
          <w:highlight w:val="none"/>
        </w:rPr>
        <w:t>.2.3、磋商开始后，磋商小组依据磋商文件规定，对响应文件中的资格、符合性进行审查, 以确定磋商供应商是否具备参与磋商的资格。</w:t>
      </w:r>
    </w:p>
    <w:p>
      <w:pPr>
        <w:pStyle w:val="56"/>
        <w:tabs>
          <w:tab w:val="left" w:pos="1242"/>
        </w:tabs>
        <w:spacing w:line="360" w:lineRule="auto"/>
        <w:ind w:left="140" w:firstLine="420"/>
        <w:jc w:val="both"/>
        <w:rPr>
          <w:rFonts w:hint="eastAsia" w:ascii="宋体" w:hAnsi="宋体" w:eastAsia="宋体" w:cs="宋体"/>
          <w:sz w:val="24"/>
          <w:szCs w:val="24"/>
          <w:highlight w:val="none"/>
        </w:rPr>
      </w:pPr>
      <w:bookmarkStart w:id="37" w:name="bookmark91"/>
      <w:r>
        <w:rPr>
          <w:rFonts w:hint="eastAsia" w:ascii="宋体" w:hAnsi="宋体" w:eastAsia="宋体" w:cs="宋体"/>
          <w:sz w:val="24"/>
          <w:szCs w:val="24"/>
          <w:highlight w:val="none"/>
        </w:rPr>
        <w:t>5</w:t>
      </w:r>
      <w:bookmarkEnd w:id="37"/>
      <w:r>
        <w:rPr>
          <w:rFonts w:hint="eastAsia" w:ascii="宋体" w:hAnsi="宋体" w:eastAsia="宋体" w:cs="宋体"/>
          <w:sz w:val="24"/>
          <w:szCs w:val="24"/>
          <w:highlight w:val="none"/>
        </w:rPr>
        <w:t>.2.4、磋商小组对通过资格性和符合性审查的响应文件进行评估，确定与各竞标人磋商的具体内容。</w:t>
      </w:r>
    </w:p>
    <w:p>
      <w:pPr>
        <w:pStyle w:val="56"/>
        <w:tabs>
          <w:tab w:val="left" w:pos="1247"/>
        </w:tabs>
        <w:spacing w:line="360" w:lineRule="auto"/>
        <w:ind w:left="140" w:firstLine="420"/>
        <w:jc w:val="both"/>
        <w:rPr>
          <w:rFonts w:hint="eastAsia" w:ascii="宋体" w:hAnsi="宋体" w:eastAsia="宋体" w:cs="宋体"/>
          <w:sz w:val="24"/>
          <w:szCs w:val="24"/>
          <w:highlight w:val="none"/>
        </w:rPr>
      </w:pPr>
      <w:bookmarkStart w:id="38" w:name="bookmark92"/>
      <w:r>
        <w:rPr>
          <w:rFonts w:hint="eastAsia" w:ascii="宋体" w:hAnsi="宋体" w:eastAsia="宋体" w:cs="宋体"/>
          <w:sz w:val="24"/>
          <w:szCs w:val="24"/>
          <w:highlight w:val="none"/>
        </w:rPr>
        <w:t>5</w:t>
      </w:r>
      <w:bookmarkEnd w:id="38"/>
      <w:r>
        <w:rPr>
          <w:rFonts w:hint="eastAsia" w:ascii="宋体" w:hAnsi="宋体" w:eastAsia="宋体" w:cs="宋体"/>
          <w:sz w:val="24"/>
          <w:szCs w:val="24"/>
          <w:highlight w:val="none"/>
        </w:rPr>
        <w:t>.2.5、围绕磋商要点，磋商小组全体成员集中与单一供应商分别进行磋商。按各供应商递交响应文件的顺序进行磋商。对通过初步评审的供应商进行第2轮报价，依据现场磋商情况， 磋商小组有权决定是否进行第3轮报价，若无第3轮报价，则第2轮报价则为最终报价，依据最终提交的报价进行评审。</w:t>
      </w:r>
    </w:p>
    <w:p>
      <w:pPr>
        <w:pStyle w:val="56"/>
        <w:tabs>
          <w:tab w:val="left" w:pos="1247"/>
        </w:tabs>
        <w:spacing w:line="360" w:lineRule="auto"/>
        <w:ind w:left="140" w:firstLine="420"/>
        <w:rPr>
          <w:rFonts w:hint="eastAsia" w:ascii="宋体" w:hAnsi="宋体" w:eastAsia="宋体" w:cs="宋体"/>
          <w:sz w:val="24"/>
          <w:szCs w:val="24"/>
          <w:highlight w:val="none"/>
        </w:rPr>
      </w:pPr>
      <w:bookmarkStart w:id="39" w:name="bookmark93"/>
      <w:r>
        <w:rPr>
          <w:rFonts w:hint="eastAsia" w:ascii="宋体" w:hAnsi="宋体" w:eastAsia="宋体" w:cs="宋体"/>
          <w:sz w:val="24"/>
          <w:szCs w:val="24"/>
          <w:highlight w:val="none"/>
        </w:rPr>
        <w:t>5</w:t>
      </w:r>
      <w:bookmarkEnd w:id="39"/>
      <w:r>
        <w:rPr>
          <w:rFonts w:hint="eastAsia" w:ascii="宋体" w:hAnsi="宋体" w:eastAsia="宋体" w:cs="宋体"/>
          <w:sz w:val="24"/>
          <w:szCs w:val="24"/>
          <w:highlight w:val="none"/>
        </w:rPr>
        <w:t>.2.6、磋商过程中，磋商小组可以根据磋商情况实质性变动采购需求中的技术及合同草案条款，但不得变动磋商文件中的其他内容。实质性变动的内容需经采购人（业主）代表确认。并以书面形式通知所有参加磋商的供应商，该变动是磋商文件的有效组成部分。供应商应当按照 磋商文件的变动情况和磋商小组的要求重新提交响应文件并由其法定代表人或其授权代表签字 或者加盖公章。由授权代表签字的应当附法定代表人授权书。供应商为自然人的应当由本人签 字并附身份证。供应商应根据磋商小组的要求，以书面形式在规定时间内做出响应，未做出响 应的响应文件将被视为无效竞标。若磋商小组没有实质性变动采购需求中的技术及合同草案条款，则供应商的最终报价不得高于首次报价，否则按废标处理。</w:t>
      </w:r>
    </w:p>
    <w:p>
      <w:pPr>
        <w:pStyle w:val="56"/>
        <w:spacing w:line="360" w:lineRule="auto"/>
        <w:ind w:left="140" w:firstLine="420"/>
        <w:jc w:val="both"/>
        <w:rPr>
          <w:rFonts w:hint="eastAsia" w:ascii="宋体" w:hAnsi="宋体" w:eastAsia="宋体" w:cs="宋体"/>
          <w:sz w:val="24"/>
          <w:szCs w:val="24"/>
          <w:highlight w:val="none"/>
        </w:rPr>
      </w:pPr>
      <w:bookmarkStart w:id="40" w:name="bookmark94"/>
      <w:r>
        <w:rPr>
          <w:rFonts w:hint="eastAsia" w:ascii="宋体" w:hAnsi="宋体" w:eastAsia="宋体" w:cs="宋体"/>
          <w:sz w:val="24"/>
          <w:szCs w:val="24"/>
          <w:highlight w:val="none"/>
        </w:rPr>
        <w:t>5</w:t>
      </w:r>
      <w:bookmarkEnd w:id="40"/>
      <w:r>
        <w:rPr>
          <w:rFonts w:hint="eastAsia" w:ascii="宋体" w:hAnsi="宋体" w:eastAsia="宋体" w:cs="宋体"/>
          <w:sz w:val="24"/>
          <w:szCs w:val="24"/>
          <w:highlight w:val="none"/>
        </w:rPr>
        <w:t>.2.7、经磋商确定最终采购需求，由磋商小组采用综合评分法对通过初步评审的供应商的响应文件进行综合评分。</w:t>
      </w:r>
    </w:p>
    <w:p>
      <w:pPr>
        <w:pStyle w:val="56"/>
        <w:keepNext w:val="0"/>
        <w:keepLines w:val="0"/>
        <w:pageBreakBefore w:val="0"/>
        <w:widowControl w:val="0"/>
        <w:numPr>
          <w:ilvl w:val="0"/>
          <w:numId w:val="1"/>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1" w:name="bookmark95"/>
      <w:bookmarkEnd w:id="41"/>
      <w:r>
        <w:rPr>
          <w:rFonts w:hint="eastAsia" w:ascii="宋体" w:hAnsi="宋体" w:eastAsia="宋体" w:cs="宋体"/>
          <w:b/>
          <w:bCs/>
          <w:sz w:val="24"/>
          <w:szCs w:val="24"/>
          <w:highlight w:val="none"/>
        </w:rPr>
        <w:t>磋商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6.1</w:t>
      </w:r>
      <w:r>
        <w:rPr>
          <w:rFonts w:hint="eastAsia" w:ascii="宋体" w:hAnsi="宋体" w:eastAsia="宋体" w:cs="宋体"/>
          <w:b/>
          <w:bCs/>
          <w:sz w:val="24"/>
          <w:szCs w:val="24"/>
          <w:highlight w:val="none"/>
        </w:rPr>
        <w:t>磋商小组</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磋商由采购人依法组建的磋商小组负责。磋商小组由采购人代表及有关技术、经济等方面 的专家组成。磋商小组成员人数以及技术、经济等方面专家的确定方式见供应商须知前附表。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6.2</w:t>
      </w:r>
      <w:r>
        <w:rPr>
          <w:rFonts w:hint="eastAsia" w:ascii="宋体" w:hAnsi="宋体" w:eastAsia="宋体" w:cs="宋体"/>
          <w:b/>
          <w:bCs/>
          <w:sz w:val="24"/>
          <w:szCs w:val="24"/>
          <w:highlight w:val="none"/>
          <w:lang w:val="en-US" w:eastAsia="en-US" w:bidi="en-US"/>
        </w:rPr>
        <w:t>磋商原则</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磋商活动遵循公平、公正、科学和择优的原则。</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6.3磋商</w:t>
      </w:r>
    </w:p>
    <w:p>
      <w:pPr>
        <w:pStyle w:val="56"/>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磋商小组按照第三章</w:t>
      </w:r>
      <w:r>
        <w:rPr>
          <w:rFonts w:hint="eastAsia" w:ascii="宋体" w:hAnsi="宋体" w:eastAsia="宋体" w:cs="宋体"/>
          <w:sz w:val="24"/>
          <w:szCs w:val="24"/>
          <w:highlight w:val="none"/>
          <w:lang w:val="zh-CN" w:eastAsia="zh-CN" w:bidi="zh-CN"/>
        </w:rPr>
        <w:t>“评</w:t>
      </w:r>
      <w:r>
        <w:rPr>
          <w:rFonts w:hint="eastAsia" w:ascii="宋体" w:hAnsi="宋体" w:eastAsia="宋体" w:cs="宋体"/>
          <w:sz w:val="24"/>
          <w:szCs w:val="24"/>
          <w:highlight w:val="none"/>
        </w:rPr>
        <w:t>标办法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规定的方法、评审因素、标准和程序对响应文件进行评审。 第三章</w:t>
      </w:r>
      <w:r>
        <w:rPr>
          <w:rFonts w:hint="eastAsia" w:ascii="宋体" w:hAnsi="宋体" w:eastAsia="宋体" w:cs="宋体"/>
          <w:sz w:val="24"/>
          <w:szCs w:val="24"/>
          <w:highlight w:val="none"/>
          <w:lang w:val="zh-CN" w:eastAsia="zh-CN" w:bidi="zh-CN"/>
        </w:rPr>
        <w:t>“评标</w:t>
      </w:r>
      <w:r>
        <w:rPr>
          <w:rFonts w:hint="eastAsia" w:ascii="宋体" w:hAnsi="宋体" w:eastAsia="宋体" w:cs="宋体"/>
          <w:sz w:val="24"/>
          <w:szCs w:val="24"/>
          <w:highlight w:val="none"/>
        </w:rPr>
        <w:t>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没有规定的方法、评审因素和标准，不作为评标依据。</w:t>
      </w:r>
    </w:p>
    <w:p>
      <w:pPr>
        <w:pStyle w:val="56"/>
        <w:keepNext w:val="0"/>
        <w:keepLines w:val="0"/>
        <w:pageBreakBefore w:val="0"/>
        <w:widowControl w:val="0"/>
        <w:numPr>
          <w:ilvl w:val="0"/>
          <w:numId w:val="1"/>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2" w:name="bookmark96"/>
      <w:bookmarkEnd w:id="42"/>
      <w:r>
        <w:rPr>
          <w:rFonts w:hint="eastAsia" w:ascii="宋体" w:hAnsi="宋体" w:eastAsia="宋体" w:cs="宋体"/>
          <w:b/>
          <w:bCs/>
          <w:sz w:val="24"/>
          <w:szCs w:val="24"/>
          <w:highlight w:val="none"/>
        </w:rPr>
        <w:t>合同授予</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7.1</w:t>
      </w:r>
      <w:r>
        <w:rPr>
          <w:rFonts w:hint="eastAsia" w:ascii="宋体" w:hAnsi="宋体" w:eastAsia="宋体" w:cs="宋体"/>
          <w:b/>
          <w:bCs/>
          <w:sz w:val="24"/>
          <w:szCs w:val="24"/>
          <w:highlight w:val="none"/>
        </w:rPr>
        <w:t>定标方式</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除供应商须知前附表规定磋商小组直接确定成交人外，采购人依据磋商小组推荐的成交候 选人确定成交人，磋商小组推荐成交候选人的人数见供应商须知前附表。采购人将依序确定排 名第一的供应商为成交人，若第一成交候选人放弃中标、因不可抗力不能履行合同、不按照磋 商文件要求提交履约保证金，或者被查实存在影响成交结果的违法行为等情形，不符合成交条 件的,采购人可以按照磋商小组提出的成交候选人名单排序依次确定其他成交候选人为成交人, 也可以重新磋商。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7.2</w:t>
      </w:r>
      <w:r>
        <w:rPr>
          <w:rFonts w:hint="eastAsia" w:ascii="宋体" w:hAnsi="宋体" w:eastAsia="宋体" w:cs="宋体"/>
          <w:b/>
          <w:bCs/>
          <w:sz w:val="24"/>
          <w:szCs w:val="24"/>
          <w:highlight w:val="none"/>
          <w:lang w:val="en-US" w:eastAsia="en-US" w:bidi="en-US"/>
        </w:rPr>
        <w:t>成交通知</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在本章第</w:t>
      </w:r>
      <w:r>
        <w:rPr>
          <w:rFonts w:hint="eastAsia" w:ascii="宋体" w:hAnsi="宋体" w:eastAsia="宋体" w:cs="宋体"/>
          <w:sz w:val="24"/>
          <w:szCs w:val="24"/>
          <w:highlight w:val="none"/>
          <w:lang w:val="en-US" w:eastAsia="zh-CN" w:bidi="en-US"/>
        </w:rPr>
        <w:t>3.3</w:t>
      </w:r>
      <w:r>
        <w:rPr>
          <w:rFonts w:hint="eastAsia" w:ascii="宋体" w:hAnsi="宋体" w:eastAsia="宋体" w:cs="宋体"/>
          <w:sz w:val="24"/>
          <w:szCs w:val="24"/>
          <w:highlight w:val="none"/>
        </w:rPr>
        <w:t>款规定的磋商有效期内，采购人以书面形式向成交人发出成交通知书，同时 将成交结果通知未成交的供应商。</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7.3签订合同</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7.3.1</w:t>
      </w:r>
      <w:r>
        <w:rPr>
          <w:rFonts w:hint="eastAsia" w:ascii="宋体" w:hAnsi="宋体" w:eastAsia="宋体" w:cs="宋体"/>
          <w:sz w:val="24"/>
          <w:szCs w:val="24"/>
          <w:highlight w:val="none"/>
        </w:rPr>
        <w:t>采购人和成交人应当自成交通知书发出之日起30天内，根据磋商文件和成交人的响应文件订立书面合同。成交人无正当理由拒签合同的，采购人取消其成交资格；给采购人造成 的损失的，成交人还应当予以赔偿。</w:t>
      </w:r>
    </w:p>
    <w:p>
      <w:pPr>
        <w:pStyle w:val="56"/>
        <w:keepNext w:val="0"/>
        <w:keepLines w:val="0"/>
        <w:pageBreakBefore w:val="0"/>
        <w:widowControl w:val="0"/>
        <w:numPr>
          <w:ilvl w:val="0"/>
          <w:numId w:val="2"/>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3" w:name="bookmark97"/>
      <w:bookmarkEnd w:id="43"/>
      <w:r>
        <w:rPr>
          <w:rFonts w:hint="eastAsia" w:ascii="宋体" w:hAnsi="宋体" w:eastAsia="宋体" w:cs="宋体"/>
          <w:b/>
          <w:bCs/>
          <w:sz w:val="24"/>
          <w:szCs w:val="24"/>
          <w:highlight w:val="none"/>
        </w:rPr>
        <w:t>重新招标和不再招标</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有下列情形之一的，采购人将重新招标：</w:t>
      </w:r>
    </w:p>
    <w:p>
      <w:pPr>
        <w:pStyle w:val="56"/>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（1）提交响应文件截止时间止，供应商少于3个的；</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（2）符合专业条件的供应商或者对磋商文件作实质响应的供应商不足3家的。</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8.2</w:t>
      </w:r>
      <w:r>
        <w:rPr>
          <w:rFonts w:hint="eastAsia" w:ascii="宋体" w:hAnsi="宋体" w:eastAsia="宋体" w:cs="宋体"/>
          <w:b/>
          <w:bCs/>
          <w:sz w:val="24"/>
          <w:szCs w:val="24"/>
          <w:highlight w:val="none"/>
          <w:lang w:val="en-US" w:eastAsia="en-US" w:bidi="en-US"/>
        </w:rPr>
        <w:t>不再招标</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重新招标后供应商仍少于3个或者所有投标被否决的，属于必须审批或核准的工程建设项 目，经原审批或核准部门批准后不再进行招标。</w:t>
      </w:r>
    </w:p>
    <w:p>
      <w:pPr>
        <w:pStyle w:val="56"/>
        <w:keepNext w:val="0"/>
        <w:keepLines w:val="0"/>
        <w:pageBreakBefore w:val="0"/>
        <w:widowControl w:val="0"/>
        <w:numPr>
          <w:ilvl w:val="0"/>
          <w:numId w:val="2"/>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纪律和监督</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9.1</w:t>
      </w:r>
      <w:r>
        <w:rPr>
          <w:rFonts w:hint="eastAsia" w:ascii="宋体" w:hAnsi="宋体" w:eastAsia="宋体" w:cs="宋体"/>
          <w:b/>
          <w:bCs/>
          <w:sz w:val="24"/>
          <w:szCs w:val="24"/>
          <w:highlight w:val="none"/>
        </w:rPr>
        <w:t>对釆购人的纪律要求</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采购人不得泄漏磋商活动中应当保密的情况和资料，不得与供应商串通损害国家利益、社会公共利益或者他人合法权益。</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9.2</w:t>
      </w:r>
      <w:r>
        <w:rPr>
          <w:rFonts w:hint="eastAsia" w:ascii="宋体" w:hAnsi="宋体" w:eastAsia="宋体" w:cs="宋体"/>
          <w:b/>
          <w:bCs/>
          <w:sz w:val="24"/>
          <w:szCs w:val="24"/>
          <w:highlight w:val="none"/>
          <w:lang w:val="en-US" w:eastAsia="en-US" w:bidi="en-US"/>
        </w:rPr>
        <w:t>对供应商的纪律要求</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供应商不得相互串通或者与采购人串通，不得向采购人或者磋商小组行贿谋取中标，不得 以他人名义投标或者以其他方式弄虚作假骗取中标；供应商不得以任何方式干扰、影响评标工作。</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9.3对磋商小组成员的纪律要求</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磋商小组成员不得收受他人的财物或者其他好处，不得向他人透漏对响应文件的评审和比 较、成交候选人的推荐情况以及评标有关的其他情况。在磋商活动中，磋商小组成员不得擅离 职守，影响评标程序正常进行，不得使用第三章“评标办法</w:t>
      </w:r>
      <w:r>
        <w:rPr>
          <w:rFonts w:hint="eastAsia" w:ascii="宋体" w:hAnsi="宋体" w:eastAsia="宋体" w:cs="宋体"/>
          <w:sz w:val="24"/>
          <w:szCs w:val="24"/>
          <w:highlight w:val="none"/>
          <w:lang w:val="en-US" w:eastAsia="zh-CN" w:bidi="en-US"/>
        </w:rPr>
        <w:t>''</w:t>
      </w:r>
      <w:r>
        <w:rPr>
          <w:rFonts w:hint="eastAsia" w:ascii="宋体" w:hAnsi="宋体" w:eastAsia="宋体" w:cs="宋体"/>
          <w:sz w:val="24"/>
          <w:szCs w:val="24"/>
          <w:highlight w:val="none"/>
        </w:rPr>
        <w:t>没有规定的评审因素和标准进行评标。</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9.4对与评标活动有关的工作人员的纪律要求</w:t>
      </w:r>
    </w:p>
    <w:p>
      <w:pPr>
        <w:pStyle w:val="56"/>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与评标活动有关的工作人员不得收受他人的财物或者其他好处，不得向他人透漏对响应文 件的评审和比较、成交候选人的推荐情况以及评标有关的其他情况。在评标活动中，与评标活 动有关的工作人员不得擅离职守，影响评标程序正常进行。</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9.5投诉</w:t>
      </w:r>
    </w:p>
    <w:p>
      <w:pPr>
        <w:pStyle w:val="56"/>
        <w:spacing w:line="36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供应商和其他利害关系人认为本次磋商活动违反法律、法规和规章规定的，有权向有关行政监督部门投诉。</w:t>
      </w:r>
    </w:p>
    <w:p>
      <w:pPr>
        <w:pStyle w:val="56"/>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10.</w:t>
      </w:r>
      <w:r>
        <w:rPr>
          <w:rFonts w:hint="eastAsia" w:ascii="宋体" w:hAnsi="宋体" w:eastAsia="宋体" w:cs="宋体"/>
          <w:b/>
          <w:bCs/>
          <w:sz w:val="24"/>
          <w:szCs w:val="24"/>
          <w:highlight w:val="none"/>
        </w:rPr>
        <w:t>需要补充的其他内容</w:t>
      </w:r>
    </w:p>
    <w:p>
      <w:pPr>
        <w:pStyle w:val="56"/>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需要补充的其他内容：见供应商须知前附表</w:t>
      </w:r>
    </w:p>
    <w:p>
      <w:pPr>
        <w:ind w:firstLine="56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pPr>
        <w:pStyle w:val="42"/>
        <w:keepNext/>
        <w:keepLines/>
        <w:spacing w:after="300" w:line="240" w:lineRule="auto"/>
        <w:rPr>
          <w:sz w:val="32"/>
          <w:szCs w:val="32"/>
          <w:highlight w:val="none"/>
        </w:rPr>
      </w:pPr>
      <w:bookmarkStart w:id="44" w:name="_Toc6622"/>
      <w:bookmarkStart w:id="45" w:name="_Toc12951"/>
      <w:bookmarkStart w:id="46" w:name="_Toc29902"/>
      <w:bookmarkStart w:id="47" w:name="bookmark118"/>
      <w:bookmarkStart w:id="48" w:name="_Toc26900"/>
      <w:bookmarkStart w:id="49" w:name="bookmark115"/>
      <w:bookmarkStart w:id="50" w:name="bookmark116"/>
      <w:bookmarkStart w:id="51" w:name="_Toc15448"/>
      <w:bookmarkStart w:id="52" w:name="_Toc2057"/>
      <w:r>
        <w:rPr>
          <w:sz w:val="32"/>
          <w:szCs w:val="32"/>
          <w:highlight w:val="none"/>
        </w:rPr>
        <w:t>第三章</w:t>
      </w:r>
      <w:r>
        <w:rPr>
          <w:rFonts w:hint="eastAsia"/>
          <w:sz w:val="32"/>
          <w:szCs w:val="32"/>
          <w:highlight w:val="none"/>
          <w:lang w:val="en-US" w:eastAsia="zh-CN"/>
        </w:rPr>
        <w:t xml:space="preserve"> </w:t>
      </w:r>
      <w:r>
        <w:rPr>
          <w:sz w:val="32"/>
          <w:szCs w:val="32"/>
          <w:highlight w:val="none"/>
        </w:rPr>
        <w:t>评标办法（综合评分法）</w:t>
      </w:r>
      <w:bookmarkEnd w:id="44"/>
      <w:bookmarkEnd w:id="45"/>
      <w:bookmarkEnd w:id="46"/>
      <w:bookmarkEnd w:id="47"/>
      <w:bookmarkEnd w:id="48"/>
      <w:bookmarkEnd w:id="49"/>
      <w:bookmarkEnd w:id="50"/>
      <w:bookmarkEnd w:id="51"/>
      <w:bookmarkEnd w:id="52"/>
    </w:p>
    <w:p>
      <w:pPr>
        <w:pStyle w:val="46"/>
        <w:keepNext w:val="0"/>
        <w:keepLines w:val="0"/>
        <w:pageBreakBefore w:val="0"/>
        <w:widowControl w:val="0"/>
        <w:kinsoku/>
        <w:wordWrap/>
        <w:overflowPunct/>
        <w:topLinePunct w:val="0"/>
        <w:autoSpaceDE/>
        <w:autoSpaceDN/>
        <w:bidi w:val="0"/>
        <w:adjustRightInd/>
        <w:snapToGrid/>
        <w:spacing w:after="140" w:line="240" w:lineRule="auto"/>
        <w:ind w:left="0"/>
        <w:jc w:val="center"/>
        <w:textAlignment w:val="auto"/>
        <w:outlineLvl w:val="1"/>
        <w:rPr>
          <w:sz w:val="28"/>
          <w:szCs w:val="28"/>
          <w:highlight w:val="none"/>
        </w:rPr>
      </w:pPr>
      <w:r>
        <w:rPr>
          <w:sz w:val="28"/>
          <w:szCs w:val="28"/>
          <w:highlight w:val="none"/>
        </w:rPr>
        <w:t>评标办法前附表</w:t>
      </w:r>
    </w:p>
    <w:tbl>
      <w:tblPr>
        <w:tblStyle w:val="21"/>
        <w:tblW w:w="9124" w:type="dxa"/>
        <w:jc w:val="center"/>
        <w:tblLayout w:type="fixed"/>
        <w:tblCellMar>
          <w:top w:w="0" w:type="dxa"/>
          <w:left w:w="10" w:type="dxa"/>
          <w:bottom w:w="0" w:type="dxa"/>
          <w:right w:w="10" w:type="dxa"/>
        </w:tblCellMar>
      </w:tblPr>
      <w:tblGrid>
        <w:gridCol w:w="1154"/>
        <w:gridCol w:w="1551"/>
        <w:gridCol w:w="2251"/>
        <w:gridCol w:w="4168"/>
      </w:tblGrid>
      <w:tr>
        <w:tblPrEx>
          <w:tblCellMar>
            <w:top w:w="0" w:type="dxa"/>
            <w:left w:w="10" w:type="dxa"/>
            <w:bottom w:w="0" w:type="dxa"/>
            <w:right w:w="10" w:type="dxa"/>
          </w:tblCellMar>
        </w:tblPrEx>
        <w:trPr>
          <w:trHeight w:val="396" w:hRule="atLeast"/>
          <w:jc w:val="center"/>
        </w:trPr>
        <w:tc>
          <w:tcPr>
            <w:tcW w:w="27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b/>
                <w:bCs/>
                <w:sz w:val="24"/>
                <w:szCs w:val="24"/>
                <w:highlight w:val="none"/>
              </w:rPr>
              <w:t>条款号</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b/>
                <w:bCs/>
                <w:sz w:val="24"/>
                <w:szCs w:val="24"/>
                <w:highlight w:val="none"/>
              </w:rPr>
              <w:t>评审因素</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b/>
                <w:bCs/>
                <w:sz w:val="24"/>
                <w:szCs w:val="24"/>
                <w:highlight w:val="none"/>
              </w:rPr>
              <w:t>评审标准</w:t>
            </w:r>
          </w:p>
        </w:tc>
      </w:tr>
      <w:tr>
        <w:tblPrEx>
          <w:tblCellMar>
            <w:top w:w="0" w:type="dxa"/>
            <w:left w:w="10" w:type="dxa"/>
            <w:bottom w:w="0" w:type="dxa"/>
            <w:right w:w="10" w:type="dxa"/>
          </w:tblCellMar>
        </w:tblPrEx>
        <w:trPr>
          <w:trHeight w:val="396"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lang w:val="en-US" w:eastAsia="en-US" w:bidi="en-US"/>
              </w:rPr>
              <w:t>2.1.1</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形式评审标准</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供应商名称</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rPr>
                <w:sz w:val="24"/>
                <w:szCs w:val="24"/>
                <w:highlight w:val="none"/>
              </w:rPr>
            </w:pPr>
            <w:r>
              <w:rPr>
                <w:rFonts w:hint="eastAsia"/>
                <w:sz w:val="24"/>
                <w:szCs w:val="24"/>
                <w:highlight w:val="none"/>
              </w:rPr>
              <w:t>与营业执照、资质证书一致</w:t>
            </w:r>
          </w:p>
        </w:tc>
      </w:tr>
      <w:tr>
        <w:tblPrEx>
          <w:tblCellMar>
            <w:top w:w="0" w:type="dxa"/>
            <w:left w:w="10" w:type="dxa"/>
            <w:bottom w:w="0" w:type="dxa"/>
            <w:right w:w="10" w:type="dxa"/>
          </w:tblCellMar>
        </w:tblPrEx>
        <w:trPr>
          <w:trHeight w:val="1012"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磋商函签字盖章</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sz w:val="24"/>
                <w:szCs w:val="24"/>
                <w:highlight w:val="none"/>
              </w:rPr>
            </w:pPr>
            <w:r>
              <w:rPr>
                <w:rFonts w:hint="eastAsia"/>
                <w:sz w:val="24"/>
                <w:szCs w:val="24"/>
                <w:highlight w:val="none"/>
              </w:rPr>
              <w:t>有法定代表人或其委托代理人签字或盖章并加盖单位章</w:t>
            </w:r>
          </w:p>
        </w:tc>
      </w:tr>
      <w:tr>
        <w:tblPrEx>
          <w:tblCellMar>
            <w:top w:w="0" w:type="dxa"/>
            <w:left w:w="10" w:type="dxa"/>
            <w:bottom w:w="0" w:type="dxa"/>
            <w:right w:w="10" w:type="dxa"/>
          </w:tblCellMar>
        </w:tblPrEx>
        <w:trPr>
          <w:trHeight w:val="49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响应文件格式</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rPr>
                <w:sz w:val="24"/>
                <w:szCs w:val="24"/>
                <w:highlight w:val="none"/>
              </w:rPr>
            </w:pPr>
            <w:r>
              <w:rPr>
                <w:rFonts w:hint="eastAsia"/>
                <w:sz w:val="24"/>
                <w:szCs w:val="24"/>
                <w:highlight w:val="none"/>
              </w:rPr>
              <w:t>符合第</w:t>
            </w:r>
            <w:r>
              <w:rPr>
                <w:rFonts w:hint="eastAsia"/>
                <w:sz w:val="24"/>
                <w:szCs w:val="24"/>
                <w:highlight w:val="none"/>
                <w:lang w:val="en-US" w:eastAsia="zh-CN"/>
              </w:rPr>
              <w:t>六</w:t>
            </w:r>
            <w:r>
              <w:rPr>
                <w:rFonts w:hint="eastAsia"/>
                <w:sz w:val="24"/>
                <w:szCs w:val="24"/>
                <w:highlight w:val="none"/>
              </w:rPr>
              <w:t>章</w:t>
            </w:r>
            <w:r>
              <w:rPr>
                <w:rFonts w:hint="eastAsia"/>
                <w:sz w:val="24"/>
                <w:szCs w:val="24"/>
                <w:highlight w:val="none"/>
                <w:lang w:val="zh-CN" w:eastAsia="zh-CN" w:bidi="zh-CN"/>
              </w:rPr>
              <w:t>“竞</w:t>
            </w:r>
            <w:r>
              <w:rPr>
                <w:rFonts w:hint="eastAsia"/>
                <w:sz w:val="24"/>
                <w:szCs w:val="24"/>
                <w:highlight w:val="none"/>
              </w:rPr>
              <w:t>争性磋商响应文件格式”的要求</w:t>
            </w:r>
          </w:p>
        </w:tc>
      </w:tr>
      <w:tr>
        <w:tblPrEx>
          <w:tblCellMar>
            <w:top w:w="0" w:type="dxa"/>
            <w:left w:w="10" w:type="dxa"/>
            <w:bottom w:w="0" w:type="dxa"/>
            <w:right w:w="10" w:type="dxa"/>
          </w:tblCellMar>
        </w:tblPrEx>
        <w:trPr>
          <w:trHeight w:val="913"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lang w:val="en-US" w:eastAsia="en-US" w:bidi="en-US"/>
              </w:rPr>
              <w:t>2.1.2</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资格评审标准</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具有独立承担民事责任的能力</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sz w:val="24"/>
                <w:szCs w:val="24"/>
                <w:highlight w:val="none"/>
              </w:rPr>
            </w:pPr>
            <w:r>
              <w:rPr>
                <w:rFonts w:hint="eastAsia"/>
                <w:sz w:val="24"/>
                <w:szCs w:val="24"/>
                <w:highlight w:val="none"/>
              </w:rPr>
              <w:t>具有有效的企业营业执照</w:t>
            </w:r>
          </w:p>
        </w:tc>
      </w:tr>
      <w:tr>
        <w:tblPrEx>
          <w:tblCellMar>
            <w:top w:w="0" w:type="dxa"/>
            <w:left w:w="10" w:type="dxa"/>
            <w:bottom w:w="0" w:type="dxa"/>
            <w:right w:w="10" w:type="dxa"/>
          </w:tblCellMar>
        </w:tblPrEx>
        <w:trPr>
          <w:trHeight w:val="913" w:hRule="atLeast"/>
          <w:jc w:val="center"/>
        </w:trPr>
        <w:tc>
          <w:tcPr>
            <w:tcW w:w="1154" w:type="dxa"/>
            <w:vMerge w:val="continue"/>
            <w:tcBorders>
              <w:left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lang w:val="en-US" w:eastAsia="zh-CN" w:bidi="en-US"/>
              </w:rPr>
            </w:pPr>
          </w:p>
        </w:tc>
        <w:tc>
          <w:tcPr>
            <w:tcW w:w="1551" w:type="dxa"/>
            <w:vMerge w:val="continue"/>
            <w:tcBorders>
              <w:left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资质要求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供应商须具备行政主管部门核发的城乡规划编制</w:t>
            </w:r>
            <w:r>
              <w:rPr>
                <w:rFonts w:hint="eastAsia"/>
                <w:color w:val="000000" w:themeColor="text1"/>
                <w:sz w:val="24"/>
                <w:szCs w:val="24"/>
                <w:highlight w:val="none"/>
                <w:lang w:val="en-US" w:eastAsia="zh-CN"/>
                <w14:textFill>
                  <w14:solidFill>
                    <w14:schemeClr w14:val="tx1"/>
                  </w14:solidFill>
                </w14:textFill>
              </w:rPr>
              <w:t>乙级</w:t>
            </w:r>
            <w:r>
              <w:rPr>
                <w:rFonts w:hint="eastAsia"/>
                <w:color w:val="000000" w:themeColor="text1"/>
                <w:sz w:val="24"/>
                <w:szCs w:val="24"/>
                <w:highlight w:val="none"/>
                <w:lang w:eastAsia="zh-CN"/>
                <w14:textFill>
                  <w14:solidFill>
                    <w14:schemeClr w14:val="tx1"/>
                  </w14:solidFill>
                </w14:textFill>
              </w:rPr>
              <w:t>及以上的资质证</w:t>
            </w:r>
          </w:p>
        </w:tc>
      </w:tr>
      <w:tr>
        <w:tblPrEx>
          <w:tblCellMar>
            <w:top w:w="0" w:type="dxa"/>
            <w:left w:w="10" w:type="dxa"/>
            <w:bottom w:w="0" w:type="dxa"/>
            <w:right w:w="10" w:type="dxa"/>
          </w:tblCellMar>
        </w:tblPrEx>
        <w:trPr>
          <w:trHeight w:val="128" w:hRule="atLeast"/>
          <w:jc w:val="center"/>
        </w:trPr>
        <w:tc>
          <w:tcPr>
            <w:tcW w:w="1154" w:type="dxa"/>
            <w:vMerge w:val="continue"/>
            <w:tcBorders>
              <w:left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lang w:val="en-US" w:eastAsia="zh-CN" w:bidi="en-US"/>
              </w:rPr>
            </w:pPr>
          </w:p>
        </w:tc>
        <w:tc>
          <w:tcPr>
            <w:tcW w:w="1551" w:type="dxa"/>
            <w:vMerge w:val="continue"/>
            <w:tcBorders>
              <w:left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项目负责人要求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项目负责人具有国家注册城市（乡）规划师注册证书及</w:t>
            </w:r>
            <w:r>
              <w:rPr>
                <w:rFonts w:hint="eastAsia"/>
                <w:color w:val="000000" w:themeColor="text1"/>
                <w:sz w:val="24"/>
                <w:szCs w:val="24"/>
                <w:highlight w:val="none"/>
                <w:lang w:val="en-US" w:eastAsia="zh-CN"/>
                <w14:textFill>
                  <w14:solidFill>
                    <w14:schemeClr w14:val="tx1"/>
                  </w14:solidFill>
                </w14:textFill>
              </w:rPr>
              <w:t>中级工程师</w:t>
            </w:r>
            <w:r>
              <w:rPr>
                <w:rFonts w:hint="eastAsia"/>
                <w:color w:val="000000" w:themeColor="text1"/>
                <w:sz w:val="24"/>
                <w:szCs w:val="24"/>
                <w:highlight w:val="none"/>
                <w:lang w:eastAsia="zh-CN"/>
                <w14:textFill>
                  <w14:solidFill>
                    <w14:schemeClr w14:val="tx1"/>
                  </w14:solidFill>
                </w14:textFill>
              </w:rPr>
              <w:t>及以上职称</w:t>
            </w:r>
          </w:p>
        </w:tc>
      </w:tr>
      <w:tr>
        <w:tblPrEx>
          <w:tblCellMar>
            <w:top w:w="0" w:type="dxa"/>
            <w:left w:w="10" w:type="dxa"/>
            <w:bottom w:w="0" w:type="dxa"/>
            <w:right w:w="10" w:type="dxa"/>
          </w:tblCellMar>
        </w:tblPrEx>
        <w:trPr>
          <w:trHeight w:val="771"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具有良好的商业信誉和健全的财务会计制度</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55" w:lineRule="exact"/>
              <w:ind w:firstLine="0"/>
              <w:rPr>
                <w:sz w:val="24"/>
                <w:szCs w:val="24"/>
                <w:highlight w:val="none"/>
                <w:lang w:val="en-US" w:eastAsia="zh-CN"/>
              </w:rPr>
            </w:pPr>
            <w:r>
              <w:rPr>
                <w:rFonts w:hint="eastAsia"/>
                <w:sz w:val="24"/>
                <w:szCs w:val="24"/>
                <w:highlight w:val="none"/>
                <w:lang w:val="en-US" w:eastAsia="zh-CN"/>
              </w:rPr>
              <w:t>提供完整的2021年或2022年度经审计的财务审计报告，新成立企业提供银行出具的资信证明</w:t>
            </w:r>
          </w:p>
        </w:tc>
      </w:tr>
      <w:tr>
        <w:tblPrEx>
          <w:tblCellMar>
            <w:top w:w="0" w:type="dxa"/>
            <w:left w:w="10" w:type="dxa"/>
            <w:bottom w:w="0" w:type="dxa"/>
            <w:right w:w="10" w:type="dxa"/>
          </w:tblCellMar>
        </w:tblPrEx>
        <w:trPr>
          <w:trHeight w:val="771"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rPr>
              <w:t>具有履行合同所必需的设备和专业技术能力</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7" w:lineRule="exact"/>
              <w:ind w:firstLine="0"/>
              <w:rPr>
                <w:sz w:val="24"/>
                <w:szCs w:val="24"/>
                <w:highlight w:val="none"/>
              </w:rPr>
            </w:pPr>
            <w:r>
              <w:rPr>
                <w:rFonts w:hint="eastAsia"/>
                <w:sz w:val="24"/>
                <w:szCs w:val="24"/>
                <w:highlight w:val="none"/>
              </w:rPr>
              <w:t>提供承诺函，格式自拟</w:t>
            </w:r>
          </w:p>
        </w:tc>
      </w:tr>
      <w:tr>
        <w:tblPrEx>
          <w:tblCellMar>
            <w:top w:w="0" w:type="dxa"/>
            <w:left w:w="10" w:type="dxa"/>
            <w:bottom w:w="0" w:type="dxa"/>
            <w:right w:w="10" w:type="dxa"/>
          </w:tblCellMar>
        </w:tblPrEx>
        <w:trPr>
          <w:trHeight w:val="83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79" w:lineRule="exact"/>
              <w:ind w:firstLine="0"/>
              <w:jc w:val="center"/>
              <w:rPr>
                <w:sz w:val="24"/>
                <w:szCs w:val="24"/>
                <w:highlight w:val="none"/>
              </w:rPr>
            </w:pPr>
            <w:r>
              <w:rPr>
                <w:rFonts w:hint="eastAsia"/>
                <w:sz w:val="24"/>
                <w:szCs w:val="24"/>
                <w:highlight w:val="none"/>
              </w:rPr>
              <w:t>具有依法缴纳税收和社会保障资金的良好记录</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sz w:val="24"/>
                <w:szCs w:val="24"/>
                <w:highlight w:val="none"/>
              </w:rPr>
            </w:pPr>
            <w:r>
              <w:rPr>
                <w:rFonts w:hint="eastAsia"/>
                <w:sz w:val="24"/>
                <w:szCs w:val="24"/>
                <w:highlight w:val="none"/>
              </w:rPr>
              <w:t>提供202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lang w:val="en-US" w:eastAsia="zh-CN"/>
              </w:rPr>
              <w:t>1</w:t>
            </w:r>
            <w:r>
              <w:rPr>
                <w:rFonts w:hint="eastAsia"/>
                <w:sz w:val="24"/>
                <w:szCs w:val="24"/>
                <w:highlight w:val="none"/>
              </w:rPr>
              <w:t>月以来任意 1 个月的社会保障资金及税收缴纳证明材料</w:t>
            </w:r>
            <w:r>
              <w:rPr>
                <w:rFonts w:hint="eastAsia"/>
                <w:sz w:val="24"/>
                <w:szCs w:val="24"/>
                <w:highlight w:val="none"/>
                <w:lang w:eastAsia="zh-CN"/>
              </w:rPr>
              <w:t>。新成立企业从成立之日起计算，</w:t>
            </w:r>
            <w:r>
              <w:rPr>
                <w:rFonts w:hint="eastAsia"/>
                <w:sz w:val="24"/>
                <w:szCs w:val="24"/>
                <w:highlight w:val="none"/>
              </w:rPr>
              <w:t>依法免税或不需要缴纳社会保障资金的供应商，应提供相应文件证明其依法免税或不需要缴纳社会保障资金</w:t>
            </w:r>
          </w:p>
        </w:tc>
      </w:tr>
      <w:tr>
        <w:tblPrEx>
          <w:tblCellMar>
            <w:top w:w="0" w:type="dxa"/>
            <w:left w:w="10" w:type="dxa"/>
            <w:bottom w:w="0" w:type="dxa"/>
            <w:right w:w="10" w:type="dxa"/>
          </w:tblCellMar>
        </w:tblPrEx>
        <w:trPr>
          <w:trHeight w:val="1205"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79" w:lineRule="exact"/>
              <w:ind w:firstLine="0"/>
              <w:jc w:val="center"/>
              <w:rPr>
                <w:sz w:val="24"/>
                <w:szCs w:val="24"/>
                <w:highlight w:val="none"/>
              </w:rPr>
            </w:pPr>
            <w:r>
              <w:rPr>
                <w:rFonts w:hint="eastAsia"/>
                <w:sz w:val="24"/>
                <w:szCs w:val="24"/>
                <w:highlight w:val="none"/>
              </w:rPr>
              <w:t>供应商在参加政府采购活动前三年内，在经营活动中没有重大违法记录</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5" w:lineRule="exact"/>
              <w:ind w:firstLine="0"/>
              <w:rPr>
                <w:sz w:val="24"/>
                <w:szCs w:val="24"/>
                <w:highlight w:val="none"/>
              </w:rPr>
            </w:pPr>
            <w:r>
              <w:rPr>
                <w:rFonts w:hint="eastAsia"/>
                <w:sz w:val="24"/>
                <w:szCs w:val="24"/>
                <w:highlight w:val="none"/>
              </w:rPr>
              <w:t>供应商出具承诺书，格式自拟</w:t>
            </w:r>
          </w:p>
        </w:tc>
      </w:tr>
      <w:tr>
        <w:tblPrEx>
          <w:tblCellMar>
            <w:top w:w="0" w:type="dxa"/>
            <w:left w:w="10" w:type="dxa"/>
            <w:bottom w:w="0" w:type="dxa"/>
            <w:right w:w="10" w:type="dxa"/>
          </w:tblCellMar>
        </w:tblPrEx>
        <w:trPr>
          <w:trHeight w:val="1205"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79" w:lineRule="exact"/>
              <w:ind w:firstLine="0"/>
              <w:jc w:val="center"/>
              <w:rPr>
                <w:rFonts w:hint="eastAsia"/>
                <w:sz w:val="24"/>
                <w:szCs w:val="24"/>
                <w:highlight w:val="none"/>
              </w:rPr>
            </w:pPr>
            <w:r>
              <w:rPr>
                <w:rFonts w:hint="eastAsia"/>
                <w:sz w:val="24"/>
                <w:szCs w:val="24"/>
                <w:highlight w:val="none"/>
              </w:rPr>
              <w:t>联合体投标人（如有）</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top"/>
          </w:tcPr>
          <w:p>
            <w:pPr>
              <w:pStyle w:val="62"/>
              <w:spacing w:line="379" w:lineRule="exact"/>
              <w:ind w:firstLine="0"/>
              <w:jc w:val="center"/>
              <w:rPr>
                <w:rFonts w:hint="eastAsia"/>
                <w:sz w:val="24"/>
                <w:szCs w:val="24"/>
                <w:highlight w:val="none"/>
              </w:rPr>
            </w:pPr>
            <w:r>
              <w:rPr>
                <w:rFonts w:hint="eastAsia"/>
                <w:sz w:val="24"/>
                <w:szCs w:val="24"/>
                <w:highlight w:val="none"/>
              </w:rPr>
              <w:t>提交联合体协议书，并明确联合体牵头人</w:t>
            </w:r>
          </w:p>
        </w:tc>
      </w:tr>
      <w:tr>
        <w:tblPrEx>
          <w:tblCellMar>
            <w:top w:w="0" w:type="dxa"/>
            <w:left w:w="10" w:type="dxa"/>
            <w:bottom w:w="0" w:type="dxa"/>
            <w:right w:w="10" w:type="dxa"/>
          </w:tblCellMar>
        </w:tblPrEx>
        <w:trPr>
          <w:trHeight w:val="51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lang w:val="en-US" w:eastAsia="zh-CN"/>
              </w:rPr>
            </w:pPr>
            <w:r>
              <w:rPr>
                <w:rFonts w:hint="eastAsia"/>
                <w:sz w:val="24"/>
                <w:szCs w:val="24"/>
                <w:highlight w:val="none"/>
                <w:lang w:val="en-US" w:eastAsia="zh-CN"/>
              </w:rPr>
              <w:t>信誉要求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sz w:val="24"/>
                <w:szCs w:val="24"/>
                <w:highlight w:val="none"/>
              </w:rPr>
            </w:pPr>
            <w:r>
              <w:rPr>
                <w:rFonts w:hint="eastAsia"/>
                <w:sz w:val="24"/>
                <w:szCs w:val="24"/>
                <w:highlight w:val="none"/>
              </w:rPr>
              <w:t>根据财政部《关于在政府采购活动中查询及使用信用记录有关问题的通知》(财库[2016]125号) 和豫财购[2016]15号的规定，对列入失信被执行人、重大税收违法失信主体、政府采购严重违法失信行为记录名单的</w:t>
            </w:r>
            <w:r>
              <w:rPr>
                <w:rFonts w:hint="eastAsia"/>
                <w:sz w:val="24"/>
                <w:szCs w:val="24"/>
                <w:highlight w:val="none"/>
                <w:lang w:eastAsia="zh-CN"/>
              </w:rPr>
              <w:t>供应商</w:t>
            </w:r>
            <w:r>
              <w:rPr>
                <w:rFonts w:hint="eastAsia"/>
                <w:sz w:val="24"/>
                <w:szCs w:val="24"/>
                <w:highlight w:val="none"/>
              </w:rPr>
              <w:t>，视为无效投标。查询渠道：“信用中国”网站（www.creditchina.gov.cn ）</w:t>
            </w:r>
            <w:r>
              <w:rPr>
                <w:rFonts w:hint="eastAsia"/>
                <w:sz w:val="24"/>
                <w:szCs w:val="24"/>
                <w:highlight w:val="none"/>
                <w:lang w:val="en-US" w:eastAsia="zh-CN"/>
              </w:rPr>
              <w:t>或通过信用中国转至中国执行信息公开网</w:t>
            </w:r>
            <w:r>
              <w:rPr>
                <w:rFonts w:hint="eastAsia"/>
                <w:sz w:val="24"/>
                <w:szCs w:val="24"/>
                <w:highlight w:val="none"/>
              </w:rPr>
              <w:t>、中国政府采购网（www.ccgp.gov.cn ），查询截止时点为：从</w:t>
            </w:r>
            <w:r>
              <w:rPr>
                <w:rFonts w:hint="eastAsia"/>
                <w:sz w:val="24"/>
                <w:szCs w:val="24"/>
                <w:highlight w:val="none"/>
                <w:lang w:val="en-US" w:eastAsia="zh-CN"/>
              </w:rPr>
              <w:t>磋商</w:t>
            </w:r>
            <w:r>
              <w:rPr>
                <w:rFonts w:hint="eastAsia"/>
                <w:sz w:val="24"/>
                <w:szCs w:val="24"/>
                <w:highlight w:val="none"/>
              </w:rPr>
              <w:t>公告发布之日起至投标截止之日止</w:t>
            </w:r>
          </w:p>
        </w:tc>
      </w:tr>
      <w:tr>
        <w:tblPrEx>
          <w:tblCellMar>
            <w:top w:w="0" w:type="dxa"/>
            <w:left w:w="10" w:type="dxa"/>
            <w:bottom w:w="0" w:type="dxa"/>
            <w:right w:w="10" w:type="dxa"/>
          </w:tblCellMar>
        </w:tblPrEx>
        <w:trPr>
          <w:trHeight w:val="51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sz w:val="24"/>
                <w:szCs w:val="24"/>
                <w:highlight w:val="none"/>
              </w:rPr>
              <w:t>其他要求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rPr>
                <w:sz w:val="24"/>
                <w:szCs w:val="24"/>
                <w:highlight w:val="none"/>
              </w:rPr>
            </w:pPr>
            <w:r>
              <w:rPr>
                <w:rFonts w:hint="eastAsia"/>
                <w:sz w:val="24"/>
                <w:szCs w:val="24"/>
                <w:highlight w:val="none"/>
              </w:rPr>
              <w:t>单位负责人为同一人或者存在控股、管理关系的不同单位，不得同时参加本项目投标；提供投标企业在“国家企业信用信息公示系统”中公示的公司基本信息、股东或投资人信息（提供“国家企业信用信息公示系统”中查询的相关材料并加盖公章，查询信息需包含公司基本信息、股东信息及股权变更信息等相关信息，查询日期为本项目</w:t>
            </w:r>
            <w:r>
              <w:rPr>
                <w:rFonts w:hint="eastAsia"/>
                <w:sz w:val="24"/>
                <w:szCs w:val="24"/>
                <w:highlight w:val="none"/>
                <w:lang w:val="en-US" w:eastAsia="zh-CN"/>
              </w:rPr>
              <w:t>磋商</w:t>
            </w:r>
            <w:r>
              <w:rPr>
                <w:rFonts w:hint="eastAsia"/>
                <w:sz w:val="24"/>
                <w:szCs w:val="24"/>
                <w:highlight w:val="none"/>
              </w:rPr>
              <w:t>公告发布之后）</w:t>
            </w:r>
          </w:p>
        </w:tc>
      </w:tr>
      <w:tr>
        <w:tblPrEx>
          <w:tblCellMar>
            <w:top w:w="0" w:type="dxa"/>
            <w:left w:w="10" w:type="dxa"/>
            <w:bottom w:w="0" w:type="dxa"/>
            <w:right w:w="10" w:type="dxa"/>
          </w:tblCellMar>
        </w:tblPrEx>
        <w:trPr>
          <w:trHeight w:val="1012"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r>
              <w:rPr>
                <w:rFonts w:hint="eastAsia" w:ascii="宋体" w:hAnsi="宋体" w:eastAsia="宋体" w:cs="宋体"/>
                <w:highlight w:val="none"/>
                <w:lang w:eastAsia="zh-CN"/>
              </w:rPr>
              <w:t>2.1.3</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511"/>
              </w:tabs>
              <w:rPr>
                <w:rFonts w:ascii="宋体" w:hAnsi="宋体" w:eastAsia="宋体" w:cs="宋体"/>
                <w:highlight w:val="none"/>
                <w:lang w:eastAsia="zh-CN"/>
              </w:rPr>
            </w:pPr>
            <w:r>
              <w:rPr>
                <w:rFonts w:hint="eastAsia" w:ascii="宋体" w:hAnsi="宋体" w:eastAsia="宋体" w:cs="宋体"/>
                <w:highlight w:val="none"/>
                <w:lang w:eastAsia="zh-CN"/>
              </w:rPr>
              <w:t>响应性评审标 准</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sz w:val="24"/>
                <w:szCs w:val="24"/>
                <w:highlight w:val="none"/>
              </w:rPr>
              <w:t>磋商报价</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360" w:lineRule="exact"/>
              <w:ind w:firstLine="0"/>
              <w:jc w:val="both"/>
              <w:rPr>
                <w:sz w:val="24"/>
                <w:szCs w:val="24"/>
                <w:highlight w:val="none"/>
              </w:rPr>
            </w:pPr>
            <w:r>
              <w:rPr>
                <w:sz w:val="24"/>
                <w:szCs w:val="24"/>
                <w:highlight w:val="none"/>
              </w:rPr>
              <w:t>磋商报价在规定的报价要求范围之内，未超出控制价，每轮只能有一个有效报价</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sz w:val="24"/>
                <w:szCs w:val="24"/>
                <w:highlight w:val="none"/>
              </w:rPr>
              <w:t>投标范围</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rPr>
                <w:sz w:val="24"/>
                <w:szCs w:val="24"/>
                <w:highlight w:val="none"/>
              </w:rPr>
            </w:pPr>
            <w:r>
              <w:rPr>
                <w:sz w:val="24"/>
                <w:szCs w:val="24"/>
                <w:highlight w:val="none"/>
              </w:rPr>
              <w:t>符合第二章</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供应</w:t>
            </w:r>
            <w:r>
              <w:rPr>
                <w:sz w:val="24"/>
                <w:szCs w:val="24"/>
                <w:highlight w:val="none"/>
              </w:rPr>
              <w:t>商须知前附表</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第</w:t>
            </w:r>
            <w:r>
              <w:rPr>
                <w:rFonts w:ascii="Times New Roman" w:hAnsi="Times New Roman" w:eastAsia="Times New Roman" w:cs="Times New Roman"/>
                <w:sz w:val="24"/>
                <w:szCs w:val="24"/>
                <w:highlight w:val="none"/>
                <w:lang w:val="en-US" w:eastAsia="zh-CN" w:bidi="en-US"/>
              </w:rPr>
              <w:t>1.3.1</w:t>
            </w:r>
            <w:r>
              <w:rPr>
                <w:sz w:val="24"/>
                <w:szCs w:val="24"/>
                <w:highlight w:val="none"/>
              </w:rPr>
              <w:t>项规定</w:t>
            </w:r>
          </w:p>
        </w:tc>
      </w:tr>
      <w:tr>
        <w:tblPrEx>
          <w:tblCellMar>
            <w:top w:w="0" w:type="dxa"/>
            <w:left w:w="10" w:type="dxa"/>
            <w:bottom w:w="0" w:type="dxa"/>
            <w:right w:w="10" w:type="dxa"/>
          </w:tblCellMar>
        </w:tblPrEx>
        <w:trPr>
          <w:trHeight w:val="647"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lang w:val="en-US" w:eastAsia="zh-CN"/>
              </w:rPr>
            </w:pPr>
            <w:r>
              <w:rPr>
                <w:rFonts w:hint="eastAsia"/>
                <w:sz w:val="24"/>
                <w:szCs w:val="24"/>
                <w:highlight w:val="none"/>
                <w:lang w:val="en-US" w:eastAsia="zh-CN"/>
              </w:rPr>
              <w:t>服务期限</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rPr>
                <w:sz w:val="24"/>
                <w:szCs w:val="24"/>
                <w:highlight w:val="none"/>
              </w:rPr>
            </w:pPr>
            <w:r>
              <w:rPr>
                <w:sz w:val="24"/>
                <w:szCs w:val="24"/>
                <w:highlight w:val="none"/>
              </w:rPr>
              <w:t>符合第二章</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供应</w:t>
            </w:r>
            <w:r>
              <w:rPr>
                <w:sz w:val="24"/>
                <w:szCs w:val="24"/>
                <w:highlight w:val="none"/>
              </w:rPr>
              <w:t>商须知前附表</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第</w:t>
            </w:r>
            <w:r>
              <w:rPr>
                <w:rFonts w:ascii="Times New Roman" w:hAnsi="Times New Roman" w:eastAsia="Times New Roman" w:cs="Times New Roman"/>
                <w:sz w:val="24"/>
                <w:szCs w:val="24"/>
                <w:highlight w:val="none"/>
                <w:lang w:val="en-US" w:eastAsia="zh-CN" w:bidi="en-US"/>
              </w:rPr>
              <w:t>1.3.2</w:t>
            </w:r>
            <w:r>
              <w:rPr>
                <w:sz w:val="24"/>
                <w:szCs w:val="24"/>
                <w:highlight w:val="none"/>
              </w:rPr>
              <w:t>项规定</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rFonts w:hint="eastAsia"/>
                <w:sz w:val="24"/>
                <w:szCs w:val="24"/>
                <w:highlight w:val="none"/>
                <w:lang w:val="en-US" w:eastAsia="zh-CN"/>
              </w:rPr>
              <w:t>服务</w:t>
            </w:r>
            <w:r>
              <w:rPr>
                <w:sz w:val="24"/>
                <w:szCs w:val="24"/>
                <w:highlight w:val="none"/>
              </w:rPr>
              <w:t>质量</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rPr>
                <w:sz w:val="24"/>
                <w:szCs w:val="24"/>
                <w:highlight w:val="none"/>
              </w:rPr>
            </w:pPr>
            <w:r>
              <w:rPr>
                <w:sz w:val="24"/>
                <w:szCs w:val="24"/>
                <w:highlight w:val="none"/>
              </w:rPr>
              <w:t>符合第二章</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供应</w:t>
            </w:r>
            <w:r>
              <w:rPr>
                <w:sz w:val="24"/>
                <w:szCs w:val="24"/>
                <w:highlight w:val="none"/>
              </w:rPr>
              <w:t>商须知前附表</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第</w:t>
            </w:r>
            <w:r>
              <w:rPr>
                <w:rFonts w:ascii="Times New Roman" w:hAnsi="Times New Roman" w:eastAsia="Times New Roman" w:cs="Times New Roman"/>
                <w:sz w:val="24"/>
                <w:szCs w:val="24"/>
                <w:highlight w:val="none"/>
                <w:lang w:val="en-US" w:eastAsia="zh-CN" w:bidi="en-US"/>
              </w:rPr>
              <w:t>1.3.3</w:t>
            </w:r>
            <w:r>
              <w:rPr>
                <w:sz w:val="24"/>
                <w:szCs w:val="24"/>
                <w:highlight w:val="none"/>
              </w:rPr>
              <w:t>项规定</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jc w:val="center"/>
              <w:rPr>
                <w:sz w:val="24"/>
                <w:szCs w:val="24"/>
                <w:highlight w:val="none"/>
              </w:rPr>
            </w:pPr>
            <w:r>
              <w:rPr>
                <w:sz w:val="24"/>
                <w:szCs w:val="24"/>
                <w:highlight w:val="none"/>
              </w:rPr>
              <w:t>磋商有效期</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spacing w:line="240" w:lineRule="auto"/>
              <w:ind w:firstLine="0"/>
              <w:rPr>
                <w:sz w:val="24"/>
                <w:szCs w:val="24"/>
                <w:highlight w:val="none"/>
              </w:rPr>
            </w:pPr>
            <w:r>
              <w:rPr>
                <w:rFonts w:hint="eastAsia"/>
                <w:sz w:val="24"/>
                <w:szCs w:val="24"/>
                <w:highlight w:val="none"/>
                <w:lang w:val="en-US" w:eastAsia="zh-CN"/>
              </w:rPr>
              <w:t>60</w:t>
            </w:r>
            <w:r>
              <w:rPr>
                <w:rFonts w:hint="eastAsia"/>
                <w:sz w:val="24"/>
                <w:szCs w:val="24"/>
                <w:highlight w:val="none"/>
                <w:lang w:eastAsia="zh-CN"/>
              </w:rPr>
              <w:t>日历天（</w:t>
            </w:r>
            <w:r>
              <w:rPr>
                <w:rFonts w:hint="eastAsia"/>
                <w:sz w:val="24"/>
                <w:szCs w:val="24"/>
                <w:highlight w:val="none"/>
                <w:lang w:val="en-US" w:eastAsia="zh-CN"/>
              </w:rPr>
              <w:t>自提交</w:t>
            </w:r>
            <w:r>
              <w:rPr>
                <w:rFonts w:hint="eastAsia"/>
                <w:sz w:val="24"/>
                <w:szCs w:val="24"/>
                <w:highlight w:val="none"/>
                <w:lang w:eastAsia="zh-CN"/>
              </w:rPr>
              <w:t>响应文件截止之日起</w:t>
            </w:r>
            <w:r>
              <w:rPr>
                <w:rFonts w:hint="eastAsia"/>
                <w:sz w:val="24"/>
                <w:szCs w:val="24"/>
                <w:highlight w:val="none"/>
                <w:lang w:val="en-US" w:eastAsia="zh-CN"/>
              </w:rPr>
              <w:t>计算</w:t>
            </w:r>
            <w:r>
              <w:rPr>
                <w:rFonts w:hint="eastAsia"/>
                <w:sz w:val="24"/>
                <w:szCs w:val="24"/>
                <w:highlight w:val="none"/>
                <w:lang w:eastAsia="zh-CN"/>
              </w:rPr>
              <w:t>）</w:t>
            </w:r>
          </w:p>
        </w:tc>
      </w:tr>
    </w:tbl>
    <w:p>
      <w:pPr>
        <w:jc w:val="both"/>
        <w:rPr>
          <w:sz w:val="2"/>
          <w:szCs w:val="2"/>
          <w:highlight w:val="none"/>
          <w:lang w:eastAsia="zh-CN"/>
        </w:rPr>
      </w:pPr>
      <w:r>
        <w:rPr>
          <w:highlight w:val="none"/>
          <w:lang w:eastAsia="zh-CN"/>
        </w:rPr>
        <w:br w:type="page"/>
      </w:r>
    </w:p>
    <w:p>
      <w:pPr>
        <w:pStyle w:val="56"/>
        <w:keepNext w:val="0"/>
        <w:keepLines w:val="0"/>
        <w:pageBreakBefore w:val="0"/>
        <w:widowControl w:val="0"/>
        <w:kinsoku/>
        <w:wordWrap/>
        <w:overflowPunct/>
        <w:topLinePunct w:val="0"/>
        <w:autoSpaceDE/>
        <w:autoSpaceDN/>
        <w:bidi w:val="0"/>
        <w:adjustRightInd/>
        <w:snapToGrid/>
        <w:spacing w:after="80" w:line="240" w:lineRule="auto"/>
        <w:ind w:firstLine="0"/>
        <w:jc w:val="center"/>
        <w:textAlignment w:val="auto"/>
        <w:outlineLvl w:val="1"/>
        <w:rPr>
          <w:b/>
          <w:bCs/>
          <w:sz w:val="24"/>
          <w:szCs w:val="24"/>
          <w:highlight w:val="none"/>
        </w:rPr>
      </w:pPr>
      <w:r>
        <w:rPr>
          <w:rFonts w:hint="eastAsia"/>
          <w:b/>
          <w:bCs/>
          <w:sz w:val="24"/>
          <w:szCs w:val="24"/>
          <w:highlight w:val="none"/>
          <w:lang w:val="en-US" w:eastAsia="en-US" w:bidi="en-US"/>
        </w:rPr>
        <w:t>2.2</w:t>
      </w:r>
      <w:r>
        <w:rPr>
          <w:rFonts w:hint="eastAsia"/>
          <w:b/>
          <w:bCs/>
          <w:sz w:val="24"/>
          <w:szCs w:val="24"/>
          <w:highlight w:val="none"/>
        </w:rPr>
        <w:t>评分细则</w:t>
      </w:r>
    </w:p>
    <w:tbl>
      <w:tblPr>
        <w:tblStyle w:val="21"/>
        <w:tblW w:w="925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0"/>
        <w:gridCol w:w="2250"/>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5" w:type="dxa"/>
            <w:gridSpan w:val="2"/>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条款号</w:t>
            </w:r>
          </w:p>
        </w:tc>
        <w:tc>
          <w:tcPr>
            <w:tcW w:w="2250"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条款内容</w:t>
            </w:r>
          </w:p>
        </w:tc>
        <w:tc>
          <w:tcPr>
            <w:tcW w:w="4929"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5" w:type="dxa"/>
            <w:gridSpan w:val="2"/>
            <w:shd w:val="clear" w:color="auto" w:fill="FFFFFF"/>
            <w:vAlign w:val="center"/>
          </w:tcPr>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2.2.</w:t>
            </w:r>
            <w:r>
              <w:rPr>
                <w:rFonts w:hint="eastAsia" w:ascii="宋体" w:hAnsi="宋体" w:eastAsia="宋体" w:cs="宋体"/>
                <w:highlight w:val="none"/>
              </w:rPr>
              <w:t>1</w:t>
            </w:r>
          </w:p>
        </w:tc>
        <w:tc>
          <w:tcPr>
            <w:tcW w:w="2250"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分值构成</w:t>
            </w:r>
          </w:p>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（总分100分）</w:t>
            </w:r>
          </w:p>
        </w:tc>
        <w:tc>
          <w:tcPr>
            <w:tcW w:w="4929" w:type="dxa"/>
            <w:shd w:val="clear" w:color="auto" w:fill="FFFFFF"/>
            <w:vAlign w:val="bottom"/>
          </w:tcPr>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商务标：10分</w:t>
            </w:r>
          </w:p>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技术标：</w:t>
            </w:r>
            <w:r>
              <w:rPr>
                <w:rFonts w:hint="default" w:ascii="宋体" w:hAnsi="宋体" w:eastAsia="宋体" w:cs="宋体"/>
                <w:highlight w:val="none"/>
                <w:lang w:val="en-US" w:eastAsia="zh-CN" w:bidi="ar"/>
              </w:rPr>
              <w:t>5</w:t>
            </w:r>
            <w:r>
              <w:rPr>
                <w:rFonts w:hint="eastAsia" w:ascii="宋体" w:hAnsi="宋体" w:eastAsia="宋体" w:cs="宋体"/>
                <w:highlight w:val="none"/>
                <w:lang w:val="en-US" w:eastAsia="zh-CN" w:bidi="ar"/>
              </w:rPr>
              <w:t>0</w:t>
            </w:r>
            <w:r>
              <w:rPr>
                <w:rFonts w:hint="eastAsia" w:ascii="宋体" w:hAnsi="宋体" w:eastAsia="宋体" w:cs="宋体"/>
                <w:highlight w:val="none"/>
                <w:lang w:eastAsia="zh-CN" w:bidi="ar"/>
              </w:rPr>
              <w:t>分</w:t>
            </w:r>
          </w:p>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综合标：</w:t>
            </w:r>
            <w:r>
              <w:rPr>
                <w:rFonts w:hint="eastAsia" w:ascii="宋体" w:hAnsi="宋体" w:eastAsia="宋体" w:cs="宋体"/>
                <w:highlight w:val="none"/>
                <w:lang w:val="en-US" w:eastAsia="zh-CN" w:bidi="ar"/>
              </w:rPr>
              <w:t>40</w:t>
            </w:r>
            <w:r>
              <w:rPr>
                <w:rFonts w:hint="eastAsia" w:ascii="宋体" w:hAnsi="宋体" w:eastAsia="宋体" w:cs="宋体"/>
                <w:highlight w:val="none"/>
                <w:lang w:eastAsia="zh-CN" w:bidi="ar"/>
              </w:rPr>
              <w:t>分</w:t>
            </w:r>
          </w:p>
          <w:p>
            <w:pPr>
              <w:widowControl/>
              <w:spacing w:line="360" w:lineRule="auto"/>
              <w:textAlignment w:val="bottom"/>
              <w:rPr>
                <w:rFonts w:ascii="宋体" w:hAnsi="宋体" w:eastAsia="宋体" w:cs="宋体"/>
                <w:highlight w:val="none"/>
                <w:lang w:eastAsia="zh-CN"/>
              </w:rPr>
            </w:pPr>
            <w:r>
              <w:rPr>
                <w:rFonts w:hint="eastAsia" w:ascii="宋体" w:hAnsi="宋体" w:eastAsia="宋体" w:cs="宋体"/>
                <w:highlight w:val="none"/>
                <w:lang w:eastAsia="zh-CN" w:bidi="ar"/>
              </w:rPr>
              <w:t>评委集体评议分别打分后的算术平均值，即为该单位最终得分。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25" w:type="dxa"/>
            <w:gridSpan w:val="3"/>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评标基准价计算方法</w:t>
            </w:r>
          </w:p>
        </w:tc>
        <w:tc>
          <w:tcPr>
            <w:tcW w:w="4929" w:type="dxa"/>
            <w:shd w:val="clear" w:color="auto" w:fill="FFFFFF"/>
            <w:vAlign w:val="center"/>
          </w:tcPr>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 xml:space="preserve">有效投标报价：指响应文件通过资格、形式、响应性评审且不存在废标情形的投标报价。 </w:t>
            </w:r>
          </w:p>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评标基准价=满足磋商文件要求的最低有效报价为基准价（给予小型或者微型企业20%的价格扣除，用扣除后的价格参与评审，政策详见本章第3.5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5" w:type="dxa"/>
            <w:gridSpan w:val="2"/>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条款号</w:t>
            </w:r>
          </w:p>
        </w:tc>
        <w:tc>
          <w:tcPr>
            <w:tcW w:w="2250"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评分因素</w:t>
            </w:r>
          </w:p>
        </w:tc>
        <w:tc>
          <w:tcPr>
            <w:tcW w:w="4929"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835"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2.2.2</w:t>
            </w:r>
          </w:p>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（1）</w:t>
            </w:r>
          </w:p>
        </w:tc>
        <w:tc>
          <w:tcPr>
            <w:tcW w:w="1240"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商务标评分标准</w:t>
            </w:r>
          </w:p>
          <w:p>
            <w:pPr>
              <w:widowControl/>
              <w:spacing w:line="360" w:lineRule="auto"/>
              <w:jc w:val="center"/>
              <w:textAlignment w:val="center"/>
              <w:rPr>
                <w:rFonts w:ascii="宋体" w:hAnsi="宋体" w:eastAsia="宋体" w:cs="宋体"/>
                <w:highlight w:val="none"/>
                <w:lang w:eastAsia="zh-CN"/>
              </w:rPr>
            </w:pPr>
            <w:r>
              <w:rPr>
                <w:rFonts w:hint="eastAsia" w:ascii="宋体" w:hAnsi="宋体" w:eastAsia="宋体" w:cs="宋体"/>
                <w:highlight w:val="none"/>
                <w:lang w:eastAsia="zh-CN" w:bidi="ar"/>
              </w:rPr>
              <w:t>（10分）</w:t>
            </w:r>
          </w:p>
        </w:tc>
        <w:tc>
          <w:tcPr>
            <w:tcW w:w="2250"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报价得分</w:t>
            </w:r>
          </w:p>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（10分）</w:t>
            </w:r>
          </w:p>
        </w:tc>
        <w:tc>
          <w:tcPr>
            <w:tcW w:w="4929" w:type="dxa"/>
            <w:shd w:val="clear" w:color="auto" w:fill="FFFFFF"/>
            <w:vAlign w:val="center"/>
          </w:tcPr>
          <w:p>
            <w:pPr>
              <w:pStyle w:val="8"/>
              <w:rPr>
                <w:rFonts w:asciiTheme="minorEastAsia" w:hAnsiTheme="minorEastAsia" w:eastAsiaTheme="minorEastAsia" w:cstheme="minorEastAsia"/>
                <w:sz w:val="24"/>
                <w:szCs w:val="24"/>
                <w:highlight w:val="none"/>
                <w:lang w:val="en-US" w:bidi="en-US"/>
              </w:rPr>
            </w:pPr>
            <w:r>
              <w:rPr>
                <w:rFonts w:hint="eastAsia" w:asciiTheme="minorEastAsia" w:hAnsiTheme="minorEastAsia" w:eastAsiaTheme="minorEastAsia" w:cstheme="minorEastAsia"/>
                <w:sz w:val="24"/>
                <w:szCs w:val="24"/>
                <w:highlight w:val="none"/>
                <w:lang w:val="en-US" w:bidi="en-US"/>
              </w:rPr>
              <w:t>计算方法如下：</w:t>
            </w:r>
          </w:p>
          <w:p>
            <w:pPr>
              <w:pStyle w:val="8"/>
              <w:rPr>
                <w:rFonts w:asciiTheme="minorEastAsia" w:hAnsiTheme="minorEastAsia" w:eastAsiaTheme="minorEastAsia" w:cstheme="minorEastAsia"/>
                <w:sz w:val="24"/>
                <w:szCs w:val="24"/>
                <w:highlight w:val="none"/>
                <w:lang w:val="en-US" w:bidi="en-US"/>
              </w:rPr>
            </w:pPr>
            <w:r>
              <w:rPr>
                <w:rFonts w:hint="eastAsia" w:asciiTheme="minorEastAsia" w:hAnsiTheme="minorEastAsia" w:eastAsiaTheme="minorEastAsia" w:cstheme="minorEastAsia"/>
                <w:sz w:val="24"/>
                <w:szCs w:val="24"/>
                <w:highlight w:val="none"/>
                <w:lang w:val="en-US" w:bidi="en-US"/>
              </w:rPr>
              <w:t>1、磋商基准值=有效供应商价格最低的最终磋商报价</w:t>
            </w:r>
          </w:p>
          <w:p>
            <w:pPr>
              <w:pStyle w:val="8"/>
              <w:rPr>
                <w:rFonts w:asciiTheme="minorEastAsia" w:hAnsiTheme="minorEastAsia" w:eastAsiaTheme="minorEastAsia" w:cstheme="minorEastAsia"/>
                <w:sz w:val="24"/>
                <w:szCs w:val="24"/>
                <w:highlight w:val="none"/>
                <w:lang w:val="en-US" w:bidi="en-US"/>
              </w:rPr>
            </w:pPr>
            <w:r>
              <w:rPr>
                <w:rFonts w:hint="eastAsia" w:asciiTheme="minorEastAsia" w:hAnsiTheme="minorEastAsia" w:eastAsiaTheme="minorEastAsia" w:cstheme="minorEastAsia"/>
                <w:sz w:val="24"/>
                <w:szCs w:val="24"/>
                <w:highlight w:val="none"/>
                <w:lang w:val="en-US" w:bidi="en-US"/>
              </w:rPr>
              <w:t>2、最后磋商报价得分=磋商基准值/最终磋商报价×10分</w:t>
            </w:r>
          </w:p>
          <w:p>
            <w:pPr>
              <w:pStyle w:val="8"/>
              <w:rPr>
                <w:highlight w:val="none"/>
              </w:rPr>
            </w:pPr>
            <w:r>
              <w:rPr>
                <w:rFonts w:hint="eastAsia" w:asciiTheme="minorEastAsia" w:hAnsiTheme="minorEastAsia" w:eastAsiaTheme="minorEastAsia" w:cstheme="minorEastAsia"/>
                <w:sz w:val="24"/>
                <w:szCs w:val="24"/>
                <w:highlight w:val="none"/>
                <w:lang w:val="en-US" w:bidi="en-US"/>
              </w:rPr>
              <w:t>备注：计算按四舍五入法则，保留小数点后两位。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35" w:type="dxa"/>
            <w:vMerge w:val="restart"/>
            <w:shd w:val="clear" w:color="auto" w:fill="FFFFFF"/>
            <w:vAlign w:val="center"/>
          </w:tcPr>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2.2.2(2)</w:t>
            </w:r>
          </w:p>
        </w:tc>
        <w:tc>
          <w:tcPr>
            <w:tcW w:w="1240" w:type="dxa"/>
            <w:vMerge w:val="restart"/>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rPr>
              <w:t>技术标</w:t>
            </w:r>
            <w:r>
              <w:rPr>
                <w:rFonts w:hint="eastAsia" w:ascii="宋体" w:hAnsi="宋体" w:eastAsia="宋体" w:cs="宋体"/>
                <w:highlight w:val="none"/>
                <w:lang w:eastAsia="zh-CN" w:bidi="ar"/>
              </w:rPr>
              <w:t>评分标准</w:t>
            </w:r>
          </w:p>
          <w:p>
            <w:pPr>
              <w:widowControl/>
              <w:spacing w:line="360" w:lineRule="auto"/>
              <w:jc w:val="center"/>
              <w:textAlignment w:val="center"/>
              <w:rPr>
                <w:rFonts w:ascii="宋体" w:hAnsi="宋体" w:eastAsia="宋体" w:cs="宋体"/>
                <w:highlight w:val="none"/>
                <w:lang w:eastAsia="zh-CN"/>
              </w:rPr>
            </w:pPr>
            <w:r>
              <w:rPr>
                <w:rFonts w:hint="eastAsia" w:ascii="宋体" w:hAnsi="宋体" w:eastAsia="宋体" w:cs="宋体"/>
                <w:highlight w:val="none"/>
                <w:lang w:eastAsia="zh-CN"/>
              </w:rPr>
              <w:t>（</w:t>
            </w:r>
            <w:r>
              <w:rPr>
                <w:rFonts w:hint="default" w:ascii="宋体" w:hAnsi="宋体" w:eastAsia="宋体" w:cs="宋体"/>
                <w:highlight w:val="none"/>
                <w:lang w:val="en-US" w:eastAsia="zh-CN"/>
              </w:rPr>
              <w:t>5</w:t>
            </w:r>
            <w:r>
              <w:rPr>
                <w:rFonts w:hint="eastAsia" w:ascii="宋体" w:hAnsi="宋体" w:eastAsia="宋体" w:cs="宋体"/>
                <w:highlight w:val="none"/>
                <w:lang w:val="en-US" w:eastAsia="zh-CN"/>
              </w:rPr>
              <w:t>0</w:t>
            </w:r>
            <w:r>
              <w:rPr>
                <w:rFonts w:hint="eastAsia" w:ascii="宋体" w:hAnsi="宋体" w:eastAsia="宋体" w:cs="宋体"/>
                <w:highlight w:val="none"/>
                <w:lang w:eastAsia="zh-CN"/>
              </w:rPr>
              <w:t>分）</w:t>
            </w:r>
          </w:p>
        </w:tc>
        <w:tc>
          <w:tcPr>
            <w:tcW w:w="2250" w:type="dxa"/>
            <w:shd w:val="clear" w:color="auto" w:fill="FFFFFF"/>
            <w:vAlign w:val="center"/>
          </w:tcPr>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lang w:eastAsia="zh-CN"/>
              </w:rPr>
              <w:t>对项目的认识（</w:t>
            </w:r>
            <w:r>
              <w:rPr>
                <w:rFonts w:asciiTheme="minorEastAsia" w:hAnsiTheme="minorEastAsia" w:eastAsiaTheme="minorEastAsia" w:cstheme="minorEastAsia"/>
                <w:lang w:eastAsia="zh-CN"/>
              </w:rPr>
              <w:t>10</w:t>
            </w:r>
            <w:r>
              <w:rPr>
                <w:rFonts w:hint="eastAsia" w:asciiTheme="minorEastAsia" w:hAnsiTheme="minorEastAsia" w:eastAsiaTheme="minorEastAsia" w:cstheme="minorEastAsia"/>
                <w:lang w:eastAsia="zh-CN"/>
              </w:rPr>
              <w:t>分）</w:t>
            </w:r>
          </w:p>
        </w:tc>
        <w:tc>
          <w:tcPr>
            <w:tcW w:w="4929" w:type="dxa"/>
            <w:shd w:val="clear" w:color="auto" w:fill="FFFFFF"/>
            <w:vAlign w:val="center"/>
          </w:tcPr>
          <w:p>
            <w:pPr>
              <w:tabs>
                <w:tab w:val="left" w:pos="851"/>
              </w:tabs>
              <w:ind w:right="-108"/>
              <w:rPr>
                <w:rFonts w:hint="eastAsia" w:ascii="宋体" w:hAnsi="宋体" w:cs="宋体"/>
                <w:szCs w:val="21"/>
                <w:lang w:eastAsia="zh-CN"/>
              </w:rPr>
            </w:pPr>
            <w:r>
              <w:rPr>
                <w:rFonts w:hint="eastAsia" w:ascii="宋体" w:hAnsi="宋体" w:cs="宋体"/>
                <w:szCs w:val="21"/>
                <w:lang w:eastAsia="zh-CN"/>
              </w:rPr>
              <w:t>1、对项目理解深刻，得5.1～10分；</w:t>
            </w:r>
          </w:p>
          <w:p>
            <w:pPr>
              <w:tabs>
                <w:tab w:val="left" w:pos="851"/>
              </w:tabs>
              <w:ind w:right="-108"/>
              <w:rPr>
                <w:rFonts w:hint="eastAsia" w:ascii="宋体" w:hAnsi="宋体" w:cs="宋体"/>
                <w:szCs w:val="21"/>
                <w:lang w:eastAsia="zh-CN"/>
              </w:rPr>
            </w:pPr>
            <w:r>
              <w:rPr>
                <w:rFonts w:hint="eastAsia" w:ascii="宋体" w:hAnsi="宋体" w:cs="宋体"/>
                <w:szCs w:val="21"/>
                <w:lang w:eastAsia="zh-CN"/>
              </w:rPr>
              <w:t>2、对项目有一定的认识，得3.1～5分；</w:t>
            </w:r>
          </w:p>
          <w:p>
            <w:pPr>
              <w:rPr>
                <w:rFonts w:asciiTheme="minorEastAsia" w:hAnsiTheme="minorEastAsia" w:eastAsiaTheme="minorEastAsia" w:cstheme="minorEastAsia"/>
                <w:highlight w:val="none"/>
                <w:lang w:eastAsia="zh-CN"/>
              </w:rPr>
            </w:pPr>
            <w:r>
              <w:rPr>
                <w:rFonts w:hint="eastAsia" w:ascii="宋体" w:hAnsi="宋体" w:cs="宋体"/>
                <w:szCs w:val="21"/>
                <w:lang w:eastAsia="zh-CN"/>
              </w:rPr>
              <w:t>3、对项目的认识不全面，得0～3分；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tabs>
                <w:tab w:val="left" w:pos="851"/>
              </w:tabs>
              <w:spacing w:line="360" w:lineRule="auto"/>
              <w:ind w:right="-108"/>
              <w:jc w:val="center"/>
              <w:rPr>
                <w:rFonts w:ascii="宋体" w:hAnsi="宋体" w:cs="宋体"/>
                <w:szCs w:val="21"/>
                <w:lang w:eastAsia="zh-CN"/>
              </w:rPr>
            </w:pPr>
            <w:r>
              <w:rPr>
                <w:rFonts w:hint="eastAsia" w:ascii="宋体" w:hAnsi="宋体" w:cs="宋体"/>
                <w:szCs w:val="21"/>
                <w:lang w:eastAsia="zh-CN"/>
              </w:rPr>
              <w:t>项目基本情况分析</w:t>
            </w:r>
          </w:p>
          <w:p>
            <w:pPr>
              <w:spacing w:line="360" w:lineRule="auto"/>
              <w:jc w:val="center"/>
              <w:rPr>
                <w:rFonts w:asciiTheme="minorEastAsia" w:hAnsiTheme="minorEastAsia" w:eastAsiaTheme="minorEastAsia" w:cstheme="minorEastAsia"/>
                <w:highlight w:val="none"/>
                <w:lang w:eastAsia="zh-CN"/>
              </w:rPr>
            </w:pPr>
            <w:r>
              <w:rPr>
                <w:rFonts w:hint="eastAsia" w:ascii="宋体" w:hAnsi="宋体" w:cs="宋体"/>
                <w:szCs w:val="21"/>
                <w:lang w:eastAsia="zh-CN"/>
              </w:rPr>
              <w:t>（1</w:t>
            </w:r>
            <w:r>
              <w:rPr>
                <w:rFonts w:hint="eastAsia" w:ascii="宋体" w:hAnsi="宋体" w:cs="宋体"/>
                <w:szCs w:val="21"/>
                <w:lang w:val="en-US" w:eastAsia="zh-CN"/>
              </w:rPr>
              <w:t>0</w:t>
            </w:r>
            <w:r>
              <w:rPr>
                <w:rFonts w:hint="eastAsia" w:ascii="宋体" w:hAnsi="宋体" w:cs="宋体"/>
                <w:szCs w:val="21"/>
                <w:lang w:eastAsia="zh-CN"/>
              </w:rPr>
              <w:t>分）</w:t>
            </w:r>
          </w:p>
        </w:tc>
        <w:tc>
          <w:tcPr>
            <w:tcW w:w="4929" w:type="dxa"/>
            <w:shd w:val="clear" w:color="auto" w:fill="FFFFFF"/>
            <w:vAlign w:val="center"/>
          </w:tcPr>
          <w:p>
            <w:pPr>
              <w:tabs>
                <w:tab w:val="left" w:pos="851"/>
              </w:tabs>
              <w:ind w:right="-108"/>
              <w:rPr>
                <w:rFonts w:hint="eastAsia" w:ascii="宋体" w:hAnsi="宋体" w:cs="宋体"/>
                <w:szCs w:val="21"/>
                <w:lang w:eastAsia="zh-CN"/>
              </w:rPr>
            </w:pPr>
            <w:r>
              <w:rPr>
                <w:rFonts w:hint="eastAsia" w:ascii="宋体" w:hAnsi="宋体" w:cs="宋体"/>
                <w:szCs w:val="21"/>
                <w:lang w:eastAsia="zh-CN"/>
              </w:rPr>
              <w:t>1、项目基本情况分析合理、可行，得</w:t>
            </w:r>
            <w:r>
              <w:rPr>
                <w:rFonts w:hint="eastAsia" w:ascii="宋体" w:hAnsi="宋体" w:cs="宋体"/>
                <w:szCs w:val="21"/>
                <w:lang w:val="en-US" w:eastAsia="zh-CN"/>
              </w:rPr>
              <w:t>5</w:t>
            </w:r>
            <w:r>
              <w:rPr>
                <w:rFonts w:hint="eastAsia" w:ascii="宋体" w:hAnsi="宋体" w:cs="宋体"/>
                <w:szCs w:val="21"/>
                <w:lang w:eastAsia="zh-CN"/>
              </w:rPr>
              <w:t>.1～1</w:t>
            </w:r>
            <w:r>
              <w:rPr>
                <w:rFonts w:hint="eastAsia" w:ascii="宋体" w:hAnsi="宋体" w:cs="宋体"/>
                <w:szCs w:val="21"/>
                <w:lang w:val="en-US" w:eastAsia="zh-CN"/>
              </w:rPr>
              <w:t>0</w:t>
            </w:r>
            <w:r>
              <w:rPr>
                <w:rFonts w:hint="eastAsia" w:ascii="宋体" w:hAnsi="宋体" w:cs="宋体"/>
                <w:szCs w:val="21"/>
                <w:lang w:eastAsia="zh-CN"/>
              </w:rPr>
              <w:t>分；</w:t>
            </w:r>
          </w:p>
          <w:p>
            <w:pPr>
              <w:tabs>
                <w:tab w:val="left" w:pos="851"/>
              </w:tabs>
              <w:ind w:right="-108"/>
              <w:rPr>
                <w:rFonts w:hint="eastAsia" w:ascii="宋体" w:hAnsi="宋体" w:cs="宋体"/>
                <w:szCs w:val="21"/>
                <w:lang w:eastAsia="zh-CN"/>
              </w:rPr>
            </w:pPr>
            <w:r>
              <w:rPr>
                <w:rFonts w:hint="eastAsia" w:ascii="宋体" w:hAnsi="宋体" w:cs="宋体"/>
                <w:szCs w:val="21"/>
                <w:lang w:eastAsia="zh-CN"/>
              </w:rPr>
              <w:t>2、项目基本情况分析基本合理、较可行，得</w:t>
            </w:r>
            <w:r>
              <w:rPr>
                <w:rFonts w:hint="eastAsia" w:ascii="宋体" w:hAnsi="宋体" w:cs="宋体"/>
                <w:szCs w:val="21"/>
                <w:lang w:val="en-US" w:eastAsia="zh-CN"/>
              </w:rPr>
              <w:t>3</w:t>
            </w:r>
            <w:r>
              <w:rPr>
                <w:rFonts w:hint="eastAsia" w:ascii="宋体" w:hAnsi="宋体" w:cs="宋体"/>
                <w:szCs w:val="21"/>
                <w:lang w:eastAsia="zh-CN"/>
              </w:rPr>
              <w:t>.1～</w:t>
            </w:r>
            <w:r>
              <w:rPr>
                <w:rFonts w:hint="eastAsia" w:ascii="宋体" w:hAnsi="宋体" w:cs="宋体"/>
                <w:szCs w:val="21"/>
                <w:lang w:val="en-US" w:eastAsia="zh-CN"/>
              </w:rPr>
              <w:t>5</w:t>
            </w:r>
            <w:r>
              <w:rPr>
                <w:rFonts w:hint="eastAsia" w:ascii="宋体" w:hAnsi="宋体" w:cs="宋体"/>
                <w:szCs w:val="21"/>
                <w:lang w:eastAsia="zh-CN"/>
              </w:rPr>
              <w:t>分；</w:t>
            </w:r>
          </w:p>
          <w:p>
            <w:pPr>
              <w:rPr>
                <w:rFonts w:asciiTheme="minorEastAsia" w:hAnsiTheme="minorEastAsia" w:eastAsiaTheme="minorEastAsia" w:cstheme="minorEastAsia"/>
                <w:highlight w:val="none"/>
                <w:lang w:eastAsia="zh-CN"/>
              </w:rPr>
            </w:pPr>
            <w:r>
              <w:rPr>
                <w:rFonts w:hint="eastAsia" w:ascii="宋体" w:hAnsi="宋体" w:cs="宋体"/>
                <w:szCs w:val="21"/>
                <w:lang w:eastAsia="zh-CN"/>
              </w:rPr>
              <w:t>3、项目基本情况分析欠合理，可行性差，得0～</w:t>
            </w:r>
            <w:r>
              <w:rPr>
                <w:rFonts w:hint="eastAsia" w:ascii="宋体" w:hAnsi="宋体" w:cs="宋体"/>
                <w:szCs w:val="21"/>
                <w:lang w:val="en-US" w:eastAsia="zh-CN"/>
              </w:rPr>
              <w:t>3</w:t>
            </w:r>
            <w:r>
              <w:rPr>
                <w:rFonts w:hint="eastAsia" w:ascii="宋体" w:hAnsi="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spacing w:line="360" w:lineRule="auto"/>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lang w:eastAsia="zh-CN"/>
              </w:rPr>
              <w:t>试点村村庄规划工作方案（</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lang w:eastAsia="zh-CN"/>
              </w:rPr>
              <w:t>分）</w:t>
            </w:r>
          </w:p>
        </w:tc>
        <w:tc>
          <w:tcPr>
            <w:tcW w:w="4929" w:type="dxa"/>
            <w:shd w:val="clear" w:color="auto" w:fill="FFFFFF"/>
            <w:vAlign w:val="center"/>
          </w:tcPr>
          <w:p>
            <w:pPr>
              <w:tabs>
                <w:tab w:val="left" w:pos="851"/>
              </w:tabs>
              <w:ind w:right="-108"/>
              <w:rPr>
                <w:rFonts w:hint="eastAsia" w:ascii="宋体" w:hAnsi="宋体" w:cs="宋体"/>
                <w:szCs w:val="21"/>
                <w:lang w:eastAsia="zh-CN"/>
              </w:rPr>
            </w:pPr>
            <w:r>
              <w:rPr>
                <w:rFonts w:hint="eastAsia" w:ascii="宋体" w:hAnsi="宋体" w:cs="宋体"/>
                <w:szCs w:val="21"/>
                <w:lang w:eastAsia="zh-CN"/>
              </w:rPr>
              <w:t>1、目标明确、总体方案内容完整，思路清晰，方案合理，得1</w:t>
            </w:r>
            <w:r>
              <w:rPr>
                <w:rFonts w:ascii="宋体" w:hAnsi="宋体" w:cs="宋体"/>
                <w:szCs w:val="21"/>
                <w:lang w:eastAsia="zh-CN"/>
              </w:rPr>
              <w:t>4</w:t>
            </w:r>
            <w:r>
              <w:rPr>
                <w:rFonts w:hint="eastAsia" w:ascii="宋体" w:hAnsi="宋体" w:cs="宋体"/>
                <w:szCs w:val="21"/>
                <w:lang w:eastAsia="zh-CN"/>
              </w:rPr>
              <w:t>.1～</w:t>
            </w:r>
            <w:r>
              <w:rPr>
                <w:rFonts w:ascii="宋体" w:hAnsi="宋体" w:cs="宋体"/>
                <w:szCs w:val="21"/>
                <w:lang w:eastAsia="zh-CN"/>
              </w:rPr>
              <w:t>20</w:t>
            </w:r>
            <w:r>
              <w:rPr>
                <w:rFonts w:hint="eastAsia" w:ascii="宋体" w:hAnsi="宋体" w:cs="宋体"/>
                <w:szCs w:val="21"/>
                <w:lang w:eastAsia="zh-CN"/>
              </w:rPr>
              <w:t>分；</w:t>
            </w:r>
          </w:p>
          <w:p>
            <w:pPr>
              <w:tabs>
                <w:tab w:val="left" w:pos="851"/>
              </w:tabs>
              <w:ind w:right="-108"/>
              <w:rPr>
                <w:rFonts w:hint="eastAsia" w:ascii="宋体" w:hAnsi="宋体" w:cs="宋体"/>
                <w:szCs w:val="21"/>
                <w:lang w:eastAsia="zh-CN"/>
              </w:rPr>
            </w:pPr>
            <w:r>
              <w:rPr>
                <w:rFonts w:hint="eastAsia" w:ascii="宋体" w:hAnsi="宋体" w:cs="宋体"/>
                <w:szCs w:val="21"/>
                <w:lang w:eastAsia="zh-CN"/>
              </w:rPr>
              <w:t>2、目标明确、总体方案内容较完整，思路较清晰，方案较合理，得</w:t>
            </w:r>
            <w:r>
              <w:rPr>
                <w:rFonts w:ascii="宋体" w:hAnsi="宋体" w:cs="宋体"/>
                <w:szCs w:val="21"/>
                <w:lang w:eastAsia="zh-CN"/>
              </w:rPr>
              <w:t>7</w:t>
            </w:r>
            <w:r>
              <w:rPr>
                <w:rFonts w:hint="eastAsia" w:ascii="宋体" w:hAnsi="宋体" w:cs="宋体"/>
                <w:szCs w:val="21"/>
                <w:lang w:eastAsia="zh-CN"/>
              </w:rPr>
              <w:t>.1～1</w:t>
            </w:r>
            <w:r>
              <w:rPr>
                <w:rFonts w:ascii="宋体" w:hAnsi="宋体" w:cs="宋体"/>
                <w:szCs w:val="21"/>
                <w:lang w:eastAsia="zh-CN"/>
              </w:rPr>
              <w:t>4</w:t>
            </w:r>
            <w:r>
              <w:rPr>
                <w:rFonts w:hint="eastAsia" w:ascii="宋体" w:hAnsi="宋体" w:cs="宋体"/>
                <w:szCs w:val="21"/>
                <w:lang w:eastAsia="zh-CN"/>
              </w:rPr>
              <w:t>分；</w:t>
            </w:r>
          </w:p>
          <w:p>
            <w:pPr>
              <w:rPr>
                <w:rFonts w:hint="eastAsia" w:asciiTheme="minorEastAsia" w:hAnsiTheme="minorEastAsia" w:eastAsiaTheme="minorEastAsia" w:cstheme="minorEastAsia"/>
                <w:highlight w:val="none"/>
                <w:lang w:eastAsia="zh-CN"/>
              </w:rPr>
            </w:pPr>
            <w:r>
              <w:rPr>
                <w:rFonts w:hint="eastAsia" w:ascii="宋体" w:hAnsi="宋体" w:cs="宋体"/>
                <w:szCs w:val="21"/>
                <w:lang w:eastAsia="zh-CN"/>
              </w:rPr>
              <w:t>3、目标明确、总体方案内容不够完整，思路不够清晰，方案不够合理，得0～</w:t>
            </w:r>
            <w:r>
              <w:rPr>
                <w:rFonts w:ascii="宋体" w:hAnsi="宋体" w:cs="宋体"/>
                <w:szCs w:val="21"/>
                <w:lang w:eastAsia="zh-CN"/>
              </w:rPr>
              <w:t>7</w:t>
            </w:r>
            <w:r>
              <w:rPr>
                <w:rFonts w:hint="eastAsia" w:ascii="宋体" w:hAnsi="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tabs>
                <w:tab w:val="left" w:pos="851"/>
              </w:tabs>
              <w:spacing w:line="360" w:lineRule="auto"/>
              <w:ind w:right="-108"/>
              <w:jc w:val="center"/>
              <w:rPr>
                <w:rFonts w:hint="eastAsia" w:ascii="宋体" w:hAnsi="宋体" w:cs="宋体"/>
                <w:szCs w:val="21"/>
                <w:lang w:eastAsia="zh-CN"/>
              </w:rPr>
            </w:pPr>
            <w:r>
              <w:rPr>
                <w:rFonts w:hint="eastAsia" w:ascii="宋体" w:hAnsi="宋体" w:cs="宋体"/>
                <w:szCs w:val="21"/>
                <w:lang w:eastAsia="zh-CN"/>
              </w:rPr>
              <w:t>项目进度及质量的保障措施</w:t>
            </w:r>
          </w:p>
          <w:p>
            <w:pPr>
              <w:spacing w:line="36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eastAsia="zh-CN"/>
              </w:rPr>
              <w:t>（</w:t>
            </w:r>
            <w:r>
              <w:rPr>
                <w:rFonts w:asciiTheme="minorEastAsia" w:hAnsiTheme="minorEastAsia" w:eastAsiaTheme="minorEastAsia" w:cstheme="minorEastAsia"/>
                <w:lang w:eastAsia="zh-CN"/>
              </w:rPr>
              <w:t>10</w:t>
            </w:r>
            <w:r>
              <w:rPr>
                <w:rFonts w:hint="eastAsia" w:asciiTheme="minorEastAsia" w:hAnsiTheme="minorEastAsia" w:eastAsiaTheme="minorEastAsia" w:cstheme="minorEastAsia"/>
                <w:lang w:eastAsia="zh-CN"/>
              </w:rPr>
              <w:t>分）</w:t>
            </w:r>
          </w:p>
        </w:tc>
        <w:tc>
          <w:tcPr>
            <w:tcW w:w="4929" w:type="dxa"/>
            <w:shd w:val="clear" w:color="auto" w:fill="FFFFFF"/>
            <w:vAlign w:val="center"/>
          </w:tcPr>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项目整体工作阶段及任务划分、进度控制合理、关键时间节点把握科学准确的得</w:t>
            </w:r>
            <w:r>
              <w:rPr>
                <w:rFonts w:asciiTheme="minorEastAsia" w:hAnsiTheme="minorEastAsia" w:eastAsiaTheme="minorEastAsia" w:cstheme="minorEastAsia"/>
                <w:lang w:eastAsia="zh-CN"/>
              </w:rPr>
              <w:t>8</w:t>
            </w:r>
            <w:r>
              <w:rPr>
                <w:rFonts w:hint="eastAsia" w:asciiTheme="minorEastAsia" w:hAnsiTheme="minorEastAsia" w:eastAsiaTheme="minorEastAsia" w:cstheme="minorEastAsia"/>
                <w:lang w:eastAsia="zh-CN"/>
              </w:rPr>
              <w:t>-</w:t>
            </w:r>
            <w:r>
              <w:rPr>
                <w:rFonts w:asciiTheme="minorEastAsia" w:hAnsiTheme="minorEastAsia" w:eastAsiaTheme="minorEastAsia" w:cstheme="minorEastAsia"/>
                <w:lang w:eastAsia="zh-CN"/>
              </w:rPr>
              <w:t>10</w:t>
            </w:r>
            <w:r>
              <w:rPr>
                <w:rFonts w:hint="eastAsia" w:asciiTheme="minorEastAsia" w:hAnsiTheme="minorEastAsia" w:eastAsiaTheme="minorEastAsia" w:cstheme="minorEastAsia"/>
                <w:lang w:eastAsia="zh-CN"/>
              </w:rPr>
              <w:t>分；</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项目整体工作阶段及任务划分、进度控制较合理、关键时间节点把握较准确的得</w:t>
            </w:r>
            <w:r>
              <w:rPr>
                <w:rFonts w:asciiTheme="minorEastAsia" w:hAnsiTheme="minorEastAsia" w:eastAsiaTheme="minorEastAsia" w:cstheme="minorEastAsia"/>
                <w:lang w:eastAsia="zh-CN"/>
              </w:rPr>
              <w:t>4</w:t>
            </w:r>
            <w:r>
              <w:rPr>
                <w:rFonts w:hint="eastAsia" w:asciiTheme="minorEastAsia" w:hAnsiTheme="minorEastAsia" w:eastAsiaTheme="minorEastAsia" w:cstheme="minorEastAsia"/>
                <w:lang w:eastAsia="zh-CN"/>
              </w:rPr>
              <w:t>-</w:t>
            </w:r>
            <w:r>
              <w:rPr>
                <w:rFonts w:asciiTheme="minorEastAsia" w:hAnsiTheme="minorEastAsia" w:eastAsiaTheme="minorEastAsia" w:cstheme="minorEastAsia"/>
                <w:lang w:eastAsia="zh-CN"/>
              </w:rPr>
              <w:t>7</w:t>
            </w:r>
            <w:r>
              <w:rPr>
                <w:rFonts w:hint="eastAsia" w:asciiTheme="minorEastAsia" w:hAnsiTheme="minorEastAsia" w:eastAsiaTheme="minorEastAsia" w:cstheme="minorEastAsia"/>
                <w:lang w:eastAsia="zh-CN"/>
              </w:rPr>
              <w:t>分；</w:t>
            </w:r>
          </w:p>
          <w:p>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eastAsia="zh-CN"/>
              </w:rPr>
              <w:t>项目整体工作阶段及任务划分、进度控制、关键时间节点把握一般的得0-</w:t>
            </w:r>
            <w:r>
              <w:rPr>
                <w:rFonts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5" w:type="dxa"/>
            <w:vMerge w:val="restart"/>
            <w:shd w:val="clear" w:color="auto" w:fill="FFFFFF"/>
            <w:vAlign w:val="center"/>
          </w:tcPr>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2.2.2(3)</w:t>
            </w:r>
          </w:p>
        </w:tc>
        <w:tc>
          <w:tcPr>
            <w:tcW w:w="1240" w:type="dxa"/>
            <w:vMerge w:val="restart"/>
            <w:shd w:val="clear" w:color="auto" w:fill="FFFFFF"/>
            <w:vAlign w:val="center"/>
          </w:tcPr>
          <w:p>
            <w:pPr>
              <w:spacing w:line="360" w:lineRule="auto"/>
              <w:jc w:val="center"/>
              <w:rPr>
                <w:rFonts w:ascii="宋体" w:hAnsi="宋体" w:eastAsia="宋体" w:cs="宋体"/>
                <w:highlight w:val="none"/>
                <w:lang w:eastAsia="zh-CN"/>
              </w:rPr>
            </w:pPr>
            <w:r>
              <w:rPr>
                <w:rFonts w:hint="eastAsia" w:ascii="宋体" w:hAnsi="宋体" w:eastAsia="宋体" w:cs="宋体"/>
                <w:highlight w:val="none"/>
                <w:lang w:eastAsia="zh-CN"/>
              </w:rPr>
              <w:t>综合标评分标准</w:t>
            </w:r>
          </w:p>
          <w:p>
            <w:pPr>
              <w:spacing w:line="360" w:lineRule="auto"/>
              <w:jc w:val="center"/>
              <w:rPr>
                <w:rFonts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40</w:t>
            </w:r>
            <w:r>
              <w:rPr>
                <w:rFonts w:hint="eastAsia" w:ascii="宋体" w:hAnsi="宋体" w:eastAsia="宋体" w:cs="宋体"/>
                <w:highlight w:val="none"/>
                <w:lang w:eastAsia="zh-CN"/>
              </w:rPr>
              <w:t>分）</w:t>
            </w:r>
          </w:p>
        </w:tc>
        <w:tc>
          <w:tcPr>
            <w:tcW w:w="2250" w:type="dxa"/>
            <w:shd w:val="clear" w:color="auto" w:fill="FFFFFF"/>
            <w:vAlign w:val="center"/>
          </w:tcPr>
          <w:p>
            <w:pPr>
              <w:spacing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企业业绩</w:t>
            </w:r>
          </w:p>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lang w:eastAsia="zh-CN"/>
              </w:rPr>
              <w:t>（</w:t>
            </w:r>
            <w:r>
              <w:rPr>
                <w:rFonts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w:t>
            </w:r>
          </w:p>
        </w:tc>
        <w:tc>
          <w:tcPr>
            <w:tcW w:w="4929" w:type="dxa"/>
            <w:shd w:val="clear" w:color="auto" w:fill="FFFFFF"/>
            <w:vAlign w:val="center"/>
          </w:tcPr>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供应商自2020年1月1日以来（以合同签订时间为准），承担过类似规划项目的，每项得2分，最高得</w:t>
            </w:r>
            <w:r>
              <w:rPr>
                <w:rFonts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w:t>
            </w:r>
          </w:p>
          <w:p>
            <w:pP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注：评标时响应文件内附合同或中标通知书盖公章的复印件，以正式签订的合同或中标通知书日期为准</w:t>
            </w:r>
            <w:r>
              <w:rPr>
                <w:rFonts w:hint="eastAsia" w:asciiTheme="minorEastAsia" w:hAnsiTheme="minorEastAsia" w:eastAsiaTheme="minorEastAsia" w:cs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35" w:type="dxa"/>
            <w:vMerge w:val="continue"/>
            <w:shd w:val="clear" w:color="auto" w:fill="FFFFFF"/>
            <w:vAlign w:val="center"/>
          </w:tcPr>
          <w:p>
            <w:pPr>
              <w:widowControl/>
              <w:spacing w:line="360" w:lineRule="auto"/>
              <w:jc w:val="center"/>
              <w:textAlignment w:val="center"/>
              <w:rPr>
                <w:rFonts w:hint="eastAsia" w:ascii="宋体" w:hAnsi="宋体" w:eastAsia="宋体" w:cs="宋体"/>
                <w:highlight w:val="none"/>
                <w:lang w:eastAsia="zh-CN" w:bidi="ar"/>
              </w:rPr>
            </w:pPr>
          </w:p>
        </w:tc>
        <w:tc>
          <w:tcPr>
            <w:tcW w:w="1240" w:type="dxa"/>
            <w:vMerge w:val="continue"/>
            <w:shd w:val="clear" w:color="auto" w:fill="FFFFFF"/>
            <w:vAlign w:val="center"/>
          </w:tcPr>
          <w:p>
            <w:pPr>
              <w:spacing w:line="360" w:lineRule="auto"/>
              <w:jc w:val="center"/>
              <w:rPr>
                <w:rFonts w:hint="eastAsia" w:ascii="宋体" w:hAnsi="宋体" w:eastAsia="宋体" w:cs="宋体"/>
                <w:highlight w:val="none"/>
                <w:lang w:eastAsia="zh-CN"/>
              </w:rPr>
            </w:pPr>
          </w:p>
        </w:tc>
        <w:tc>
          <w:tcPr>
            <w:tcW w:w="2250" w:type="dxa"/>
            <w:vMerge w:val="restart"/>
            <w:shd w:val="clear" w:color="auto" w:fill="FFFFFF"/>
            <w:vAlign w:val="center"/>
          </w:tcPr>
          <w:p>
            <w:pPr>
              <w:spacing w:line="360" w:lineRule="auto"/>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eastAsia="zh-CN"/>
              </w:rPr>
              <w:t>企业实力（</w:t>
            </w:r>
            <w:r>
              <w:rPr>
                <w:rFonts w:asciiTheme="minorEastAsia" w:hAnsiTheme="minorEastAsia" w:eastAsiaTheme="minorEastAsia" w:cstheme="minorEastAsia"/>
                <w:lang w:eastAsia="zh-CN"/>
              </w:rPr>
              <w:t>10</w:t>
            </w:r>
            <w:r>
              <w:rPr>
                <w:rFonts w:hint="eastAsia" w:asciiTheme="minorEastAsia" w:hAnsiTheme="minorEastAsia" w:eastAsiaTheme="minorEastAsia" w:cstheme="minorEastAsia"/>
                <w:lang w:eastAsia="zh-CN"/>
              </w:rPr>
              <w:t>分）</w:t>
            </w:r>
          </w:p>
        </w:tc>
        <w:tc>
          <w:tcPr>
            <w:tcW w:w="4929" w:type="dxa"/>
            <w:shd w:val="clear" w:color="auto" w:fill="FFFFFF"/>
            <w:vAlign w:val="center"/>
          </w:tcPr>
          <w:p>
            <w:pPr>
              <w:rPr>
                <w:rFonts w:ascii="仿宋" w:hAnsi="仿宋" w:eastAsia="仿宋" w:cs="仿宋"/>
                <w:bCs/>
                <w:sz w:val="20"/>
                <w:szCs w:val="20"/>
                <w:lang w:eastAsia="zh-CN"/>
              </w:rPr>
            </w:pPr>
            <w:r>
              <w:rPr>
                <w:rFonts w:hint="eastAsia" w:asciiTheme="minorEastAsia" w:hAnsiTheme="minorEastAsia" w:eastAsiaTheme="minorEastAsia" w:cstheme="minorEastAsia"/>
                <w:lang w:eastAsia="zh-CN"/>
              </w:rPr>
              <w:t>1、供应商自20</w:t>
            </w:r>
            <w:r>
              <w:rPr>
                <w:rFonts w:asciiTheme="minorEastAsia" w:hAnsiTheme="minorEastAsia" w:eastAsiaTheme="minorEastAsia" w:cstheme="minorEastAsia"/>
                <w:lang w:eastAsia="zh-CN"/>
              </w:rPr>
              <w:t>18</w:t>
            </w:r>
            <w:r>
              <w:rPr>
                <w:rFonts w:hint="eastAsia" w:asciiTheme="minorEastAsia" w:hAnsiTheme="minorEastAsia" w:eastAsiaTheme="minorEastAsia" w:cstheme="minorEastAsia"/>
                <w:lang w:eastAsia="zh-CN"/>
              </w:rPr>
              <w:t>年1月1日以来获得过城乡规划类国家级、省部级奖项。国家级有一项得2 分，省部级有一项得1 分，最多得</w:t>
            </w:r>
            <w:r>
              <w:rPr>
                <w:rFonts w:asciiTheme="minorEastAsia" w:hAnsiTheme="minorEastAsia" w:eastAsiaTheme="minorEastAsia" w:cstheme="minorEastAsia"/>
                <w:lang w:eastAsia="zh-CN"/>
              </w:rPr>
              <w:t>8</w:t>
            </w:r>
            <w:r>
              <w:rPr>
                <w:rFonts w:hint="eastAsia" w:asciiTheme="minorEastAsia" w:hAnsiTheme="minorEastAsia" w:eastAsiaTheme="minorEastAsia" w:cstheme="minorEastAsia"/>
                <w:lang w:eastAsia="zh-CN"/>
              </w:rPr>
              <w:t>分。否则不得分。</w:t>
            </w:r>
          </w:p>
          <w:p>
            <w:pPr>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注：需提供相关奖项证明材料复印件，未提供的不得分。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35" w:type="dxa"/>
            <w:vMerge w:val="continue"/>
            <w:shd w:val="clear" w:color="auto" w:fill="FFFFFF"/>
            <w:vAlign w:val="center"/>
          </w:tcPr>
          <w:p>
            <w:pPr>
              <w:widowControl/>
              <w:spacing w:line="360" w:lineRule="auto"/>
              <w:jc w:val="center"/>
              <w:textAlignment w:val="center"/>
              <w:rPr>
                <w:rFonts w:hint="eastAsia" w:ascii="宋体" w:hAnsi="宋体" w:eastAsia="宋体" w:cs="宋体"/>
                <w:highlight w:val="none"/>
                <w:lang w:eastAsia="zh-CN" w:bidi="ar"/>
              </w:rPr>
            </w:pPr>
          </w:p>
        </w:tc>
        <w:tc>
          <w:tcPr>
            <w:tcW w:w="1240" w:type="dxa"/>
            <w:vMerge w:val="continue"/>
            <w:shd w:val="clear" w:color="auto" w:fill="FFFFFF"/>
            <w:vAlign w:val="center"/>
          </w:tcPr>
          <w:p>
            <w:pPr>
              <w:spacing w:line="360" w:lineRule="auto"/>
              <w:jc w:val="center"/>
              <w:rPr>
                <w:rFonts w:hint="eastAsia" w:ascii="宋体" w:hAnsi="宋体" w:eastAsia="宋体" w:cs="宋体"/>
                <w:highlight w:val="none"/>
                <w:lang w:eastAsia="zh-CN"/>
              </w:rPr>
            </w:pPr>
          </w:p>
        </w:tc>
        <w:tc>
          <w:tcPr>
            <w:tcW w:w="2250" w:type="dxa"/>
            <w:vMerge w:val="continue"/>
            <w:shd w:val="clear" w:color="auto" w:fill="FFFFFF"/>
            <w:vAlign w:val="center"/>
          </w:tcPr>
          <w:p>
            <w:pPr>
              <w:spacing w:line="360" w:lineRule="auto"/>
              <w:jc w:val="center"/>
              <w:rPr>
                <w:rFonts w:hint="eastAsia" w:asciiTheme="minorEastAsia" w:hAnsiTheme="minorEastAsia" w:eastAsiaTheme="minorEastAsia" w:cstheme="minorEastAsia"/>
                <w:highlight w:val="none"/>
                <w:lang w:val="en-US" w:eastAsia="zh-CN"/>
              </w:rPr>
            </w:pPr>
          </w:p>
        </w:tc>
        <w:tc>
          <w:tcPr>
            <w:tcW w:w="4929" w:type="dxa"/>
            <w:shd w:val="clear" w:color="auto" w:fill="FFFFFF"/>
            <w:vAlign w:val="center"/>
          </w:tcPr>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2、具有AAA等级信用等级证书的，得</w:t>
            </w:r>
            <w:r>
              <w:rPr>
                <w:rFonts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t>分。否则不得分。</w:t>
            </w:r>
          </w:p>
          <w:p>
            <w:pP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注：需在有效期内，提供认证证书复印件或扫描件，否则不得分。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vMerge w:val="restart"/>
            <w:shd w:val="clear" w:color="auto" w:fill="FFFFFF"/>
            <w:vAlign w:val="center"/>
          </w:tcPr>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lang w:eastAsia="zh-CN"/>
              </w:rPr>
              <w:t>人员配备（</w:t>
            </w:r>
            <w:r>
              <w:rPr>
                <w:rFonts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3</w:t>
            </w:r>
            <w:r>
              <w:rPr>
                <w:rFonts w:asciiTheme="minorEastAsia" w:hAnsiTheme="minorEastAsia" w:eastAsiaTheme="minorEastAsia" w:cstheme="minorEastAsia"/>
                <w:lang w:eastAsia="zh-CN"/>
              </w:rPr>
              <w:t>分</w:t>
            </w:r>
            <w:r>
              <w:rPr>
                <w:rFonts w:hint="eastAsia" w:asciiTheme="minorEastAsia" w:hAnsiTheme="minorEastAsia" w:eastAsiaTheme="minorEastAsia" w:cstheme="minorEastAsia"/>
                <w:lang w:eastAsia="zh-CN"/>
              </w:rPr>
              <w:t>）</w:t>
            </w:r>
          </w:p>
        </w:tc>
        <w:tc>
          <w:tcPr>
            <w:tcW w:w="4929" w:type="dxa"/>
            <w:shd w:val="clear" w:color="auto" w:fill="FFFFFF"/>
            <w:vAlign w:val="center"/>
          </w:tcPr>
          <w:p>
            <w:pPr>
              <w:tabs>
                <w:tab w:val="left" w:pos="851"/>
              </w:tabs>
              <w:ind w:right="-10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项目负责人同时具备全国注册城乡规划师执业资格且城市（乡）规划专业高级工程师技术职称及以上的得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分，本项最高得分为</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w:t>
            </w:r>
          </w:p>
          <w:p>
            <w:pPr>
              <w:tabs>
                <w:tab w:val="left" w:pos="851"/>
              </w:tabs>
              <w:ind w:right="-10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项目成员（不含项目负责人）同时具备全国注册城乡规划师执业资格且城市（乡）规划专业高级工程师技术职称每有一人得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分，本项最高得分为</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lang w:eastAsia="zh-CN"/>
              </w:rPr>
              <w:t>分。</w:t>
            </w:r>
          </w:p>
          <w:p>
            <w:pP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lang w:eastAsia="zh-CN"/>
              </w:rPr>
              <w:t>注：上述人员不得重复计分，评标时响应文件内附复印件或扫描件。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lang w:eastAsia="zh-CN"/>
              </w:rPr>
              <w:t>服务承诺（</w:t>
            </w:r>
            <w:r>
              <w:rPr>
                <w:rFonts w:asciiTheme="minorEastAsia" w:hAnsiTheme="minorEastAsia" w:eastAsiaTheme="minorEastAsia" w:cstheme="minorEastAsia"/>
                <w:lang w:eastAsia="zh-CN"/>
              </w:rPr>
              <w:t>5</w:t>
            </w:r>
            <w:r>
              <w:rPr>
                <w:rFonts w:hint="eastAsia" w:asciiTheme="minorEastAsia" w:hAnsiTheme="minorEastAsia" w:eastAsiaTheme="minorEastAsia" w:cstheme="minorEastAsia"/>
                <w:lang w:eastAsia="zh-CN"/>
              </w:rPr>
              <w:t>分）</w:t>
            </w:r>
          </w:p>
        </w:tc>
        <w:tc>
          <w:tcPr>
            <w:tcW w:w="4929" w:type="dxa"/>
            <w:shd w:val="clear" w:color="auto" w:fill="FFFFFF"/>
            <w:vAlign w:val="center"/>
          </w:tcPr>
          <w:p>
            <w:pPr>
              <w:tabs>
                <w:tab w:val="left" w:pos="851"/>
              </w:tabs>
              <w:ind w:right="-108"/>
              <w:rPr>
                <w:rFonts w:hint="eastAsia" w:ascii="宋体" w:hAnsi="宋体" w:cs="宋体"/>
                <w:szCs w:val="21"/>
                <w:lang w:eastAsia="zh-CN"/>
              </w:rPr>
            </w:pPr>
            <w:bookmarkStart w:id="156" w:name="_GoBack"/>
            <w:r>
              <w:rPr>
                <w:rFonts w:hint="eastAsia" w:ascii="宋体" w:hAnsi="宋体" w:cs="宋体"/>
                <w:szCs w:val="21"/>
                <w:lang w:eastAsia="zh-CN"/>
              </w:rPr>
              <w:t>1、服务承诺优，后续服务安排完善、合理，得3.1～5分；</w:t>
            </w:r>
          </w:p>
          <w:p>
            <w:pPr>
              <w:tabs>
                <w:tab w:val="left" w:pos="851"/>
              </w:tabs>
              <w:ind w:right="-108"/>
              <w:rPr>
                <w:rFonts w:hint="eastAsia" w:ascii="宋体" w:hAnsi="宋体" w:cs="宋体"/>
                <w:szCs w:val="21"/>
                <w:lang w:eastAsia="zh-CN"/>
              </w:rPr>
            </w:pPr>
            <w:r>
              <w:rPr>
                <w:rFonts w:hint="eastAsia" w:ascii="宋体" w:hAnsi="宋体" w:cs="宋体"/>
                <w:szCs w:val="21"/>
                <w:lang w:eastAsia="zh-CN"/>
              </w:rPr>
              <w:t>2、服务承诺较优，后续服务安排较完善，得1.1～3分；</w:t>
            </w:r>
          </w:p>
          <w:p>
            <w:pPr>
              <w:rPr>
                <w:rFonts w:hint="eastAsia" w:asciiTheme="minorEastAsia" w:hAnsiTheme="minorEastAsia" w:eastAsiaTheme="minorEastAsia" w:cstheme="minorEastAsia"/>
                <w:highlight w:val="none"/>
                <w:lang w:eastAsia="zh-CN"/>
              </w:rPr>
            </w:pPr>
            <w:r>
              <w:rPr>
                <w:rFonts w:hint="eastAsia" w:ascii="宋体" w:hAnsi="宋体" w:cs="宋体"/>
                <w:szCs w:val="21"/>
                <w:lang w:eastAsia="zh-CN"/>
              </w:rPr>
              <w:t>3、服务承诺较优，后续服务安排一般，得0～1分</w:t>
            </w:r>
            <w:r>
              <w:rPr>
                <w:rFonts w:hint="eastAsia" w:cs="宋体" w:asciiTheme="minorEastAsia" w:hAnsiTheme="minorEastAsia" w:eastAsiaTheme="minorEastAsia"/>
                <w:szCs w:val="21"/>
                <w:lang w:eastAsia="zh-CN"/>
              </w:rPr>
              <w:t>。</w:t>
            </w:r>
            <w:bookmarkEnd w:id="156"/>
          </w:p>
        </w:tc>
      </w:tr>
    </w:tbl>
    <w:p>
      <w:pPr>
        <w:rPr>
          <w:b/>
          <w:bCs/>
          <w:sz w:val="24"/>
          <w:szCs w:val="24"/>
          <w:highlight w:val="none"/>
        </w:rPr>
      </w:pPr>
      <w:r>
        <w:rPr>
          <w:b/>
          <w:bCs/>
          <w:sz w:val="24"/>
          <w:szCs w:val="24"/>
          <w:highlight w:val="none"/>
        </w:rPr>
        <w:br w:type="page"/>
      </w:r>
    </w:p>
    <w:p>
      <w:pPr>
        <w:pStyle w:val="56"/>
        <w:spacing w:after="80" w:line="240" w:lineRule="auto"/>
        <w:ind w:firstLine="0"/>
        <w:jc w:val="both"/>
        <w:rPr>
          <w:b/>
          <w:bCs/>
          <w:sz w:val="24"/>
          <w:szCs w:val="24"/>
          <w:highlight w:val="none"/>
        </w:rPr>
      </w:pPr>
    </w:p>
    <w:p>
      <w:pPr>
        <w:spacing w:line="1" w:lineRule="exact"/>
        <w:rPr>
          <w:rFonts w:ascii="Times New Roman" w:hAnsi="Times New Roman" w:eastAsia="Times New Roman" w:cs="Times New Roman"/>
          <w:color w:val="000000"/>
          <w:sz w:val="24"/>
          <w:szCs w:val="24"/>
          <w:highlight w:val="none"/>
          <w:lang w:val="en-US" w:eastAsia="zh-CN" w:bidi="en-US"/>
        </w:rPr>
      </w:pPr>
    </w:p>
    <w:p>
      <w:pPr>
        <w:spacing w:line="1" w:lineRule="exact"/>
        <w:rPr>
          <w:rFonts w:ascii="宋体" w:hAnsi="宋体" w:eastAsia="宋体" w:cs="宋体"/>
          <w:highlight w:val="none"/>
          <w:lang w:eastAsia="zh-CN"/>
        </w:rPr>
      </w:pPr>
    </w:p>
    <w:p>
      <w:pPr>
        <w:pStyle w:val="5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b/>
          <w:bCs/>
          <w:sz w:val="24"/>
          <w:szCs w:val="24"/>
          <w:highlight w:val="none"/>
        </w:rPr>
      </w:pPr>
      <w:bookmarkStart w:id="53" w:name="bookmark119"/>
      <w:bookmarkEnd w:id="53"/>
      <w:r>
        <w:rPr>
          <w:rFonts w:hint="eastAsia"/>
          <w:b/>
          <w:bCs/>
          <w:sz w:val="24"/>
          <w:szCs w:val="24"/>
          <w:highlight w:val="none"/>
          <w:lang w:val="en-US" w:eastAsia="zh-CN"/>
        </w:rPr>
        <w:t>1.</w:t>
      </w:r>
      <w:r>
        <w:rPr>
          <w:rFonts w:hint="eastAsia"/>
          <w:b/>
          <w:bCs/>
          <w:sz w:val="24"/>
          <w:szCs w:val="24"/>
          <w:highlight w:val="none"/>
        </w:rPr>
        <w:t>评标方法</w:t>
      </w:r>
    </w:p>
    <w:p>
      <w:pPr>
        <w:pStyle w:val="56"/>
        <w:spacing w:line="360" w:lineRule="auto"/>
        <w:ind w:firstLine="480" w:firstLineChars="200"/>
        <w:rPr>
          <w:sz w:val="24"/>
          <w:szCs w:val="24"/>
          <w:highlight w:val="none"/>
        </w:rPr>
      </w:pPr>
      <w:r>
        <w:rPr>
          <w:rFonts w:hint="eastAsia"/>
          <w:sz w:val="24"/>
          <w:szCs w:val="24"/>
          <w:highlight w:val="none"/>
        </w:rPr>
        <w:t>本次评标采用综合评分法。磋商小组对满足磋商文件实质性要求的响应文件，按照本章规 定的评分标准进行打分，并按得分由高到低顺序推荐成交候选人，综合评分相等时，以报价得 分高的优先；报价得分也相等的，由采购人自行确定。</w:t>
      </w:r>
      <w:bookmarkStart w:id="54" w:name="bookmark120"/>
      <w:bookmarkEnd w:id="54"/>
    </w:p>
    <w:p>
      <w:pPr>
        <w:pStyle w:val="5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2.1</w:t>
      </w:r>
      <w:r>
        <w:rPr>
          <w:rFonts w:hint="eastAsia"/>
          <w:sz w:val="24"/>
          <w:szCs w:val="24"/>
          <w:highlight w:val="none"/>
        </w:rPr>
        <w:t>初步评审标准</w:t>
      </w:r>
    </w:p>
    <w:p>
      <w:pPr>
        <w:pStyle w:val="56"/>
        <w:spacing w:line="360" w:lineRule="auto"/>
        <w:ind w:firstLine="480" w:firstLineChars="200"/>
        <w:rPr>
          <w:sz w:val="24"/>
          <w:szCs w:val="24"/>
          <w:highlight w:val="none"/>
        </w:rPr>
      </w:pPr>
      <w:r>
        <w:rPr>
          <w:rFonts w:hint="eastAsia"/>
          <w:sz w:val="24"/>
          <w:szCs w:val="24"/>
          <w:highlight w:val="none"/>
          <w:lang w:val="en-US" w:eastAsia="zh-CN" w:bidi="en-US"/>
        </w:rPr>
        <w:t>2.1.1</w:t>
      </w:r>
      <w:r>
        <w:rPr>
          <w:rFonts w:hint="eastAsia"/>
          <w:sz w:val="24"/>
          <w:szCs w:val="24"/>
          <w:highlight w:val="none"/>
        </w:rPr>
        <w:t>形式评审标准：见评标办法前附表。</w:t>
      </w:r>
    </w:p>
    <w:p>
      <w:pPr>
        <w:pStyle w:val="56"/>
        <w:spacing w:line="360" w:lineRule="auto"/>
        <w:ind w:firstLine="480" w:firstLineChars="200"/>
        <w:rPr>
          <w:sz w:val="24"/>
          <w:szCs w:val="24"/>
          <w:highlight w:val="none"/>
        </w:rPr>
      </w:pPr>
      <w:r>
        <w:rPr>
          <w:rFonts w:hint="eastAsia"/>
          <w:sz w:val="24"/>
          <w:szCs w:val="24"/>
          <w:highlight w:val="none"/>
          <w:lang w:val="en-US" w:eastAsia="zh-CN" w:bidi="en-US"/>
        </w:rPr>
        <w:t>2.1.2</w:t>
      </w:r>
      <w:r>
        <w:rPr>
          <w:rFonts w:hint="eastAsia"/>
          <w:sz w:val="24"/>
          <w:szCs w:val="24"/>
          <w:highlight w:val="none"/>
        </w:rPr>
        <w:t>资格评审标准：见评标办法前附表。</w:t>
      </w:r>
    </w:p>
    <w:p>
      <w:pPr>
        <w:pStyle w:val="56"/>
        <w:spacing w:line="360" w:lineRule="auto"/>
        <w:ind w:firstLine="480" w:firstLineChars="200"/>
        <w:rPr>
          <w:sz w:val="24"/>
          <w:szCs w:val="24"/>
          <w:highlight w:val="none"/>
        </w:rPr>
      </w:pPr>
      <w:r>
        <w:rPr>
          <w:rFonts w:hint="eastAsia"/>
          <w:sz w:val="24"/>
          <w:szCs w:val="24"/>
          <w:highlight w:val="none"/>
          <w:lang w:val="en-US" w:eastAsia="zh-CN" w:bidi="en-US"/>
        </w:rPr>
        <w:t>2.1.3</w:t>
      </w:r>
      <w:r>
        <w:rPr>
          <w:rFonts w:hint="eastAsia"/>
          <w:sz w:val="24"/>
          <w:szCs w:val="24"/>
          <w:highlight w:val="none"/>
        </w:rPr>
        <w:t>响应性评审标准：见评标办法前附表。</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2.2</w:t>
      </w:r>
      <w:r>
        <w:rPr>
          <w:rFonts w:hint="eastAsia"/>
          <w:sz w:val="24"/>
          <w:szCs w:val="24"/>
          <w:highlight w:val="none"/>
        </w:rPr>
        <w:t>分值构成与评分标准</w:t>
      </w:r>
    </w:p>
    <w:p>
      <w:pPr>
        <w:pStyle w:val="56"/>
        <w:spacing w:line="360" w:lineRule="auto"/>
        <w:ind w:firstLine="480" w:firstLineChars="200"/>
        <w:rPr>
          <w:sz w:val="24"/>
          <w:szCs w:val="24"/>
          <w:highlight w:val="none"/>
        </w:rPr>
      </w:pPr>
      <w:r>
        <w:rPr>
          <w:rFonts w:hint="eastAsia"/>
          <w:sz w:val="24"/>
          <w:szCs w:val="24"/>
          <w:highlight w:val="none"/>
          <w:lang w:val="en-US" w:eastAsia="zh-CN" w:bidi="en-US"/>
        </w:rPr>
        <w:t>（1）</w:t>
      </w:r>
      <w:r>
        <w:rPr>
          <w:rFonts w:hint="eastAsia"/>
          <w:sz w:val="24"/>
          <w:szCs w:val="24"/>
          <w:highlight w:val="none"/>
          <w:lang w:val="en-US" w:eastAsia="zh-CN"/>
        </w:rPr>
        <w:t>商务标</w:t>
      </w:r>
      <w:r>
        <w:rPr>
          <w:rFonts w:hint="eastAsia"/>
          <w:sz w:val="24"/>
          <w:szCs w:val="24"/>
          <w:highlight w:val="none"/>
        </w:rPr>
        <w:t>：见评标办法前附表；</w:t>
      </w:r>
    </w:p>
    <w:p>
      <w:pPr>
        <w:pStyle w:val="56"/>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2）技术标</w:t>
      </w:r>
      <w:r>
        <w:rPr>
          <w:rFonts w:hint="eastAsia"/>
          <w:sz w:val="24"/>
          <w:szCs w:val="24"/>
          <w:highlight w:val="none"/>
        </w:rPr>
        <w:t>：见评标办法前附表；</w:t>
      </w:r>
    </w:p>
    <w:p>
      <w:pPr>
        <w:pStyle w:val="56"/>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综合标</w:t>
      </w:r>
      <w:r>
        <w:rPr>
          <w:rFonts w:hint="eastAsia"/>
          <w:sz w:val="24"/>
          <w:szCs w:val="24"/>
          <w:highlight w:val="none"/>
        </w:rPr>
        <w:t>：见评标办法前附表；</w:t>
      </w:r>
    </w:p>
    <w:p>
      <w:pPr>
        <w:pStyle w:val="5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lang w:val="en-US" w:eastAsia="zh-CN"/>
        </w:rPr>
      </w:pPr>
      <w:bookmarkStart w:id="55" w:name="bookmark121"/>
      <w:bookmarkEnd w:id="55"/>
      <w:r>
        <w:rPr>
          <w:rFonts w:hint="eastAsia" w:ascii="宋体" w:hAnsi="宋体" w:eastAsia="宋体" w:cs="宋体"/>
          <w:b/>
          <w:bCs/>
          <w:sz w:val="24"/>
          <w:szCs w:val="24"/>
          <w:highlight w:val="none"/>
          <w:lang w:val="en-US" w:eastAsia="zh-CN"/>
        </w:rPr>
        <w:t>3.评审程序</w:t>
      </w:r>
    </w:p>
    <w:p>
      <w:pPr>
        <w:pStyle w:val="56"/>
        <w:spacing w:line="360" w:lineRule="auto"/>
        <w:ind w:firstLine="480" w:firstLineChars="200"/>
        <w:jc w:val="both"/>
        <w:rPr>
          <w:sz w:val="24"/>
          <w:szCs w:val="24"/>
          <w:highlight w:val="none"/>
        </w:rPr>
      </w:pPr>
      <w:r>
        <w:rPr>
          <w:rFonts w:hint="eastAsia"/>
          <w:sz w:val="24"/>
          <w:szCs w:val="24"/>
          <w:highlight w:val="none"/>
        </w:rPr>
        <w:t>3.1 初步评审</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3.1.1</w:t>
      </w:r>
      <w:r>
        <w:rPr>
          <w:rFonts w:hint="eastAsia"/>
          <w:sz w:val="24"/>
          <w:szCs w:val="24"/>
          <w:highlight w:val="none"/>
        </w:rPr>
        <w:t>磋商小组依据本章第</w:t>
      </w:r>
      <w:r>
        <w:rPr>
          <w:rFonts w:hint="eastAsia"/>
          <w:sz w:val="24"/>
          <w:szCs w:val="24"/>
          <w:highlight w:val="none"/>
          <w:lang w:val="en-US" w:eastAsia="zh-CN" w:bidi="en-US"/>
        </w:rPr>
        <w:t>2.1</w:t>
      </w:r>
      <w:r>
        <w:rPr>
          <w:rFonts w:hint="eastAsia"/>
          <w:sz w:val="24"/>
          <w:szCs w:val="24"/>
          <w:highlight w:val="none"/>
        </w:rPr>
        <w:t>款规定的标准对响应文件进行初步评审。有一项不符合评审标准的，作废标处理。</w:t>
      </w:r>
    </w:p>
    <w:p>
      <w:pPr>
        <w:pStyle w:val="56"/>
        <w:spacing w:line="360" w:lineRule="auto"/>
        <w:ind w:firstLine="480" w:firstLineChars="200"/>
        <w:jc w:val="both"/>
        <w:rPr>
          <w:sz w:val="24"/>
          <w:szCs w:val="24"/>
          <w:highlight w:val="none"/>
        </w:rPr>
      </w:pPr>
      <w:r>
        <w:rPr>
          <w:rFonts w:hint="eastAsia"/>
          <w:sz w:val="24"/>
          <w:szCs w:val="24"/>
          <w:highlight w:val="none"/>
          <w:lang w:val="en-US" w:eastAsia="zh-CN"/>
        </w:rPr>
        <w:t>3.1.2</w:t>
      </w:r>
      <w:r>
        <w:rPr>
          <w:rFonts w:hint="eastAsia"/>
          <w:sz w:val="24"/>
          <w:szCs w:val="24"/>
          <w:highlight w:val="none"/>
        </w:rPr>
        <w:t>供应商有以下情形之一的，其投标作废标处理：</w:t>
      </w:r>
    </w:p>
    <w:p>
      <w:pPr>
        <w:pStyle w:val="56"/>
        <w:spacing w:line="360" w:lineRule="auto"/>
        <w:ind w:firstLine="480" w:firstLineChars="200"/>
        <w:jc w:val="both"/>
        <w:rPr>
          <w:sz w:val="24"/>
          <w:szCs w:val="24"/>
          <w:highlight w:val="none"/>
        </w:rPr>
      </w:pPr>
      <w:bookmarkStart w:id="56" w:name="bookmark122"/>
      <w:r>
        <w:rPr>
          <w:rFonts w:hint="eastAsia"/>
          <w:sz w:val="24"/>
          <w:szCs w:val="24"/>
          <w:highlight w:val="none"/>
        </w:rPr>
        <w:t>（</w:t>
      </w:r>
      <w:bookmarkEnd w:id="56"/>
      <w:r>
        <w:rPr>
          <w:rFonts w:hint="eastAsia"/>
          <w:sz w:val="24"/>
          <w:szCs w:val="24"/>
          <w:highlight w:val="none"/>
        </w:rPr>
        <w:t>1）串通响应或弄虚作假或有其他违法行为的；</w:t>
      </w:r>
    </w:p>
    <w:p>
      <w:pPr>
        <w:pStyle w:val="56"/>
        <w:spacing w:line="360" w:lineRule="auto"/>
        <w:ind w:firstLine="480" w:firstLineChars="200"/>
        <w:jc w:val="both"/>
        <w:rPr>
          <w:sz w:val="24"/>
          <w:szCs w:val="24"/>
          <w:highlight w:val="none"/>
        </w:rPr>
      </w:pPr>
      <w:bookmarkStart w:id="57" w:name="bookmark123"/>
      <w:r>
        <w:rPr>
          <w:rFonts w:hint="eastAsia"/>
          <w:sz w:val="24"/>
          <w:szCs w:val="24"/>
          <w:highlight w:val="none"/>
        </w:rPr>
        <w:t>（</w:t>
      </w:r>
      <w:bookmarkEnd w:id="57"/>
      <w:r>
        <w:rPr>
          <w:rFonts w:hint="eastAsia"/>
          <w:sz w:val="24"/>
          <w:szCs w:val="24"/>
          <w:highlight w:val="none"/>
        </w:rPr>
        <w:t>2）不按磋商小组要求澄清、说明或补正的；</w:t>
      </w:r>
    </w:p>
    <w:p>
      <w:pPr>
        <w:pStyle w:val="56"/>
        <w:spacing w:line="360" w:lineRule="auto"/>
        <w:ind w:firstLine="480" w:firstLineChars="200"/>
        <w:jc w:val="both"/>
        <w:rPr>
          <w:sz w:val="24"/>
          <w:szCs w:val="24"/>
          <w:highlight w:val="none"/>
        </w:rPr>
      </w:pPr>
      <w:bookmarkStart w:id="58" w:name="bookmark124"/>
      <w:r>
        <w:rPr>
          <w:rFonts w:hint="eastAsia"/>
          <w:sz w:val="24"/>
          <w:szCs w:val="24"/>
          <w:highlight w:val="none"/>
        </w:rPr>
        <w:t>（</w:t>
      </w:r>
      <w:bookmarkEnd w:id="58"/>
      <w:r>
        <w:rPr>
          <w:rFonts w:hint="eastAsia"/>
          <w:sz w:val="24"/>
          <w:szCs w:val="24"/>
          <w:highlight w:val="none"/>
        </w:rPr>
        <w:t>3）未按规定格式填写、内容不全或关键字迹模糊、无法辨认的；</w:t>
      </w:r>
    </w:p>
    <w:p>
      <w:pPr>
        <w:pStyle w:val="56"/>
        <w:spacing w:line="360" w:lineRule="auto"/>
        <w:ind w:firstLine="480" w:firstLineChars="200"/>
        <w:jc w:val="both"/>
        <w:rPr>
          <w:sz w:val="24"/>
          <w:szCs w:val="24"/>
          <w:highlight w:val="none"/>
        </w:rPr>
      </w:pPr>
      <w:bookmarkStart w:id="59" w:name="bookmark125"/>
      <w:r>
        <w:rPr>
          <w:rFonts w:hint="eastAsia"/>
          <w:sz w:val="24"/>
          <w:szCs w:val="24"/>
          <w:highlight w:val="none"/>
        </w:rPr>
        <w:t>（</w:t>
      </w:r>
      <w:bookmarkEnd w:id="59"/>
      <w:r>
        <w:rPr>
          <w:rFonts w:hint="eastAsia"/>
          <w:sz w:val="24"/>
          <w:szCs w:val="24"/>
          <w:highlight w:val="none"/>
        </w:rPr>
        <w:t>4）响应文件附有采购人不能接受的条件；</w:t>
      </w:r>
    </w:p>
    <w:p>
      <w:pPr>
        <w:pStyle w:val="56"/>
        <w:spacing w:line="360" w:lineRule="auto"/>
        <w:ind w:firstLine="480" w:firstLineChars="200"/>
        <w:jc w:val="both"/>
        <w:rPr>
          <w:sz w:val="24"/>
          <w:szCs w:val="24"/>
          <w:highlight w:val="none"/>
        </w:rPr>
      </w:pPr>
      <w:bookmarkStart w:id="60" w:name="bookmark126"/>
      <w:r>
        <w:rPr>
          <w:rFonts w:hint="eastAsia"/>
          <w:sz w:val="24"/>
          <w:szCs w:val="24"/>
          <w:highlight w:val="none"/>
        </w:rPr>
        <w:t>（</w:t>
      </w:r>
      <w:bookmarkEnd w:id="60"/>
      <w:r>
        <w:rPr>
          <w:rFonts w:hint="eastAsia"/>
          <w:sz w:val="24"/>
          <w:szCs w:val="24"/>
          <w:highlight w:val="none"/>
        </w:rPr>
        <w:t>5）不符合磋商文件规定的其他实质性要求。</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3.2</w:t>
      </w:r>
      <w:r>
        <w:rPr>
          <w:rFonts w:hint="eastAsia"/>
          <w:sz w:val="24"/>
          <w:szCs w:val="24"/>
          <w:highlight w:val="none"/>
        </w:rPr>
        <w:t>详细评审</w:t>
      </w:r>
    </w:p>
    <w:p>
      <w:pPr>
        <w:pStyle w:val="56"/>
        <w:spacing w:line="360" w:lineRule="auto"/>
        <w:ind w:firstLine="480" w:firstLineChars="200"/>
        <w:rPr>
          <w:sz w:val="24"/>
          <w:szCs w:val="24"/>
          <w:highlight w:val="none"/>
        </w:rPr>
      </w:pPr>
      <w:r>
        <w:rPr>
          <w:rFonts w:hint="eastAsia"/>
          <w:sz w:val="24"/>
          <w:szCs w:val="24"/>
          <w:highlight w:val="none"/>
          <w:lang w:val="en-US" w:eastAsia="zh-CN" w:bidi="en-US"/>
        </w:rPr>
        <w:t>3.2.1</w:t>
      </w:r>
      <w:r>
        <w:rPr>
          <w:rFonts w:hint="eastAsia"/>
          <w:sz w:val="24"/>
          <w:szCs w:val="24"/>
          <w:highlight w:val="none"/>
        </w:rPr>
        <w:t>磋商小组按本章第</w:t>
      </w:r>
      <w:r>
        <w:rPr>
          <w:rFonts w:hint="eastAsia"/>
          <w:sz w:val="24"/>
          <w:szCs w:val="24"/>
          <w:highlight w:val="none"/>
          <w:lang w:val="en-US" w:eastAsia="zh-CN" w:bidi="en-US"/>
        </w:rPr>
        <w:t>2.2</w:t>
      </w:r>
      <w:r>
        <w:rPr>
          <w:rFonts w:hint="eastAsia"/>
          <w:sz w:val="24"/>
          <w:szCs w:val="24"/>
          <w:highlight w:val="none"/>
        </w:rPr>
        <w:t>款规定的量化因素和分值进行打分，并计算出综合评分得分。</w:t>
      </w:r>
    </w:p>
    <w:p>
      <w:pPr>
        <w:pStyle w:val="56"/>
        <w:spacing w:line="360" w:lineRule="auto"/>
        <w:ind w:firstLine="480" w:firstLineChars="200"/>
        <w:rPr>
          <w:sz w:val="24"/>
          <w:szCs w:val="24"/>
          <w:highlight w:val="none"/>
        </w:rPr>
      </w:pPr>
      <w:r>
        <w:rPr>
          <w:rFonts w:hint="eastAsia"/>
          <w:sz w:val="24"/>
          <w:szCs w:val="24"/>
          <w:highlight w:val="none"/>
          <w:lang w:val="en-US" w:eastAsia="zh-CN" w:bidi="en-US"/>
        </w:rPr>
        <w:t>3.2.2</w:t>
      </w:r>
      <w:r>
        <w:rPr>
          <w:rFonts w:hint="eastAsia"/>
          <w:sz w:val="24"/>
          <w:szCs w:val="24"/>
          <w:highlight w:val="none"/>
        </w:rPr>
        <w:t>评分分值计算保留小数点后两位，小数点后第三位“四舍五入</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3.2.3</w:t>
      </w:r>
      <w:r>
        <w:rPr>
          <w:rFonts w:hint="eastAsia"/>
          <w:sz w:val="24"/>
          <w:szCs w:val="24"/>
          <w:highlight w:val="none"/>
        </w:rPr>
        <w:t>供应商的最终得分以全部小组成员打分的算术平均值为准，作为该供应商的最终得分。</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3.2.4</w:t>
      </w:r>
      <w:r>
        <w:rPr>
          <w:rFonts w:hint="eastAsia"/>
          <w:sz w:val="24"/>
          <w:szCs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3.3</w:t>
      </w:r>
      <w:r>
        <w:rPr>
          <w:rFonts w:hint="eastAsia"/>
          <w:sz w:val="24"/>
          <w:szCs w:val="24"/>
          <w:highlight w:val="none"/>
        </w:rPr>
        <w:t>响应文件的澄清和补正</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3.3.1</w:t>
      </w:r>
      <w:r>
        <w:rPr>
          <w:rFonts w:hint="eastAsia"/>
          <w:sz w:val="24"/>
          <w:szCs w:val="24"/>
          <w:highlight w:val="none"/>
        </w:rPr>
        <w:t>在磋商过程中，磋商小组可以书面形式要求供应商对所提交的响应文件中不明确的内容进行书面澄清或说明，或者对细微偏离进行补正。磋商小组不接受供应商主动提出的澄清、说明或补正。</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3.3.2</w:t>
      </w:r>
      <w:r>
        <w:rPr>
          <w:rFonts w:hint="eastAsia"/>
          <w:sz w:val="24"/>
          <w:szCs w:val="24"/>
          <w:highlight w:val="none"/>
        </w:rPr>
        <w:t>澄清、说明和补正不得超出响应文件的范围或者改变响应文件的实质性内容（算术性错误修正的除外）。供应商的书面澄清、说明和补正属于响应文件的组成部分。</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3.3.3</w:t>
      </w:r>
      <w:r>
        <w:rPr>
          <w:rFonts w:hint="eastAsia"/>
          <w:sz w:val="24"/>
          <w:szCs w:val="24"/>
          <w:highlight w:val="none"/>
        </w:rPr>
        <w:t>磋商小组对供应商提交的澄清、说明或补正有疑问的，可以要求供应商进一步澄清、说明或补正，直至满足磋商小组的要求。</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3.4</w:t>
      </w:r>
      <w:r>
        <w:rPr>
          <w:rFonts w:hint="eastAsia"/>
          <w:sz w:val="24"/>
          <w:szCs w:val="24"/>
          <w:highlight w:val="none"/>
        </w:rPr>
        <w:t>评标结果</w:t>
      </w:r>
    </w:p>
    <w:p>
      <w:pPr>
        <w:pStyle w:val="56"/>
        <w:spacing w:line="360" w:lineRule="auto"/>
        <w:ind w:firstLine="480" w:firstLineChars="200"/>
        <w:jc w:val="both"/>
        <w:rPr>
          <w:sz w:val="24"/>
          <w:szCs w:val="24"/>
          <w:highlight w:val="none"/>
        </w:rPr>
      </w:pPr>
      <w:r>
        <w:rPr>
          <w:rFonts w:hint="eastAsia"/>
          <w:sz w:val="24"/>
          <w:szCs w:val="24"/>
          <w:highlight w:val="none"/>
          <w:lang w:val="en-US" w:eastAsia="zh-CN" w:bidi="en-US"/>
        </w:rPr>
        <w:t>3.4.1</w:t>
      </w:r>
      <w:r>
        <w:rPr>
          <w:rFonts w:hint="eastAsia"/>
          <w:sz w:val="24"/>
          <w:szCs w:val="24"/>
          <w:highlight w:val="none"/>
        </w:rPr>
        <w:t>除第二章</w:t>
      </w:r>
      <w:r>
        <w:rPr>
          <w:rFonts w:hint="eastAsia"/>
          <w:sz w:val="24"/>
          <w:szCs w:val="24"/>
          <w:highlight w:val="none"/>
          <w:lang w:val="zh-CN" w:eastAsia="zh-CN" w:bidi="zh-CN"/>
        </w:rPr>
        <w:t>“供应</w:t>
      </w:r>
      <w:r>
        <w:rPr>
          <w:rFonts w:hint="eastAsia"/>
          <w:sz w:val="24"/>
          <w:szCs w:val="24"/>
          <w:highlight w:val="none"/>
        </w:rPr>
        <w:t>商须知</w:t>
      </w:r>
      <w:r>
        <w:rPr>
          <w:rFonts w:hint="eastAsia"/>
          <w:sz w:val="24"/>
          <w:szCs w:val="24"/>
          <w:highlight w:val="none"/>
          <w:lang w:val="en-US" w:eastAsia="zh-CN" w:bidi="en-US"/>
        </w:rPr>
        <w:t>”</w:t>
      </w:r>
      <w:r>
        <w:rPr>
          <w:rFonts w:hint="eastAsia"/>
          <w:sz w:val="24"/>
          <w:szCs w:val="24"/>
          <w:highlight w:val="none"/>
        </w:rPr>
        <w:t>前附表授权直接确定成交人外，磋商小组按照得分由高到低的顺序推荐成交候选人。</w:t>
      </w:r>
    </w:p>
    <w:p>
      <w:pPr>
        <w:pStyle w:val="56"/>
        <w:spacing w:line="360" w:lineRule="auto"/>
        <w:ind w:firstLine="480" w:firstLineChars="200"/>
        <w:jc w:val="both"/>
        <w:rPr>
          <w:sz w:val="24"/>
          <w:szCs w:val="24"/>
          <w:highlight w:val="none"/>
        </w:rPr>
      </w:pPr>
      <w:r>
        <w:rPr>
          <w:rFonts w:hint="eastAsia"/>
          <w:sz w:val="24"/>
          <w:szCs w:val="24"/>
          <w:highlight w:val="none"/>
          <w:lang w:val="en-US" w:eastAsia="zh-CN"/>
        </w:rPr>
        <w:t>3.4.2</w:t>
      </w:r>
      <w:r>
        <w:rPr>
          <w:rFonts w:hint="eastAsia"/>
          <w:sz w:val="24"/>
          <w:szCs w:val="24"/>
          <w:highlight w:val="none"/>
        </w:rPr>
        <w:t>磋商小组完成评标后，应当向采购人提交书面评审报告。</w:t>
      </w:r>
    </w:p>
    <w:p>
      <w:pPr>
        <w:pStyle w:val="56"/>
        <w:spacing w:line="360" w:lineRule="auto"/>
        <w:ind w:firstLine="480" w:firstLineChars="200"/>
        <w:jc w:val="both"/>
        <w:rPr>
          <w:sz w:val="24"/>
          <w:szCs w:val="24"/>
          <w:highlight w:val="none"/>
          <w:lang w:val="en-US" w:eastAsia="zh-CN" w:bidi="en-US"/>
        </w:rPr>
      </w:pPr>
      <w:r>
        <w:rPr>
          <w:rFonts w:hint="eastAsia"/>
          <w:sz w:val="24"/>
          <w:szCs w:val="24"/>
          <w:highlight w:val="none"/>
          <w:lang w:val="en-US" w:eastAsia="zh-CN" w:bidi="en-US"/>
        </w:rPr>
        <w:t>3.5政府采购政策</w:t>
      </w:r>
    </w:p>
    <w:p>
      <w:pPr>
        <w:pStyle w:val="56"/>
        <w:spacing w:line="360" w:lineRule="auto"/>
        <w:ind w:firstLine="480" w:firstLineChars="200"/>
        <w:jc w:val="both"/>
        <w:rPr>
          <w:sz w:val="24"/>
          <w:szCs w:val="24"/>
          <w:highlight w:val="none"/>
          <w:lang w:val="en-US" w:eastAsia="zh-CN" w:bidi="en-US"/>
        </w:rPr>
      </w:pPr>
      <w:r>
        <w:rPr>
          <w:rFonts w:hint="eastAsia"/>
          <w:sz w:val="24"/>
          <w:szCs w:val="24"/>
          <w:highlight w:val="none"/>
          <w:lang w:val="en-US" w:eastAsia="zh-CN" w:bidi="en-US"/>
        </w:rPr>
        <w:t xml:space="preserve">3.5.1.本项目非专门面向中小企业、监狱企业及残疾人福利性单位采购项目。政府采购政策：本项目执行节约能源、保护环境、扶持不发达及少数民族地区，促进中小企业发展等政府采购政策。 </w:t>
      </w:r>
    </w:p>
    <w:p>
      <w:pPr>
        <w:pStyle w:val="56"/>
        <w:spacing w:line="360" w:lineRule="auto"/>
        <w:ind w:firstLine="480" w:firstLineChars="200"/>
        <w:jc w:val="both"/>
        <w:rPr>
          <w:sz w:val="24"/>
          <w:szCs w:val="24"/>
          <w:highlight w:val="none"/>
          <w:lang w:val="en-US" w:eastAsia="zh-CN" w:bidi="en-US"/>
        </w:rPr>
      </w:pPr>
      <w:r>
        <w:rPr>
          <w:rFonts w:hint="eastAsia"/>
          <w:sz w:val="24"/>
          <w:szCs w:val="24"/>
          <w:highlight w:val="none"/>
          <w:lang w:val="en-US" w:eastAsia="zh-CN" w:bidi="en-US"/>
        </w:rPr>
        <w:t>3.5.2.中小微型企业有关政策：</w:t>
      </w:r>
    </w:p>
    <w:p>
      <w:pPr>
        <w:pStyle w:val="37"/>
        <w:spacing w:line="360" w:lineRule="auto"/>
        <w:ind w:firstLine="480" w:firstLineChars="200"/>
        <w:jc w:val="both"/>
        <w:rPr>
          <w:rFonts w:hAnsi="宋体"/>
          <w:color w:val="auto"/>
          <w:highlight w:val="none"/>
        </w:rPr>
      </w:pPr>
      <w:r>
        <w:rPr>
          <w:rFonts w:hint="eastAsia" w:hAnsi="宋体"/>
          <w:color w:val="auto"/>
          <w:highlight w:val="none"/>
        </w:rPr>
        <w:t xml:space="preserve">对于供应商为监狱企业、小型和微型企业及其投标产品为小型和微型企业生产的，将以扣除优惠比率后的报价参与价格评议，但不作为中标价和合同签约价。中标价和合同签约价仍以其响应文件中的报价为准。小型和微型企业价格给予扣除标准：根据《政府采购促进中小企业发展管理办法》(财库[2020]46 号)及《关于进一步加大政府采购支持中小企业力度的通知》（财库〔2022〕19 号）的规定，对于非专门面向中小企业的项目，对小型和微型企业的价格给予20%的扣除，用扣除后的报价参与评审。对于中型企业的价格不予扣除。供应商应当在响应文件中提供中小企业声明函（见附件），否则不予认可。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 20%的扣除，用扣除后的报价参与评审。根据《财政部、民政部、中国残疾人联合会关于促进残疾人就业政府采购政策的通知》（财库[2017]141 号）的规定，提供《残疾人福利性单位声明函》（见附件），并对声明的真实性负责。中标人为残疾人福利性单位的，采购人或者其委托的采购代理机构应当随中标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价格给予20%的扣除，用扣除后的报价参与评审。 </w:t>
      </w:r>
    </w:p>
    <w:p>
      <w:pPr>
        <w:pStyle w:val="37"/>
        <w:spacing w:line="360" w:lineRule="auto"/>
        <w:ind w:firstLine="480" w:firstLineChars="200"/>
        <w:jc w:val="both"/>
        <w:rPr>
          <w:rFonts w:hAnsi="宋体"/>
          <w:color w:val="auto"/>
          <w:highlight w:val="none"/>
        </w:rPr>
      </w:pPr>
      <w:r>
        <w:rPr>
          <w:rFonts w:hint="eastAsia" w:hAnsi="宋体"/>
          <w:color w:val="auto"/>
          <w:highlight w:val="none"/>
        </w:rPr>
        <w:t>备注：监狱企业和残疾人福利性单位属于小型、微型企业的，不重复享受政策。</w:t>
      </w:r>
    </w:p>
    <w:p>
      <w:pPr>
        <w:pStyle w:val="37"/>
        <w:spacing w:line="360" w:lineRule="auto"/>
        <w:ind w:firstLine="480" w:firstLineChars="200"/>
        <w:jc w:val="both"/>
        <w:rPr>
          <w:rFonts w:hAnsi="宋体"/>
          <w:color w:val="auto"/>
          <w:highlight w:val="none"/>
        </w:rPr>
      </w:pPr>
      <w:r>
        <w:rPr>
          <w:rFonts w:hint="eastAsia" w:hAnsi="宋体"/>
          <w:color w:val="auto"/>
          <w:highlight w:val="none"/>
        </w:rPr>
        <w:t>3.5.3.优先采购的节能产品、环境标志产品要求：</w:t>
      </w:r>
    </w:p>
    <w:p>
      <w:pPr>
        <w:pStyle w:val="37"/>
        <w:spacing w:line="360" w:lineRule="auto"/>
        <w:ind w:firstLine="480" w:firstLineChars="200"/>
        <w:jc w:val="both"/>
        <w:rPr>
          <w:rFonts w:hAnsi="宋体"/>
          <w:color w:val="auto"/>
          <w:highlight w:val="none"/>
        </w:rPr>
      </w:pPr>
      <w:r>
        <w:rPr>
          <w:rFonts w:hint="eastAsia" w:hAnsi="宋体"/>
          <w:color w:val="auto"/>
          <w:highlight w:val="none"/>
        </w:rPr>
        <w:t xml:space="preserve">如果所投产品是国家规定的节能产品及环境标志产品的（强制采购节能产品的除外），给予优先采购的权利，须提供以下材料：投标产品中属于政府优先采购节能产品、环境标志产品，应提供对应型号的国家确定的认证机构出具的处于有效期之内的节能产品、环境标志产品认证证书等证明材料，否则视为主动放弃被优先采购的权利。优先采购节能产品和环境标志产品在同等条件下属于优先采购范围（优先采购指最终得分相等时，投标报价也相同时，按技术指标优劣顺序排序，技术指标优劣情况相同的，优先采购节能产品和环境标志产品合计金额占自身投标报价比例大的）。 </w:t>
      </w:r>
    </w:p>
    <w:p>
      <w:pPr>
        <w:pStyle w:val="37"/>
        <w:spacing w:line="360" w:lineRule="auto"/>
        <w:ind w:firstLine="480" w:firstLineChars="200"/>
        <w:jc w:val="both"/>
        <w:rPr>
          <w:rFonts w:hAnsi="宋体"/>
          <w:color w:val="auto"/>
          <w:highlight w:val="none"/>
        </w:rPr>
      </w:pPr>
      <w:r>
        <w:rPr>
          <w:rFonts w:hint="eastAsia" w:hAnsi="宋体"/>
          <w:color w:val="auto"/>
          <w:highlight w:val="none"/>
        </w:rPr>
        <w:t>3.5.4.根据《财政部工业和信息化部国家质检总局国家认监委关于信息安全产品实施政府采购的通知》财库〔2010〕48 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pPr>
        <w:pStyle w:val="56"/>
        <w:spacing w:line="360" w:lineRule="auto"/>
        <w:ind w:firstLine="480" w:firstLineChars="200"/>
        <w:rPr>
          <w:color w:val="auto"/>
          <w:sz w:val="24"/>
          <w:szCs w:val="24"/>
          <w:highlight w:val="none"/>
        </w:rPr>
      </w:pPr>
      <w:r>
        <w:rPr>
          <w:rFonts w:hint="eastAsia"/>
          <w:color w:val="auto"/>
          <w:sz w:val="24"/>
          <w:szCs w:val="24"/>
          <w:highlight w:val="none"/>
          <w:lang w:val="en-US" w:eastAsia="zh-CN"/>
        </w:rPr>
        <w:t>3.5.5</w:t>
      </w:r>
      <w:r>
        <w:rPr>
          <w:rFonts w:hint="eastAsia"/>
          <w:color w:val="auto"/>
          <w:sz w:val="24"/>
          <w:szCs w:val="24"/>
          <w:highlight w:val="none"/>
        </w:rPr>
        <w:t>.所投产品已列入国家强制性产品认证或生产许可的产品，必须提供通过认证或生产许可的有关证明材料。</w:t>
      </w:r>
    </w:p>
    <w:p>
      <w:pPr>
        <w:spacing w:line="480" w:lineRule="exact"/>
        <w:ind w:left="720" w:firstLine="420"/>
        <w:jc w:val="both"/>
        <w:rPr>
          <w:rFonts w:ascii="宋体" w:hAnsi="宋体" w:eastAsia="宋体" w:cs="宋体"/>
          <w:sz w:val="21"/>
          <w:szCs w:val="21"/>
          <w:highlight w:val="none"/>
          <w:lang w:eastAsia="zh-CN"/>
        </w:rPr>
      </w:pPr>
    </w:p>
    <w:p>
      <w:pPr>
        <w:rPr>
          <w:sz w:val="32"/>
          <w:szCs w:val="32"/>
          <w:highlight w:val="none"/>
        </w:rPr>
      </w:pPr>
      <w:bookmarkStart w:id="61" w:name="bookmark127"/>
      <w:bookmarkStart w:id="62" w:name="_Toc12123"/>
      <w:bookmarkStart w:id="63" w:name="bookmark128"/>
      <w:bookmarkStart w:id="64" w:name="_Toc18422"/>
      <w:bookmarkStart w:id="65" w:name="bookmark130"/>
      <w:bookmarkStart w:id="66" w:name="_Toc22745"/>
      <w:bookmarkStart w:id="67" w:name="_Toc13787"/>
      <w:bookmarkStart w:id="68" w:name="_Toc11376"/>
      <w:r>
        <w:rPr>
          <w:sz w:val="32"/>
          <w:szCs w:val="32"/>
          <w:highlight w:val="none"/>
        </w:rPr>
        <w:br w:type="page"/>
      </w:r>
    </w:p>
    <w:p>
      <w:pPr>
        <w:pStyle w:val="42"/>
        <w:keepNext/>
        <w:keepLines/>
        <w:spacing w:after="300" w:line="240" w:lineRule="auto"/>
        <w:rPr>
          <w:sz w:val="32"/>
          <w:szCs w:val="32"/>
          <w:highlight w:val="none"/>
          <w:lang w:eastAsia="zh-CN"/>
        </w:rPr>
      </w:pPr>
      <w:bookmarkStart w:id="69" w:name="_Toc29860"/>
      <w:r>
        <w:rPr>
          <w:sz w:val="32"/>
          <w:szCs w:val="32"/>
          <w:highlight w:val="none"/>
        </w:rPr>
        <w:t>第四章</w:t>
      </w:r>
      <w:r>
        <w:rPr>
          <w:rFonts w:hint="eastAsia"/>
          <w:sz w:val="32"/>
          <w:szCs w:val="32"/>
          <w:highlight w:val="none"/>
          <w:lang w:val="en-US" w:eastAsia="zh-CN"/>
        </w:rPr>
        <w:t xml:space="preserve"> </w:t>
      </w:r>
      <w:r>
        <w:rPr>
          <w:sz w:val="32"/>
          <w:szCs w:val="32"/>
          <w:highlight w:val="none"/>
        </w:rPr>
        <w:t>合同文本</w:t>
      </w:r>
      <w:bookmarkEnd w:id="61"/>
      <w:bookmarkEnd w:id="62"/>
      <w:bookmarkEnd w:id="63"/>
      <w:bookmarkEnd w:id="64"/>
      <w:bookmarkEnd w:id="65"/>
      <w:bookmarkEnd w:id="66"/>
      <w:bookmarkEnd w:id="67"/>
      <w:bookmarkEnd w:id="68"/>
      <w:bookmarkEnd w:id="69"/>
    </w:p>
    <w:p>
      <w:pPr>
        <w:pStyle w:val="56"/>
        <w:spacing w:line="240" w:lineRule="auto"/>
        <w:ind w:firstLine="0"/>
        <w:jc w:val="center"/>
        <w:rPr>
          <w:sz w:val="20"/>
          <w:szCs w:val="20"/>
          <w:highlight w:val="none"/>
        </w:rPr>
      </w:pPr>
      <w:r>
        <w:rPr>
          <w:sz w:val="20"/>
          <w:szCs w:val="20"/>
          <w:highlight w:val="none"/>
        </w:rPr>
        <w:t>（仅做参考，具体内容在签订合同后双方协商）</w:t>
      </w:r>
    </w:p>
    <w:p>
      <w:pPr>
        <w:rPr>
          <w:rFonts w:hint="eastAsia"/>
          <w:b/>
          <w:sz w:val="32"/>
          <w:highlight w:val="none"/>
        </w:rPr>
      </w:pPr>
      <w:bookmarkStart w:id="70" w:name="bookmark426"/>
      <w:bookmarkStart w:id="71" w:name="_Toc27449"/>
      <w:bookmarkStart w:id="72" w:name="_Toc6952"/>
      <w:bookmarkStart w:id="73" w:name="_Toc1692"/>
      <w:bookmarkStart w:id="74" w:name="bookmark424"/>
      <w:bookmarkStart w:id="75" w:name="_Toc5811"/>
      <w:bookmarkStart w:id="76" w:name="_Toc10517"/>
      <w:bookmarkStart w:id="77" w:name="bookmark423"/>
    </w:p>
    <w:p>
      <w:pPr>
        <w:rPr>
          <w:rFonts w:ascii="黑体" w:hAnsi="黑体" w:eastAsia="黑体"/>
          <w:color w:val="000000"/>
          <w:sz w:val="22"/>
        </w:rPr>
      </w:pPr>
      <w:r>
        <w:rPr>
          <w:rFonts w:ascii="黑体" w:hAnsi="黑体" w:eastAsia="黑体"/>
          <w:color w:val="000000"/>
          <w:sz w:val="16"/>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99060</wp:posOffset>
                </wp:positionV>
                <wp:extent cx="228600" cy="198120"/>
                <wp:effectExtent l="4445" t="4445" r="14605" b="6985"/>
                <wp:wrapNone/>
                <wp:docPr id="5" name="矩形 5"/>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6pt;margin-top:7.8pt;height:15.6pt;width:18pt;z-index:251661312;mso-width-relative:page;mso-height-relative:page;" fillcolor="#FFFFFF" filled="t" stroked="t" coordsize="21600,21600" o:allowincell="f" o:gfxdata="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7jeF1wAAAAkBAAAPAAAAAAAAAAEAIAAAACIAAABkcnMvZG93bnJldi54&#10;bWxQSwECFAAUAAAACACHTuJAvrnOCfsBAAAdBAAADgAAAAAAAAABACAAAAAmAQAAZHJzL2Uyb0Rv&#10;Yy54bWxQSwUGAAAAAAYABgBZAQAAkw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0288" behindDoc="0" locked="0" layoutInCell="0" allowOverlap="1">
                <wp:simplePos x="0" y="0"/>
                <wp:positionH relativeFrom="column">
                  <wp:posOffset>1828800</wp:posOffset>
                </wp:positionH>
                <wp:positionV relativeFrom="paragraph">
                  <wp:posOffset>99060</wp:posOffset>
                </wp:positionV>
                <wp:extent cx="228600" cy="198120"/>
                <wp:effectExtent l="4445" t="4445" r="14605" b="6985"/>
                <wp:wrapNone/>
                <wp:docPr id="6" name="矩形 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4pt;margin-top:7.8pt;height:15.6pt;width:18pt;z-index:251660288;mso-width-relative:page;mso-height-relative:page;" fillcolor="#FFFFFF" filled="t" stroked="t" coordsize="21600,21600" o:allowincell="f" o:gfxdata="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EJ3SdcAAAAJAQAADwAAAAAAAAABACAAAAAiAAAAZHJzL2Rvd25yZXYu&#10;eG1sUEsBAhQAFAAAAAgAh07iQMplbgv8AQAAHQQAAA4AAAAAAAAAAQAgAAAAJgEAAGRycy9lMm9E&#10;b2MueG1sUEsFBgAAAAAGAAYAWQEAAJQ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3600" behindDoc="0" locked="0" layoutInCell="0" allowOverlap="1">
                <wp:simplePos x="0" y="0"/>
                <wp:positionH relativeFrom="column">
                  <wp:posOffset>4914900</wp:posOffset>
                </wp:positionH>
                <wp:positionV relativeFrom="paragraph">
                  <wp:posOffset>99060</wp:posOffset>
                </wp:positionV>
                <wp:extent cx="228600" cy="198120"/>
                <wp:effectExtent l="4445" t="4445" r="14605" b="6985"/>
                <wp:wrapNone/>
                <wp:docPr id="18" name="矩形 1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7pt;margin-top:7.8pt;height:15.6pt;width:18pt;z-index:251673600;mso-width-relative:page;mso-height-relative:page;" fillcolor="#FFFFFF" filled="t" stroked="t" coordsize="21600,21600" o:allowincell="f" o:gfxdata="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KB2S2AAAAAkBAAAPAAAAAAAAAAEAIAAAACIAAABkcnMvZG93bnJl&#10;di54bWxQSwECFAAUAAAACACHTuJA3bb8+f0BAAAfBAAADgAAAAAAAAABACAAAAAn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2576" behindDoc="0" locked="0" layoutInCell="0" allowOverlap="1">
                <wp:simplePos x="0" y="0"/>
                <wp:positionH relativeFrom="column">
                  <wp:posOffset>4686300</wp:posOffset>
                </wp:positionH>
                <wp:positionV relativeFrom="paragraph">
                  <wp:posOffset>99060</wp:posOffset>
                </wp:positionV>
                <wp:extent cx="228600" cy="198120"/>
                <wp:effectExtent l="4445" t="4445" r="14605" b="6985"/>
                <wp:wrapNone/>
                <wp:docPr id="15" name="矩形 15"/>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9pt;margin-top:7.8pt;height:15.6pt;width:18pt;z-index:251672576;mso-width-relative:page;mso-height-relative:page;" fillcolor="#FFFFFF" filled="t" stroked="t" coordsize="21600,21600" o:allowincell="f" o:gfxdata="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KYVT2AAAAAkBAAAPAAAAAAAAAAEAIAAAACIAAABkcnMvZG93bnJl&#10;di54bWxQSwECFAAUAAAACACHTuJAHV0S+/0BAAAfBAAADgAAAAAAAAABACAAAAAn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1552" behindDoc="0" locked="0" layoutInCell="0" allowOverlap="1">
                <wp:simplePos x="0" y="0"/>
                <wp:positionH relativeFrom="column">
                  <wp:posOffset>4457700</wp:posOffset>
                </wp:positionH>
                <wp:positionV relativeFrom="paragraph">
                  <wp:posOffset>99060</wp:posOffset>
                </wp:positionV>
                <wp:extent cx="228600" cy="198120"/>
                <wp:effectExtent l="4445" t="4445" r="14605" b="6985"/>
                <wp:wrapNone/>
                <wp:docPr id="7" name="矩形 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1pt;margin-top:7.8pt;height:15.6pt;width:18pt;z-index:251671552;mso-width-relative:page;mso-height-relative:page;" fillcolor="#FFFFFF" filled="t" stroked="t" coordsize="21600,21600" o:allowincell="f" o:gfxdata="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HIP2AAAAAkBAAAPAAAAAAAAAAEAIAAAACIAAABkcnMvZG93bnJl&#10;di54bWxQSwECFAAUAAAACACHTuJA5tHxCv0BAAAdBAAADgAAAAAAAAABACAAAAAn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0528" behindDoc="0" locked="0" layoutInCell="0" allowOverlap="1">
                <wp:simplePos x="0" y="0"/>
                <wp:positionH relativeFrom="column">
                  <wp:posOffset>4229100</wp:posOffset>
                </wp:positionH>
                <wp:positionV relativeFrom="paragraph">
                  <wp:posOffset>99060</wp:posOffset>
                </wp:positionV>
                <wp:extent cx="228600" cy="198120"/>
                <wp:effectExtent l="4445" t="4445" r="14605" b="6985"/>
                <wp:wrapNone/>
                <wp:docPr id="16" name="矩形 1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33pt;margin-top:7.8pt;height:15.6pt;width:18pt;z-index:251670528;mso-width-relative:page;mso-height-relative:page;" fillcolor="#FFFFFF" filled="t" stroked="t" coordsize="21600,21600" o:allowincell="f" o:gfxdata="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t6yPXXAAAACQEAAA8AAAAAAAAAAQAgAAAAIgAAAGRycy9kb3ducmV2&#10;LnhtbFBLAQIUABQAAAAIAIdO4kBOYRso/QEAAB8EAAAOAAAAAAAAAAEAIAAAACYBAABkcnMvZTJv&#10;RG9jLnhtbFBLBQYAAAAABgAGAFkBAACVBQ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9504" behindDoc="0" locked="0" layoutInCell="0" allowOverlap="1">
                <wp:simplePos x="0" y="0"/>
                <wp:positionH relativeFrom="column">
                  <wp:posOffset>3886200</wp:posOffset>
                </wp:positionH>
                <wp:positionV relativeFrom="paragraph">
                  <wp:posOffset>99060</wp:posOffset>
                </wp:positionV>
                <wp:extent cx="228600" cy="198120"/>
                <wp:effectExtent l="4445" t="4445" r="14605" b="6985"/>
                <wp:wrapNone/>
                <wp:docPr id="10" name="矩形 10"/>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06pt;margin-top:7.8pt;height:15.6pt;width:18pt;z-index:251669504;mso-width-relative:page;mso-height-relative:page;" fillcolor="#FFFFFF" filled="t" stroked="t" coordsize="21600,21600" o:allowincell="f" o:gfxdata="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4bE19cAAAAJAQAADwAAAAAAAAABACAAAAAiAAAAZHJzL2Rvd25yZXYu&#10;eG1sUEsBAhQAFAAAAAgAh07iQKkfeFX8AQAAHwQAAA4AAAAAAAAAAQAgAAAAJgEAAGRycy9lMm9E&#10;b2MueG1sUEsFBgAAAAAGAAYAWQEAAJQ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8480" behindDoc="0" locked="0" layoutInCell="0" allowOverlap="1">
                <wp:simplePos x="0" y="0"/>
                <wp:positionH relativeFrom="column">
                  <wp:posOffset>3657600</wp:posOffset>
                </wp:positionH>
                <wp:positionV relativeFrom="paragraph">
                  <wp:posOffset>99060</wp:posOffset>
                </wp:positionV>
                <wp:extent cx="228600" cy="198120"/>
                <wp:effectExtent l="4445" t="4445" r="14605" b="6985"/>
                <wp:wrapNone/>
                <wp:docPr id="17" name="矩形 1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88pt;margin-top:7.8pt;height:15.6pt;width:18pt;z-index:251668480;mso-width-relative:page;mso-height-relative:page;" fillcolor="#FFFFFF" filled="t" stroked="t" coordsize="21600,21600" o:allowincell="f" o:gfxdata="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xu1u1wAAAAkBAAAPAAAAAAAAAAEAIAAAACIAAABkcnMvZG93bnJl&#10;di54bWxQSwECFAAUAAAACACHTuJAQHcz0P4BAAAfBAAADgAAAAAAAAABACAAAAAm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7456" behindDoc="0" locked="0" layoutInCell="0" allowOverlap="1">
                <wp:simplePos x="0" y="0"/>
                <wp:positionH relativeFrom="column">
                  <wp:posOffset>3314700</wp:posOffset>
                </wp:positionH>
                <wp:positionV relativeFrom="paragraph">
                  <wp:posOffset>99060</wp:posOffset>
                </wp:positionV>
                <wp:extent cx="228600" cy="198120"/>
                <wp:effectExtent l="4445" t="4445" r="14605" b="6985"/>
                <wp:wrapNone/>
                <wp:docPr id="11" name="矩形 1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1pt;margin-top:7.8pt;height:15.6pt;width:18pt;z-index:251667456;mso-width-relative:page;mso-height-relative:page;" fillcolor="#FFFFFF" filled="t" stroked="t" coordsize="21600,21600" o:allowincell="f" o:gfxdata="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uzy9cAAAAJAQAADwAAAAAAAAABACAAAAAiAAAAZHJzL2Rvd25yZXYu&#10;eG1sUEsBAhQAFAAAAAgAh07iQKcJUK38AQAAHwQAAA4AAAAAAAAAAQAgAAAAJgEAAGRycy9lMm9E&#10;b2MueG1sUEsFBgAAAAAGAAYAWQEAAJQ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6432" behindDoc="0" locked="0" layoutInCell="0" allowOverlap="1">
                <wp:simplePos x="0" y="0"/>
                <wp:positionH relativeFrom="column">
                  <wp:posOffset>3086100</wp:posOffset>
                </wp:positionH>
                <wp:positionV relativeFrom="paragraph">
                  <wp:posOffset>99060</wp:posOffset>
                </wp:positionV>
                <wp:extent cx="228600" cy="198120"/>
                <wp:effectExtent l="4445" t="4445" r="14605" b="6985"/>
                <wp:wrapNone/>
                <wp:docPr id="8" name="矩形 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3pt;margin-top:7.8pt;height:15.6pt;width:18pt;z-index:251666432;mso-width-relative:page;mso-height-relative:page;" fillcolor="#FFFFFF" filled="t" stroked="t" coordsize="21600,21600" o:allowincell="f" o:gfxdata="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l54K1gAAAAkBAAAPAAAAAAAAAAEAIAAAACIAAABkcnMvZG93bnJldi54&#10;bWxQSwECFAAUAAAACACHTuJAQnzSAvwBAAAdBAAADgAAAAAAAAABACAAAAAlAQAAZHJzL2Uyb0Rv&#10;Yy54bWxQSwUGAAAAAAYABgBZAQAAkw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5408" behindDoc="0" locked="0" layoutInCell="0" allowOverlap="1">
                <wp:simplePos x="0" y="0"/>
                <wp:positionH relativeFrom="column">
                  <wp:posOffset>2857500</wp:posOffset>
                </wp:positionH>
                <wp:positionV relativeFrom="paragraph">
                  <wp:posOffset>99060</wp:posOffset>
                </wp:positionV>
                <wp:extent cx="228600" cy="198120"/>
                <wp:effectExtent l="4445" t="4445" r="14605" b="6985"/>
                <wp:wrapNone/>
                <wp:docPr id="9" name="矩形 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5pt;margin-top:7.8pt;height:15.6pt;width:18pt;z-index:251665408;mso-width-relative:page;mso-height-relative:page;" fillcolor="#FFFFFF" filled="t" stroked="t" coordsize="21600,21600" o:allowincell="f" o:gfxdata="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KVw01wAAAAkBAAAPAAAAAAAAAAEAIAAAACIAAABkcnMvZG93bnJldi54&#10;bWxQSwECFAAUAAAACACHTuJAbshNA/sBAAAdBAAADgAAAAAAAAABACAAAAAmAQAAZHJzL2Uyb0Rv&#10;Yy54bWxQSwUGAAAAAAYABgBZAQAAkw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4384" behindDoc="0" locked="0" layoutInCell="0" allowOverlap="1">
                <wp:simplePos x="0" y="0"/>
                <wp:positionH relativeFrom="column">
                  <wp:posOffset>2628900</wp:posOffset>
                </wp:positionH>
                <wp:positionV relativeFrom="paragraph">
                  <wp:posOffset>99060</wp:posOffset>
                </wp:positionV>
                <wp:extent cx="228600" cy="198120"/>
                <wp:effectExtent l="4445" t="4445" r="14605" b="6985"/>
                <wp:wrapNone/>
                <wp:docPr id="12" name="矩形 12"/>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pt;margin-top:7.8pt;height:15.6pt;width:18pt;z-index:251664384;mso-width-relative:page;mso-height-relative:page;" fillcolor="#FFFFFF" filled="t" stroked="t" coordsize="21600,21600" o:allowincell="f" o:gfxdata="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eayWzXAAAACQEAAA8AAAAAAAAAAQAgAAAAIgAAAGRycy9kb3ducmV2&#10;LnhtbFBLAQIUABQAAAAIAIdO4kD0NVl+/QEAAB8EAAAOAAAAAAAAAAEAIAAAACYBAABkcnMvZTJv&#10;RG9jLnhtbFBLBQYAAAAABgAGAFkBAACVBQ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3360" behindDoc="0" locked="0" layoutInCell="0" allowOverlap="1">
                <wp:simplePos x="0" y="0"/>
                <wp:positionH relativeFrom="column">
                  <wp:posOffset>2400300</wp:posOffset>
                </wp:positionH>
                <wp:positionV relativeFrom="paragraph">
                  <wp:posOffset>99060</wp:posOffset>
                </wp:positionV>
                <wp:extent cx="228600" cy="198120"/>
                <wp:effectExtent l="4445" t="4445" r="14605" b="6985"/>
                <wp:wrapNone/>
                <wp:docPr id="13" name="矩形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9pt;margin-top:7.8pt;height:15.6pt;width:18pt;z-index:251663360;mso-width-relative:page;mso-height-relative:page;" fillcolor="#FFFFFF" filled="t" stroked="t" coordsize="21600,21600" o:allowincell="f" o:gfxdata="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5+H3NgAAAAJAQAADwAAAAAAAAABACAAAAAiAAAAZHJzL2Rvd25y&#10;ZXYueG1sUEsBAhQAFAAAAAgAh07iQPojcYb+AQAAHwQAAA4AAAAAAAAAAQAgAAAAJwEAAGRycy9l&#10;Mm9Eb2MueG1sUEsFBgAAAAAGAAYAWQEAAJc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2336" behindDoc="0" locked="0" layoutInCell="0" allowOverlap="1">
                <wp:simplePos x="0" y="0"/>
                <wp:positionH relativeFrom="column">
                  <wp:posOffset>2171700</wp:posOffset>
                </wp:positionH>
                <wp:positionV relativeFrom="paragraph">
                  <wp:posOffset>99060</wp:posOffset>
                </wp:positionV>
                <wp:extent cx="228600" cy="198120"/>
                <wp:effectExtent l="4445" t="4445" r="14605" b="6985"/>
                <wp:wrapNone/>
                <wp:docPr id="14" name="矩形 14"/>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1pt;margin-top:7.8pt;height:15.6pt;width:18pt;z-index:251662336;mso-width-relative:page;mso-height-relative:page;" fillcolor="#FFFFFF" filled="t" stroked="t" coordsize="21600,21600" o:allowincell="f" o:gfxdata="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UV3z1wAAAAkBAAAPAAAAAAAAAAEAIAAAACIAAABkcnMvZG93bnJl&#10;di54bWxQSwECFAAUAAAACACHTuJAE0s6A/4BAAAfBAAADgAAAAAAAAABACAAAAAmAQAAZHJzL2Uy&#10;b0RvYy54bWxQSwUGAAAAAAYABgBZAQAAlgUAAAAA&#10;">
                <v:fill on="t" focussize="0,0"/>
                <v:stroke color="#000000" joinstyle="miter"/>
                <v:imagedata o:title=""/>
                <o:lock v:ext="edit" aspectratio="f"/>
              </v:rect>
            </w:pict>
          </mc:Fallback>
        </mc:AlternateContent>
      </w:r>
      <w:r>
        <w:rPr>
          <w:rFonts w:hint="eastAsia" w:ascii="黑体" w:hAnsi="黑体" w:eastAsia="黑体"/>
          <w:color w:val="000000"/>
          <w:sz w:val="22"/>
        </w:rPr>
        <w:t>合同编号：</w:t>
      </w:r>
    </w:p>
    <w:p>
      <w:pPr>
        <w:jc w:val="both"/>
        <w:rPr>
          <w:color w:val="000000"/>
          <w:sz w:val="18"/>
        </w:rPr>
      </w:pPr>
    </w:p>
    <w:p>
      <w:pPr>
        <w:rPr>
          <w:color w:val="000000"/>
          <w:sz w:val="18"/>
        </w:rPr>
      </w:pPr>
    </w:p>
    <w:p>
      <w:pPr>
        <w:rPr>
          <w:color w:val="000000"/>
          <w:sz w:val="18"/>
        </w:rPr>
      </w:pPr>
    </w:p>
    <w:p>
      <w:pPr>
        <w:jc w:val="center"/>
        <w:rPr>
          <w:b/>
          <w:color w:val="000000"/>
          <w:sz w:val="18"/>
        </w:rPr>
      </w:pPr>
      <w:r>
        <w:rPr>
          <w:rFonts w:hint="eastAsia"/>
          <w:b/>
          <w:color w:val="000000"/>
          <w:sz w:val="52"/>
        </w:rPr>
        <w:t>规 划 设 计 合 同</w:t>
      </w:r>
    </w:p>
    <w:p>
      <w:pPr>
        <w:rPr>
          <w:rFonts w:hint="eastAsia"/>
          <w:color w:val="000000"/>
          <w:sz w:val="18"/>
        </w:rPr>
      </w:pPr>
      <w:r>
        <w:rPr>
          <w:rFonts w:hint="eastAsia"/>
          <w:color w:val="000000"/>
          <w:sz w:val="18"/>
        </w:rPr>
        <w:t xml:space="preserve">  </w:t>
      </w:r>
    </w:p>
    <w:p>
      <w:pPr>
        <w:jc w:val="center"/>
        <w:rPr>
          <w:color w:val="000000"/>
          <w:sz w:val="18"/>
          <w:szCs w:val="21"/>
        </w:rPr>
      </w:pPr>
      <w:r>
        <w:rPr>
          <w:rFonts w:hint="eastAsia" w:ascii="宋体" w:hAnsi="宋体"/>
          <w:b/>
          <w:color w:val="000000"/>
          <w:sz w:val="18"/>
          <w:szCs w:val="21"/>
        </w:rPr>
        <w:t>（本合同书格式为示范文本，仅作为中标人与招标人签定正式合同时的参考）</w:t>
      </w:r>
    </w:p>
    <w:p>
      <w:pPr>
        <w:rPr>
          <w:rFonts w:hint="eastAsia"/>
          <w:color w:val="000000"/>
          <w:sz w:val="18"/>
        </w:rPr>
      </w:pPr>
    </w:p>
    <w:p>
      <w:pPr>
        <w:rPr>
          <w:rFonts w:hint="eastAsia"/>
          <w:color w:val="000000"/>
          <w:sz w:val="18"/>
        </w:rPr>
      </w:pPr>
    </w:p>
    <w:p>
      <w:pPr>
        <w:rPr>
          <w:color w:val="000000"/>
          <w:sz w:val="18"/>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480" w:firstLineChars="200"/>
        <w:jc w:val="left"/>
        <w:rPr>
          <w:rFonts w:hint="eastAsia" w:ascii="宋体" w:hAnsi="宋体" w:eastAsia="宋体" w:cs="宋体"/>
          <w:color w:val="000000"/>
          <w:sz w:val="24"/>
          <w:szCs w:val="24"/>
          <w:u w:val="single"/>
          <w:lang w:bidi="ar"/>
        </w:rPr>
      </w:pPr>
      <w:r>
        <w:rPr>
          <w:rFonts w:hint="eastAsia" w:ascii="宋体" w:hAnsi="宋体" w:eastAsia="宋体" w:cs="宋体"/>
          <w:color w:val="000000"/>
          <w:sz w:val="24"/>
          <w:szCs w:val="24"/>
        </w:rPr>
        <w:t>项 目 名 称：</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u w:val="single"/>
          <w:lang w:val="en-US" w:eastAsia="zh-CN" w:bidi="ar"/>
        </w:rPr>
        <w:t>中牟县自然资源和规划局中牟县省级试点村青谷堆村村庄规划项目</w:t>
      </w:r>
    </w:p>
    <w:p>
      <w:pPr>
        <w:pStyle w:val="37"/>
        <w:ind w:firstLine="600"/>
        <w:rPr>
          <w:rFonts w:hint="eastAsia" w:ascii="宋体" w:hAnsi="宋体" w:eastAsia="宋体" w:cs="宋体"/>
          <w:sz w:val="24"/>
          <w:szCs w:val="24"/>
          <w:u w:val="single"/>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甲       方： </w:t>
      </w:r>
      <w:r>
        <w:rPr>
          <w:rFonts w:hint="eastAsia" w:ascii="宋体" w:hAnsi="宋体" w:eastAsia="宋体" w:cs="宋体"/>
          <w:color w:val="000000"/>
          <w:sz w:val="24"/>
          <w:szCs w:val="24"/>
          <w:u w:val="single"/>
        </w:rPr>
        <w:t xml:space="preserve">                            </w:t>
      </w:r>
    </w:p>
    <w:p>
      <w:pPr>
        <w:ind w:firstLine="1440" w:firstLineChars="600"/>
        <w:rPr>
          <w:rFonts w:hint="eastAsia" w:ascii="宋体" w:hAnsi="宋体" w:eastAsia="宋体" w:cs="宋体"/>
          <w:color w:val="000000"/>
          <w:sz w:val="24"/>
          <w:szCs w:val="24"/>
        </w:rPr>
      </w:pP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乙       方： </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color w:val="000000"/>
          <w:sz w:val="24"/>
          <w:szCs w:val="24"/>
        </w:rPr>
        <w:t>签 订 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 订 地 点：</w:t>
      </w:r>
      <w:r>
        <w:rPr>
          <w:rFonts w:hint="eastAsia" w:ascii="宋体" w:hAnsi="宋体" w:eastAsia="宋体" w:cs="宋体"/>
          <w:color w:val="000000"/>
          <w:sz w:val="24"/>
          <w:szCs w:val="24"/>
          <w:u w:val="single"/>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（以下简称甲方）拟委托（以下简称乙方）对</w:t>
      </w:r>
      <w:r>
        <w:rPr>
          <w:rFonts w:hint="eastAsia" w:ascii="宋体" w:hAnsi="宋体" w:eastAsia="宋体" w:cs="宋体"/>
          <w:color w:val="000000"/>
          <w:sz w:val="24"/>
          <w:szCs w:val="24"/>
          <w:u w:val="single"/>
          <w:lang w:val="en-US" w:eastAsia="zh-CN" w:bidi="ar"/>
        </w:rPr>
        <w:t>中牟县自然资源和规划局中牟县省级试点村青谷堆村村庄规划项目</w:t>
      </w:r>
      <w:r>
        <w:rPr>
          <w:rFonts w:hint="eastAsia" w:ascii="宋体" w:hAnsi="宋体" w:eastAsia="宋体" w:cs="宋体"/>
          <w:color w:val="000000"/>
          <w:sz w:val="24"/>
          <w:szCs w:val="24"/>
        </w:rPr>
        <w:t>。为明确双方的权利、义务，推动项目顺利实施，双方依照《中华人民共和国合同法》、《中华人民共和国城乡规划法》及相关法律、法规，本着诚实、诚信、公平，自愿的原则，共同协商签订本合同。</w:t>
      </w:r>
    </w:p>
    <w:p>
      <w:pPr>
        <w:spacing w:line="360" w:lineRule="auto"/>
        <w:rPr>
          <w:rFonts w:hint="eastAsia" w:ascii="宋体" w:hAnsi="宋体" w:eastAsia="宋体" w:cs="宋体"/>
          <w:color w:val="000000"/>
          <w:sz w:val="24"/>
          <w:szCs w:val="24"/>
        </w:rPr>
      </w:pP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一、规划</w:t>
      </w:r>
      <w:r>
        <w:rPr>
          <w:rFonts w:hint="eastAsia" w:ascii="宋体" w:hAnsi="宋体" w:eastAsia="宋体" w:cs="宋体"/>
          <w:bCs/>
          <w:kern w:val="0"/>
          <w:sz w:val="24"/>
          <w:szCs w:val="24"/>
        </w:rPr>
        <w:t>编制</w:t>
      </w:r>
      <w:r>
        <w:rPr>
          <w:rFonts w:hint="eastAsia" w:ascii="宋体" w:hAnsi="宋体" w:eastAsia="宋体" w:cs="宋体"/>
          <w:b/>
          <w:color w:val="000000"/>
          <w:sz w:val="24"/>
          <w:szCs w:val="24"/>
        </w:rPr>
        <w:t>内容、形式及要求</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设计项目地点: </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河南省郑州市中牟县                     </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设计项目范围与规模：</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设计依据：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1、甲方提交的基础资料</w:t>
      </w:r>
    </w:p>
    <w:p>
      <w:pPr>
        <w:spacing w:line="360" w:lineRule="auto"/>
        <w:ind w:firstLine="550"/>
        <w:rPr>
          <w:rFonts w:hint="eastAsia" w:ascii="宋体" w:hAnsi="宋体" w:eastAsia="宋体" w:cs="宋体"/>
          <w:color w:val="000000"/>
          <w:sz w:val="24"/>
          <w:szCs w:val="24"/>
        </w:rPr>
      </w:pPr>
      <w:r>
        <w:rPr>
          <w:rFonts w:hint="eastAsia" w:ascii="宋体" w:hAnsi="宋体" w:eastAsia="宋体" w:cs="宋体"/>
          <w:color w:val="000000"/>
          <w:sz w:val="24"/>
          <w:szCs w:val="24"/>
        </w:rPr>
        <w:t>2、国家、省、市有关法律法规规定</w:t>
      </w:r>
    </w:p>
    <w:p>
      <w:pPr>
        <w:spacing w:line="360" w:lineRule="auto"/>
        <w:ind w:firstLine="550"/>
        <w:rPr>
          <w:rFonts w:hint="eastAsia" w:ascii="宋体" w:hAnsi="宋体" w:eastAsia="宋体" w:cs="宋体"/>
          <w:color w:val="000000"/>
          <w:sz w:val="24"/>
          <w:szCs w:val="24"/>
        </w:rPr>
      </w:pPr>
      <w:r>
        <w:rPr>
          <w:rFonts w:hint="eastAsia" w:ascii="宋体" w:hAnsi="宋体" w:eastAsia="宋体" w:cs="宋体"/>
          <w:color w:val="000000"/>
          <w:sz w:val="24"/>
          <w:szCs w:val="24"/>
        </w:rPr>
        <w:t>3、城乡规划</w:t>
      </w:r>
      <w:r>
        <w:rPr>
          <w:rFonts w:hint="eastAsia" w:ascii="宋体" w:hAnsi="宋体" w:eastAsia="宋体" w:cs="宋体"/>
          <w:bCs/>
          <w:kern w:val="0"/>
          <w:sz w:val="24"/>
          <w:szCs w:val="24"/>
        </w:rPr>
        <w:t>编制</w:t>
      </w:r>
      <w:r>
        <w:rPr>
          <w:rFonts w:hint="eastAsia" w:ascii="宋体" w:hAnsi="宋体" w:eastAsia="宋体" w:cs="宋体"/>
          <w:color w:val="000000"/>
          <w:sz w:val="24"/>
          <w:szCs w:val="24"/>
        </w:rPr>
        <w:t>标准、规范</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成果深度及内容：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1、深度要求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2、内容要求：</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成果形式:</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二、进度安排与验收</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设计进度安排</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第一阶段：合同生效后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个工作日内，完成规划</w:t>
      </w:r>
      <w:r>
        <w:rPr>
          <w:rFonts w:hint="eastAsia" w:ascii="宋体" w:hAnsi="宋体" w:eastAsia="宋体" w:cs="宋体"/>
          <w:bCs/>
          <w:kern w:val="0"/>
          <w:sz w:val="24"/>
          <w:szCs w:val="24"/>
        </w:rPr>
        <w:t>编制</w:t>
      </w:r>
      <w:r>
        <w:rPr>
          <w:rFonts w:hint="eastAsia" w:ascii="宋体" w:hAnsi="宋体" w:eastAsia="宋体" w:cs="宋体"/>
          <w:color w:val="000000"/>
          <w:sz w:val="24"/>
          <w:szCs w:val="24"/>
        </w:rPr>
        <w:t>初步成果，进行方案汇报。</w:t>
      </w:r>
    </w:p>
    <w:p>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第二阶段：结合甲方修改意见，乙方于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个工作日内完成设计修改成果并提交甲方。</w:t>
      </w:r>
    </w:p>
    <w:p>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第三阶段：根据甲方最终意见，乙方于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个工作日内完成规划</w:t>
      </w:r>
      <w:r>
        <w:rPr>
          <w:rFonts w:hint="eastAsia" w:ascii="宋体" w:hAnsi="宋体" w:eastAsia="宋体" w:cs="宋体"/>
          <w:bCs/>
          <w:kern w:val="0"/>
          <w:sz w:val="24"/>
          <w:szCs w:val="24"/>
        </w:rPr>
        <w:t>编制</w:t>
      </w:r>
      <w:r>
        <w:rPr>
          <w:rFonts w:hint="eastAsia" w:ascii="宋体" w:hAnsi="宋体" w:eastAsia="宋体" w:cs="宋体"/>
          <w:color w:val="000000"/>
          <w:sz w:val="24"/>
          <w:szCs w:val="24"/>
        </w:rPr>
        <w:t>最终成果并提交甲方。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以上时间安排不包括双方方案的讨论、评议、等待甲方回复意见以及合同履行所需的时间。 </w:t>
      </w:r>
    </w:p>
    <w:p>
      <w:pPr>
        <w:widowControl w:val="0"/>
        <w:numPr>
          <w:ilvl w:val="0"/>
          <w:numId w:val="3"/>
        </w:numPr>
        <w:spacing w:line="360" w:lineRule="auto"/>
        <w:ind w:left="0" w:firstLine="0"/>
        <w:rPr>
          <w:rFonts w:hint="eastAsia" w:ascii="宋体" w:hAnsi="宋体" w:eastAsia="宋体" w:cs="宋体"/>
          <w:color w:val="000000"/>
          <w:sz w:val="24"/>
          <w:szCs w:val="24"/>
        </w:rPr>
        <w:sectPr>
          <w:footerReference r:id="rId4" w:type="default"/>
          <w:pgSz w:w="11900" w:h="16840"/>
          <w:pgMar w:top="1529" w:right="1591" w:bottom="1297" w:left="1756" w:header="1101" w:footer="737" w:gutter="0"/>
          <w:pgNumType w:fmt="numberInDash" w:start="1"/>
          <w:cols w:space="720" w:num="1"/>
          <w:docGrid w:linePitch="360" w:charSpace="0"/>
        </w:sectPr>
      </w:pP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成果验收</w:t>
      </w:r>
    </w:p>
    <w:p>
      <w:pPr>
        <w:widowControl w:val="0"/>
        <w:spacing w:line="360" w:lineRule="auto"/>
        <w:rPr>
          <w:rFonts w:hint="eastAsia" w:ascii="宋体" w:hAnsi="宋体" w:eastAsia="宋体" w:cs="宋体"/>
          <w:b/>
          <w:color w:val="000000"/>
          <w:sz w:val="24"/>
          <w:szCs w:val="24"/>
        </w:rPr>
      </w:pP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三、设计经费与支付进程</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设计经费</w:t>
      </w:r>
    </w:p>
    <w:p>
      <w:pPr>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本项目设计费总额人民币（大写）</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元整（￥元）。</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支付进程：</w:t>
      </w:r>
    </w:p>
    <w:p>
      <w:pPr>
        <w:spacing w:line="360" w:lineRule="auto"/>
        <w:ind w:left="322" w:leftChars="134" w:firstLine="360" w:firstLineChars="150"/>
        <w:rPr>
          <w:rFonts w:hint="eastAsia" w:ascii="宋体" w:hAnsi="宋体" w:eastAsia="宋体" w:cs="宋体"/>
          <w:b/>
          <w:sz w:val="24"/>
          <w:szCs w:val="24"/>
        </w:rPr>
      </w:pPr>
      <w:r>
        <w:rPr>
          <w:rFonts w:hint="eastAsia" w:ascii="宋体" w:hAnsi="宋体" w:eastAsia="宋体" w:cs="宋体"/>
          <w:bCs/>
          <w:sz w:val="24"/>
          <w:szCs w:val="24"/>
        </w:rPr>
        <w:t>第一期：合同签订后七个工作日内，甲方支付给乙方人民币（大写）</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元整</w:t>
      </w:r>
      <w:r>
        <w:rPr>
          <w:rFonts w:hint="eastAsia" w:ascii="宋体" w:hAnsi="宋体" w:eastAsia="宋体" w:cs="宋体"/>
          <w:bCs/>
          <w:sz w:val="24"/>
          <w:szCs w:val="24"/>
          <w:u w:val="single"/>
        </w:rPr>
        <w:t xml:space="preserve"> (         </w:t>
      </w:r>
      <w:r>
        <w:rPr>
          <w:rFonts w:hint="eastAsia" w:ascii="宋体" w:hAnsi="宋体" w:eastAsia="宋体" w:cs="宋体"/>
          <w:b/>
          <w:sz w:val="24"/>
          <w:szCs w:val="24"/>
          <w:u w:val="single"/>
        </w:rPr>
        <w:t>￥元</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为合同总价款的</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第二期：乙方提交初步成果并经过认可后七个工作日内，甲方支付给乙方人民币（大写）</w:t>
      </w:r>
      <w:r>
        <w:rPr>
          <w:rFonts w:hint="eastAsia" w:ascii="宋体" w:hAnsi="宋体" w:eastAsia="宋体" w:cs="宋体"/>
          <w:bCs/>
          <w:sz w:val="24"/>
          <w:szCs w:val="24"/>
          <w:u w:val="single"/>
        </w:rPr>
        <w:t>元整(</w:t>
      </w:r>
      <w:r>
        <w:rPr>
          <w:rFonts w:hint="eastAsia" w:ascii="宋体" w:hAnsi="宋体" w:eastAsia="宋体" w:cs="宋体"/>
          <w:b/>
          <w:sz w:val="24"/>
          <w:szCs w:val="24"/>
          <w:u w:val="single"/>
        </w:rPr>
        <w:t>￥元</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为合同总价款的</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第三期：乙方提交评审或评议成果，并通过相关部门组织的专家评审后七个工作日内，甲方支付给乙方 人民币（大写）</w:t>
      </w:r>
      <w:r>
        <w:rPr>
          <w:rFonts w:hint="eastAsia" w:ascii="宋体" w:hAnsi="宋体" w:eastAsia="宋体" w:cs="宋体"/>
          <w:bCs/>
          <w:sz w:val="24"/>
          <w:szCs w:val="24"/>
          <w:u w:val="single"/>
        </w:rPr>
        <w:t>元整(</w:t>
      </w:r>
      <w:r>
        <w:rPr>
          <w:rFonts w:hint="eastAsia" w:ascii="宋体" w:hAnsi="宋体" w:eastAsia="宋体" w:cs="宋体"/>
          <w:b/>
          <w:sz w:val="24"/>
          <w:szCs w:val="24"/>
          <w:u w:val="single"/>
        </w:rPr>
        <w:t>￥ 元</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为合同总价款的</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rPr>
        <w:t>第四期：乙方提交最终成果后七个工作日内，</w:t>
      </w:r>
      <w:r>
        <w:rPr>
          <w:rFonts w:hint="eastAsia" w:ascii="宋体" w:hAnsi="宋体" w:eastAsia="宋体" w:cs="宋体"/>
          <w:bCs/>
          <w:sz w:val="24"/>
          <w:szCs w:val="24"/>
        </w:rPr>
        <w:t xml:space="preserve">甲方支付给乙方人民币（大写）  </w:t>
      </w:r>
      <w:r>
        <w:rPr>
          <w:rFonts w:hint="eastAsia" w:ascii="宋体" w:hAnsi="宋体" w:eastAsia="宋体" w:cs="宋体"/>
          <w:bCs/>
          <w:sz w:val="24"/>
          <w:szCs w:val="24"/>
          <w:u w:val="single"/>
        </w:rPr>
        <w:t>元整(</w:t>
      </w:r>
      <w:r>
        <w:rPr>
          <w:rFonts w:hint="eastAsia" w:ascii="宋体" w:hAnsi="宋体" w:eastAsia="宋体" w:cs="宋体"/>
          <w:b/>
          <w:sz w:val="24"/>
          <w:szCs w:val="24"/>
          <w:u w:val="single"/>
        </w:rPr>
        <w:t>￥ 元，</w:t>
      </w:r>
      <w:r>
        <w:rPr>
          <w:rFonts w:hint="eastAsia" w:ascii="宋体" w:hAnsi="宋体" w:eastAsia="宋体" w:cs="宋体"/>
          <w:sz w:val="24"/>
          <w:szCs w:val="24"/>
          <w:u w:val="single"/>
        </w:rPr>
        <w:t>为合同总价款的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w:t>
      </w:r>
      <w:r>
        <w:rPr>
          <w:rFonts w:hint="eastAsia" w:ascii="宋体" w:hAnsi="宋体" w:eastAsia="宋体" w:cs="宋体"/>
          <w:bCs/>
          <w:sz w:val="24"/>
          <w:szCs w:val="24"/>
        </w:rPr>
        <w:t>。</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四、双方责任与协作事项</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甲方责任</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（一）甲方应在合同签订后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个工作日内提供基础资料及设计要求，在每阶段汇报讨论后应按合同要求及时（“及时”应当解释为双方确定的时间）出具书面意见。若提交时间超过约定期限，乙方可按超期天数相应延迟提交各阶段设计成果。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（二）甲方应协助乙方征询有关方面的意见，并在设计过程中做好有关部门的协调工作，</w:t>
      </w:r>
      <w:r>
        <w:rPr>
          <w:rFonts w:hint="eastAsia" w:ascii="宋体" w:hAnsi="宋体" w:eastAsia="宋体" w:cs="宋体"/>
          <w:color w:val="000000"/>
          <w:sz w:val="24"/>
          <w:szCs w:val="24"/>
        </w:rPr>
        <w:t>负责组织方案评议审查。</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（三）甲方应根据合同约定定期足额支付各阶段设计费。</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四）甲方应保护乙方的设计成果和专利技术。未经同意不得擅自修改、复制、向第三者转让或用于本合同以外的项目。甲方向乙方支付完毕本合同约定的所有费用后，乙方之设计成果所有权和著作权归甲方所有，但乙方享有在其设计成果上的署名权。</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（五）甲方变更设计范围、内容和深度（变更量超过</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或因提交的资料错误或提交的资料作较大修改以致造成乙方要返工时，双方需另行协商签订补充协议，调整原合同中有关条款，增付返工及新增设计内容的费用。如协商不成，甲方应按乙方已完成的设计内容支付相应的设计费用。并协商解决后续事宜。</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乙方责任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（一）乙方应按国家和地方有关法律、技术规范标准，以及合同约定的工作内容进行设计。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（二）乙方应</w:t>
      </w:r>
      <w:r>
        <w:rPr>
          <w:rFonts w:hint="eastAsia" w:ascii="宋体" w:hAnsi="宋体" w:eastAsia="宋体" w:cs="宋体"/>
          <w:bCs/>
          <w:color w:val="000000"/>
          <w:sz w:val="24"/>
          <w:szCs w:val="24"/>
        </w:rPr>
        <w:t>按照行业惯例及合同</w:t>
      </w:r>
      <w:r>
        <w:rPr>
          <w:rFonts w:hint="eastAsia" w:ascii="宋体" w:hAnsi="宋体" w:eastAsia="宋体" w:cs="宋体"/>
          <w:color w:val="000000"/>
          <w:sz w:val="24"/>
          <w:szCs w:val="24"/>
        </w:rPr>
        <w:t>规定，参加该项目相关会议，汇报进展情况，提供所需资料。</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（三）乙方应按合同规定的进度、提交质量合格的设计成果，并</w:t>
      </w:r>
      <w:r>
        <w:rPr>
          <w:rFonts w:hint="eastAsia" w:ascii="宋体" w:hAnsi="宋体" w:eastAsia="宋体" w:cs="宋体"/>
          <w:bCs/>
          <w:color w:val="000000"/>
          <w:sz w:val="24"/>
          <w:szCs w:val="24"/>
        </w:rPr>
        <w:t>对其负责。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（四）乙方对甲方所提供的</w:t>
      </w:r>
      <w:r>
        <w:rPr>
          <w:rFonts w:hint="eastAsia" w:ascii="宋体" w:hAnsi="宋体" w:eastAsia="宋体" w:cs="宋体"/>
          <w:strike/>
          <w:color w:val="000000"/>
          <w:sz w:val="24"/>
          <w:szCs w:val="24"/>
        </w:rPr>
        <w:t>涉密</w:t>
      </w:r>
      <w:r>
        <w:rPr>
          <w:rFonts w:hint="eastAsia" w:ascii="宋体" w:hAnsi="宋体" w:eastAsia="宋体" w:cs="宋体"/>
          <w:color w:val="000000"/>
          <w:sz w:val="24"/>
          <w:szCs w:val="24"/>
        </w:rPr>
        <w:t>资料承担保密义务。未经对方同意，不得对对方的资料及文件擅自修改，复制或向第三人转让或用于本合同项目外的项目。乙方按本合同规定编制的乙方方案及各种成果资料，不得向其他单位提供和转让。</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（五）乙方对设计中出现遗漏、差错应及时修改或补充，同时要根据甲方审查过程中提出的修改意见和专家评议意见对规划方案进行修改（修改仅针对本合同规定的设计内容）。</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五、服务承诺：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乙方应完成投标文件中承诺的各项服务。</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六、违约及争议解决方式</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违约责任</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（一）在合同生效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个工作日以后，甲方或乙方要求解除合同，双方应协商处理，并就解除合同达成一致。</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（二）甲方应按本合同规定的时间和金额向乙方支付设计费。因甲方原因,造成项目延期或中止,甲方应出具书面说明,责任由甲方承担，并与乙方协商处理办法。</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（三）乙方应按本合同约定的时间提交合格的设计图纸、文件。因乙方原因,造成项目延期或中止,乙方应出具书面说明,责任由乙方承担，并与甲方协商处理办法。</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color w:val="000000"/>
          <w:sz w:val="24"/>
          <w:szCs w:val="24"/>
        </w:rPr>
        <w:t>（四）</w:t>
      </w:r>
      <w:r>
        <w:rPr>
          <w:rFonts w:hint="eastAsia" w:ascii="宋体" w:hAnsi="宋体" w:eastAsia="宋体" w:cs="宋体"/>
          <w:bCs/>
          <w:color w:val="000000"/>
          <w:sz w:val="24"/>
          <w:szCs w:val="24"/>
        </w:rPr>
        <w:t>由于乙方原因延误了按本合同第一部分规定的设计资料及设计文件的交付时间，每延误一天，应减收该项目应收设计费的千分之二。</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争议解决方式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本合同产生的争议，由双方协商解决；协商不成的，双方同意将争议提交</w:t>
      </w:r>
      <w:r>
        <w:rPr>
          <w:rFonts w:hint="eastAsia" w:ascii="宋体" w:hAnsi="宋体" w:eastAsia="宋体" w:cs="宋体"/>
          <w:color w:val="000000"/>
          <w:sz w:val="24"/>
          <w:szCs w:val="24"/>
          <w:u w:val="single"/>
        </w:rPr>
        <w:t>甲方所在地人民法院审理</w:t>
      </w:r>
      <w:r>
        <w:rPr>
          <w:rFonts w:hint="eastAsia" w:ascii="宋体" w:hAnsi="宋体" w:eastAsia="宋体" w:cs="宋体"/>
          <w:color w:val="000000"/>
          <w:sz w:val="24"/>
          <w:szCs w:val="24"/>
        </w:rPr>
        <w:t>。</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保密</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双方均应保护对方的知识产权，未经对方同意，任何一方均不得对对方的资料及文件擅自修改或用于本合同项目外的项目。如发生以上情况，泄密方承担一切由此引起的后果并承担赔偿责任。</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其他</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（一）本合同由甲、乙方签字、盖章后生效。</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（二）在合同约定期内因各种原因未能如期履行完毕，双方应友好协商另行约定合同有效期限。</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（三）本合同未尽事宜，双方可签订补充合同。对本合同的修改与变更，必须经甲乙双方签署书面协议方可生效。</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（四）本合同一式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份，甲方存</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份，乙方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（以下无正文）</w:t>
      </w:r>
    </w:p>
    <w:p>
      <w:p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甲方：                     </w:t>
      </w:r>
      <w:r>
        <w:rPr>
          <w:rFonts w:hint="eastAsia" w:ascii="宋体" w:hAnsi="宋体" w:eastAsia="宋体" w:cs="宋体"/>
          <w:color w:val="000000"/>
          <w:sz w:val="24"/>
          <w:szCs w:val="24"/>
        </w:rPr>
        <w:t xml:space="preserve">     （盖章）</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                     联系人：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单位地址：                       邮政编码：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                       传    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                       银行帐号：</w:t>
      </w:r>
    </w:p>
    <w:p>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p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乙方</w:t>
      </w:r>
      <w:r>
        <w:rPr>
          <w:rFonts w:hint="eastAsia" w:ascii="宋体" w:hAnsi="宋体" w:eastAsia="宋体" w:cs="宋体"/>
          <w:color w:val="000000"/>
          <w:sz w:val="24"/>
          <w:szCs w:val="24"/>
        </w:rPr>
        <w:t xml:space="preserve">：（盖章）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委托代理人与项目负责人：            联系人：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单位地址：</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    传    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银行帐号：</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pPr>
        <w:spacing w:line="576" w:lineRule="auto"/>
        <w:jc w:val="center"/>
        <w:rPr>
          <w:rFonts w:hint="eastAsia" w:ascii="宋体" w:hAnsi="宋体" w:eastAsia="宋体" w:cs="宋体"/>
          <w:color w:val="000000"/>
          <w:sz w:val="24"/>
          <w:szCs w:val="24"/>
        </w:rPr>
      </w:pPr>
    </w:p>
    <w:p>
      <w:pPr>
        <w:rPr>
          <w:sz w:val="32"/>
          <w:szCs w:val="32"/>
          <w:highlight w:val="none"/>
          <w:lang w:eastAsia="zh-CN"/>
        </w:rPr>
      </w:pPr>
      <w:r>
        <w:rPr>
          <w:rFonts w:hint="eastAsia" w:ascii="宋体" w:hAnsi="宋体" w:eastAsia="宋体" w:cs="宋体"/>
          <w:b/>
          <w:color w:val="000000"/>
          <w:sz w:val="24"/>
          <w:szCs w:val="24"/>
        </w:rPr>
        <w:t>注：以上合同格式仅供参考，相关条款在甲乙双方签订合同时另行商定</w:t>
      </w:r>
      <w:r>
        <w:rPr>
          <w:sz w:val="32"/>
          <w:szCs w:val="32"/>
          <w:highlight w:val="none"/>
          <w:lang w:eastAsia="zh-CN"/>
        </w:rPr>
        <w:br w:type="page"/>
      </w:r>
    </w:p>
    <w:p>
      <w:pPr>
        <w:pStyle w:val="42"/>
        <w:keepNext/>
        <w:keepLines/>
        <w:pageBreakBefore w:val="0"/>
        <w:widowControl w:val="0"/>
        <w:kinsoku/>
        <w:wordWrap/>
        <w:overflowPunct/>
        <w:topLinePunct w:val="0"/>
        <w:autoSpaceDE/>
        <w:autoSpaceDN/>
        <w:bidi w:val="0"/>
        <w:adjustRightInd/>
        <w:snapToGrid/>
        <w:spacing w:after="300" w:line="240" w:lineRule="auto"/>
        <w:textAlignment w:val="auto"/>
        <w:outlineLvl w:val="0"/>
        <w:rPr>
          <w:rFonts w:hint="eastAsia"/>
          <w:color w:val="000000" w:themeColor="text1"/>
          <w:sz w:val="32"/>
          <w:szCs w:val="32"/>
          <w:highlight w:val="none"/>
          <w:lang w:val="en-US" w:eastAsia="zh-CN"/>
          <w14:textFill>
            <w14:solidFill>
              <w14:schemeClr w14:val="tx1"/>
            </w14:solidFill>
          </w14:textFill>
        </w:rPr>
      </w:pPr>
      <w:bookmarkStart w:id="78" w:name="_Toc13821"/>
      <w:r>
        <w:rPr>
          <w:color w:val="000000" w:themeColor="text1"/>
          <w:sz w:val="32"/>
          <w:szCs w:val="32"/>
          <w:highlight w:val="none"/>
          <w14:textFill>
            <w14:solidFill>
              <w14:schemeClr w14:val="tx1"/>
            </w14:solidFill>
          </w14:textFill>
        </w:rPr>
        <w:t>第</w:t>
      </w:r>
      <w:r>
        <w:rPr>
          <w:rFonts w:hint="eastAsia"/>
          <w:color w:val="000000" w:themeColor="text1"/>
          <w:sz w:val="32"/>
          <w:szCs w:val="32"/>
          <w:highlight w:val="none"/>
          <w:lang w:val="en-US" w:eastAsia="zh-CN"/>
          <w14:textFill>
            <w14:solidFill>
              <w14:schemeClr w14:val="tx1"/>
            </w14:solidFill>
          </w14:textFill>
        </w:rPr>
        <w:t>五</w:t>
      </w:r>
      <w:r>
        <w:rPr>
          <w:color w:val="000000" w:themeColor="text1"/>
          <w:sz w:val="32"/>
          <w:szCs w:val="32"/>
          <w:highlight w:val="none"/>
          <w14:textFill>
            <w14:solidFill>
              <w14:schemeClr w14:val="tx1"/>
            </w14:solidFill>
          </w14:textFill>
        </w:rPr>
        <w:t>章</w:t>
      </w:r>
      <w:bookmarkEnd w:id="70"/>
      <w:bookmarkEnd w:id="71"/>
      <w:bookmarkEnd w:id="72"/>
      <w:bookmarkEnd w:id="73"/>
      <w:bookmarkEnd w:id="74"/>
      <w:bookmarkEnd w:id="75"/>
      <w:bookmarkEnd w:id="76"/>
      <w:bookmarkEnd w:id="77"/>
      <w:r>
        <w:rPr>
          <w:rFonts w:hint="eastAsia"/>
          <w:color w:val="000000" w:themeColor="text1"/>
          <w:sz w:val="32"/>
          <w:szCs w:val="32"/>
          <w:highlight w:val="none"/>
          <w:lang w:val="en-US" w:eastAsia="zh-CN"/>
          <w14:textFill>
            <w14:solidFill>
              <w14:schemeClr w14:val="tx1"/>
            </w14:solidFill>
          </w14:textFill>
        </w:rPr>
        <w:t xml:space="preserve"> 项目需求</w:t>
      </w:r>
      <w:bookmarkEnd w:id="78"/>
    </w:p>
    <w:p>
      <w:pPr>
        <w:ind w:firstLine="480" w:firstLineChars="200"/>
        <w:rPr>
          <w:highlight w:val="none"/>
          <w:lang w:eastAsia="zh-CN"/>
        </w:rPr>
      </w:pPr>
    </w:p>
    <w:p>
      <w:pPr>
        <w:spacing w:line="480" w:lineRule="auto"/>
        <w:jc w:val="left"/>
        <w:rPr>
          <w:rFonts w:ascii="仿宋" w:hAnsi="仿宋" w:eastAsia="仿宋" w:cs="仿宋"/>
          <w:b/>
          <w:bCs/>
          <w:sz w:val="24"/>
        </w:rPr>
      </w:pPr>
      <w:bookmarkStart w:id="79" w:name="bookmark432"/>
      <w:bookmarkStart w:id="80" w:name="bookmark434"/>
      <w:bookmarkStart w:id="81" w:name="bookmark431"/>
      <w:bookmarkStart w:id="82" w:name="_Toc27650"/>
      <w:bookmarkStart w:id="83" w:name="_Toc12191"/>
      <w:bookmarkStart w:id="84" w:name="_Toc16282"/>
      <w:bookmarkStart w:id="85" w:name="_Toc18026"/>
      <w:bookmarkStart w:id="86" w:name="_Toc22637"/>
      <w:r>
        <w:rPr>
          <w:rFonts w:hint="eastAsia" w:ascii="仿宋" w:hAnsi="仿宋" w:eastAsia="仿宋" w:cs="仿宋"/>
          <w:b/>
          <w:bCs/>
          <w:sz w:val="24"/>
        </w:rPr>
        <w:t>一</w:t>
      </w:r>
      <w:r>
        <w:rPr>
          <w:rFonts w:ascii="仿宋" w:hAnsi="仿宋" w:eastAsia="仿宋" w:cs="仿宋"/>
          <w:b/>
          <w:bCs/>
          <w:sz w:val="24"/>
        </w:rPr>
        <w:t>、项目</w:t>
      </w:r>
      <w:r>
        <w:rPr>
          <w:rFonts w:hint="eastAsia" w:ascii="仿宋" w:hAnsi="仿宋" w:eastAsia="仿宋" w:cs="仿宋"/>
          <w:b/>
          <w:bCs/>
          <w:sz w:val="24"/>
        </w:rPr>
        <w:t>背景</w:t>
      </w:r>
    </w:p>
    <w:p>
      <w:pPr>
        <w:widowControl/>
        <w:shd w:val="clear" w:color="auto" w:fill="FFFFFF"/>
        <w:spacing w:line="360" w:lineRule="auto"/>
        <w:ind w:firstLine="420"/>
        <w:rPr>
          <w:rFonts w:cs="仿宋" w:asciiTheme="minorEastAsia" w:hAnsiTheme="minorEastAsia"/>
          <w:bCs/>
          <w:sz w:val="24"/>
        </w:rPr>
      </w:pPr>
      <w:r>
        <w:rPr>
          <w:rFonts w:hint="eastAsia" w:ascii="仿宋" w:hAnsi="仿宋" w:eastAsia="仿宋" w:cs="仿宋"/>
          <w:color w:val="000000"/>
          <w:kern w:val="0"/>
          <w:sz w:val="24"/>
          <w:szCs w:val="24"/>
          <w:shd w:val="clear" w:color="auto" w:fill="FFFFFF"/>
          <w:lang w:bidi="ar"/>
        </w:rPr>
        <w:t>为科学指导村庄规划编制实施工作，“以点带面”促进全省村庄规划编制和实施整体质量提升，河南省自然资源厅发布《关于开展河南省村庄规划编制实施试点工作的通知》，选择郑州市中牟县狼城岗镇青谷堆村，成为河南省省级村庄规划编制实施试点。通知要求扎实开展省级村庄规划编制实施试点，建设一批规划引领乡村发展示范村，总结一套可复制、可推广、全流程的村庄规划编制实施经验，助力乡村振兴和农业强省建设。</w:t>
      </w:r>
    </w:p>
    <w:p>
      <w:pPr>
        <w:spacing w:line="480" w:lineRule="auto"/>
        <w:jc w:val="left"/>
        <w:rPr>
          <w:rFonts w:ascii="仿宋" w:hAnsi="仿宋" w:eastAsia="仿宋" w:cs="仿宋"/>
          <w:b/>
          <w:bCs/>
          <w:sz w:val="24"/>
        </w:rPr>
      </w:pPr>
      <w:r>
        <w:rPr>
          <w:rFonts w:hint="eastAsia" w:ascii="仿宋" w:hAnsi="仿宋" w:eastAsia="仿宋" w:cs="仿宋"/>
          <w:b/>
          <w:bCs/>
          <w:sz w:val="24"/>
        </w:rPr>
        <w:t>二</w:t>
      </w:r>
      <w:r>
        <w:rPr>
          <w:rFonts w:ascii="仿宋" w:hAnsi="仿宋" w:eastAsia="仿宋" w:cs="仿宋"/>
          <w:b/>
          <w:bCs/>
          <w:sz w:val="24"/>
        </w:rPr>
        <w:t>、</w:t>
      </w:r>
      <w:r>
        <w:rPr>
          <w:rFonts w:hint="eastAsia" w:ascii="仿宋" w:hAnsi="仿宋" w:eastAsia="仿宋" w:cs="仿宋"/>
          <w:b/>
          <w:bCs/>
          <w:sz w:val="24"/>
        </w:rPr>
        <w:t>规划</w:t>
      </w:r>
      <w:r>
        <w:rPr>
          <w:rFonts w:ascii="仿宋" w:hAnsi="仿宋" w:eastAsia="仿宋" w:cs="仿宋"/>
          <w:b/>
          <w:bCs/>
          <w:sz w:val="24"/>
        </w:rPr>
        <w:t>范围</w:t>
      </w:r>
    </w:p>
    <w:p>
      <w:pPr>
        <w:widowControl/>
        <w:shd w:val="clear" w:color="auto" w:fill="FFFFFF"/>
        <w:spacing w:line="360" w:lineRule="auto"/>
        <w:ind w:firstLine="420"/>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郑州市中牟县狼城岗镇青谷堆村</w:t>
      </w:r>
      <w:r>
        <w:rPr>
          <w:rFonts w:ascii="仿宋" w:hAnsi="仿宋" w:eastAsia="仿宋" w:cs="仿宋"/>
          <w:color w:val="000000"/>
          <w:kern w:val="0"/>
          <w:sz w:val="24"/>
          <w:szCs w:val="24"/>
          <w:shd w:val="clear" w:color="auto" w:fill="FFFFFF"/>
          <w:lang w:bidi="ar"/>
        </w:rPr>
        <w:t>北接南韦滩村</w:t>
      </w:r>
      <w:r>
        <w:rPr>
          <w:rFonts w:hint="eastAsia" w:ascii="仿宋" w:hAnsi="仿宋" w:eastAsia="仿宋" w:cs="仿宋"/>
          <w:color w:val="000000"/>
          <w:kern w:val="0"/>
          <w:sz w:val="24"/>
          <w:szCs w:val="24"/>
          <w:shd w:val="clear" w:color="auto" w:fill="FFFFFF"/>
          <w:lang w:bidi="ar"/>
        </w:rPr>
        <w:t>，西接北堤村，南接开封市，东接太平堤村，规划范围为青谷堆村村域范围，总面积6</w:t>
      </w:r>
      <w:r>
        <w:rPr>
          <w:rFonts w:ascii="仿宋" w:hAnsi="仿宋" w:eastAsia="仿宋" w:cs="仿宋"/>
          <w:color w:val="000000"/>
          <w:kern w:val="0"/>
          <w:sz w:val="24"/>
          <w:szCs w:val="24"/>
          <w:shd w:val="clear" w:color="auto" w:fill="FFFFFF"/>
          <w:lang w:bidi="ar"/>
        </w:rPr>
        <w:t>62公顷</w:t>
      </w:r>
      <w:r>
        <w:rPr>
          <w:rFonts w:hint="eastAsia" w:ascii="仿宋" w:hAnsi="仿宋" w:eastAsia="仿宋" w:cs="仿宋"/>
          <w:color w:val="000000"/>
          <w:kern w:val="0"/>
          <w:sz w:val="24"/>
          <w:szCs w:val="24"/>
          <w:shd w:val="clear" w:color="auto" w:fill="FFFFFF"/>
          <w:lang w:bidi="ar"/>
        </w:rPr>
        <w:t>。</w:t>
      </w:r>
    </w:p>
    <w:p>
      <w:pPr>
        <w:spacing w:line="480" w:lineRule="auto"/>
        <w:jc w:val="left"/>
        <w:rPr>
          <w:rFonts w:ascii="仿宋" w:hAnsi="仿宋" w:eastAsia="仿宋" w:cs="仿宋"/>
          <w:b/>
          <w:bCs/>
          <w:sz w:val="24"/>
        </w:rPr>
      </w:pPr>
      <w:bookmarkStart w:id="87" w:name="_Toc26534119"/>
      <w:bookmarkStart w:id="88" w:name="_Toc161590146"/>
      <w:r>
        <w:rPr>
          <w:rFonts w:hint="eastAsia" w:ascii="仿宋" w:hAnsi="仿宋" w:eastAsia="仿宋" w:cs="仿宋"/>
          <w:b/>
          <w:bCs/>
          <w:sz w:val="24"/>
        </w:rPr>
        <w:t>三、项目组织</w:t>
      </w:r>
      <w:bookmarkEnd w:id="87"/>
      <w:bookmarkEnd w:id="88"/>
    </w:p>
    <w:p>
      <w:pPr>
        <w:widowControl/>
        <w:shd w:val="clear" w:color="auto" w:fill="FFFFFF"/>
        <w:spacing w:line="360" w:lineRule="auto"/>
        <w:ind w:firstLine="420"/>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项目编制工作拟分为四个阶段。第一阶段，村庄建设区一户一档调查。第二阶段，编制规划初步方案，设计单位对设计方案进行初步汇报，征询委托方的意见；第三阶段，根据意见征集结果对方案进行深化完善，组织专家评审；第四阶段，根据专家意见对方案进行深化、完善，编制提交最终成果。</w:t>
      </w:r>
    </w:p>
    <w:p>
      <w:pPr>
        <w:spacing w:line="480" w:lineRule="auto"/>
        <w:jc w:val="left"/>
        <w:rPr>
          <w:rFonts w:ascii="仿宋" w:hAnsi="仿宋" w:eastAsia="仿宋" w:cs="仿宋"/>
          <w:b/>
          <w:bCs/>
          <w:sz w:val="24"/>
        </w:rPr>
      </w:pPr>
      <w:bookmarkStart w:id="89" w:name="_Toc161590149"/>
      <w:bookmarkStart w:id="90" w:name="_Toc26534122"/>
      <w:r>
        <w:rPr>
          <w:rFonts w:hint="eastAsia" w:ascii="仿宋" w:hAnsi="仿宋" w:eastAsia="仿宋" w:cs="仿宋"/>
          <w:b/>
          <w:bCs/>
          <w:sz w:val="24"/>
        </w:rPr>
        <w:t>四、规划内容及</w:t>
      </w:r>
      <w:bookmarkEnd w:id="89"/>
      <w:r>
        <w:rPr>
          <w:rFonts w:hint="eastAsia" w:ascii="仿宋" w:hAnsi="仿宋" w:eastAsia="仿宋" w:cs="仿宋"/>
          <w:b/>
          <w:bCs/>
          <w:sz w:val="24"/>
        </w:rPr>
        <w:t>深度</w:t>
      </w:r>
      <w:bookmarkEnd w:id="90"/>
    </w:p>
    <w:p>
      <w:pPr>
        <w:widowControl/>
        <w:shd w:val="clear" w:color="auto" w:fill="FFFFFF"/>
        <w:spacing w:line="360" w:lineRule="auto"/>
        <w:ind w:firstLine="420"/>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规划内容包括现状分析、</w:t>
      </w:r>
      <w:r>
        <w:rPr>
          <w:rFonts w:ascii="仿宋" w:hAnsi="仿宋" w:eastAsia="仿宋" w:cs="仿宋"/>
          <w:color w:val="000000"/>
          <w:kern w:val="0"/>
          <w:sz w:val="24"/>
          <w:szCs w:val="24"/>
          <w:shd w:val="clear" w:color="auto" w:fill="FFFFFF"/>
          <w:lang w:bidi="ar"/>
        </w:rPr>
        <w:t>发展目标</w:t>
      </w:r>
      <w:r>
        <w:rPr>
          <w:rFonts w:hint="eastAsia" w:ascii="仿宋" w:hAnsi="仿宋" w:eastAsia="仿宋" w:cs="仿宋"/>
          <w:color w:val="000000"/>
          <w:kern w:val="0"/>
          <w:sz w:val="24"/>
          <w:szCs w:val="24"/>
          <w:shd w:val="clear" w:color="auto" w:fill="FFFFFF"/>
          <w:lang w:bidi="ar"/>
        </w:rPr>
        <w:t>、村域布局、耕地与永久基本农田、全域国土综合整治与生态修复、产业发展、村庄风貌、基础设施、公共服务设施、历史文化保护利用、安全与防灾减灾、近期建设项目</w:t>
      </w:r>
      <w:r>
        <w:rPr>
          <w:rFonts w:hint="eastAsia" w:ascii="仿宋" w:hAnsi="仿宋" w:eastAsia="仿宋" w:cs="仿宋"/>
          <w:color w:val="000000"/>
          <w:kern w:val="0"/>
          <w:sz w:val="24"/>
          <w:szCs w:val="24"/>
          <w:shd w:val="clear" w:color="auto" w:fill="FFFFFF"/>
          <w:lang w:eastAsia="zh-CN" w:bidi="ar"/>
        </w:rPr>
        <w:t>、管护机制</w:t>
      </w:r>
      <w:r>
        <w:rPr>
          <w:rFonts w:hint="eastAsia" w:ascii="仿宋" w:hAnsi="仿宋" w:eastAsia="仿宋" w:cs="仿宋"/>
          <w:color w:val="000000"/>
          <w:kern w:val="0"/>
          <w:sz w:val="24"/>
          <w:szCs w:val="24"/>
          <w:shd w:val="clear" w:color="auto" w:fill="FFFFFF"/>
          <w:lang w:bidi="ar"/>
        </w:rPr>
        <w:t>等内容。</w:t>
      </w:r>
    </w:p>
    <w:p>
      <w:pPr>
        <w:widowControl/>
        <w:shd w:val="clear" w:color="auto" w:fill="FFFFFF"/>
        <w:spacing w:line="360" w:lineRule="auto"/>
        <w:ind w:firstLine="420"/>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规划深度符合《河南省实用性村庄规划编制导则（第二次修订）》的文件要求，规划符合村民意愿，满足村庄发展，能指导青谷堆村村庄实施建设。</w:t>
      </w:r>
    </w:p>
    <w:p>
      <w:pPr>
        <w:spacing w:line="480" w:lineRule="auto"/>
        <w:jc w:val="left"/>
        <w:rPr>
          <w:rFonts w:ascii="仿宋" w:hAnsi="仿宋" w:eastAsia="仿宋" w:cs="仿宋"/>
          <w:b/>
          <w:bCs/>
          <w:sz w:val="24"/>
        </w:rPr>
      </w:pPr>
      <w:r>
        <w:rPr>
          <w:rFonts w:hint="eastAsia" w:ascii="仿宋" w:hAnsi="仿宋" w:eastAsia="仿宋" w:cs="仿宋"/>
          <w:b/>
          <w:bCs/>
          <w:sz w:val="24"/>
        </w:rPr>
        <w:t>五、规划主要成果</w:t>
      </w:r>
    </w:p>
    <w:p>
      <w:pPr>
        <w:widowControl/>
        <w:shd w:val="clear" w:color="auto" w:fill="FFFFFF"/>
        <w:spacing w:line="360" w:lineRule="auto"/>
        <w:ind w:firstLine="420"/>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规划成果包括规划文本、图件</w:t>
      </w:r>
      <w:r>
        <w:rPr>
          <w:rFonts w:hint="eastAsia" w:ascii="仿宋" w:hAnsi="仿宋" w:eastAsia="仿宋" w:cs="仿宋"/>
          <w:color w:val="000000"/>
          <w:kern w:val="0"/>
          <w:sz w:val="24"/>
          <w:szCs w:val="24"/>
          <w:shd w:val="clear" w:color="auto" w:fill="FFFFFF"/>
          <w:lang w:eastAsia="zh-CN" w:bidi="ar"/>
        </w:rPr>
        <w:t>、</w:t>
      </w:r>
      <w:r>
        <w:rPr>
          <w:rFonts w:hint="eastAsia" w:ascii="仿宋" w:hAnsi="仿宋" w:eastAsia="仿宋" w:cs="仿宋"/>
          <w:color w:val="0000FF"/>
          <w:kern w:val="0"/>
          <w:sz w:val="24"/>
          <w:szCs w:val="24"/>
          <w:shd w:val="clear" w:color="auto" w:fill="FFFFFF"/>
          <w:lang w:eastAsia="zh-CN" w:bidi="ar"/>
        </w:rPr>
        <w:t>数据库、附件（说明书、意见征集情况等）、村规民约和上墙图纸</w:t>
      </w:r>
      <w:r>
        <w:rPr>
          <w:rFonts w:hint="eastAsia" w:ascii="仿宋" w:hAnsi="仿宋" w:eastAsia="仿宋" w:cs="仿宋"/>
          <w:color w:val="0000FF"/>
          <w:kern w:val="0"/>
          <w:sz w:val="24"/>
          <w:szCs w:val="24"/>
          <w:shd w:val="clear" w:color="auto" w:fill="FFFFFF"/>
          <w:lang w:bidi="ar"/>
        </w:rPr>
        <w:t>。</w:t>
      </w:r>
      <w:r>
        <w:rPr>
          <w:rFonts w:hint="eastAsia" w:ascii="仿宋" w:hAnsi="仿宋" w:eastAsia="仿宋" w:cs="仿宋"/>
          <w:color w:val="000000"/>
          <w:kern w:val="0"/>
          <w:sz w:val="24"/>
          <w:szCs w:val="24"/>
          <w:shd w:val="clear" w:color="auto" w:fill="FFFFFF"/>
          <w:lang w:bidi="ar"/>
        </w:rPr>
        <w:t>以纸质及电子技术文件方式向委托方提供技术成果，包括</w:t>
      </w:r>
      <w:r>
        <w:rPr>
          <w:rFonts w:hint="eastAsia" w:ascii="仿宋" w:hAnsi="仿宋" w:eastAsia="仿宋" w:cs="仿宋"/>
          <w:color w:val="000000"/>
          <w:kern w:val="0"/>
          <w:sz w:val="24"/>
          <w:szCs w:val="24"/>
          <w:shd w:val="clear" w:color="auto" w:fill="FFFFFF"/>
          <w:lang w:eastAsia="zh-CN" w:bidi="ar"/>
        </w:rPr>
        <w:t>纸质版成果</w:t>
      </w:r>
      <w:r>
        <w:rPr>
          <w:rFonts w:hint="eastAsia" w:ascii="仿宋" w:hAnsi="仿宋" w:eastAsia="仿宋" w:cs="仿宋"/>
          <w:color w:val="0000FF"/>
          <w:kern w:val="0"/>
          <w:sz w:val="24"/>
          <w:szCs w:val="24"/>
          <w:shd w:val="clear" w:color="auto" w:fill="FFFFFF"/>
          <w:lang w:eastAsia="zh-CN" w:bidi="ar"/>
        </w:rPr>
        <w:t>拾</w:t>
      </w:r>
      <w:r>
        <w:rPr>
          <w:rFonts w:hint="eastAsia" w:ascii="仿宋" w:hAnsi="仿宋" w:eastAsia="仿宋" w:cs="仿宋"/>
          <w:color w:val="0000FF"/>
          <w:kern w:val="0"/>
          <w:sz w:val="24"/>
          <w:szCs w:val="24"/>
          <w:shd w:val="clear" w:color="auto" w:fill="FFFFFF"/>
          <w:lang w:bidi="ar"/>
        </w:rPr>
        <w:t>套</w:t>
      </w:r>
      <w:r>
        <w:rPr>
          <w:rFonts w:hint="eastAsia" w:ascii="仿宋" w:hAnsi="仿宋" w:eastAsia="仿宋" w:cs="仿宋"/>
          <w:color w:val="000000"/>
          <w:kern w:val="0"/>
          <w:sz w:val="24"/>
          <w:szCs w:val="24"/>
          <w:shd w:val="clear" w:color="auto" w:fill="FFFFFF"/>
          <w:lang w:bidi="ar"/>
        </w:rPr>
        <w:t>及电子技术文件</w:t>
      </w:r>
      <w:r>
        <w:rPr>
          <w:rFonts w:hint="eastAsia" w:ascii="仿宋" w:hAnsi="仿宋" w:eastAsia="仿宋" w:cs="仿宋"/>
          <w:color w:val="000000"/>
          <w:kern w:val="0"/>
          <w:sz w:val="24"/>
          <w:szCs w:val="24"/>
          <w:shd w:val="clear" w:color="auto" w:fill="FFFFFF"/>
          <w:lang w:eastAsia="zh-CN" w:bidi="ar"/>
        </w:rPr>
        <w:t>成果</w:t>
      </w:r>
      <w:r>
        <w:rPr>
          <w:rFonts w:hint="eastAsia" w:ascii="仿宋" w:hAnsi="仿宋" w:eastAsia="仿宋" w:cs="仿宋"/>
          <w:color w:val="0000FF"/>
          <w:kern w:val="0"/>
          <w:sz w:val="24"/>
          <w:szCs w:val="24"/>
          <w:shd w:val="clear" w:color="auto" w:fill="FFFFFF"/>
          <w:lang w:eastAsia="zh-CN" w:bidi="ar"/>
        </w:rPr>
        <w:t>两套</w:t>
      </w:r>
      <w:r>
        <w:rPr>
          <w:rFonts w:hint="eastAsia" w:ascii="仿宋" w:hAnsi="仿宋" w:eastAsia="仿宋" w:cs="仿宋"/>
          <w:color w:val="000000"/>
          <w:kern w:val="0"/>
          <w:sz w:val="24"/>
          <w:szCs w:val="24"/>
          <w:shd w:val="clear" w:color="auto" w:fill="FFFFFF"/>
          <w:lang w:bidi="ar"/>
        </w:rPr>
        <w:t>。</w:t>
      </w:r>
    </w:p>
    <w:p>
      <w:pPr>
        <w:rPr>
          <w:sz w:val="32"/>
          <w:szCs w:val="32"/>
          <w:highlight w:val="none"/>
        </w:rPr>
      </w:pPr>
    </w:p>
    <w:p>
      <w:pPr>
        <w:pStyle w:val="3"/>
      </w:pPr>
    </w:p>
    <w:p>
      <w:pPr>
        <w:pStyle w:val="42"/>
        <w:keepNext/>
        <w:keepLines/>
        <w:spacing w:after="300" w:line="240" w:lineRule="auto"/>
        <w:rPr>
          <w:sz w:val="32"/>
          <w:szCs w:val="32"/>
          <w:highlight w:val="none"/>
        </w:rPr>
      </w:pPr>
      <w:bookmarkStart w:id="91" w:name="_Toc27032"/>
      <w:r>
        <w:rPr>
          <w:sz w:val="32"/>
          <w:szCs w:val="32"/>
          <w:highlight w:val="none"/>
        </w:rPr>
        <w:t>第</w:t>
      </w:r>
      <w:r>
        <w:rPr>
          <w:rFonts w:hint="eastAsia"/>
          <w:sz w:val="32"/>
          <w:szCs w:val="32"/>
          <w:highlight w:val="none"/>
          <w:lang w:val="en-US" w:eastAsia="zh-CN"/>
        </w:rPr>
        <w:t>六</w:t>
      </w:r>
      <w:r>
        <w:rPr>
          <w:sz w:val="32"/>
          <w:szCs w:val="32"/>
          <w:highlight w:val="none"/>
        </w:rPr>
        <w:t>章</w:t>
      </w:r>
      <w:r>
        <w:rPr>
          <w:sz w:val="32"/>
          <w:szCs w:val="32"/>
          <w:highlight w:val="none"/>
          <w:lang w:val="en-US" w:eastAsia="zh-CN"/>
        </w:rPr>
        <w:t xml:space="preserve">  </w:t>
      </w:r>
      <w:r>
        <w:rPr>
          <w:sz w:val="32"/>
          <w:szCs w:val="32"/>
          <w:highlight w:val="none"/>
        </w:rPr>
        <w:t>竞争性磋商响应文件格式</w:t>
      </w:r>
      <w:bookmarkEnd w:id="79"/>
      <w:bookmarkEnd w:id="80"/>
      <w:bookmarkEnd w:id="81"/>
      <w:bookmarkEnd w:id="82"/>
      <w:bookmarkEnd w:id="83"/>
      <w:bookmarkEnd w:id="84"/>
      <w:bookmarkEnd w:id="85"/>
      <w:bookmarkEnd w:id="86"/>
      <w:bookmarkEnd w:id="91"/>
    </w:p>
    <w:p>
      <w:pPr>
        <w:pStyle w:val="44"/>
        <w:spacing w:after="0"/>
        <w:rPr>
          <w:rFonts w:hint="eastAsia" w:eastAsia="宋体"/>
          <w:b w:val="0"/>
          <w:bCs w:val="0"/>
          <w:sz w:val="48"/>
          <w:szCs w:val="48"/>
          <w:highlight w:val="none"/>
          <w:u w:val="single"/>
          <w:lang w:val="en-US" w:eastAsia="zh-CN"/>
        </w:rPr>
      </w:pPr>
      <w:bookmarkStart w:id="92" w:name="_Toc27226"/>
      <w:bookmarkStart w:id="93" w:name="_Toc22230"/>
      <w:bookmarkStart w:id="94" w:name="_Toc8262"/>
      <w:r>
        <w:rPr>
          <w:rFonts w:hint="eastAsia"/>
          <w:b w:val="0"/>
          <w:bCs w:val="0"/>
          <w:sz w:val="48"/>
          <w:szCs w:val="48"/>
          <w:highlight w:val="none"/>
          <w:u w:val="single"/>
          <w:lang w:val="en-US" w:eastAsia="zh-CN"/>
        </w:rPr>
        <w:t xml:space="preserve">              </w:t>
      </w:r>
      <w:r>
        <w:rPr>
          <w:rFonts w:hint="eastAsia"/>
          <w:b w:val="0"/>
          <w:bCs w:val="0"/>
          <w:sz w:val="48"/>
          <w:szCs w:val="48"/>
          <w:highlight w:val="none"/>
          <w:lang w:val="en-US" w:eastAsia="zh-CN"/>
        </w:rPr>
        <w:t>（项目名称）</w:t>
      </w:r>
    </w:p>
    <w:p>
      <w:pPr>
        <w:pStyle w:val="44"/>
        <w:spacing w:after="0"/>
        <w:rPr>
          <w:highlight w:val="none"/>
        </w:rPr>
      </w:pPr>
    </w:p>
    <w:p>
      <w:pPr>
        <w:pStyle w:val="44"/>
        <w:spacing w:after="0"/>
        <w:rPr>
          <w:highlight w:val="none"/>
        </w:rPr>
      </w:pPr>
      <w:r>
        <w:rPr>
          <w:highlight w:val="none"/>
        </w:rPr>
        <w:t>响应文件</w:t>
      </w:r>
      <w:bookmarkEnd w:id="92"/>
      <w:bookmarkEnd w:id="93"/>
      <w:bookmarkEnd w:id="94"/>
    </w:p>
    <w:p>
      <w:pPr>
        <w:pStyle w:val="44"/>
        <w:spacing w:after="0"/>
        <w:ind w:firstLine="2640" w:firstLineChars="1100"/>
        <w:jc w:val="both"/>
        <w:rPr>
          <w:b w:val="0"/>
          <w:bCs w:val="0"/>
          <w:sz w:val="24"/>
          <w:szCs w:val="24"/>
          <w:highlight w:val="none"/>
          <w:lang w:val="en-US" w:eastAsia="zh-CN"/>
        </w:rPr>
      </w:pPr>
      <w:r>
        <w:rPr>
          <w:rFonts w:hint="eastAsia"/>
          <w:b w:val="0"/>
          <w:bCs w:val="0"/>
          <w:sz w:val="24"/>
          <w:szCs w:val="24"/>
          <w:highlight w:val="none"/>
          <w:lang w:val="en-US" w:eastAsia="zh-CN"/>
        </w:rPr>
        <w:t>采购编号：</w:t>
      </w:r>
    </w:p>
    <w:p>
      <w:pPr>
        <w:pStyle w:val="56"/>
        <w:spacing w:after="700" w:line="240" w:lineRule="auto"/>
        <w:ind w:firstLine="0"/>
        <w:rPr>
          <w:sz w:val="20"/>
          <w:szCs w:val="20"/>
          <w:highlight w:val="none"/>
        </w:rPr>
      </w:pPr>
    </w:p>
    <w:p>
      <w:pPr>
        <w:pStyle w:val="56"/>
        <w:spacing w:after="700" w:line="240" w:lineRule="auto"/>
        <w:ind w:firstLine="0"/>
        <w:rPr>
          <w:sz w:val="20"/>
          <w:szCs w:val="20"/>
          <w:highlight w:val="none"/>
        </w:rPr>
      </w:pPr>
    </w:p>
    <w:p>
      <w:pPr>
        <w:pStyle w:val="56"/>
        <w:spacing w:after="700" w:line="240" w:lineRule="auto"/>
        <w:ind w:firstLine="0"/>
        <w:rPr>
          <w:sz w:val="20"/>
          <w:szCs w:val="20"/>
          <w:highlight w:val="none"/>
        </w:rPr>
      </w:pPr>
    </w:p>
    <w:p>
      <w:pPr>
        <w:pStyle w:val="56"/>
        <w:spacing w:after="700" w:line="240" w:lineRule="auto"/>
        <w:ind w:firstLine="0"/>
        <w:rPr>
          <w:sz w:val="20"/>
          <w:szCs w:val="20"/>
          <w:highlight w:val="none"/>
        </w:rPr>
      </w:pPr>
    </w:p>
    <w:p>
      <w:pPr>
        <w:pStyle w:val="56"/>
        <w:spacing w:line="720" w:lineRule="auto"/>
        <w:ind w:firstLine="0"/>
        <w:rPr>
          <w:sz w:val="24"/>
          <w:szCs w:val="24"/>
          <w:highlight w:val="none"/>
        </w:rPr>
      </w:pPr>
    </w:p>
    <w:p>
      <w:pPr>
        <w:pStyle w:val="56"/>
        <w:spacing w:line="720" w:lineRule="auto"/>
        <w:ind w:firstLine="0"/>
        <w:rPr>
          <w:sz w:val="24"/>
          <w:szCs w:val="24"/>
          <w:highlight w:val="none"/>
        </w:rPr>
      </w:pPr>
    </w:p>
    <w:p>
      <w:pPr>
        <w:pStyle w:val="56"/>
        <w:spacing w:line="720" w:lineRule="auto"/>
        <w:ind w:firstLine="0"/>
        <w:rPr>
          <w:sz w:val="24"/>
          <w:szCs w:val="24"/>
          <w:highlight w:val="none"/>
        </w:rPr>
      </w:pPr>
    </w:p>
    <w:p>
      <w:pPr>
        <w:pStyle w:val="56"/>
        <w:spacing w:line="720" w:lineRule="auto"/>
        <w:ind w:firstLine="0"/>
        <w:rPr>
          <w:sz w:val="24"/>
          <w:szCs w:val="24"/>
          <w:highlight w:val="none"/>
        </w:rPr>
      </w:pPr>
      <w:r>
        <w:rPr>
          <w:sz w:val="24"/>
          <w:szCs w:val="24"/>
          <w:highlight w:val="none"/>
        </w:rPr>
        <w:t>供应商：</w:t>
      </w:r>
      <w:r>
        <w:rPr>
          <w:rFonts w:hint="eastAsia"/>
          <w:sz w:val="24"/>
          <w:szCs w:val="24"/>
          <w:highlight w:val="none"/>
          <w:u w:val="single"/>
          <w:lang w:val="en-US" w:eastAsia="zh-CN"/>
        </w:rPr>
        <w:t xml:space="preserve">                                     </w:t>
      </w:r>
      <w:r>
        <w:rPr>
          <w:sz w:val="24"/>
          <w:szCs w:val="24"/>
          <w:highlight w:val="none"/>
        </w:rPr>
        <w:t>（盖单位章）</w:t>
      </w:r>
    </w:p>
    <w:p>
      <w:pPr>
        <w:pStyle w:val="56"/>
        <w:spacing w:line="720" w:lineRule="auto"/>
        <w:ind w:firstLine="0"/>
        <w:rPr>
          <w:sz w:val="24"/>
          <w:szCs w:val="24"/>
          <w:highlight w:val="none"/>
        </w:rPr>
      </w:pPr>
      <w:r>
        <w:rPr>
          <w:sz w:val="24"/>
          <w:szCs w:val="24"/>
          <w:highlight w:val="none"/>
        </w:rPr>
        <w:t>法定代表人或其委托代理人：</w:t>
      </w:r>
      <w:r>
        <w:rPr>
          <w:rFonts w:hint="eastAsia"/>
          <w:sz w:val="24"/>
          <w:szCs w:val="24"/>
          <w:highlight w:val="none"/>
          <w:u w:val="single"/>
          <w:lang w:val="en-US" w:eastAsia="zh-CN"/>
        </w:rPr>
        <w:t xml:space="preserve">                   </w:t>
      </w:r>
      <w:r>
        <w:rPr>
          <w:sz w:val="24"/>
          <w:szCs w:val="24"/>
          <w:highlight w:val="none"/>
        </w:rPr>
        <w:t>（签字或盖章）</w:t>
      </w:r>
    </w:p>
    <w:p>
      <w:pPr>
        <w:pStyle w:val="56"/>
        <w:spacing w:line="720" w:lineRule="auto"/>
        <w:ind w:firstLine="0"/>
        <w:jc w:val="center"/>
        <w:rPr>
          <w:sz w:val="24"/>
          <w:szCs w:val="24"/>
          <w:highlight w:val="none"/>
        </w:rPr>
      </w:pPr>
      <w:r>
        <w:rPr>
          <w:sz w:val="24"/>
          <w:szCs w:val="24"/>
          <w:highlight w:val="none"/>
        </w:rPr>
        <w:t>年 月 日</w:t>
      </w:r>
    </w:p>
    <w:p>
      <w:pPr>
        <w:pStyle w:val="56"/>
        <w:spacing w:line="720" w:lineRule="auto"/>
        <w:ind w:firstLine="0"/>
        <w:rPr>
          <w:sz w:val="20"/>
          <w:szCs w:val="20"/>
          <w:highlight w:val="none"/>
        </w:rPr>
      </w:pPr>
      <w:r>
        <w:rPr>
          <w:highlight w:val="none"/>
        </w:rPr>
        <w:br w:type="page"/>
      </w:r>
    </w:p>
    <w:p>
      <w:pPr>
        <w:pStyle w:val="56"/>
        <w:tabs>
          <w:tab w:val="left" w:pos="469"/>
        </w:tabs>
        <w:spacing w:after="220" w:line="240" w:lineRule="auto"/>
        <w:ind w:firstLine="0"/>
        <w:jc w:val="center"/>
        <w:rPr>
          <w:rFonts w:asciiTheme="minorEastAsia" w:hAnsiTheme="minorEastAsia" w:eastAsiaTheme="minorEastAsia" w:cstheme="minorEastAsia"/>
          <w:sz w:val="24"/>
          <w:szCs w:val="24"/>
          <w:highlight w:val="none"/>
          <w:lang w:val="en-US" w:eastAsia="zh-CN"/>
        </w:rPr>
      </w:pPr>
      <w:bookmarkStart w:id="95" w:name="bookmark435"/>
      <w:r>
        <w:rPr>
          <w:rFonts w:hint="eastAsia" w:asciiTheme="minorEastAsia" w:hAnsiTheme="minorEastAsia" w:eastAsiaTheme="minorEastAsia" w:cstheme="minorEastAsia"/>
          <w:sz w:val="24"/>
          <w:szCs w:val="24"/>
          <w:highlight w:val="none"/>
          <w:lang w:val="en-US" w:eastAsia="zh-CN"/>
        </w:rPr>
        <w:t>目    录</w:t>
      </w:r>
    </w:p>
    <w:p>
      <w:pPr>
        <w:pStyle w:val="56"/>
        <w:tabs>
          <w:tab w:val="left" w:pos="469"/>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bookmarkEnd w:id="95"/>
      <w:r>
        <w:rPr>
          <w:rFonts w:hint="eastAsia" w:asciiTheme="minorEastAsia" w:hAnsiTheme="minorEastAsia" w:eastAsiaTheme="minorEastAsia" w:cstheme="minorEastAsia"/>
          <w:sz w:val="24"/>
          <w:szCs w:val="24"/>
          <w:highlight w:val="none"/>
        </w:rPr>
        <w:t>、磋商函及磋商函附录</w:t>
      </w:r>
    </w:p>
    <w:p>
      <w:pPr>
        <w:pStyle w:val="56"/>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、法定代表人身份证明</w:t>
      </w:r>
    </w:p>
    <w:p>
      <w:pPr>
        <w:pStyle w:val="56"/>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、法定代表人授权委托书</w:t>
      </w:r>
    </w:p>
    <w:p>
      <w:pPr>
        <w:pStyle w:val="56"/>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、资格审查资料</w:t>
      </w:r>
    </w:p>
    <w:p>
      <w:pPr>
        <w:pStyle w:val="56"/>
        <w:spacing w:after="220" w:line="240" w:lineRule="auto"/>
        <w:ind w:firstLine="0"/>
        <w:rPr>
          <w:rFonts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五、技术部分</w:t>
      </w:r>
    </w:p>
    <w:p>
      <w:pPr>
        <w:pStyle w:val="56"/>
        <w:spacing w:after="220" w:line="240" w:lineRule="auto"/>
        <w:ind w:firstLine="0"/>
        <w:rPr>
          <w:rFonts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六、商务部分</w:t>
      </w:r>
    </w:p>
    <w:p>
      <w:pPr>
        <w:pStyle w:val="56"/>
        <w:spacing w:after="220" w:line="240" w:lineRule="auto"/>
        <w:ind w:firstLine="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sz w:val="24"/>
          <w:szCs w:val="24"/>
          <w:highlight w:val="none"/>
        </w:rPr>
        <w:t>、其他</w:t>
      </w:r>
      <w:r>
        <w:rPr>
          <w:rFonts w:hint="eastAsia" w:asciiTheme="minorEastAsia" w:hAnsiTheme="minorEastAsia" w:eastAsiaTheme="minorEastAsia" w:cstheme="minorEastAsia"/>
          <w:sz w:val="24"/>
          <w:szCs w:val="24"/>
          <w:highlight w:val="none"/>
          <w:lang w:val="en-US" w:eastAsia="zh-CN"/>
        </w:rPr>
        <w:t>材料</w:t>
      </w:r>
    </w:p>
    <w:p>
      <w:pPr>
        <w:keepNext/>
        <w:keepLines/>
        <w:spacing w:after="540"/>
        <w:jc w:val="both"/>
        <w:rPr>
          <w:rFonts w:asciiTheme="minorEastAsia" w:hAnsiTheme="minorEastAsia" w:eastAsiaTheme="minorEastAsia" w:cstheme="minorEastAsia"/>
          <w:b/>
          <w:bCs/>
          <w:sz w:val="21"/>
          <w:szCs w:val="21"/>
          <w:highlight w:val="none"/>
          <w:lang w:val="zh-TW" w:eastAsia="zh-TW" w:bidi="zh-TW"/>
        </w:rPr>
      </w:pPr>
      <w:bookmarkStart w:id="96" w:name="bookmark444"/>
      <w:bookmarkStart w:id="97" w:name="_Toc3347"/>
      <w:bookmarkStart w:id="98" w:name="bookmark445"/>
      <w:bookmarkStart w:id="99" w:name="_Toc26192"/>
      <w:bookmarkStart w:id="100" w:name="bookmark446"/>
    </w:p>
    <w:p>
      <w:pPr>
        <w:keepNext/>
        <w:keepLines/>
        <w:spacing w:after="540"/>
        <w:jc w:val="center"/>
        <w:rPr>
          <w:rFonts w:asciiTheme="minorEastAsia" w:hAnsiTheme="minorEastAsia" w:eastAsiaTheme="minorEastAsia" w:cstheme="minorEastAsia"/>
          <w:b/>
          <w:bCs/>
          <w:sz w:val="21"/>
          <w:szCs w:val="21"/>
          <w:highlight w:val="none"/>
          <w:lang w:val="zh-TW" w:eastAsia="zh-TW" w:bidi="zh-TW"/>
        </w:rPr>
      </w:pPr>
      <w:r>
        <w:rPr>
          <w:rFonts w:hint="eastAsia" w:asciiTheme="minorEastAsia" w:hAnsiTheme="minorEastAsia" w:eastAsiaTheme="minorEastAsia" w:cstheme="minorEastAsia"/>
          <w:b/>
          <w:bCs/>
          <w:sz w:val="21"/>
          <w:szCs w:val="21"/>
          <w:highlight w:val="none"/>
          <w:lang w:val="zh-TW" w:eastAsia="zh-TW" w:bidi="zh-TW"/>
        </w:rPr>
        <w:br w:type="page"/>
      </w:r>
    </w:p>
    <w:p>
      <w:pPr>
        <w:pStyle w:val="58"/>
        <w:keepNext/>
        <w:keepLines/>
        <w:spacing w:after="0" w:line="360" w:lineRule="auto"/>
        <w:jc w:val="center"/>
        <w:rPr>
          <w:rFonts w:asciiTheme="minorEastAsia" w:hAnsiTheme="minorEastAsia" w:eastAsiaTheme="minorEastAsia" w:cstheme="minorEastAsia"/>
          <w:b/>
          <w:bCs/>
          <w:sz w:val="24"/>
          <w:szCs w:val="24"/>
          <w:highlight w:val="none"/>
        </w:rPr>
      </w:pPr>
      <w:bookmarkStart w:id="101" w:name="_Toc23128"/>
      <w:bookmarkStart w:id="102" w:name="_Toc13026"/>
      <w:bookmarkStart w:id="103" w:name="_Toc9367"/>
      <w:bookmarkStart w:id="104" w:name="_Toc30719"/>
      <w:bookmarkStart w:id="105" w:name="_Toc24482"/>
      <w:r>
        <w:rPr>
          <w:rFonts w:hint="eastAsia" w:asciiTheme="minorEastAsia" w:hAnsiTheme="minorEastAsia" w:eastAsiaTheme="minorEastAsia" w:cstheme="minorEastAsia"/>
          <w:b/>
          <w:bCs/>
          <w:sz w:val="24"/>
          <w:szCs w:val="24"/>
          <w:highlight w:val="none"/>
        </w:rPr>
        <w:t>一、磋商函及磋商函附录</w:t>
      </w:r>
      <w:bookmarkEnd w:id="96"/>
      <w:bookmarkEnd w:id="97"/>
      <w:bookmarkEnd w:id="98"/>
      <w:bookmarkEnd w:id="99"/>
      <w:bookmarkEnd w:id="100"/>
      <w:bookmarkEnd w:id="101"/>
      <w:bookmarkEnd w:id="102"/>
      <w:bookmarkEnd w:id="103"/>
      <w:bookmarkEnd w:id="104"/>
      <w:bookmarkEnd w:id="105"/>
    </w:p>
    <w:p>
      <w:pPr>
        <w:pStyle w:val="4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2"/>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（一）磋商函</w:t>
      </w:r>
    </w:p>
    <w:p>
      <w:pPr>
        <w:spacing w:line="360" w:lineRule="auto"/>
        <w:rPr>
          <w:rFonts w:ascii="宋体" w:hAnsi="宋体" w:cs="宋体"/>
          <w:color w:val="auto"/>
          <w:highlight w:val="none"/>
          <w:lang w:eastAsia="zh-CN"/>
        </w:rPr>
      </w:pPr>
      <w:r>
        <w:rPr>
          <w:rFonts w:hint="eastAsia" w:ascii="宋体" w:hAnsi="宋体" w:cs="宋体"/>
          <w:color w:val="auto"/>
          <w:highlight w:val="none"/>
          <w:lang w:eastAsia="zh-CN"/>
        </w:rPr>
        <w:t>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采购人</w:t>
      </w:r>
      <w:r>
        <w:rPr>
          <w:rFonts w:hint="eastAsia" w:ascii="宋体" w:hAnsi="宋体" w:cs="宋体"/>
          <w:color w:val="auto"/>
          <w:highlight w:val="none"/>
          <w:lang w:eastAsia="zh-CN"/>
        </w:rPr>
        <w:t>名称）</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经详细研究你们的标书编号为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的</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文件，我们决定参加该项目投标活动，我们郑重声明以下诸点并负法律责任：</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1、我方授权</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（姓名）作为全权代表负责解释</w:t>
      </w:r>
      <w:r>
        <w:rPr>
          <w:rFonts w:hint="eastAsia" w:ascii="宋体" w:hAnsi="宋体" w:eastAsia="宋体" w:cs="宋体"/>
          <w:color w:val="auto"/>
          <w:highlight w:val="none"/>
          <w:lang w:eastAsia="zh-CN"/>
        </w:rPr>
        <w:t>响应</w:t>
      </w:r>
      <w:r>
        <w:rPr>
          <w:rFonts w:hint="eastAsia" w:ascii="宋体" w:hAnsi="宋体" w:cs="宋体"/>
          <w:color w:val="auto"/>
          <w:highlight w:val="none"/>
          <w:lang w:eastAsia="zh-CN"/>
        </w:rPr>
        <w:t>文件及处理有关事宜。</w:t>
      </w:r>
    </w:p>
    <w:p>
      <w:pPr>
        <w:spacing w:line="360" w:lineRule="auto"/>
        <w:ind w:left="2" w:firstLine="429" w:firstLineChars="179"/>
        <w:rPr>
          <w:rFonts w:ascii="宋体" w:hAnsi="宋体" w:cs="宋体"/>
          <w:color w:val="auto"/>
          <w:highlight w:val="none"/>
          <w:lang w:eastAsia="zh-CN"/>
        </w:rPr>
      </w:pPr>
      <w:r>
        <w:rPr>
          <w:rFonts w:hint="eastAsia" w:ascii="宋体" w:hAnsi="宋体" w:cs="宋体"/>
          <w:color w:val="auto"/>
          <w:highlight w:val="none"/>
          <w:lang w:eastAsia="zh-CN"/>
        </w:rPr>
        <w:t>2、我方愿按照</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文件中的条款和要求，</w:t>
      </w:r>
      <w:r>
        <w:rPr>
          <w:rFonts w:hint="eastAsia" w:ascii="宋体" w:hAnsi="宋体" w:eastAsia="宋体" w:cs="宋体"/>
          <w:color w:val="auto"/>
          <w:highlight w:val="none"/>
          <w:lang w:eastAsia="zh-CN"/>
        </w:rPr>
        <w:t>首轮磋商</w:t>
      </w:r>
      <w:r>
        <w:rPr>
          <w:rFonts w:hint="eastAsia" w:ascii="宋体" w:hAnsi="宋体" w:cs="宋体"/>
          <w:color w:val="auto"/>
          <w:highlight w:val="none"/>
          <w:lang w:eastAsia="zh-CN"/>
        </w:rPr>
        <w:t>报价为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3、如果我们的</w:t>
      </w:r>
      <w:r>
        <w:rPr>
          <w:rFonts w:hint="eastAsia" w:ascii="宋体" w:hAnsi="宋体" w:eastAsia="宋体" w:cs="宋体"/>
          <w:color w:val="auto"/>
          <w:highlight w:val="none"/>
          <w:lang w:eastAsia="zh-CN"/>
        </w:rPr>
        <w:t>响应</w:t>
      </w:r>
      <w:r>
        <w:rPr>
          <w:rFonts w:hint="eastAsia" w:ascii="宋体" w:hAnsi="宋体" w:cs="宋体"/>
          <w:color w:val="auto"/>
          <w:highlight w:val="none"/>
          <w:lang w:eastAsia="zh-CN"/>
        </w:rPr>
        <w:t>文件被接受，我们将履行</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文件中规定的各项要求，按期、按质、按量完成中标、设计、服务等义务。</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4、我们同意按</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文件中的规定，本</w:t>
      </w:r>
      <w:r>
        <w:rPr>
          <w:rFonts w:hint="eastAsia" w:ascii="宋体" w:hAnsi="宋体" w:eastAsia="宋体" w:cs="宋体"/>
          <w:color w:val="auto"/>
          <w:highlight w:val="none"/>
          <w:lang w:eastAsia="zh-CN"/>
        </w:rPr>
        <w:t>响应</w:t>
      </w:r>
      <w:r>
        <w:rPr>
          <w:rFonts w:hint="eastAsia" w:ascii="宋体" w:hAnsi="宋体" w:cs="宋体"/>
          <w:color w:val="auto"/>
          <w:highlight w:val="none"/>
          <w:lang w:eastAsia="zh-CN"/>
        </w:rPr>
        <w:t>文件的有效期为</w:t>
      </w:r>
      <w:r>
        <w:rPr>
          <w:rFonts w:hint="eastAsia" w:ascii="宋体" w:hAnsi="宋体" w:eastAsia="宋体" w:cs="宋体"/>
          <w:color w:val="auto"/>
          <w:highlight w:val="none"/>
          <w:lang w:eastAsia="zh-CN"/>
        </w:rPr>
        <w:t>60</w:t>
      </w:r>
      <w:r>
        <w:rPr>
          <w:rFonts w:hint="eastAsia" w:ascii="宋体" w:hAnsi="宋体" w:cs="宋体"/>
          <w:color w:val="auto"/>
          <w:highlight w:val="none"/>
          <w:lang w:eastAsia="zh-CN"/>
        </w:rPr>
        <w:t>日历天（</w:t>
      </w:r>
      <w:r>
        <w:rPr>
          <w:rFonts w:hint="eastAsia" w:ascii="宋体" w:hAnsi="宋体" w:eastAsia="宋体" w:cs="宋体"/>
          <w:color w:val="auto"/>
          <w:highlight w:val="none"/>
          <w:lang w:eastAsia="zh-CN"/>
        </w:rPr>
        <w:t>自提交响应</w:t>
      </w:r>
      <w:r>
        <w:rPr>
          <w:rFonts w:hint="eastAsia" w:ascii="宋体" w:hAnsi="宋体" w:cs="宋体"/>
          <w:color w:val="auto"/>
          <w:highlight w:val="none"/>
          <w:lang w:eastAsia="zh-CN"/>
        </w:rPr>
        <w:t>文件截止</w:t>
      </w:r>
      <w:r>
        <w:rPr>
          <w:rFonts w:hint="eastAsia" w:ascii="宋体" w:hAnsi="宋体" w:eastAsia="宋体" w:cs="宋体"/>
          <w:color w:val="auto"/>
          <w:highlight w:val="none"/>
          <w:lang w:eastAsia="zh-CN"/>
        </w:rPr>
        <w:t>之日起计算</w:t>
      </w:r>
      <w:r>
        <w:rPr>
          <w:rFonts w:hint="eastAsia" w:ascii="宋体" w:hAnsi="宋体" w:cs="宋体"/>
          <w:color w:val="auto"/>
          <w:highlight w:val="none"/>
          <w:lang w:eastAsia="zh-CN"/>
        </w:rPr>
        <w:t>）。如果中标，有效期延长至合同终止日止。</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5、我们愿提供</w:t>
      </w:r>
      <w:r>
        <w:rPr>
          <w:rFonts w:hint="eastAsia" w:ascii="宋体" w:hAnsi="宋体" w:eastAsia="宋体" w:cs="宋体"/>
          <w:color w:val="auto"/>
          <w:highlight w:val="none"/>
          <w:lang w:eastAsia="zh-CN"/>
        </w:rPr>
        <w:t>采购人</w:t>
      </w:r>
      <w:r>
        <w:rPr>
          <w:rFonts w:hint="eastAsia" w:ascii="宋体" w:hAnsi="宋体" w:cs="宋体"/>
          <w:color w:val="auto"/>
          <w:highlight w:val="none"/>
          <w:lang w:eastAsia="zh-CN"/>
        </w:rPr>
        <w:t>在</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文件中要求的所有文件资料。</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6、我们已按</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文件中的规定交纳</w:t>
      </w:r>
      <w:r>
        <w:rPr>
          <w:rFonts w:hint="eastAsia" w:ascii="宋体" w:hAnsi="宋体" w:cs="宋体"/>
          <w:color w:val="auto"/>
          <w:highlight w:val="none"/>
          <w:u w:val="single"/>
          <w:lang w:eastAsia="zh-CN"/>
        </w:rPr>
        <w:t xml:space="preserve"> 0 </w:t>
      </w:r>
      <w:r>
        <w:rPr>
          <w:rFonts w:hint="eastAsia" w:ascii="宋体" w:hAnsi="宋体" w:cs="宋体"/>
          <w:color w:val="auto"/>
          <w:highlight w:val="none"/>
          <w:lang w:eastAsia="zh-CN"/>
        </w:rPr>
        <w:t>元的投标保证金。</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7、我们承认你们有权决定</w:t>
      </w:r>
      <w:r>
        <w:rPr>
          <w:rFonts w:hint="eastAsia" w:ascii="宋体" w:hAnsi="宋体" w:eastAsia="宋体" w:cs="宋体"/>
          <w:color w:val="auto"/>
          <w:highlight w:val="none"/>
          <w:lang w:eastAsia="zh-CN"/>
        </w:rPr>
        <w:t>成交供应商</w:t>
      </w:r>
      <w:r>
        <w:rPr>
          <w:rFonts w:hint="eastAsia" w:ascii="宋体" w:hAnsi="宋体" w:cs="宋体"/>
          <w:color w:val="auto"/>
          <w:highlight w:val="none"/>
          <w:lang w:eastAsia="zh-CN"/>
        </w:rPr>
        <w:t>的权力。</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8、我们已经详细审核了全部</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文件，包括修改、补充的文件（如果有的话）和参考资料及有关附件，我们完全理解、并同意放弃对这方面有不明及误解的权利。</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9、若我方中标，我方保证按照</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文件规定向</w:t>
      </w:r>
      <w:r>
        <w:rPr>
          <w:rFonts w:hint="eastAsia" w:ascii="宋体" w:hAnsi="宋体" w:eastAsia="宋体" w:cs="宋体"/>
          <w:color w:val="auto"/>
          <w:highlight w:val="none"/>
          <w:lang w:eastAsia="zh-CN"/>
        </w:rPr>
        <w:t>采购</w:t>
      </w:r>
      <w:r>
        <w:rPr>
          <w:rFonts w:hint="eastAsia" w:ascii="宋体" w:hAnsi="宋体" w:cs="宋体"/>
          <w:color w:val="auto"/>
          <w:highlight w:val="none"/>
          <w:lang w:eastAsia="zh-CN"/>
        </w:rPr>
        <w:t>代理机构交纳代理服务费。</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10、我们愿按合同法履行自己的全部责任。</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11、</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（其他补充说明）。</w:t>
      </w:r>
    </w:p>
    <w:p>
      <w:pPr>
        <w:spacing w:line="360" w:lineRule="auto"/>
        <w:ind w:firstLine="2640" w:firstLineChars="1100"/>
        <w:rPr>
          <w:rFonts w:hint="eastAsia" w:ascii="宋体" w:hAnsi="宋体" w:cs="宋体"/>
          <w:color w:val="auto"/>
          <w:highlight w:val="none"/>
          <w:lang w:eastAsia="zh-CN"/>
        </w:rPr>
      </w:pPr>
      <w:r>
        <w:rPr>
          <w:rFonts w:hint="eastAsia" w:ascii="宋体" w:hAnsi="宋体" w:eastAsia="宋体" w:cs="宋体"/>
          <w:color w:val="auto"/>
          <w:highlight w:val="none"/>
          <w:lang w:eastAsia="zh-CN"/>
        </w:rPr>
        <w:t>供 应 商</w:t>
      </w:r>
      <w:r>
        <w:rPr>
          <w:rFonts w:hint="eastAsia" w:ascii="宋体" w:hAnsi="宋体" w:cs="宋体"/>
          <w:color w:val="auto"/>
          <w:highlight w:val="none"/>
          <w:lang w:eastAsia="zh-CN"/>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(电子签章)</w:t>
      </w:r>
    </w:p>
    <w:p>
      <w:pPr>
        <w:spacing w:line="360" w:lineRule="auto"/>
        <w:ind w:firstLine="2640" w:firstLineChars="1100"/>
        <w:rPr>
          <w:rFonts w:hint="eastAsia" w:ascii="宋体" w:hAnsi="宋体" w:cs="宋体"/>
          <w:color w:val="auto"/>
          <w:highlight w:val="none"/>
          <w:lang w:eastAsia="zh-CN"/>
        </w:rPr>
      </w:pPr>
      <w:r>
        <w:rPr>
          <w:rFonts w:hint="eastAsia" w:ascii="宋体" w:hAnsi="宋体" w:cs="宋体"/>
          <w:color w:val="auto"/>
          <w:highlight w:val="none"/>
          <w:lang w:eastAsia="zh-CN"/>
        </w:rPr>
        <w:t>法定代表人或其委托代理人：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(电子签章)</w:t>
      </w:r>
    </w:p>
    <w:p>
      <w:pPr>
        <w:spacing w:line="360" w:lineRule="auto"/>
        <w:ind w:firstLine="2640" w:firstLineChars="1100"/>
        <w:rPr>
          <w:rFonts w:ascii="宋体" w:hAnsi="宋体" w:cs="宋体"/>
          <w:color w:val="auto"/>
          <w:highlight w:val="none"/>
          <w:u w:val="single"/>
          <w:lang w:eastAsia="zh-CN"/>
        </w:rPr>
      </w:pPr>
      <w:r>
        <w:rPr>
          <w:rFonts w:hint="eastAsia" w:ascii="宋体" w:hAnsi="宋体" w:cs="宋体"/>
          <w:color w:val="auto"/>
          <w:highlight w:val="none"/>
          <w:lang w:eastAsia="zh-CN"/>
        </w:rPr>
        <w:t>地    址</w:t>
      </w:r>
      <w:r>
        <w:rPr>
          <w:rFonts w:hint="eastAsia"/>
          <w:color w:val="auto"/>
          <w:highlight w:val="none"/>
          <w:lang w:eastAsia="zh-CN"/>
        </w:rPr>
        <w:t>：</w:t>
      </w:r>
      <w:r>
        <w:rPr>
          <w:rFonts w:hint="eastAsia"/>
          <w:color w:val="auto"/>
          <w:highlight w:val="none"/>
          <w:u w:val="single"/>
          <w:lang w:eastAsia="zh-CN"/>
        </w:rPr>
        <w:t xml:space="preserve">                </w:t>
      </w:r>
    </w:p>
    <w:p>
      <w:pPr>
        <w:spacing w:line="360" w:lineRule="auto"/>
        <w:ind w:firstLine="2640" w:firstLineChars="1100"/>
        <w:rPr>
          <w:rFonts w:ascii="宋体" w:hAnsi="宋体" w:cs="宋体"/>
          <w:color w:val="auto"/>
          <w:highlight w:val="none"/>
          <w:lang w:eastAsia="zh-CN"/>
        </w:rPr>
      </w:pPr>
      <w:r>
        <w:rPr>
          <w:rFonts w:hint="eastAsia" w:ascii="宋体" w:hAnsi="宋体" w:cs="宋体"/>
          <w:color w:val="auto"/>
          <w:highlight w:val="none"/>
          <w:lang w:eastAsia="zh-CN"/>
        </w:rPr>
        <w:t>电    话：</w:t>
      </w:r>
      <w:r>
        <w:rPr>
          <w:rFonts w:hint="eastAsia" w:ascii="宋体" w:hAnsi="宋体" w:cs="宋体"/>
          <w:color w:val="auto"/>
          <w:highlight w:val="none"/>
          <w:u w:val="single"/>
          <w:lang w:eastAsia="zh-CN"/>
        </w:rPr>
        <w:t xml:space="preserve">                             </w:t>
      </w:r>
    </w:p>
    <w:p>
      <w:pPr>
        <w:spacing w:line="360" w:lineRule="auto"/>
        <w:ind w:left="420" w:firstLine="3907" w:firstLineChars="1628"/>
        <w:rPr>
          <w:rFonts w:ascii="宋体" w:hAnsi="宋体" w:cs="宋体"/>
          <w:color w:val="auto"/>
          <w:highlight w:val="none"/>
          <w:lang w:eastAsia="zh-CN"/>
        </w:rPr>
      </w:pPr>
      <w:r>
        <w:rPr>
          <w:rFonts w:hint="eastAsia" w:ascii="宋体" w:hAnsi="宋体" w:cs="宋体"/>
          <w:color w:val="auto"/>
          <w:highlight w:val="none"/>
          <w:lang w:eastAsia="zh-CN"/>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p>
    <w:p>
      <w:pPr>
        <w:spacing w:line="466" w:lineRule="exact"/>
        <w:ind w:left="4320"/>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br w:type="page"/>
      </w:r>
    </w:p>
    <w:p>
      <w:pPr>
        <w:pStyle w:val="46"/>
        <w:keepNext w:val="0"/>
        <w:keepLines w:val="0"/>
        <w:pageBreakBefore w:val="0"/>
        <w:widowControl w:val="0"/>
        <w:kinsoku/>
        <w:wordWrap/>
        <w:overflowPunct/>
        <w:topLinePunct w:val="0"/>
        <w:autoSpaceDE/>
        <w:autoSpaceDN/>
        <w:bidi w:val="0"/>
        <w:adjustRightInd/>
        <w:snapToGrid/>
        <w:spacing w:after="260" w:line="240" w:lineRule="auto"/>
        <w:ind w:left="0"/>
        <w:jc w:val="center"/>
        <w:textAlignment w:val="auto"/>
        <w:outlineLvl w:val="2"/>
        <w:rPr>
          <w:rFonts w:asciiTheme="minorEastAsia" w:hAnsiTheme="minorEastAsia" w:eastAsiaTheme="minorEastAsia" w:cstheme="minorEastAsia"/>
          <w:sz w:val="21"/>
          <w:szCs w:val="21"/>
          <w:highlight w:val="none"/>
        </w:rPr>
      </w:pPr>
      <w:bookmarkStart w:id="106" w:name="bookmark458"/>
      <w:bookmarkStart w:id="107" w:name="_Toc11741"/>
      <w:bookmarkStart w:id="108" w:name="bookmark457"/>
      <w:bookmarkStart w:id="109" w:name="bookmark456"/>
      <w:bookmarkStart w:id="110" w:name="_Toc5593"/>
      <w:r>
        <w:rPr>
          <w:rFonts w:hint="eastAsia" w:asciiTheme="minorEastAsia" w:hAnsiTheme="minorEastAsia" w:eastAsiaTheme="minorEastAsia" w:cstheme="minorEastAsia"/>
          <w:sz w:val="21"/>
          <w:szCs w:val="21"/>
          <w:highlight w:val="none"/>
        </w:rPr>
        <w:t>（二）磋商函附录</w:t>
      </w:r>
      <w:bookmarkEnd w:id="106"/>
      <w:bookmarkEnd w:id="107"/>
      <w:bookmarkEnd w:id="108"/>
      <w:bookmarkEnd w:id="109"/>
      <w:bookmarkEnd w:id="110"/>
    </w:p>
    <w:tbl>
      <w:tblPr>
        <w:tblStyle w:val="21"/>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83"/>
        <w:gridCol w:w="2675"/>
        <w:gridCol w:w="969"/>
        <w:gridCol w:w="2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2583" w:type="dxa"/>
            <w:tcBorders>
              <w:top w:val="single" w:color="auto" w:sz="12" w:space="0"/>
            </w:tcBorders>
            <w:vAlign w:val="center"/>
          </w:tcPr>
          <w:p>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476" w:type="dxa"/>
            <w:gridSpan w:val="3"/>
            <w:tcBorders>
              <w:top w:val="single" w:color="auto" w:sz="12" w:space="0"/>
            </w:tcBorders>
            <w:vAlign w:val="center"/>
          </w:tcPr>
          <w:p>
            <w:pPr>
              <w:pStyle w:val="7"/>
              <w:spacing w:before="0" w:line="540" w:lineRule="exact"/>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2583" w:type="dxa"/>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w:t>
            </w:r>
          </w:p>
        </w:tc>
        <w:tc>
          <w:tcPr>
            <w:tcW w:w="6476" w:type="dxa"/>
            <w:gridSpan w:val="3"/>
            <w:vAlign w:val="center"/>
          </w:tcPr>
          <w:p>
            <w:pPr>
              <w:spacing w:line="5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7" w:hRule="atLeast"/>
          <w:jc w:val="center"/>
        </w:trPr>
        <w:tc>
          <w:tcPr>
            <w:tcW w:w="2583" w:type="dxa"/>
            <w:vMerge w:val="restart"/>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首轮磋商报价</w:t>
            </w:r>
          </w:p>
        </w:tc>
        <w:tc>
          <w:tcPr>
            <w:tcW w:w="6476" w:type="dxa"/>
            <w:gridSpan w:val="3"/>
            <w:vAlign w:val="center"/>
          </w:tcPr>
          <w:p>
            <w:pPr>
              <w:spacing w:line="540" w:lineRule="exact"/>
              <w:rPr>
                <w:rFonts w:ascii="宋体" w:hAnsi="宋体" w:cs="宋体"/>
                <w:color w:val="auto"/>
                <w:szCs w:val="21"/>
                <w:highlight w:val="none"/>
                <w:u w:val="single"/>
              </w:rPr>
            </w:pPr>
            <w:r>
              <w:rPr>
                <w:rFonts w:hint="eastAsia" w:ascii="宋体" w:hAnsi="宋体" w:cs="宋体"/>
                <w:color w:val="auto"/>
                <w:szCs w:val="21"/>
                <w:highlight w:val="none"/>
              </w:rPr>
              <w:t>大 写：</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cs="宋体"/>
                <w:color w:val="auto"/>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583" w:type="dxa"/>
            <w:vMerge w:val="continue"/>
            <w:vAlign w:val="center"/>
          </w:tcPr>
          <w:p>
            <w:pPr>
              <w:spacing w:line="540" w:lineRule="exact"/>
              <w:jc w:val="center"/>
              <w:rPr>
                <w:rFonts w:ascii="宋体" w:hAnsi="宋体" w:cs="宋体"/>
                <w:color w:val="auto"/>
                <w:szCs w:val="21"/>
                <w:highlight w:val="none"/>
              </w:rPr>
            </w:pPr>
          </w:p>
        </w:tc>
        <w:tc>
          <w:tcPr>
            <w:tcW w:w="6476" w:type="dxa"/>
            <w:gridSpan w:val="3"/>
            <w:vAlign w:val="center"/>
          </w:tcPr>
          <w:p>
            <w:pPr>
              <w:spacing w:line="540" w:lineRule="exact"/>
              <w:rPr>
                <w:rFonts w:ascii="宋体" w:hAnsi="宋体" w:eastAsia="宋体" w:cs="宋体"/>
                <w:color w:val="auto"/>
                <w:szCs w:val="21"/>
                <w:highlight w:val="none"/>
                <w:lang w:eastAsia="zh-CN"/>
              </w:rPr>
            </w:pPr>
            <w:r>
              <w:rPr>
                <w:rFonts w:hint="eastAsia" w:ascii="宋体" w:hAnsi="宋体" w:cs="宋体"/>
                <w:color w:val="auto"/>
                <w:szCs w:val="21"/>
                <w:highlight w:val="none"/>
              </w:rPr>
              <w:t>小 写：</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583" w:type="dxa"/>
            <w:vAlign w:val="center"/>
          </w:tcPr>
          <w:p>
            <w:pPr>
              <w:spacing w:line="540" w:lineRule="exact"/>
              <w:jc w:val="center"/>
              <w:rPr>
                <w:rFonts w:ascii="宋体" w:hAnsi="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cs="宋体"/>
                <w:color w:val="auto"/>
                <w:szCs w:val="21"/>
                <w:highlight w:val="none"/>
              </w:rPr>
              <w:t>范围</w:t>
            </w:r>
          </w:p>
        </w:tc>
        <w:tc>
          <w:tcPr>
            <w:tcW w:w="6476" w:type="dxa"/>
            <w:gridSpan w:val="3"/>
            <w:vAlign w:val="center"/>
          </w:tcPr>
          <w:p>
            <w:pPr>
              <w:spacing w:line="540" w:lineRule="exac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583" w:type="dxa"/>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w:t>
            </w:r>
          </w:p>
        </w:tc>
        <w:tc>
          <w:tcPr>
            <w:tcW w:w="6476" w:type="dxa"/>
            <w:gridSpan w:val="3"/>
            <w:vAlign w:val="center"/>
          </w:tcPr>
          <w:p>
            <w:pPr>
              <w:pStyle w:val="7"/>
              <w:spacing w:before="0" w:line="540" w:lineRule="exact"/>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2583" w:type="dxa"/>
            <w:vAlign w:val="center"/>
          </w:tcPr>
          <w:p>
            <w:pPr>
              <w:spacing w:line="5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lang w:val="en-US" w:eastAsia="zh-CN"/>
              </w:rPr>
              <w:t>质量</w:t>
            </w:r>
          </w:p>
        </w:tc>
        <w:tc>
          <w:tcPr>
            <w:tcW w:w="6476" w:type="dxa"/>
            <w:gridSpan w:val="3"/>
            <w:vAlign w:val="center"/>
          </w:tcPr>
          <w:p>
            <w:pPr>
              <w:spacing w:line="540" w:lineRule="exact"/>
              <w:ind w:firstLine="480" w:firstLineChars="200"/>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2583" w:type="dxa"/>
            <w:vAlign w:val="center"/>
          </w:tcPr>
          <w:p>
            <w:pPr>
              <w:spacing w:line="540" w:lineRule="exact"/>
              <w:jc w:val="center"/>
              <w:rPr>
                <w:rFonts w:ascii="宋体" w:hAnsi="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cs="宋体"/>
                <w:color w:val="auto"/>
                <w:szCs w:val="21"/>
                <w:highlight w:val="none"/>
              </w:rPr>
              <w:t>有效期</w:t>
            </w:r>
          </w:p>
        </w:tc>
        <w:tc>
          <w:tcPr>
            <w:tcW w:w="6476" w:type="dxa"/>
            <w:gridSpan w:val="3"/>
            <w:vAlign w:val="center"/>
          </w:tcPr>
          <w:p>
            <w:pPr>
              <w:spacing w:line="540" w:lineRule="exact"/>
              <w:ind w:firstLine="480" w:firstLineChars="200"/>
              <w:rPr>
                <w:rFonts w:ascii="宋体" w:hAnsi="宋体" w:cs="宋体"/>
                <w:color w:val="auto"/>
                <w:szCs w:val="21"/>
                <w:highlight w:val="none"/>
                <w:lang w:eastAsia="zh-CN"/>
              </w:rPr>
            </w:pPr>
            <w:r>
              <w:rPr>
                <w:rFonts w:hint="eastAsia" w:ascii="宋体" w:hAnsi="宋体" w:eastAsia="宋体" w:cs="宋体"/>
                <w:color w:val="auto"/>
                <w:szCs w:val="21"/>
                <w:highlight w:val="none"/>
                <w:lang w:eastAsia="zh-CN"/>
              </w:rPr>
              <w:t>60</w:t>
            </w:r>
            <w:r>
              <w:rPr>
                <w:rFonts w:hint="eastAsia" w:ascii="宋体" w:hAnsi="宋体" w:cs="宋体"/>
                <w:color w:val="auto"/>
                <w:szCs w:val="21"/>
                <w:highlight w:val="none"/>
                <w:lang w:eastAsia="zh-CN"/>
              </w:rPr>
              <w:t>日历天（</w:t>
            </w:r>
            <w:r>
              <w:rPr>
                <w:rFonts w:hint="eastAsia" w:ascii="宋体" w:hAnsi="宋体" w:eastAsia="宋体" w:cs="宋体"/>
                <w:color w:val="auto"/>
                <w:szCs w:val="21"/>
                <w:highlight w:val="none"/>
                <w:lang w:eastAsia="zh-CN"/>
              </w:rPr>
              <w:t>自</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lang w:eastAsia="zh-CN"/>
              </w:rPr>
              <w:t>截止</w:t>
            </w:r>
            <w:r>
              <w:rPr>
                <w:rFonts w:hint="eastAsia" w:ascii="宋体" w:hAnsi="宋体" w:eastAsia="宋体" w:cs="宋体"/>
                <w:color w:val="auto"/>
                <w:szCs w:val="21"/>
                <w:highlight w:val="none"/>
                <w:lang w:eastAsia="zh-CN"/>
              </w:rPr>
              <w:t>之日</w:t>
            </w:r>
            <w:r>
              <w:rPr>
                <w:rFonts w:hint="eastAsia" w:ascii="宋体" w:hAnsi="宋体" w:cs="宋体"/>
                <w:color w:val="auto"/>
                <w:szCs w:val="21"/>
                <w:highlight w:val="none"/>
                <w:lang w:eastAsia="zh-CN"/>
              </w:rPr>
              <w:t>起</w:t>
            </w:r>
            <w:r>
              <w:rPr>
                <w:rFonts w:hint="eastAsia" w:ascii="宋体" w:hAnsi="宋体" w:eastAsia="宋体" w:cs="宋体"/>
                <w:color w:val="auto"/>
                <w:szCs w:val="21"/>
                <w:highlight w:val="none"/>
                <w:lang w:eastAsia="zh-CN"/>
              </w:rPr>
              <w:t>计算</w:t>
            </w:r>
            <w:r>
              <w:rPr>
                <w:rFonts w:hint="eastAsia" w:ascii="宋体" w:hAnsi="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2583" w:type="dxa"/>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r>
              <w:rPr>
                <w:rFonts w:hint="eastAsia" w:ascii="宋体" w:hAnsi="宋体" w:eastAsia="宋体" w:cs="宋体"/>
                <w:color w:val="auto"/>
                <w:szCs w:val="21"/>
                <w:highlight w:val="none"/>
                <w:lang w:eastAsia="zh-CN"/>
              </w:rPr>
              <w:t>及联系电话</w:t>
            </w:r>
          </w:p>
        </w:tc>
        <w:tc>
          <w:tcPr>
            <w:tcW w:w="2675" w:type="dxa"/>
            <w:tcBorders>
              <w:right w:val="single" w:color="auto" w:sz="4" w:space="0"/>
            </w:tcBorders>
            <w:vAlign w:val="center"/>
          </w:tcPr>
          <w:p>
            <w:pPr>
              <w:spacing w:line="540" w:lineRule="exact"/>
              <w:jc w:val="center"/>
              <w:rPr>
                <w:rFonts w:ascii="宋体" w:hAnsi="宋体" w:cs="宋体"/>
                <w:color w:val="auto"/>
                <w:szCs w:val="21"/>
                <w:highlight w:val="none"/>
                <w:lang w:eastAsia="zh-CN"/>
              </w:rPr>
            </w:pPr>
          </w:p>
        </w:tc>
        <w:tc>
          <w:tcPr>
            <w:tcW w:w="969" w:type="dxa"/>
            <w:tcBorders>
              <w:left w:val="single" w:color="auto" w:sz="4" w:space="0"/>
              <w:right w:val="single" w:color="auto" w:sz="4" w:space="0"/>
            </w:tcBorders>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证书及专业</w:t>
            </w:r>
          </w:p>
        </w:tc>
        <w:tc>
          <w:tcPr>
            <w:tcW w:w="2832" w:type="dxa"/>
            <w:tcBorders>
              <w:left w:val="single" w:color="auto" w:sz="4" w:space="0"/>
            </w:tcBorders>
            <w:vAlign w:val="center"/>
          </w:tcPr>
          <w:p>
            <w:pPr>
              <w:spacing w:line="5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2583" w:type="dxa"/>
            <w:tcBorders>
              <w:bottom w:val="single" w:color="auto" w:sz="12" w:space="0"/>
            </w:tcBorders>
            <w:vAlign w:val="center"/>
          </w:tcPr>
          <w:p>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476" w:type="dxa"/>
            <w:gridSpan w:val="3"/>
            <w:tcBorders>
              <w:bottom w:val="single" w:color="auto" w:sz="12" w:space="0"/>
            </w:tcBorders>
            <w:vAlign w:val="center"/>
          </w:tcPr>
          <w:p>
            <w:pPr>
              <w:spacing w:line="540" w:lineRule="exact"/>
              <w:rPr>
                <w:rFonts w:ascii="宋体" w:hAnsi="宋体" w:cs="宋体"/>
                <w:color w:val="auto"/>
                <w:szCs w:val="21"/>
                <w:highlight w:val="none"/>
              </w:rPr>
            </w:pPr>
          </w:p>
        </w:tc>
      </w:tr>
    </w:tbl>
    <w:p>
      <w:pPr>
        <w:spacing w:after="579" w:line="1" w:lineRule="exact"/>
        <w:rPr>
          <w:rFonts w:asciiTheme="minorEastAsia" w:hAnsiTheme="minorEastAsia" w:eastAsiaTheme="minorEastAsia" w:cstheme="minorEastAsia"/>
          <w:sz w:val="21"/>
          <w:szCs w:val="21"/>
          <w:highlight w:val="none"/>
        </w:rPr>
      </w:pPr>
    </w:p>
    <w:p>
      <w:pPr>
        <w:pStyle w:val="56"/>
        <w:spacing w:after="240" w:line="240" w:lineRule="auto"/>
        <w:ind w:firstLine="0"/>
        <w:rPr>
          <w:rFonts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法定代表人或其委托代理人（</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56"/>
        <w:spacing w:after="24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56"/>
        <w:spacing w:after="24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lang w:val="en-US" w:eastAsia="zh-CN"/>
        </w:rPr>
        <w:t xml:space="preserve">                     </w:t>
      </w:r>
    </w:p>
    <w:p>
      <w:pPr>
        <w:keepNext/>
        <w:keepLines/>
        <w:spacing w:after="1140"/>
        <w:jc w:val="center"/>
        <w:rPr>
          <w:rFonts w:asciiTheme="minorEastAsia" w:hAnsiTheme="minorEastAsia" w:eastAsiaTheme="minorEastAsia" w:cstheme="minorEastAsia"/>
          <w:b/>
          <w:bCs/>
          <w:sz w:val="21"/>
          <w:szCs w:val="21"/>
          <w:highlight w:val="none"/>
          <w:lang w:eastAsia="zh-CN"/>
        </w:rPr>
      </w:pPr>
      <w:bookmarkStart w:id="111" w:name="bookmark459"/>
      <w:bookmarkStart w:id="112" w:name="_Toc898"/>
      <w:bookmarkStart w:id="113" w:name="bookmark461"/>
      <w:bookmarkStart w:id="114" w:name="_Toc19983"/>
      <w:bookmarkStart w:id="115" w:name="_Toc1541"/>
      <w:bookmarkStart w:id="116" w:name="_Toc32222"/>
      <w:bookmarkStart w:id="117" w:name="_Toc20962"/>
      <w:bookmarkStart w:id="118" w:name="bookmark460"/>
      <w:r>
        <w:rPr>
          <w:rFonts w:hint="eastAsia" w:asciiTheme="minorEastAsia" w:hAnsiTheme="minorEastAsia" w:eastAsiaTheme="minorEastAsia" w:cstheme="minorEastAsia"/>
          <w:b/>
          <w:bCs/>
          <w:sz w:val="21"/>
          <w:szCs w:val="21"/>
          <w:highlight w:val="none"/>
          <w:lang w:eastAsia="zh-CN"/>
        </w:rPr>
        <w:br w:type="page"/>
      </w:r>
    </w:p>
    <w:p>
      <w:pPr>
        <w:pStyle w:val="58"/>
        <w:keepNext/>
        <w:keepLines/>
        <w:spacing w:after="400" w:line="240" w:lineRule="auto"/>
        <w:jc w:val="center"/>
        <w:rPr>
          <w:rFonts w:asciiTheme="minorEastAsia" w:hAnsiTheme="minorEastAsia" w:eastAsiaTheme="minorEastAsia" w:cstheme="minorEastAsia"/>
          <w:sz w:val="24"/>
          <w:szCs w:val="24"/>
          <w:highlight w:val="none"/>
        </w:rPr>
      </w:pPr>
      <w:bookmarkStart w:id="119" w:name="_Toc21123"/>
      <w:bookmarkStart w:id="120" w:name="_Toc11483"/>
      <w:r>
        <w:rPr>
          <w:rFonts w:hint="eastAsia" w:asciiTheme="minorEastAsia" w:hAnsiTheme="minorEastAsia" w:eastAsiaTheme="minorEastAsia" w:cstheme="minorEastAsia"/>
          <w:b/>
          <w:bCs/>
          <w:sz w:val="24"/>
          <w:szCs w:val="24"/>
          <w:highlight w:val="none"/>
        </w:rPr>
        <w:t>二、法定代表人身份证明</w:t>
      </w:r>
      <w:bookmarkEnd w:id="111"/>
      <w:bookmarkEnd w:id="112"/>
      <w:bookmarkEnd w:id="113"/>
      <w:bookmarkEnd w:id="114"/>
      <w:bookmarkEnd w:id="115"/>
      <w:bookmarkEnd w:id="116"/>
      <w:bookmarkEnd w:id="117"/>
      <w:bookmarkEnd w:id="118"/>
      <w:bookmarkEnd w:id="119"/>
      <w:bookmarkEnd w:id="120"/>
    </w:p>
    <w:p>
      <w:pPr>
        <w:pStyle w:val="56"/>
        <w:tabs>
          <w:tab w:val="left" w:pos="4613"/>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6"/>
        <w:tabs>
          <w:tab w:val="left" w:pos="4608"/>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6"/>
        <w:tabs>
          <w:tab w:val="left" w:pos="4613"/>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6"/>
        <w:tabs>
          <w:tab w:val="left" w:pos="1776"/>
          <w:tab w:val="left" w:pos="2933"/>
          <w:tab w:val="left" w:pos="4085"/>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56"/>
        <w:tabs>
          <w:tab w:val="left" w:pos="3667"/>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6"/>
        <w:tabs>
          <w:tab w:val="left" w:pos="1358"/>
          <w:tab w:val="left" w:pos="2933"/>
          <w:tab w:val="left" w:pos="4402"/>
          <w:tab w:val="left" w:pos="5976"/>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6"/>
        <w:tabs>
          <w:tab w:val="left" w:pos="2928"/>
        </w:tabs>
        <w:spacing w:after="70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（供应商名称）的法定代表人。</w:t>
      </w:r>
    </w:p>
    <w:p>
      <w:pPr>
        <w:pStyle w:val="56"/>
        <w:spacing w:after="700" w:line="24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pPr>
        <w:pStyle w:val="56"/>
        <w:spacing w:after="700" w:line="24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附：法定代表人身份证明</w:t>
      </w:r>
    </w:p>
    <w:p>
      <w:pPr>
        <w:pStyle w:val="56"/>
        <w:tabs>
          <w:tab w:val="left" w:pos="3250"/>
        </w:tabs>
        <w:spacing w:after="220" w:line="240" w:lineRule="auto"/>
        <w:ind w:right="400" w:firstLine="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w:t>
      </w:r>
    </w:p>
    <w:p>
      <w:pPr>
        <w:pStyle w:val="56"/>
        <w:tabs>
          <w:tab w:val="left" w:pos="1162"/>
          <w:tab w:val="left" w:pos="2314"/>
          <w:tab w:val="left" w:pos="3466"/>
        </w:tabs>
        <w:spacing w:after="220" w:line="240" w:lineRule="auto"/>
        <w:ind w:right="400" w:firstLine="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bookmarkStart w:id="121" w:name="_Toc27615"/>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bookmarkEnd w:id="121"/>
    </w:p>
    <w:p>
      <w:pPr>
        <w:pStyle w:val="56"/>
        <w:tabs>
          <w:tab w:val="left" w:pos="4079"/>
          <w:tab w:val="left" w:pos="5025"/>
          <w:tab w:val="left" w:pos="5970"/>
          <w:tab w:val="left" w:pos="6705"/>
          <w:tab w:val="left" w:pos="6810"/>
          <w:tab w:val="left" w:pos="8174"/>
          <w:tab w:val="left" w:pos="8279"/>
        </w:tabs>
        <w:spacing w:after="140" w:line="469" w:lineRule="exact"/>
        <w:ind w:left="3340" w:firstLine="0"/>
        <w:rPr>
          <w:rFonts w:hint="eastAsia" w:asciiTheme="minorEastAsia" w:hAnsiTheme="minorEastAsia" w:eastAsiaTheme="minorEastAsia" w:cstheme="minorEastAsia"/>
          <w:sz w:val="24"/>
          <w:szCs w:val="24"/>
          <w:highlight w:val="none"/>
          <w:u w:val="none"/>
        </w:rPr>
      </w:pPr>
      <w:bookmarkStart w:id="122" w:name="bookmark463"/>
      <w:bookmarkStart w:id="123" w:name="_Toc25728"/>
      <w:bookmarkStart w:id="124" w:name="_Toc22548"/>
      <w:bookmarkStart w:id="125" w:name="_Toc13125"/>
      <w:bookmarkStart w:id="126" w:name="bookmark462"/>
      <w:bookmarkStart w:id="127" w:name="bookmark464"/>
      <w:bookmarkStart w:id="128" w:name="_Toc27542"/>
      <w:r>
        <w:rPr>
          <w:rFonts w:hint="eastAsia" w:asciiTheme="minorEastAsia" w:hAnsiTheme="minorEastAsia" w:eastAsiaTheme="minorEastAsia" w:cstheme="minorEastAsia"/>
          <w:sz w:val="24"/>
          <w:szCs w:val="24"/>
          <w:highlight w:val="none"/>
          <w:u w:val="none"/>
        </w:rPr>
        <w:t>注：仅联合体牵头人提供。</w:t>
      </w:r>
    </w:p>
    <w:p>
      <w:pPr>
        <w:keepNext/>
        <w:keepLines/>
        <w:spacing w:after="260"/>
        <w:jc w:val="center"/>
        <w:rPr>
          <w:rFonts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br w:type="page"/>
      </w:r>
    </w:p>
    <w:p>
      <w:pPr>
        <w:pStyle w:val="56"/>
        <w:tabs>
          <w:tab w:val="left" w:pos="1162"/>
          <w:tab w:val="left" w:pos="2314"/>
          <w:tab w:val="left" w:pos="3466"/>
        </w:tabs>
        <w:spacing w:after="220" w:line="240" w:lineRule="auto"/>
        <w:ind w:right="400" w:firstLine="0"/>
        <w:jc w:val="center"/>
        <w:outlineLvl w:val="1"/>
        <w:rPr>
          <w:rFonts w:asciiTheme="minorEastAsia" w:hAnsiTheme="minorEastAsia" w:eastAsiaTheme="minorEastAsia" w:cstheme="minorEastAsia"/>
          <w:sz w:val="24"/>
          <w:szCs w:val="24"/>
          <w:highlight w:val="none"/>
        </w:rPr>
      </w:pPr>
      <w:bookmarkStart w:id="129" w:name="_Toc24209"/>
      <w:r>
        <w:rPr>
          <w:rFonts w:hint="eastAsia" w:asciiTheme="minorEastAsia" w:hAnsiTheme="minorEastAsia" w:eastAsiaTheme="minorEastAsia" w:cstheme="minorEastAsia"/>
          <w:b/>
          <w:bCs/>
          <w:sz w:val="24"/>
          <w:szCs w:val="24"/>
          <w:highlight w:val="none"/>
        </w:rPr>
        <w:t>三、授权委托书</w:t>
      </w:r>
      <w:bookmarkEnd w:id="122"/>
      <w:bookmarkEnd w:id="123"/>
      <w:bookmarkEnd w:id="124"/>
      <w:bookmarkEnd w:id="125"/>
      <w:bookmarkEnd w:id="126"/>
      <w:bookmarkEnd w:id="127"/>
      <w:bookmarkEnd w:id="128"/>
      <w:bookmarkEnd w:id="129"/>
    </w:p>
    <w:p>
      <w:pPr>
        <w:pStyle w:val="56"/>
        <w:tabs>
          <w:tab w:val="left" w:pos="1675"/>
          <w:tab w:val="left" w:pos="3422"/>
          <w:tab w:val="left" w:pos="7675"/>
        </w:tabs>
        <w:spacing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（姓名）系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（供应商名称）的法定代表人，现委托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（姓名） 为我方代理人。代理人根据授权，以我方名义签署、澄清、说明、补正、递交、撤回、修改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响应文件、签订合同和处理有关事宜，其法律后果由 我方承担。</w:t>
      </w:r>
    </w:p>
    <w:p>
      <w:pPr>
        <w:pStyle w:val="56"/>
        <w:spacing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本授权书至响应文件有效期结束前始终有效。</w:t>
      </w:r>
    </w:p>
    <w:p>
      <w:pPr>
        <w:pStyle w:val="56"/>
        <w:spacing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代理人无转委托权。</w:t>
      </w:r>
    </w:p>
    <w:p>
      <w:pPr>
        <w:pStyle w:val="56"/>
        <w:spacing w:after="3720"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附：法定代表人及授权委托人身份证明</w:t>
      </w:r>
    </w:p>
    <w:p>
      <w:pPr>
        <w:pStyle w:val="56"/>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 xml:space="preserve">） </w:t>
      </w:r>
    </w:p>
    <w:p>
      <w:pPr>
        <w:pStyle w:val="56"/>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 xml:space="preserve">） </w:t>
      </w:r>
    </w:p>
    <w:p>
      <w:pPr>
        <w:pStyle w:val="56"/>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p>
    <w:p>
      <w:pPr>
        <w:pStyle w:val="56"/>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（签字或盖章） </w:t>
      </w:r>
    </w:p>
    <w:p>
      <w:pPr>
        <w:pStyle w:val="56"/>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p>
    <w:p>
      <w:pPr>
        <w:pStyle w:val="56"/>
        <w:tabs>
          <w:tab w:val="left" w:pos="4079"/>
          <w:tab w:val="left" w:pos="5025"/>
          <w:tab w:val="left" w:pos="5970"/>
          <w:tab w:val="left" w:pos="6705"/>
          <w:tab w:val="left" w:pos="6810"/>
          <w:tab w:val="left" w:pos="8174"/>
          <w:tab w:val="left" w:pos="8279"/>
        </w:tabs>
        <w:spacing w:after="140" w:line="469" w:lineRule="exact"/>
        <w:ind w:left="3340"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56"/>
        <w:tabs>
          <w:tab w:val="left" w:pos="4079"/>
          <w:tab w:val="left" w:pos="5025"/>
          <w:tab w:val="left" w:pos="5970"/>
          <w:tab w:val="left" w:pos="6705"/>
          <w:tab w:val="left" w:pos="6810"/>
          <w:tab w:val="left" w:pos="8174"/>
          <w:tab w:val="left" w:pos="8279"/>
        </w:tabs>
        <w:spacing w:after="140" w:line="469" w:lineRule="exact"/>
        <w:ind w:left="3340" w:firstLine="0"/>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注：仅联合体牵头人提供。</w:t>
      </w:r>
    </w:p>
    <w:p>
      <w:pPr>
        <w:pStyle w:val="56"/>
        <w:tabs>
          <w:tab w:val="left" w:pos="4079"/>
          <w:tab w:val="left" w:pos="5025"/>
          <w:tab w:val="left" w:pos="5970"/>
          <w:tab w:val="left" w:pos="6705"/>
          <w:tab w:val="left" w:pos="6810"/>
          <w:tab w:val="left" w:pos="8174"/>
          <w:tab w:val="left" w:pos="8279"/>
        </w:tabs>
        <w:spacing w:after="140" w:line="469" w:lineRule="exact"/>
        <w:ind w:left="3340" w:firstLine="0"/>
        <w:rPr>
          <w:rFonts w:ascii="宋体" w:hAnsi="宋体" w:eastAsia="宋体" w:cs="宋体"/>
          <w:color w:val="auto"/>
          <w:sz w:val="28"/>
          <w:szCs w:val="28"/>
          <w:highlight w:val="none"/>
          <w:lang w:eastAsia="zh-CN"/>
        </w:rPr>
      </w:pPr>
      <w:r>
        <w:rPr>
          <w:rFonts w:hint="eastAsia" w:asciiTheme="minorEastAsia" w:hAnsiTheme="minorEastAsia" w:eastAsiaTheme="minorEastAsia" w:cstheme="minorEastAsia"/>
          <w:sz w:val="24"/>
          <w:szCs w:val="24"/>
          <w:highlight w:val="none"/>
          <w:u w:val="single"/>
          <w:lang w:eastAsia="zh-CN"/>
        </w:rPr>
        <w:br w:type="page"/>
      </w:r>
      <w:bookmarkStart w:id="130" w:name="_Toc17339"/>
      <w:bookmarkStart w:id="131" w:name="_Toc26942"/>
      <w:bookmarkStart w:id="132" w:name="_Toc516822679"/>
      <w:bookmarkStart w:id="133" w:name="_Toc9438"/>
      <w:r>
        <w:rPr>
          <w:rFonts w:hint="eastAsia" w:ascii="宋体" w:hAnsi="宋体" w:eastAsia="宋体" w:cs="宋体"/>
          <w:b/>
          <w:bCs/>
          <w:color w:val="auto"/>
          <w:sz w:val="28"/>
          <w:szCs w:val="28"/>
          <w:highlight w:val="none"/>
          <w:lang w:eastAsia="zh-CN"/>
        </w:rPr>
        <w:t>四、资格审查资料</w:t>
      </w:r>
      <w:bookmarkEnd w:id="130"/>
      <w:bookmarkEnd w:id="131"/>
      <w:bookmarkEnd w:id="132"/>
      <w:bookmarkEnd w:id="133"/>
    </w:p>
    <w:p>
      <w:pPr>
        <w:pStyle w:val="4"/>
        <w:jc w:val="center"/>
        <w:rPr>
          <w:rFonts w:ascii="宋体" w:hAnsi="宋体" w:cs="宋体"/>
          <w:color w:val="auto"/>
          <w:sz w:val="24"/>
          <w:szCs w:val="24"/>
          <w:highlight w:val="none"/>
          <w:lang w:eastAsia="zh-CN"/>
        </w:rPr>
      </w:pPr>
      <w:bookmarkStart w:id="134" w:name="_Toc14932"/>
      <w:bookmarkStart w:id="135" w:name="_Toc23991"/>
      <w:bookmarkStart w:id="136" w:name="_Toc28750"/>
      <w:bookmarkStart w:id="137" w:name="_Toc516822680"/>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eastAsia="zh-CN"/>
        </w:rPr>
        <w:t>基本情况表</w:t>
      </w:r>
      <w:bookmarkEnd w:id="134"/>
      <w:bookmarkEnd w:id="135"/>
      <w:bookmarkEnd w:id="136"/>
      <w:bookmarkEnd w:id="13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268"/>
        <w:gridCol w:w="650"/>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rPr>
              <w:t>名称</w:t>
            </w:r>
          </w:p>
        </w:tc>
        <w:tc>
          <w:tcPr>
            <w:tcW w:w="7020" w:type="dxa"/>
            <w:gridSpan w:val="9"/>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vAlign w:val="center"/>
          </w:tcPr>
          <w:p>
            <w:pPr>
              <w:jc w:val="center"/>
              <w:rPr>
                <w:rFonts w:ascii="宋体" w:hAnsi="宋体" w:cs="宋体"/>
                <w:color w:val="auto"/>
                <w:szCs w:val="21"/>
                <w:highlight w:val="none"/>
              </w:rPr>
            </w:pPr>
          </w:p>
        </w:tc>
        <w:tc>
          <w:tcPr>
            <w:tcW w:w="1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85"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21" w:type="dxa"/>
            <w:gridSpan w:val="4"/>
            <w:vAlign w:val="center"/>
          </w:tcPr>
          <w:p>
            <w:pPr>
              <w:jc w:val="center"/>
              <w:rPr>
                <w:rFonts w:ascii="宋体" w:hAnsi="宋体" w:cs="宋体"/>
                <w:color w:val="auto"/>
                <w:szCs w:val="21"/>
                <w:highlight w:val="none"/>
              </w:rPr>
            </w:pPr>
          </w:p>
        </w:tc>
        <w:tc>
          <w:tcPr>
            <w:tcW w:w="1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  话</w:t>
            </w:r>
          </w:p>
        </w:tc>
        <w:tc>
          <w:tcPr>
            <w:tcW w:w="2385"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cs="宋体"/>
                <w:color w:val="auto"/>
                <w:szCs w:val="21"/>
                <w:highlight w:val="none"/>
              </w:rPr>
            </w:pP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  真</w:t>
            </w:r>
          </w:p>
        </w:tc>
        <w:tc>
          <w:tcPr>
            <w:tcW w:w="2121" w:type="dxa"/>
            <w:gridSpan w:val="4"/>
            <w:vAlign w:val="center"/>
          </w:tcPr>
          <w:p>
            <w:pPr>
              <w:jc w:val="center"/>
              <w:rPr>
                <w:rFonts w:ascii="宋体" w:hAnsi="宋体" w:cs="宋体"/>
                <w:color w:val="auto"/>
                <w:szCs w:val="21"/>
                <w:highlight w:val="none"/>
              </w:rPr>
            </w:pPr>
          </w:p>
        </w:tc>
        <w:tc>
          <w:tcPr>
            <w:tcW w:w="1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  址</w:t>
            </w:r>
          </w:p>
        </w:tc>
        <w:tc>
          <w:tcPr>
            <w:tcW w:w="2385"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020" w:type="dxa"/>
            <w:gridSpan w:val="9"/>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50" w:type="dxa"/>
            <w:vAlign w:val="center"/>
          </w:tcPr>
          <w:p>
            <w:pPr>
              <w:jc w:val="center"/>
              <w:rPr>
                <w:rFonts w:ascii="宋体" w:hAnsi="宋体" w:cs="宋体"/>
                <w:color w:val="auto"/>
                <w:szCs w:val="21"/>
                <w:highlight w:val="none"/>
              </w:rPr>
            </w:pPr>
          </w:p>
        </w:tc>
        <w:tc>
          <w:tcPr>
            <w:tcW w:w="127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vAlign w:val="center"/>
          </w:tcPr>
          <w:p>
            <w:pPr>
              <w:jc w:val="center"/>
              <w:rPr>
                <w:rFonts w:ascii="宋体" w:hAnsi="宋体" w:cs="宋体"/>
                <w:color w:val="auto"/>
                <w:szCs w:val="21"/>
                <w:highlight w:val="none"/>
              </w:rPr>
            </w:pP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16"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50" w:type="dxa"/>
            <w:vAlign w:val="center"/>
          </w:tcPr>
          <w:p>
            <w:pPr>
              <w:jc w:val="center"/>
              <w:rPr>
                <w:rFonts w:ascii="宋体" w:hAnsi="宋体" w:cs="宋体"/>
                <w:color w:val="auto"/>
                <w:szCs w:val="21"/>
                <w:highlight w:val="none"/>
              </w:rPr>
            </w:pPr>
          </w:p>
        </w:tc>
        <w:tc>
          <w:tcPr>
            <w:tcW w:w="127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vAlign w:val="center"/>
          </w:tcPr>
          <w:p>
            <w:pPr>
              <w:jc w:val="center"/>
              <w:rPr>
                <w:rFonts w:ascii="宋体" w:hAnsi="宋体" w:cs="宋体"/>
                <w:color w:val="auto"/>
                <w:szCs w:val="21"/>
                <w:highlight w:val="none"/>
              </w:rPr>
            </w:pP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16"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vAlign w:val="center"/>
          </w:tcPr>
          <w:p>
            <w:pPr>
              <w:jc w:val="center"/>
              <w:rPr>
                <w:rFonts w:ascii="宋体" w:hAnsi="宋体" w:cs="宋体"/>
                <w:color w:val="auto"/>
                <w:szCs w:val="21"/>
                <w:highlight w:val="none"/>
              </w:rPr>
            </w:pPr>
          </w:p>
        </w:tc>
        <w:tc>
          <w:tcPr>
            <w:tcW w:w="5102" w:type="dxa"/>
            <w:gridSpan w:val="7"/>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18" w:type="dxa"/>
            <w:gridSpan w:val="2"/>
            <w:vAlign w:val="center"/>
          </w:tcPr>
          <w:p>
            <w:pPr>
              <w:jc w:val="center"/>
              <w:rPr>
                <w:rFonts w:ascii="宋体" w:hAnsi="宋体" w:cs="宋体"/>
                <w:color w:val="auto"/>
                <w:szCs w:val="21"/>
                <w:highlight w:val="none"/>
              </w:rPr>
            </w:pPr>
          </w:p>
        </w:tc>
        <w:tc>
          <w:tcPr>
            <w:tcW w:w="99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营业执照号</w:t>
            </w:r>
          </w:p>
        </w:tc>
        <w:tc>
          <w:tcPr>
            <w:tcW w:w="1918" w:type="dxa"/>
            <w:gridSpan w:val="2"/>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w:t>
            </w: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5" w:type="dxa"/>
            <w:vMerge w:val="continue"/>
            <w:vAlign w:val="center"/>
          </w:tcPr>
          <w:p>
            <w:pPr>
              <w:rPr>
                <w:rFonts w:ascii="宋体" w:hAnsi="宋体" w:cs="宋体"/>
                <w:color w:val="auto"/>
                <w:szCs w:val="21"/>
                <w:highlight w:val="none"/>
              </w:rPr>
            </w:pPr>
          </w:p>
        </w:tc>
        <w:tc>
          <w:tcPr>
            <w:tcW w:w="1918" w:type="dxa"/>
            <w:gridSpan w:val="2"/>
            <w:vMerge w:val="continue"/>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18" w:type="dxa"/>
            <w:gridSpan w:val="2"/>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18" w:type="dxa"/>
            <w:gridSpan w:val="2"/>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  工</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18" w:type="dxa"/>
            <w:gridSpan w:val="2"/>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拟派项目负责人姓名</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7020" w:type="dxa"/>
            <w:gridSpan w:val="9"/>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020" w:type="dxa"/>
            <w:gridSpan w:val="9"/>
            <w:vAlign w:val="center"/>
          </w:tcPr>
          <w:p>
            <w:pPr>
              <w:jc w:val="center"/>
              <w:rPr>
                <w:rFonts w:ascii="宋体" w:hAnsi="宋体" w:cs="宋体"/>
                <w:color w:val="auto"/>
                <w:szCs w:val="21"/>
                <w:highlight w:val="none"/>
              </w:rPr>
            </w:pPr>
          </w:p>
        </w:tc>
      </w:tr>
    </w:tbl>
    <w:p>
      <w:pPr>
        <w:rPr>
          <w:rFonts w:hint="eastAsia" w:ascii="仿宋" w:hAnsi="仿宋" w:eastAsia="仿宋" w:cs="仿宋"/>
        </w:rPr>
      </w:pPr>
      <w:r>
        <w:rPr>
          <w:rFonts w:hint="eastAsia" w:ascii="仿宋" w:hAnsi="仿宋" w:eastAsia="仿宋" w:cs="仿宋"/>
        </w:rPr>
        <w:t>注：附有效的营业执照、税务登记证、组织机构代码证（三证合一的提供三证合一营业执照）、资质证书、等证件的复印件。</w:t>
      </w:r>
      <w:r>
        <w:rPr>
          <w:rFonts w:hint="eastAsia" w:ascii="仿宋" w:hAnsi="仿宋" w:eastAsia="仿宋" w:cs="仿宋"/>
          <w:lang w:bidi="ar"/>
        </w:rPr>
        <w:t>组成联合体的，应提供联合体各方的申请人基本情况表及相关证明文件。</w:t>
      </w:r>
    </w:p>
    <w:p>
      <w:pPr>
        <w:jc w:val="both"/>
        <w:rPr>
          <w:rFonts w:asciiTheme="minorEastAsia" w:hAnsiTheme="minorEastAsia" w:eastAsiaTheme="minorEastAsia" w:cstheme="minorEastAsia"/>
          <w:sz w:val="21"/>
          <w:szCs w:val="21"/>
          <w:highlight w:val="none"/>
        </w:rPr>
      </w:pPr>
    </w:p>
    <w:p>
      <w:pPr>
        <w:rPr>
          <w:rFonts w:asciiTheme="minorEastAsia" w:hAnsiTheme="minorEastAsia" w:eastAsiaTheme="minorEastAsia" w:cstheme="minorEastAsia"/>
          <w:b/>
          <w:bCs/>
          <w:sz w:val="21"/>
          <w:szCs w:val="21"/>
          <w:highlight w:val="none"/>
          <w:lang w:eastAsia="zh-CN"/>
        </w:rPr>
      </w:pPr>
      <w:bookmarkStart w:id="138" w:name="_Toc7700"/>
      <w:bookmarkStart w:id="139" w:name="_Toc31841"/>
      <w:bookmarkStart w:id="140" w:name="_Toc20989"/>
      <w:bookmarkStart w:id="141" w:name="_Toc12540"/>
      <w:bookmarkStart w:id="142" w:name="_Toc15328"/>
      <w:bookmarkStart w:id="143" w:name="_Toc3570"/>
      <w:r>
        <w:rPr>
          <w:rFonts w:hint="eastAsia" w:asciiTheme="minorEastAsia" w:hAnsiTheme="minorEastAsia" w:eastAsiaTheme="minorEastAsia" w:cstheme="minorEastAsia"/>
          <w:b/>
          <w:bCs/>
          <w:sz w:val="21"/>
          <w:szCs w:val="21"/>
          <w:highlight w:val="none"/>
          <w:lang w:eastAsia="zh-CN"/>
        </w:rPr>
        <w:br w:type="page"/>
      </w:r>
    </w:p>
    <w:p>
      <w:pPr>
        <w:pStyle w:val="4"/>
        <w:numPr>
          <w:ilvl w:val="0"/>
          <w:numId w:val="0"/>
        </w:numPr>
        <w:jc w:val="center"/>
        <w:rPr>
          <w:rFonts w:ascii="宋体" w:hAnsi="宋体" w:eastAsia="宋体" w:cs="宋体"/>
          <w:color w:val="auto"/>
          <w:sz w:val="24"/>
          <w:szCs w:val="24"/>
          <w:highlight w:val="none"/>
          <w:lang w:eastAsia="zh-CN"/>
        </w:rPr>
      </w:pPr>
      <w:bookmarkStart w:id="144" w:name="_Toc28344"/>
      <w:bookmarkStart w:id="145" w:name="_Toc17479"/>
      <w:bookmarkStart w:id="146" w:name="_Toc7667"/>
      <w:bookmarkStart w:id="147" w:name="_Toc516822681"/>
      <w:r>
        <w:rPr>
          <w:rFonts w:hint="eastAsia" w:ascii="宋体" w:hAnsi="宋体" w:eastAsia="宋体" w:cs="宋体"/>
          <w:b/>
          <w:bCs/>
          <w:color w:val="auto"/>
          <w:sz w:val="24"/>
          <w:szCs w:val="24"/>
          <w:lang w:val="en-US" w:eastAsia="zh-CN" w:bidi="en-US"/>
        </w:rPr>
        <w:t>（二）</w:t>
      </w:r>
      <w:r>
        <w:rPr>
          <w:rFonts w:hint="eastAsia" w:ascii="宋体" w:hAnsi="宋体" w:eastAsia="宋体" w:cs="宋体"/>
          <w:color w:val="auto"/>
          <w:sz w:val="24"/>
          <w:szCs w:val="24"/>
          <w:highlight w:val="none"/>
          <w:lang w:eastAsia="zh-CN"/>
        </w:rPr>
        <w:t>营业执照</w:t>
      </w:r>
    </w:p>
    <w:p>
      <w:pPr>
        <w:ind w:firstLine="480" w:firstLineChars="200"/>
        <w:rPr>
          <w:highlight w:val="none"/>
          <w:lang w:eastAsia="zh-CN"/>
        </w:rPr>
      </w:pPr>
      <w:r>
        <w:rPr>
          <w:highlight w:val="none"/>
          <w:lang w:eastAsia="zh-CN"/>
        </w:rPr>
        <w:t>附企业法人营业执照或事业单位法人证书扫描件</w:t>
      </w:r>
    </w:p>
    <w:p>
      <w:pPr>
        <w:pStyle w:val="8"/>
        <w:rPr>
          <w:highlight w:val="none"/>
          <w:lang w:val="en-US"/>
        </w:rPr>
      </w:pPr>
    </w:p>
    <w:p>
      <w:pPr>
        <w:pStyle w:val="4"/>
        <w:numPr>
          <w:ilvl w:val="0"/>
          <w:numId w:val="0"/>
        </w:numPr>
        <w:jc w:val="center"/>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lang w:val="en-US" w:eastAsia="zh-CN" w:bidi="en-US"/>
        </w:rPr>
        <w:t>（三）</w:t>
      </w:r>
      <w:r>
        <w:rPr>
          <w:rFonts w:hint="eastAsia" w:ascii="宋体" w:hAnsi="宋体" w:eastAsia="宋体" w:cs="宋体"/>
          <w:color w:val="auto"/>
          <w:sz w:val="24"/>
          <w:szCs w:val="24"/>
          <w:highlight w:val="none"/>
          <w:lang w:eastAsia="zh-CN"/>
        </w:rPr>
        <w:t>资质要求</w:t>
      </w:r>
    </w:p>
    <w:p>
      <w:pPr>
        <w:ind w:firstLine="480" w:firstLineChars="200"/>
        <w:rPr>
          <w:highlight w:val="none"/>
          <w:lang w:eastAsia="zh-CN"/>
        </w:rPr>
      </w:pPr>
      <w:r>
        <w:rPr>
          <w:rFonts w:hint="eastAsia"/>
          <w:highlight w:val="none"/>
          <w:lang w:eastAsia="zh-CN"/>
        </w:rPr>
        <w:t xml:space="preserve">附证书扫描件 </w:t>
      </w:r>
    </w:p>
    <w:p>
      <w:pPr>
        <w:pStyle w:val="4"/>
        <w:numPr>
          <w:ilvl w:val="0"/>
          <w:numId w:val="0"/>
        </w:numPr>
        <w:jc w:val="center"/>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lang w:val="en-US" w:eastAsia="zh-CN" w:bidi="en-US"/>
        </w:rPr>
        <w:t>（四）</w:t>
      </w:r>
      <w:r>
        <w:rPr>
          <w:rFonts w:hint="eastAsia" w:ascii="宋体" w:hAnsi="宋体" w:eastAsia="宋体" w:cs="宋体"/>
          <w:color w:val="auto"/>
          <w:sz w:val="24"/>
          <w:szCs w:val="24"/>
          <w:highlight w:val="none"/>
          <w:lang w:eastAsia="zh-CN"/>
        </w:rPr>
        <w:t>项目负责人</w:t>
      </w:r>
    </w:p>
    <w:p>
      <w:pPr>
        <w:ind w:firstLine="480" w:firstLineChars="200"/>
        <w:rPr>
          <w:rFonts w:hint="eastAsia"/>
          <w:highlight w:val="none"/>
          <w:lang w:eastAsia="zh-CN"/>
        </w:rPr>
      </w:pPr>
      <w:r>
        <w:rPr>
          <w:rFonts w:hint="eastAsia"/>
          <w:highlight w:val="none"/>
          <w:lang w:eastAsia="zh-CN"/>
        </w:rPr>
        <w:t>附证书及职称扫描件</w:t>
      </w:r>
    </w:p>
    <w:p>
      <w:pPr>
        <w:pStyle w:val="38"/>
        <w:rPr>
          <w:rFonts w:hint="eastAsia"/>
          <w:lang w:val="en-US" w:eastAsia="zh-CN"/>
        </w:rPr>
      </w:pPr>
    </w:p>
    <w:p>
      <w:pPr>
        <w:pStyle w:val="4"/>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cs="宋体"/>
          <w:color w:val="auto"/>
          <w:sz w:val="24"/>
          <w:szCs w:val="24"/>
          <w:highlight w:val="none"/>
        </w:rPr>
        <w:t>）近年财务状况表</w:t>
      </w:r>
      <w:bookmarkEnd w:id="144"/>
      <w:bookmarkEnd w:id="145"/>
      <w:bookmarkEnd w:id="146"/>
    </w:p>
    <w:p>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jc w:val="left"/>
        <w:textAlignment w:val="auto"/>
        <w:outlineLvl w:val="9"/>
        <w:rPr>
          <w:rFonts w:hint="eastAsia" w:ascii="宋体" w:hAnsi="宋体" w:eastAsia="宋体" w:cs="宋体"/>
          <w:b w:val="0"/>
          <w:bCs w:val="0"/>
          <w:color w:val="auto"/>
          <w:sz w:val="24"/>
          <w:szCs w:val="24"/>
          <w:lang w:val="en-US" w:eastAsia="zh-CN" w:bidi="en-US"/>
        </w:rPr>
      </w:pPr>
      <w:r>
        <w:rPr>
          <w:rFonts w:hint="eastAsia" w:ascii="宋体" w:hAnsi="宋体" w:eastAsia="宋体" w:cs="宋体"/>
          <w:b w:val="0"/>
          <w:bCs w:val="0"/>
          <w:color w:val="auto"/>
          <w:sz w:val="24"/>
          <w:szCs w:val="24"/>
          <w:lang w:val="en-US" w:eastAsia="zh-CN" w:bidi="en-US"/>
        </w:rPr>
        <w:t>提供完整的2021年或2022年度经审计的财务审计报告，新成立企业提供银行出具的资信证明</w:t>
      </w:r>
    </w:p>
    <w:p>
      <w:pPr>
        <w:pStyle w:val="4"/>
        <w:numPr>
          <w:ilvl w:val="0"/>
          <w:numId w:val="0"/>
        </w:numPr>
        <w:jc w:val="center"/>
        <w:rPr>
          <w:rFonts w:hint="eastAsia" w:ascii="宋体" w:hAnsi="宋体" w:eastAsia="宋体" w:cs="宋体"/>
          <w:b/>
          <w:bCs/>
          <w:color w:val="auto"/>
          <w:sz w:val="24"/>
          <w:szCs w:val="24"/>
          <w:lang w:val="en-US" w:eastAsia="zh-CN" w:bidi="en-US"/>
        </w:rPr>
      </w:pPr>
      <w:r>
        <w:rPr>
          <w:rFonts w:hint="eastAsia" w:ascii="宋体" w:hAnsi="宋体" w:eastAsia="宋体" w:cs="宋体"/>
          <w:b/>
          <w:bCs/>
          <w:color w:val="auto"/>
          <w:sz w:val="24"/>
          <w:szCs w:val="24"/>
          <w:lang w:val="en-US" w:eastAsia="zh-CN" w:bidi="en-US"/>
        </w:rPr>
        <w:t>（六）具有履行合同所必需的设备和专业技术能力</w:t>
      </w:r>
    </w:p>
    <w:p>
      <w:pPr>
        <w:rPr>
          <w:rFonts w:hint="eastAsia"/>
          <w:highlight w:val="none"/>
        </w:rPr>
      </w:pPr>
      <w:r>
        <w:rPr>
          <w:rFonts w:hint="eastAsia"/>
          <w:highlight w:val="none"/>
        </w:rPr>
        <w:t>提供承诺函，格式自拟</w:t>
      </w:r>
    </w:p>
    <w:p>
      <w:pPr>
        <w:pStyle w:val="9"/>
      </w:pPr>
    </w:p>
    <w:p>
      <w:pPr>
        <w:pStyle w:val="4"/>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（七）依法缴纳税收和社会保障资金的相关材料</w:t>
      </w:r>
    </w:p>
    <w:p>
      <w:pPr>
        <w:pStyle w:val="8"/>
        <w:spacing w:line="360" w:lineRule="auto"/>
        <w:ind w:firstLine="480" w:firstLineChars="200"/>
        <w:rPr>
          <w:rFonts w:hint="eastAsia" w:eastAsia="Times New Roman" w:cs="Times New Roman"/>
          <w:color w:val="auto"/>
          <w:sz w:val="24"/>
          <w:highlight w:val="none"/>
          <w:lang w:val="en-US" w:bidi="en-US"/>
        </w:rPr>
      </w:pPr>
      <w:r>
        <w:rPr>
          <w:rFonts w:hint="eastAsia" w:eastAsia="Times New Roman" w:cs="Times New Roman"/>
          <w:color w:val="auto"/>
          <w:sz w:val="24"/>
          <w:highlight w:val="none"/>
          <w:lang w:val="en-US" w:bidi="en-US"/>
        </w:rPr>
        <w:t>提供2023年1月以来任意1个月的社会保障资金及税收缴纳证明材料。新成立企业从成立之日起计算，依法免税或不需要缴纳社会保障资金的供应商，应提供相应文件证明其依法免税或不需要缴纳社会保障资金</w:t>
      </w:r>
    </w:p>
    <w:p>
      <w:pPr>
        <w:pStyle w:val="9"/>
        <w:rPr>
          <w:rFonts w:hint="eastAsia"/>
          <w:lang w:val="en-US"/>
        </w:rPr>
      </w:pPr>
    </w:p>
    <w:p>
      <w:pPr>
        <w:pStyle w:val="4"/>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（八）供应商在参加政府采购活动前三年内，在经营活动中没有重大违法记录</w:t>
      </w:r>
    </w:p>
    <w:p>
      <w:pPr>
        <w:keepNext/>
        <w:keepLines/>
        <w:pageBreakBefore w:val="0"/>
        <w:widowControl w:val="0"/>
        <w:kinsoku/>
        <w:wordWrap/>
        <w:overflowPunct/>
        <w:topLinePunct w:val="0"/>
        <w:autoSpaceDE/>
        <w:autoSpaceDN/>
        <w:bidi w:val="0"/>
        <w:adjustRightInd/>
        <w:snapToGrid/>
        <w:spacing w:line="416" w:lineRule="auto"/>
        <w:ind w:firstLine="480" w:firstLineChars="200"/>
        <w:jc w:val="left"/>
        <w:textAlignment w:val="auto"/>
        <w:outlineLvl w:val="9"/>
        <w:rPr>
          <w:rFonts w:hint="eastAsia" w:ascii="宋体" w:hAnsi="宋体" w:eastAsia="Times New Roman" w:cs="Times New Roman"/>
          <w:b w:val="0"/>
          <w:bCs w:val="0"/>
          <w:color w:val="auto"/>
          <w:sz w:val="24"/>
          <w:szCs w:val="21"/>
          <w:highlight w:val="none"/>
          <w:lang w:val="en-US" w:eastAsia="zh-CN" w:bidi="en-US"/>
        </w:rPr>
      </w:pPr>
      <w:r>
        <w:rPr>
          <w:rFonts w:hint="eastAsia" w:ascii="宋体" w:hAnsi="宋体" w:eastAsia="Times New Roman" w:cs="Times New Roman"/>
          <w:b w:val="0"/>
          <w:bCs w:val="0"/>
          <w:color w:val="auto"/>
          <w:sz w:val="24"/>
          <w:szCs w:val="21"/>
          <w:highlight w:val="none"/>
          <w:lang w:val="en-US" w:eastAsia="zh-CN" w:bidi="en-US"/>
        </w:rPr>
        <w:t>供应商出具承诺书，格式自拟</w:t>
      </w:r>
    </w:p>
    <w:p>
      <w:pPr>
        <w:pStyle w:val="38"/>
        <w:rPr>
          <w:rFonts w:hint="eastAsia"/>
          <w:lang w:val="en-US" w:eastAsia="zh-CN"/>
        </w:rPr>
      </w:pPr>
    </w:p>
    <w:p>
      <w:pPr>
        <w:pStyle w:val="4"/>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（九）“信用中国”网站、中国政府采购网查询截图</w:t>
      </w:r>
    </w:p>
    <w:p>
      <w:pPr>
        <w:pStyle w:val="8"/>
        <w:spacing w:line="360" w:lineRule="auto"/>
        <w:ind w:firstLine="480" w:firstLineChars="200"/>
        <w:rPr>
          <w:rFonts w:hint="eastAsia" w:eastAsia="宋体" w:cs="Times New Roman"/>
          <w:color w:val="auto"/>
          <w:sz w:val="24"/>
          <w:highlight w:val="none"/>
          <w:lang w:val="en-US" w:eastAsia="zh-CN" w:bidi="en-US"/>
        </w:rPr>
      </w:pPr>
      <w:r>
        <w:rPr>
          <w:rFonts w:hint="eastAsia" w:eastAsia="Times New Roman" w:cs="Times New Roman"/>
          <w:color w:val="auto"/>
          <w:sz w:val="24"/>
          <w:highlight w:val="none"/>
          <w:lang w:val="en-US" w:bidi="en-US"/>
        </w:rPr>
        <w:t>根据财政部《关于在政府采购活动中查询及使用信用记录有关问题的通知》(财库[2016]125号) 和豫财购[2016]15号的规定，对列入失信被执行人、重大税收违法失信主体、政府采购严重违法失信行为记录名单的供应商，视为无效投标。查询渠道：“信用中国”网站（www.creditchina.gov.cn ）或通过信用中国转至中国执行信息公开网、中国政府采购网（www.ccgp.gov.cn ），查询截止时点为：从磋商公告发布之日起至投标截止之日止</w:t>
      </w:r>
      <w:r>
        <w:rPr>
          <w:rFonts w:hint="eastAsia" w:eastAsia="宋体" w:cs="Times New Roman"/>
          <w:color w:val="auto"/>
          <w:sz w:val="24"/>
          <w:highlight w:val="none"/>
          <w:lang w:val="en-US" w:eastAsia="zh-CN" w:bidi="en-US"/>
        </w:rPr>
        <w:t>。</w:t>
      </w:r>
    </w:p>
    <w:p>
      <w:pPr>
        <w:pStyle w:val="8"/>
        <w:rPr>
          <w:color w:val="auto"/>
          <w:sz w:val="24"/>
          <w:szCs w:val="24"/>
          <w:highlight w:val="none"/>
        </w:rPr>
      </w:pPr>
    </w:p>
    <w:p>
      <w:pPr>
        <w:pStyle w:val="4"/>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（十）单位负责人为同一人或者存在控股、管理关系的不同单位，不得同时参加本项目投标</w:t>
      </w:r>
    </w:p>
    <w:p>
      <w:pPr>
        <w:pStyle w:val="8"/>
        <w:spacing w:line="360" w:lineRule="auto"/>
        <w:ind w:firstLine="480" w:firstLineChars="200"/>
        <w:rPr>
          <w:rFonts w:hint="eastAsia" w:ascii="宋体" w:hAnsi="宋体" w:eastAsia="Times New Roman" w:cs="Times New Roman"/>
          <w:color w:val="auto"/>
          <w:sz w:val="24"/>
          <w:highlight w:val="none"/>
          <w:lang w:val="en-US" w:eastAsia="zh-CN" w:bidi="en-US"/>
        </w:rPr>
      </w:pPr>
      <w:r>
        <w:rPr>
          <w:rFonts w:hint="eastAsia" w:ascii="宋体" w:hAnsi="宋体" w:eastAsia="Times New Roman" w:cs="Times New Roman"/>
          <w:color w:val="auto"/>
          <w:sz w:val="24"/>
          <w:highlight w:val="none"/>
          <w:lang w:val="en-US" w:eastAsia="zh-CN" w:bidi="en-US"/>
        </w:rPr>
        <w:t>提供“国家企业信用信息公示系统”中查询的相关材料并加盖公章，查询信息需包含公司基本信息、股东信息及股权变更信息等相关信息，查询日期为本项目磋商公告发布之后</w:t>
      </w:r>
    </w:p>
    <w:p>
      <w:pPr>
        <w:pStyle w:val="8"/>
        <w:rPr>
          <w:color w:val="auto"/>
          <w:sz w:val="24"/>
          <w:szCs w:val="24"/>
          <w:highlight w:val="none"/>
        </w:rPr>
      </w:pPr>
    </w:p>
    <w:p>
      <w:pPr>
        <w:pStyle w:val="12"/>
        <w:tabs>
          <w:tab w:val="left" w:pos="5250"/>
        </w:tabs>
        <w:spacing w:line="600" w:lineRule="exact"/>
        <w:jc w:val="center"/>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以上资格审查资料一至十项</w:t>
      </w:r>
      <w:r>
        <w:rPr>
          <w:rFonts w:hint="eastAsia" w:ascii="仿宋" w:hAnsi="仿宋" w:eastAsia="仿宋" w:cs="仿宋"/>
          <w:sz w:val="24"/>
          <w:szCs w:val="24"/>
        </w:rPr>
        <w:t>联合体各方均须提供）</w:t>
      </w:r>
    </w:p>
    <w:p>
      <w:pPr>
        <w:rPr>
          <w:color w:val="auto"/>
          <w:sz w:val="24"/>
          <w:szCs w:val="24"/>
          <w:highlight w:val="none"/>
        </w:rPr>
      </w:pPr>
      <w:r>
        <w:rPr>
          <w:color w:val="auto"/>
          <w:sz w:val="24"/>
          <w:szCs w:val="24"/>
          <w:highlight w:val="none"/>
        </w:rPr>
        <w:br w:type="page"/>
      </w:r>
    </w:p>
    <w:p>
      <w:pPr>
        <w:pStyle w:val="82"/>
        <w:jc w:val="center"/>
        <w:outlineLvl w:val="2"/>
        <w:rPr>
          <w:rFonts w:hint="eastAsia" w:eastAsia="宋体"/>
          <w:color w:val="000000"/>
        </w:rPr>
      </w:pPr>
      <w:r>
        <w:rPr>
          <w:rFonts w:hint="eastAsia" w:ascii="仿宋" w:hAnsi="仿宋" w:cs="仿宋"/>
          <w:sz w:val="24"/>
          <w:szCs w:val="24"/>
          <w:lang w:eastAsia="zh-CN"/>
        </w:rPr>
        <w:t>（十一）</w:t>
      </w:r>
      <w:r>
        <w:rPr>
          <w:rFonts w:hint="eastAsia" w:ascii="仿宋" w:hAnsi="仿宋" w:eastAsia="仿宋" w:cs="仿宋"/>
          <w:sz w:val="24"/>
          <w:szCs w:val="24"/>
        </w:rPr>
        <w:t>联合体协议书（如有）</w:t>
      </w:r>
    </w:p>
    <w:p>
      <w:pPr>
        <w:spacing w:line="400" w:lineRule="exact"/>
        <w:rPr>
          <w:color w:val="000000"/>
          <w:szCs w:val="21"/>
        </w:rPr>
      </w:pPr>
    </w:p>
    <w:p>
      <w:pPr>
        <w:topLinePunct/>
        <w:spacing w:line="440" w:lineRule="exact"/>
        <w:ind w:firstLine="480" w:firstLineChars="200"/>
        <w:rPr>
          <w:color w:val="000000"/>
          <w:sz w:val="24"/>
        </w:rPr>
      </w:pPr>
      <w:r>
        <w:rPr>
          <w:color w:val="000000"/>
          <w:sz w:val="24"/>
          <w:u w:val="single"/>
        </w:rPr>
        <w:t xml:space="preserve">       </w:t>
      </w:r>
      <w:r>
        <w:rPr>
          <w:color w:val="000000"/>
          <w:sz w:val="24"/>
        </w:rPr>
        <w:t>（所有成员单位名称）自愿组成</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联合体名称</w:t>
      </w:r>
      <w:r>
        <w:rPr>
          <w:rFonts w:hint="eastAsia"/>
          <w:color w:val="000000"/>
          <w:sz w:val="24"/>
        </w:rPr>
        <w:t>）联合体</w:t>
      </w:r>
      <w:r>
        <w:rPr>
          <w:color w:val="000000"/>
          <w:sz w:val="24"/>
        </w:rPr>
        <w:t>，共同参加</w:t>
      </w:r>
      <w:r>
        <w:rPr>
          <w:color w:val="000000"/>
          <w:sz w:val="24"/>
          <w:u w:val="single"/>
        </w:rPr>
        <w:t xml:space="preserve">     </w:t>
      </w:r>
      <w:r>
        <w:rPr>
          <w:color w:val="000000"/>
          <w:sz w:val="24"/>
        </w:rPr>
        <w:t>（项目名称）</w:t>
      </w:r>
      <w:r>
        <w:rPr>
          <w:color w:val="000000"/>
          <w:sz w:val="24"/>
          <w:u w:val="single"/>
        </w:rPr>
        <w:t xml:space="preserve">      </w:t>
      </w:r>
      <w:r>
        <w:rPr>
          <w:color w:val="000000"/>
          <w:sz w:val="24"/>
        </w:rPr>
        <w:t>标段投标。现就联合体投标事宜订立如下协议。</w:t>
      </w:r>
    </w:p>
    <w:p>
      <w:pPr>
        <w:topLinePunct/>
        <w:spacing w:line="440" w:lineRule="exact"/>
        <w:ind w:firstLine="480" w:firstLineChars="200"/>
        <w:rPr>
          <w:color w:val="000000"/>
          <w:sz w:val="24"/>
        </w:rPr>
      </w:pPr>
      <w:r>
        <w:rPr>
          <w:color w:val="000000"/>
          <w:sz w:val="24"/>
        </w:rPr>
        <w:t>1、</w:t>
      </w:r>
      <w:r>
        <w:rPr>
          <w:color w:val="000000"/>
          <w:sz w:val="24"/>
          <w:u w:val="single"/>
        </w:rPr>
        <w:t xml:space="preserve">       </w:t>
      </w:r>
      <w:r>
        <w:rPr>
          <w:color w:val="000000"/>
          <w:sz w:val="24"/>
        </w:rPr>
        <w:t>（某成员单位名称）为</w:t>
      </w:r>
      <w:r>
        <w:rPr>
          <w:color w:val="000000"/>
          <w:sz w:val="24"/>
          <w:u w:val="single"/>
        </w:rPr>
        <w:t xml:space="preserve">     </w:t>
      </w:r>
      <w:r>
        <w:rPr>
          <w:color w:val="000000"/>
          <w:sz w:val="24"/>
        </w:rPr>
        <w:t>（联合体名称）牵头人。</w:t>
      </w:r>
    </w:p>
    <w:p>
      <w:pPr>
        <w:topLinePunct/>
        <w:spacing w:line="440" w:lineRule="exact"/>
        <w:ind w:firstLine="480" w:firstLineChars="200"/>
        <w:rPr>
          <w:rFonts w:hint="eastAsia"/>
          <w:color w:val="000000"/>
          <w:sz w:val="24"/>
        </w:rPr>
      </w:pPr>
      <w:r>
        <w:rPr>
          <w:color w:val="000000"/>
          <w:sz w:val="24"/>
        </w:rPr>
        <w:t>2、联合体牵头人</w:t>
      </w:r>
      <w:r>
        <w:rPr>
          <w:rFonts w:hint="eastAsia"/>
          <w:color w:val="000000"/>
          <w:sz w:val="24"/>
        </w:rPr>
        <w:t>合法代表联合体各成员负责本招标项目投标文件编制和合同谈判活动，并代表联合体提交和接收相关的资料、信息及指示，并处理与之有关的一切事务，</w:t>
      </w:r>
      <w:r>
        <w:rPr>
          <w:color w:val="000000"/>
          <w:sz w:val="24"/>
        </w:rPr>
        <w:t>负责合同实施阶段的主办、组织和协调工作。</w:t>
      </w:r>
    </w:p>
    <w:p>
      <w:pPr>
        <w:topLinePunct/>
        <w:spacing w:line="440" w:lineRule="exact"/>
        <w:ind w:firstLine="480" w:firstLineChars="200"/>
        <w:rPr>
          <w:color w:val="000000"/>
          <w:sz w:val="24"/>
        </w:rPr>
      </w:pPr>
      <w:r>
        <w:rPr>
          <w:color w:val="000000"/>
          <w:sz w:val="24"/>
        </w:rPr>
        <w:t>3、联合体将严格按照招标文件的各项要求，递交投标文件，履行合同，并对外承担连带责任。</w:t>
      </w:r>
    </w:p>
    <w:p>
      <w:pPr>
        <w:topLinePunct/>
        <w:spacing w:line="440" w:lineRule="exact"/>
        <w:ind w:firstLine="480" w:firstLineChars="200"/>
        <w:rPr>
          <w:color w:val="000000"/>
          <w:sz w:val="24"/>
        </w:rPr>
      </w:pPr>
      <w:r>
        <w:rPr>
          <w:color w:val="000000"/>
          <w:sz w:val="24"/>
        </w:rPr>
        <w:t>4、联合体各成员单位内部的职责分工如下：</w:t>
      </w:r>
      <w:r>
        <w:rPr>
          <w:color w:val="000000"/>
          <w:sz w:val="24"/>
          <w:u w:val="single"/>
        </w:rPr>
        <w:t xml:space="preserve">                 </w:t>
      </w:r>
      <w:r>
        <w:rPr>
          <w:color w:val="000000"/>
          <w:sz w:val="24"/>
        </w:rPr>
        <w:t xml:space="preserve"> 。</w:t>
      </w:r>
    </w:p>
    <w:p>
      <w:pPr>
        <w:topLinePunct/>
        <w:spacing w:line="440" w:lineRule="exact"/>
        <w:ind w:firstLine="480" w:firstLineChars="200"/>
        <w:rPr>
          <w:color w:val="000000"/>
          <w:sz w:val="24"/>
        </w:rPr>
      </w:pPr>
      <w:r>
        <w:rPr>
          <w:color w:val="000000"/>
          <w:sz w:val="24"/>
        </w:rPr>
        <w:t xml:space="preserve">5、本协议书自签署之日起生效，合同履行完毕后自动失效。 </w:t>
      </w:r>
    </w:p>
    <w:p>
      <w:pPr>
        <w:topLinePunct/>
        <w:spacing w:line="440" w:lineRule="exact"/>
        <w:ind w:firstLine="480" w:firstLineChars="200"/>
        <w:rPr>
          <w:color w:val="000000"/>
          <w:sz w:val="24"/>
        </w:rPr>
      </w:pPr>
      <w:r>
        <w:rPr>
          <w:color w:val="000000"/>
          <w:sz w:val="24"/>
        </w:rPr>
        <w:t>6、本协议书一式</w:t>
      </w:r>
      <w:r>
        <w:rPr>
          <w:color w:val="000000"/>
          <w:sz w:val="24"/>
          <w:u w:val="single"/>
        </w:rPr>
        <w:t xml:space="preserve">   </w:t>
      </w:r>
      <w:r>
        <w:rPr>
          <w:color w:val="000000"/>
          <w:sz w:val="24"/>
        </w:rPr>
        <w:t>份，联合体成员和招标人各执一份。</w:t>
      </w:r>
    </w:p>
    <w:p>
      <w:pPr>
        <w:topLinePunct/>
        <w:spacing w:line="440" w:lineRule="exact"/>
        <w:rPr>
          <w:rFonts w:hint="eastAsia"/>
          <w:color w:val="000000"/>
          <w:sz w:val="24"/>
        </w:rPr>
      </w:pPr>
    </w:p>
    <w:p>
      <w:pPr>
        <w:topLinePunct/>
        <w:spacing w:line="440" w:lineRule="exact"/>
        <w:ind w:firstLine="480" w:firstLineChars="200"/>
        <w:rPr>
          <w:rFonts w:hint="eastAsia"/>
          <w:color w:val="000000"/>
          <w:sz w:val="24"/>
        </w:rPr>
      </w:pPr>
      <w:r>
        <w:rPr>
          <w:rFonts w:hint="eastAsia"/>
          <w:color w:val="000000"/>
          <w:sz w:val="24"/>
        </w:rPr>
        <w:t>注：本协议书由委托代理人签字的，应附法定代表人签字的授权委托书。</w:t>
      </w:r>
    </w:p>
    <w:p>
      <w:pPr>
        <w:topLinePunct/>
        <w:spacing w:line="440" w:lineRule="exact"/>
        <w:rPr>
          <w:rFonts w:hint="eastAsia"/>
          <w:color w:val="000000"/>
          <w:sz w:val="24"/>
        </w:rPr>
      </w:pPr>
    </w:p>
    <w:p>
      <w:pPr>
        <w:topLinePunct/>
        <w:spacing w:line="440" w:lineRule="exact"/>
        <w:rPr>
          <w:color w:val="000000"/>
          <w:sz w:val="24"/>
        </w:rPr>
      </w:pPr>
      <w:r>
        <w:rPr>
          <w:color w:val="000000"/>
          <w:sz w:val="24"/>
        </w:rPr>
        <w:t>牵头人名称：</w:t>
      </w:r>
      <w:r>
        <w:rPr>
          <w:color w:val="000000"/>
          <w:sz w:val="24"/>
          <w:u w:val="single"/>
        </w:rPr>
        <w:t xml:space="preserve">                                 </w:t>
      </w:r>
      <w:r>
        <w:rPr>
          <w:color w:val="000000"/>
          <w:sz w:val="24"/>
        </w:rPr>
        <w:t>（盖单位章）</w:t>
      </w:r>
    </w:p>
    <w:p>
      <w:pPr>
        <w:topLinePunct/>
        <w:spacing w:line="440" w:lineRule="exact"/>
        <w:rPr>
          <w:color w:val="000000"/>
          <w:sz w:val="24"/>
        </w:rPr>
      </w:pPr>
      <w:r>
        <w:rPr>
          <w:color w:val="000000"/>
          <w:sz w:val="24"/>
        </w:rPr>
        <w:t>法定代表人或其委托代理人：</w:t>
      </w:r>
      <w:r>
        <w:rPr>
          <w:color w:val="000000"/>
          <w:sz w:val="24"/>
          <w:u w:val="single"/>
        </w:rPr>
        <w:t xml:space="preserve">                       </w:t>
      </w:r>
      <w:r>
        <w:rPr>
          <w:color w:val="000000"/>
          <w:sz w:val="24"/>
        </w:rPr>
        <w:t>（签字）</w:t>
      </w:r>
    </w:p>
    <w:p>
      <w:pPr>
        <w:topLinePunct/>
        <w:spacing w:line="440" w:lineRule="exact"/>
        <w:rPr>
          <w:color w:val="000000"/>
          <w:sz w:val="24"/>
        </w:rPr>
      </w:pPr>
    </w:p>
    <w:p>
      <w:pPr>
        <w:topLinePunct/>
        <w:spacing w:line="440" w:lineRule="exact"/>
        <w:rPr>
          <w:color w:val="000000"/>
          <w:sz w:val="24"/>
        </w:rPr>
      </w:pPr>
      <w:r>
        <w:rPr>
          <w:color w:val="000000"/>
          <w:sz w:val="24"/>
        </w:rPr>
        <w:t>成员一名称：</w:t>
      </w:r>
      <w:r>
        <w:rPr>
          <w:color w:val="000000"/>
          <w:sz w:val="24"/>
          <w:u w:val="single"/>
        </w:rPr>
        <w:t xml:space="preserve">                                 </w:t>
      </w:r>
      <w:r>
        <w:rPr>
          <w:color w:val="000000"/>
          <w:sz w:val="24"/>
        </w:rPr>
        <w:t>（盖单位章）</w:t>
      </w:r>
    </w:p>
    <w:p>
      <w:pPr>
        <w:topLinePunct/>
        <w:spacing w:line="440" w:lineRule="exact"/>
        <w:rPr>
          <w:color w:val="000000"/>
          <w:sz w:val="24"/>
        </w:rPr>
      </w:pPr>
      <w:r>
        <w:rPr>
          <w:color w:val="000000"/>
          <w:sz w:val="24"/>
        </w:rPr>
        <w:t>法定代表人或其委托代理人：</w:t>
      </w:r>
      <w:r>
        <w:rPr>
          <w:color w:val="000000"/>
          <w:sz w:val="24"/>
          <w:u w:val="single"/>
        </w:rPr>
        <w:t xml:space="preserve">                       </w:t>
      </w:r>
      <w:r>
        <w:rPr>
          <w:color w:val="000000"/>
          <w:sz w:val="24"/>
        </w:rPr>
        <w:t>（签字）</w:t>
      </w:r>
    </w:p>
    <w:p>
      <w:pPr>
        <w:topLinePunct/>
        <w:spacing w:line="440" w:lineRule="exact"/>
        <w:rPr>
          <w:color w:val="000000"/>
          <w:sz w:val="24"/>
        </w:rPr>
      </w:pPr>
      <w:r>
        <w:rPr>
          <w:color w:val="000000"/>
          <w:sz w:val="24"/>
        </w:rPr>
        <w:t xml:space="preserve"> </w:t>
      </w:r>
    </w:p>
    <w:p>
      <w:pPr>
        <w:topLinePunct/>
        <w:spacing w:line="440" w:lineRule="exact"/>
        <w:rPr>
          <w:color w:val="000000"/>
          <w:sz w:val="24"/>
        </w:rPr>
      </w:pPr>
    </w:p>
    <w:p>
      <w:pPr>
        <w:ind w:firstLine="3290" w:firstLineChars="1371"/>
        <w:rPr>
          <w:rFonts w:hint="eastAsia"/>
          <w:color w:val="000000"/>
          <w:sz w:val="24"/>
        </w:rPr>
      </w:pPr>
      <w:r>
        <w:rPr>
          <w:color w:val="000000"/>
          <w:sz w:val="24"/>
          <w:u w:val="single"/>
        </w:rPr>
        <w:t xml:space="preserve">        </w:t>
      </w:r>
      <w:r>
        <w:rPr>
          <w:color w:val="000000"/>
          <w:sz w:val="24"/>
        </w:rPr>
        <w:t>年</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月</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日</w:t>
      </w:r>
    </w:p>
    <w:p>
      <w:pPr>
        <w:pStyle w:val="9"/>
      </w:pPr>
    </w:p>
    <w:p>
      <w:pPr>
        <w:rPr>
          <w:color w:val="auto"/>
          <w:sz w:val="24"/>
          <w:szCs w:val="24"/>
          <w:highlight w:val="none"/>
        </w:rPr>
      </w:pPr>
      <w:r>
        <w:rPr>
          <w:color w:val="auto"/>
          <w:sz w:val="24"/>
          <w:szCs w:val="24"/>
          <w:highlight w:val="none"/>
        </w:rPr>
        <w:br w:type="page"/>
      </w:r>
    </w:p>
    <w:bookmarkEnd w:id="138"/>
    <w:bookmarkEnd w:id="139"/>
    <w:bookmarkEnd w:id="140"/>
    <w:bookmarkEnd w:id="141"/>
    <w:bookmarkEnd w:id="142"/>
    <w:bookmarkEnd w:id="143"/>
    <w:bookmarkEnd w:id="147"/>
    <w:p>
      <w:pPr>
        <w:spacing w:line="360" w:lineRule="auto"/>
        <w:jc w:val="center"/>
        <w:outlineLvl w:val="1"/>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 xml:space="preserve">五、技术部分 </w:t>
      </w:r>
    </w:p>
    <w:p>
      <w:pPr>
        <w:pStyle w:val="8"/>
        <w:spacing w:line="360" w:lineRule="auto"/>
        <w:ind w:firstLine="480" w:firstLineChars="200"/>
        <w:rPr>
          <w:sz w:val="24"/>
          <w:szCs w:val="24"/>
          <w:highlight w:val="none"/>
          <w:lang w:val="en-US"/>
        </w:rPr>
      </w:pPr>
      <w:r>
        <w:rPr>
          <w:rFonts w:hint="eastAsia"/>
          <w:sz w:val="24"/>
          <w:szCs w:val="24"/>
          <w:highlight w:val="none"/>
          <w:lang w:val="en-US"/>
        </w:rPr>
        <w:t>供应商应结合本磋商文件第五章 项目需求和第三章 评标办法中的技术部分对应的评分标准细则，逐条响应。</w:t>
      </w:r>
    </w:p>
    <w:p>
      <w:pPr>
        <w:rPr>
          <w:highlight w:val="none"/>
          <w:lang w:eastAsia="zh-CN"/>
        </w:rPr>
      </w:pPr>
      <w:r>
        <w:rPr>
          <w:highlight w:val="none"/>
          <w:lang w:eastAsia="zh-CN"/>
        </w:rPr>
        <w:br w:type="page"/>
      </w:r>
    </w:p>
    <w:p>
      <w:pPr>
        <w:spacing w:line="360" w:lineRule="auto"/>
        <w:jc w:val="center"/>
        <w:outlineLvl w:val="1"/>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 xml:space="preserve">六、商务部分 </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b/>
          <w:bCs/>
          <w:sz w:val="24"/>
          <w:szCs w:val="24"/>
          <w:highlight w:val="none"/>
          <w:lang w:val="en-US"/>
        </w:rPr>
      </w:pPr>
      <w:r>
        <w:rPr>
          <w:rFonts w:hint="eastAsia"/>
          <w:b/>
          <w:bCs/>
          <w:sz w:val="24"/>
          <w:szCs w:val="24"/>
          <w:highlight w:val="none"/>
          <w:lang w:val="en-US"/>
        </w:rPr>
        <w:t>（一）企业业绩情况表</w:t>
      </w:r>
    </w:p>
    <w:tbl>
      <w:tblPr>
        <w:tblStyle w:val="2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项目所在地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委托人名称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委托人地址</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委托人联系电话</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项目规模</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合同签订日期</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成果提交日期</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承担的工作</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项目负责人</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项目描述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c>
          <w:tcPr>
            <w:tcW w:w="6455" w:type="dxa"/>
          </w:tcPr>
          <w:p>
            <w:pPr>
              <w:pStyle w:val="9"/>
              <w:spacing w:line="360" w:lineRule="auto"/>
              <w:jc w:val="both"/>
              <w:rPr>
                <w:rFonts w:ascii="宋体" w:hAnsi="宋体" w:eastAsia="宋体" w:cs="宋体"/>
                <w:sz w:val="24"/>
                <w:szCs w:val="24"/>
                <w:highlight w:val="none"/>
                <w:lang w:eastAsia="zh-CN"/>
              </w:rPr>
            </w:pPr>
          </w:p>
        </w:tc>
      </w:tr>
    </w:tbl>
    <w:p>
      <w:pPr>
        <w:pStyle w:val="9"/>
        <w:spacing w:line="360" w:lineRule="auto"/>
        <w:rPr>
          <w:sz w:val="24"/>
          <w:szCs w:val="24"/>
          <w:highlight w:val="none"/>
          <w:lang w:eastAsia="zh-CN"/>
        </w:rPr>
      </w:pPr>
      <w:r>
        <w:rPr>
          <w:sz w:val="24"/>
          <w:szCs w:val="24"/>
          <w:highlight w:val="none"/>
          <w:lang w:eastAsia="zh-CN"/>
        </w:rPr>
        <w:t>注：</w:t>
      </w:r>
      <w:r>
        <w:rPr>
          <w:rFonts w:hint="eastAsia"/>
          <w:sz w:val="24"/>
          <w:szCs w:val="24"/>
          <w:highlight w:val="none"/>
          <w:lang w:eastAsia="zh-CN"/>
        </w:rPr>
        <w:t>响应文件</w:t>
      </w:r>
      <w:r>
        <w:rPr>
          <w:rFonts w:hint="eastAsia"/>
          <w:sz w:val="24"/>
          <w:szCs w:val="24"/>
          <w:highlight w:val="none"/>
          <w:lang w:val="en-US" w:eastAsia="zh-CN"/>
        </w:rPr>
        <w:t>内附合同或中标通知书盖公章的复印件，以正式签订的合同或中标通知书日期为准。</w:t>
      </w:r>
      <w:r>
        <w:rPr>
          <w:sz w:val="24"/>
          <w:szCs w:val="24"/>
          <w:highlight w:val="none"/>
          <w:lang w:eastAsia="zh-CN"/>
        </w:rPr>
        <w:t>每张表格只填写一个项目，并标明序号。</w:t>
      </w: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rFonts w:eastAsiaTheme="minorEastAsia"/>
          <w:sz w:val="24"/>
          <w:szCs w:val="24"/>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rPr>
        <w:t xml:space="preserve">）拟派项目成员 </w:t>
      </w:r>
    </w:p>
    <w:tbl>
      <w:tblPr>
        <w:tblStyle w:val="22"/>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979"/>
        <w:gridCol w:w="979"/>
        <w:gridCol w:w="979"/>
        <w:gridCol w:w="979"/>
        <w:gridCol w:w="1263"/>
        <w:gridCol w:w="696"/>
        <w:gridCol w:w="98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序号</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本项目任职</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姓名</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职称</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专业</w:t>
            </w:r>
          </w:p>
        </w:tc>
        <w:tc>
          <w:tcPr>
            <w:tcW w:w="2939" w:type="dxa"/>
            <w:gridSpan w:val="3"/>
            <w:vAlign w:val="center"/>
          </w:tcPr>
          <w:p>
            <w:pPr>
              <w:pStyle w:val="9"/>
              <w:spacing w:line="360" w:lineRule="auto"/>
              <w:jc w:val="center"/>
              <w:rPr>
                <w:sz w:val="24"/>
                <w:szCs w:val="24"/>
                <w:highlight w:val="none"/>
                <w:lang w:eastAsia="zh-CN"/>
              </w:rPr>
            </w:pPr>
            <w:r>
              <w:rPr>
                <w:sz w:val="24"/>
                <w:szCs w:val="24"/>
                <w:highlight w:val="none"/>
                <w:lang w:eastAsia="zh-CN"/>
              </w:rPr>
              <w:t>执业或职业资格证明</w:t>
            </w:r>
          </w:p>
        </w:tc>
        <w:tc>
          <w:tcPr>
            <w:tcW w:w="980"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r>
              <w:rPr>
                <w:rFonts w:hint="eastAsia"/>
                <w:sz w:val="24"/>
                <w:szCs w:val="24"/>
                <w:highlight w:val="none"/>
                <w:lang w:eastAsia="zh-CN"/>
              </w:rPr>
              <w:t>证书名称</w:t>
            </w:r>
          </w:p>
        </w:tc>
        <w:tc>
          <w:tcPr>
            <w:tcW w:w="696" w:type="dxa"/>
            <w:vAlign w:val="center"/>
          </w:tcPr>
          <w:p>
            <w:pPr>
              <w:pStyle w:val="9"/>
              <w:spacing w:line="360" w:lineRule="auto"/>
              <w:jc w:val="center"/>
              <w:rPr>
                <w:sz w:val="24"/>
                <w:szCs w:val="24"/>
                <w:highlight w:val="none"/>
                <w:lang w:eastAsia="zh-CN"/>
              </w:rPr>
            </w:pPr>
            <w:r>
              <w:rPr>
                <w:rFonts w:hint="eastAsia"/>
                <w:sz w:val="24"/>
                <w:szCs w:val="24"/>
                <w:highlight w:val="none"/>
                <w:lang w:eastAsia="zh-CN"/>
              </w:rPr>
              <w:t>级别</w:t>
            </w:r>
          </w:p>
        </w:tc>
        <w:tc>
          <w:tcPr>
            <w:tcW w:w="980" w:type="dxa"/>
            <w:vAlign w:val="center"/>
          </w:tcPr>
          <w:p>
            <w:pPr>
              <w:pStyle w:val="9"/>
              <w:spacing w:line="360" w:lineRule="auto"/>
              <w:jc w:val="center"/>
              <w:rPr>
                <w:sz w:val="24"/>
                <w:szCs w:val="24"/>
                <w:highlight w:val="none"/>
                <w:lang w:eastAsia="zh-CN"/>
              </w:rPr>
            </w:pPr>
            <w:r>
              <w:rPr>
                <w:rFonts w:hint="eastAsia"/>
                <w:sz w:val="24"/>
                <w:szCs w:val="24"/>
                <w:highlight w:val="none"/>
                <w:lang w:eastAsia="zh-CN"/>
              </w:rPr>
              <w:t>证号</w:t>
            </w:r>
          </w:p>
        </w:tc>
        <w:tc>
          <w:tcPr>
            <w:tcW w:w="980" w:type="dxa"/>
            <w:vMerge w:val="continue"/>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bl>
    <w:p>
      <w:pPr>
        <w:pStyle w:val="9"/>
        <w:spacing w:line="360" w:lineRule="auto"/>
        <w:rPr>
          <w:sz w:val="24"/>
          <w:szCs w:val="24"/>
          <w:highlight w:val="none"/>
          <w:lang w:eastAsia="zh-CN"/>
        </w:rPr>
      </w:pPr>
    </w:p>
    <w:p>
      <w:pPr>
        <w:pStyle w:val="9"/>
        <w:spacing w:line="360" w:lineRule="auto"/>
        <w:rPr>
          <w:sz w:val="24"/>
          <w:szCs w:val="24"/>
          <w:highlight w:val="none"/>
          <w:lang w:eastAsia="zh-CN"/>
        </w:rPr>
      </w:pPr>
      <w:r>
        <w:rPr>
          <w:sz w:val="24"/>
          <w:szCs w:val="24"/>
          <w:highlight w:val="none"/>
          <w:lang w:eastAsia="zh-CN"/>
        </w:rPr>
        <w:t>注：须在</w:t>
      </w:r>
      <w:r>
        <w:rPr>
          <w:rFonts w:hint="eastAsia"/>
          <w:sz w:val="24"/>
          <w:szCs w:val="24"/>
          <w:highlight w:val="none"/>
          <w:lang w:val="en-US" w:eastAsia="zh-CN"/>
        </w:rPr>
        <w:t>响应</w:t>
      </w:r>
      <w:r>
        <w:rPr>
          <w:rFonts w:hint="eastAsia"/>
          <w:sz w:val="24"/>
          <w:szCs w:val="24"/>
          <w:highlight w:val="none"/>
          <w:lang w:eastAsia="zh-CN"/>
        </w:rPr>
        <w:t>文件内附以上人员证书的盖公章的复印件</w:t>
      </w:r>
      <w:r>
        <w:rPr>
          <w:sz w:val="24"/>
          <w:szCs w:val="24"/>
          <w:highlight w:val="none"/>
          <w:lang w:eastAsia="zh-CN"/>
        </w:rPr>
        <w:t>。</w:t>
      </w: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en-US"/>
        </w:rPr>
        <w:t xml:space="preserve">）服务承诺 </w:t>
      </w:r>
    </w:p>
    <w:p>
      <w:pPr>
        <w:pStyle w:val="9"/>
        <w:spacing w:line="360" w:lineRule="auto"/>
        <w:ind w:firstLine="480" w:firstLineChars="200"/>
        <w:rPr>
          <w:sz w:val="24"/>
          <w:szCs w:val="24"/>
          <w:highlight w:val="none"/>
          <w:lang w:eastAsia="zh-CN"/>
        </w:rPr>
      </w:pPr>
      <w:r>
        <w:rPr>
          <w:rFonts w:hint="eastAsia"/>
          <w:sz w:val="24"/>
          <w:szCs w:val="24"/>
          <w:highlight w:val="none"/>
          <w:lang w:eastAsia="zh-CN"/>
        </w:rPr>
        <w:t>供应商</w:t>
      </w:r>
      <w:r>
        <w:rPr>
          <w:sz w:val="24"/>
          <w:szCs w:val="24"/>
          <w:highlight w:val="none"/>
          <w:lang w:eastAsia="zh-CN"/>
        </w:rPr>
        <w:t>应结合本</w:t>
      </w:r>
      <w:r>
        <w:rPr>
          <w:rFonts w:hint="eastAsia"/>
          <w:sz w:val="24"/>
          <w:szCs w:val="24"/>
          <w:highlight w:val="none"/>
          <w:lang w:eastAsia="zh-CN"/>
        </w:rPr>
        <w:t>磋商</w:t>
      </w:r>
      <w:r>
        <w:rPr>
          <w:sz w:val="24"/>
          <w:szCs w:val="24"/>
          <w:highlight w:val="none"/>
          <w:lang w:eastAsia="zh-CN"/>
        </w:rPr>
        <w:t>文件第</w:t>
      </w:r>
      <w:r>
        <w:rPr>
          <w:rFonts w:hint="eastAsia"/>
          <w:sz w:val="24"/>
          <w:szCs w:val="24"/>
          <w:highlight w:val="none"/>
          <w:lang w:val="en-US" w:eastAsia="zh-CN"/>
        </w:rPr>
        <w:t>五</w:t>
      </w:r>
      <w:r>
        <w:rPr>
          <w:sz w:val="24"/>
          <w:szCs w:val="24"/>
          <w:highlight w:val="none"/>
          <w:lang w:eastAsia="zh-CN"/>
        </w:rPr>
        <w:t>章 项目需求和第三章 评标办法 商务部分的服务承诺对应的评分标准细则，逐条响应。</w:t>
      </w:r>
    </w:p>
    <w:p>
      <w:pPr>
        <w:rPr>
          <w:highlight w:val="none"/>
          <w:lang w:eastAsia="zh-CN"/>
        </w:rPr>
      </w:pPr>
      <w:r>
        <w:rPr>
          <w:highlight w:val="none"/>
          <w:lang w:eastAsia="zh-CN"/>
        </w:rPr>
        <w:br w:type="page"/>
      </w:r>
    </w:p>
    <w:p>
      <w:pPr>
        <w:spacing w:line="360" w:lineRule="auto"/>
        <w:jc w:val="center"/>
        <w:outlineLvl w:val="1"/>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七、</w:t>
      </w:r>
      <w:r>
        <w:rPr>
          <w:rFonts w:ascii="宋体" w:hAnsi="宋体" w:eastAsia="宋体" w:cs="宋体"/>
          <w:b/>
          <w:bCs/>
          <w:color w:val="auto"/>
          <w:sz w:val="28"/>
          <w:szCs w:val="28"/>
          <w:highlight w:val="none"/>
          <w:lang w:eastAsia="zh-CN"/>
        </w:rPr>
        <w:t>其他材料</w:t>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ascii="宋体" w:hAnsi="宋体" w:cs="宋体"/>
          <w:b/>
          <w:bCs/>
          <w:color w:val="auto"/>
          <w:highlight w:val="none"/>
          <w:lang w:eastAsia="zh-CN"/>
        </w:rPr>
      </w:pPr>
      <w:r>
        <w:rPr>
          <w:rFonts w:hint="eastAsia" w:ascii="宋体" w:hAnsi="宋体" w:eastAsia="宋体" w:cs="宋体"/>
          <w:b/>
          <w:bCs/>
          <w:color w:val="auto"/>
          <w:highlight w:val="none"/>
          <w:lang w:eastAsia="zh-CN"/>
        </w:rPr>
        <w:t>（一）</w:t>
      </w:r>
      <w:r>
        <w:rPr>
          <w:rFonts w:hint="eastAsia" w:ascii="宋体" w:hAnsi="宋体" w:cs="宋体"/>
          <w:b/>
          <w:bCs/>
          <w:color w:val="auto"/>
          <w:highlight w:val="none"/>
          <w:lang w:eastAsia="zh-CN"/>
        </w:rPr>
        <w:t>供应商反商业贿赂承诺书</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我公司承诺：</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在政府采购（</w:t>
      </w:r>
      <w:r>
        <w:rPr>
          <w:rFonts w:hint="eastAsia" w:ascii="宋体" w:hAnsi="宋体" w:cs="宋体"/>
          <w:color w:val="auto"/>
          <w:highlight w:val="none"/>
          <w:u w:val="single"/>
          <w:lang w:eastAsia="zh-CN"/>
        </w:rPr>
        <w:t>采购项目名称</w:t>
      </w:r>
      <w:r>
        <w:rPr>
          <w:rFonts w:hint="eastAsia" w:ascii="宋体" w:hAnsi="宋体" w:cs="宋体"/>
          <w:color w:val="auto"/>
          <w:highlight w:val="none"/>
          <w:lang w:eastAsia="zh-CN"/>
        </w:rPr>
        <w:t>）招标活动中，我公司保证做到：</w:t>
      </w:r>
    </w:p>
    <w:p>
      <w:pPr>
        <w:numPr>
          <w:ilvl w:val="0"/>
          <w:numId w:val="4"/>
        </w:numPr>
        <w:spacing w:line="360" w:lineRule="auto"/>
        <w:rPr>
          <w:rFonts w:ascii="宋体" w:hAnsi="宋体" w:cs="宋体"/>
          <w:color w:val="auto"/>
          <w:highlight w:val="none"/>
          <w:lang w:eastAsia="zh-CN"/>
        </w:rPr>
      </w:pPr>
      <w:r>
        <w:rPr>
          <w:rFonts w:hint="eastAsia" w:ascii="宋体" w:hAnsi="宋体" w:cs="宋体"/>
          <w:color w:val="auto"/>
          <w:highlight w:val="none"/>
          <w:lang w:eastAsia="zh-CN"/>
        </w:rPr>
        <w:t>公平竞争参加本次招标活动。</w:t>
      </w:r>
    </w:p>
    <w:p>
      <w:pPr>
        <w:numPr>
          <w:ilvl w:val="0"/>
          <w:numId w:val="4"/>
        </w:numPr>
        <w:spacing w:line="360" w:lineRule="auto"/>
        <w:rPr>
          <w:rFonts w:ascii="宋体" w:hAnsi="宋体" w:cs="宋体"/>
          <w:color w:val="auto"/>
          <w:highlight w:val="none"/>
          <w:lang w:eastAsia="zh-CN"/>
        </w:rPr>
      </w:pPr>
      <w:r>
        <w:rPr>
          <w:rFonts w:hint="eastAsia" w:ascii="宋体" w:hAnsi="宋体" w:cs="宋体"/>
          <w:color w:val="auto"/>
          <w:highlight w:val="none"/>
          <w:lang w:eastAsia="zh-CN"/>
        </w:rPr>
        <w:t xml:space="preserve">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 </w:t>
      </w:r>
    </w:p>
    <w:p>
      <w:pPr>
        <w:numPr>
          <w:ilvl w:val="0"/>
          <w:numId w:val="4"/>
        </w:numPr>
        <w:spacing w:line="360" w:lineRule="auto"/>
        <w:rPr>
          <w:rFonts w:ascii="宋体" w:hAnsi="宋体" w:cs="宋体"/>
          <w:color w:val="auto"/>
          <w:highlight w:val="none"/>
          <w:lang w:eastAsia="zh-CN"/>
        </w:rPr>
      </w:pPr>
      <w:r>
        <w:rPr>
          <w:rFonts w:hint="eastAsia" w:ascii="宋体" w:hAnsi="宋体" w:cs="宋体"/>
          <w:color w:val="auto"/>
          <w:highlight w:val="none"/>
          <w:lang w:eastAsia="zh-CN"/>
        </w:rPr>
        <w:t>若出现上述行为，我公司及参与投标的工作人员自愿接受按照国家法律、法规等有关规定给予的处罚。</w:t>
      </w:r>
    </w:p>
    <w:p>
      <w:pPr>
        <w:spacing w:line="360" w:lineRule="auto"/>
        <w:ind w:left="420"/>
        <w:rPr>
          <w:rFonts w:ascii="宋体" w:hAnsi="宋体" w:cs="宋体"/>
          <w:color w:val="auto"/>
          <w:highlight w:val="none"/>
          <w:lang w:eastAsia="zh-CN"/>
        </w:rPr>
      </w:pP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供应商名称（电子签章）：</w:t>
      </w:r>
      <w:r>
        <w:rPr>
          <w:rFonts w:hint="eastAsia" w:ascii="宋体" w:hAnsi="宋体" w:cs="宋体"/>
          <w:color w:val="auto"/>
          <w:highlight w:val="none"/>
          <w:u w:val="single"/>
          <w:lang w:eastAsia="zh-CN"/>
        </w:rPr>
        <w:t xml:space="preserve">                    </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法定代表人或其授权委托人（电子签章）：</w:t>
      </w:r>
      <w:r>
        <w:rPr>
          <w:rFonts w:hint="eastAsia" w:ascii="宋体" w:hAnsi="宋体" w:cs="宋体"/>
          <w:color w:val="auto"/>
          <w:highlight w:val="none"/>
          <w:u w:val="single"/>
          <w:lang w:eastAsia="zh-CN"/>
        </w:rPr>
        <w:t xml:space="preserve">                    </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日期：</w:t>
      </w:r>
      <w:r>
        <w:rPr>
          <w:rFonts w:hint="eastAsia" w:ascii="宋体" w:hAnsi="宋体" w:cs="宋体"/>
          <w:color w:val="auto"/>
          <w:highlight w:val="none"/>
          <w:u w:val="single"/>
          <w:lang w:eastAsia="zh-CN"/>
        </w:rPr>
        <w:t xml:space="preserve">                    </w:t>
      </w:r>
    </w:p>
    <w:p>
      <w:pPr>
        <w:rPr>
          <w:highlight w:val="none"/>
          <w:lang w:eastAsia="zh-CN"/>
        </w:rPr>
      </w:pPr>
      <w:r>
        <w:rPr>
          <w:highlight w:val="none"/>
          <w:lang w:eastAsia="zh-CN"/>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s="宋体"/>
          <w:b/>
          <w:bCs/>
          <w:color w:val="auto"/>
          <w:highlight w:val="none"/>
          <w:lang w:eastAsia="zh-CN"/>
        </w:rPr>
      </w:pPr>
      <w:bookmarkStart w:id="148" w:name="_Toc17553"/>
      <w:bookmarkStart w:id="149" w:name="_Toc19465"/>
      <w:bookmarkStart w:id="150" w:name="_Toc30104"/>
      <w:r>
        <w:rPr>
          <w:rFonts w:hint="eastAsia" w:ascii="宋体" w:hAnsi="宋体" w:eastAsia="宋体" w:cs="宋体"/>
          <w:b/>
          <w:bCs/>
          <w:color w:val="auto"/>
          <w:highlight w:val="none"/>
          <w:lang w:eastAsia="zh-CN"/>
        </w:rPr>
        <w:t>（二）</w:t>
      </w:r>
      <w:bookmarkStart w:id="151" w:name="_Toc9520"/>
      <w:bookmarkStart w:id="152" w:name="_Toc16425"/>
      <w:r>
        <w:rPr>
          <w:rFonts w:hint="eastAsia" w:ascii="宋体" w:hAnsi="宋体" w:eastAsia="宋体" w:cs="宋体"/>
          <w:b/>
          <w:bCs/>
          <w:color w:val="auto"/>
          <w:highlight w:val="none"/>
          <w:lang w:eastAsia="zh-CN"/>
        </w:rPr>
        <w:t>中小企业声明函</w:t>
      </w:r>
      <w:bookmarkEnd w:id="148"/>
      <w:bookmarkEnd w:id="149"/>
      <w:bookmarkEnd w:id="150"/>
      <w:bookmarkEnd w:id="151"/>
      <w:bookmarkEnd w:id="152"/>
    </w:p>
    <w:p>
      <w:pPr>
        <w:pStyle w:val="8"/>
        <w:autoSpaceDE w:val="0"/>
        <w:autoSpaceDN w:val="0"/>
        <w:spacing w:line="360" w:lineRule="auto"/>
        <w:ind w:firstLine="504" w:firstLineChars="200"/>
        <w:jc w:val="both"/>
        <w:rPr>
          <w:color w:val="auto"/>
          <w:sz w:val="24"/>
          <w:szCs w:val="24"/>
          <w:highlight w:val="none"/>
        </w:rPr>
      </w:pPr>
      <w:r>
        <w:rPr>
          <w:rFonts w:hint="eastAsia"/>
          <w:color w:val="auto"/>
          <w:spacing w:val="6"/>
          <w:sz w:val="24"/>
          <w:highlight w:val="none"/>
        </w:rPr>
        <w:t>本公司（联合体）郑重声明，根据《政府采购促进中小企业发展管理办法》（财库﹝2020﹞46号）的规定</w:t>
      </w:r>
      <w:r>
        <w:rPr>
          <w:rFonts w:hint="eastAsia"/>
          <w:color w:val="auto"/>
          <w:sz w:val="24"/>
          <w:szCs w:val="24"/>
          <w:highlight w:val="none"/>
        </w:rPr>
        <w:t>，本公司（联合体）</w:t>
      </w:r>
      <w:r>
        <w:rPr>
          <w:rFonts w:hint="eastAsia"/>
          <w:color w:val="auto"/>
          <w:spacing w:val="-8"/>
          <w:sz w:val="24"/>
          <w:szCs w:val="24"/>
          <w:highlight w:val="none"/>
        </w:rPr>
        <w:t>参加</w:t>
      </w:r>
      <w:r>
        <w:rPr>
          <w:rFonts w:hint="eastAsia"/>
          <w:color w:val="auto"/>
          <w:sz w:val="24"/>
          <w:szCs w:val="24"/>
          <w:highlight w:val="none"/>
          <w:u w:val="single"/>
        </w:rPr>
        <w:t>（单位名称）</w:t>
      </w:r>
      <w:r>
        <w:rPr>
          <w:rFonts w:hint="eastAsia"/>
          <w:color w:val="auto"/>
          <w:spacing w:val="-15"/>
          <w:sz w:val="24"/>
          <w:szCs w:val="24"/>
          <w:highlight w:val="none"/>
        </w:rPr>
        <w:t>的</w:t>
      </w:r>
      <w:r>
        <w:rPr>
          <w:rFonts w:hint="eastAsia"/>
          <w:color w:val="auto"/>
          <w:sz w:val="24"/>
          <w:szCs w:val="24"/>
          <w:highlight w:val="none"/>
          <w:u w:val="single"/>
        </w:rPr>
        <w:t>（项目名称）</w:t>
      </w:r>
      <w:r>
        <w:rPr>
          <w:rFonts w:hint="eastAsia"/>
          <w:color w:val="auto"/>
          <w:spacing w:val="-1"/>
          <w:sz w:val="24"/>
          <w:szCs w:val="24"/>
          <w:highlight w:val="none"/>
        </w:rPr>
        <w:t>采购活动，</w:t>
      </w:r>
      <w:r>
        <w:rPr>
          <w:rFonts w:hint="eastAsia"/>
          <w:color w:val="auto"/>
          <w:sz w:val="24"/>
          <w:szCs w:val="24"/>
          <w:highlight w:val="none"/>
        </w:rPr>
        <w:t>服务全部由符合政策要求的中小企业承接。相关企业（含联合体中的中小企业、签订分包意向协议的中小企业）的具体情况如下：</w:t>
      </w:r>
    </w:p>
    <w:p>
      <w:pPr>
        <w:pStyle w:val="72"/>
        <w:tabs>
          <w:tab w:val="left" w:pos="1243"/>
        </w:tabs>
        <w:autoSpaceDE w:val="0"/>
        <w:autoSpaceDN w:val="0"/>
        <w:spacing w:line="360" w:lineRule="auto"/>
        <w:ind w:left="0" w:firstLine="480" w:firstLineChars="200"/>
        <w:jc w:val="both"/>
        <w:rPr>
          <w:color w:val="auto"/>
          <w:highlight w:val="none"/>
        </w:rPr>
      </w:pPr>
      <w:r>
        <w:rPr>
          <w:rFonts w:hint="eastAsia"/>
          <w:color w:val="auto"/>
          <w:highlight w:val="none"/>
          <w:lang w:val="en-US"/>
        </w:rPr>
        <w:t>1.</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；承建（承接）企业为</w:t>
      </w:r>
      <w:r>
        <w:rPr>
          <w:rFonts w:hint="eastAsia"/>
          <w:color w:val="auto"/>
          <w:highlight w:val="none"/>
          <w:u w:val="single"/>
          <w:lang w:val="en-US"/>
        </w:rPr>
        <w:t xml:space="preserve">   </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lang w:val="en-US"/>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color w:val="auto"/>
          <w:highlight w:val="none"/>
        </w:rPr>
        <w:t>1</w:t>
      </w:r>
      <w:r>
        <w:rPr>
          <w:rFonts w:hint="eastAsia"/>
          <w:color w:val="auto"/>
          <w:highlight w:val="none"/>
        </w:rPr>
        <w:fldChar w:fldCharType="end"/>
      </w:r>
      <w:r>
        <w:rPr>
          <w:rFonts w:hint="eastAsia"/>
          <w:color w:val="auto"/>
          <w:highlight w:val="none"/>
        </w:rPr>
        <w:t>，属于</w:t>
      </w:r>
      <w:r>
        <w:rPr>
          <w:rFonts w:hint="eastAsia"/>
          <w:color w:val="auto"/>
          <w:highlight w:val="none"/>
          <w:u w:val="single"/>
        </w:rPr>
        <w:t>（中型企业、小型企业、微型企业）</w:t>
      </w:r>
      <w:r>
        <w:rPr>
          <w:rFonts w:hint="eastAsia"/>
          <w:color w:val="auto"/>
          <w:highlight w:val="none"/>
        </w:rPr>
        <w:t>；</w:t>
      </w:r>
    </w:p>
    <w:p>
      <w:pPr>
        <w:pStyle w:val="72"/>
        <w:tabs>
          <w:tab w:val="left" w:pos="1243"/>
          <w:tab w:val="left" w:pos="1806"/>
          <w:tab w:val="left" w:pos="5005"/>
          <w:tab w:val="left" w:pos="7213"/>
        </w:tabs>
        <w:autoSpaceDE w:val="0"/>
        <w:autoSpaceDN w:val="0"/>
        <w:spacing w:line="360" w:lineRule="auto"/>
        <w:ind w:left="0" w:firstLine="480" w:firstLineChars="200"/>
        <w:rPr>
          <w:color w:val="auto"/>
          <w:highlight w:val="none"/>
          <w:u w:val="single"/>
        </w:rPr>
      </w:pPr>
      <w:r>
        <w:rPr>
          <w:rFonts w:hint="eastAsia"/>
          <w:color w:val="auto"/>
          <w:highlight w:val="none"/>
          <w:lang w:val="en-US"/>
        </w:rPr>
        <w:t>2.</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；承建（承接）企业为</w:t>
      </w:r>
      <w:r>
        <w:rPr>
          <w:rFonts w:hint="eastAsia"/>
          <w:color w:val="auto"/>
          <w:highlight w:val="none"/>
          <w:u w:val="single"/>
          <w:lang w:val="en-US"/>
        </w:rPr>
        <w:t xml:space="preserve">     </w:t>
      </w:r>
      <w:r>
        <w:rPr>
          <w:rFonts w:hint="eastAsia"/>
          <w:color w:val="auto"/>
          <w:highlight w:val="none"/>
          <w:u w:val="single"/>
        </w:rPr>
        <w:t>（企业名称）</w:t>
      </w:r>
      <w:r>
        <w:rPr>
          <w:rFonts w:hint="eastAsia"/>
          <w:color w:val="auto"/>
          <w:highlight w:val="none"/>
        </w:rPr>
        <w:t>，从业人员</w:t>
      </w:r>
      <w:r>
        <w:rPr>
          <w:rFonts w:hint="eastAsia"/>
          <w:color w:val="auto"/>
          <w:w w:val="99"/>
          <w:highlight w:val="none"/>
          <w:u w:val="single"/>
        </w:rPr>
        <w:t xml:space="preserve"> </w:t>
      </w:r>
      <w:r>
        <w:rPr>
          <w:rFonts w:hint="eastAsia"/>
          <w:color w:val="auto"/>
          <w:w w:val="99"/>
          <w:highlight w:val="none"/>
          <w:u w:val="single"/>
          <w:lang w:val="en-US"/>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万元，属</w:t>
      </w:r>
      <w:r>
        <w:rPr>
          <w:rFonts w:hint="eastAsia"/>
          <w:color w:val="auto"/>
          <w:spacing w:val="-12"/>
          <w:highlight w:val="none"/>
        </w:rPr>
        <w:t>于</w:t>
      </w:r>
      <w:r>
        <w:rPr>
          <w:rFonts w:hint="eastAsia"/>
          <w:color w:val="auto"/>
          <w:highlight w:val="none"/>
          <w:u w:val="single"/>
        </w:rPr>
        <w:t>（中型企业、小型企业、微型企业）</w:t>
      </w:r>
      <w:r>
        <w:rPr>
          <w:rFonts w:hint="eastAsia"/>
          <w:color w:val="auto"/>
          <w:highlight w:val="none"/>
        </w:rPr>
        <w:t>；</w:t>
      </w:r>
    </w:p>
    <w:p>
      <w:pPr>
        <w:pStyle w:val="8"/>
        <w:autoSpaceDE w:val="0"/>
        <w:autoSpaceDN w:val="0"/>
        <w:spacing w:line="360" w:lineRule="auto"/>
        <w:ind w:firstLine="480" w:firstLineChars="200"/>
        <w:rPr>
          <w:color w:val="auto"/>
          <w:sz w:val="24"/>
          <w:szCs w:val="24"/>
          <w:highlight w:val="none"/>
        </w:rPr>
      </w:pPr>
      <w:r>
        <w:rPr>
          <w:rFonts w:hint="eastAsia"/>
          <w:color w:val="auto"/>
          <w:sz w:val="24"/>
          <w:szCs w:val="24"/>
          <w:highlight w:val="none"/>
        </w:rPr>
        <w:t>……</w:t>
      </w:r>
    </w:p>
    <w:p>
      <w:pPr>
        <w:pStyle w:val="8"/>
        <w:autoSpaceDE w:val="0"/>
        <w:autoSpaceDN w:val="0"/>
        <w:spacing w:line="360" w:lineRule="auto"/>
        <w:ind w:firstLine="468" w:firstLineChars="200"/>
        <w:jc w:val="both"/>
        <w:rPr>
          <w:color w:val="auto"/>
          <w:sz w:val="24"/>
          <w:szCs w:val="24"/>
          <w:highlight w:val="none"/>
        </w:rPr>
      </w:pPr>
      <w:r>
        <w:rPr>
          <w:rFonts w:hint="eastAsia"/>
          <w:color w:val="auto"/>
          <w:spacing w:val="-3"/>
          <w:sz w:val="24"/>
          <w:szCs w:val="24"/>
          <w:highlight w:val="none"/>
        </w:rPr>
        <w:t>以上企业，不属于大企业的分支机构，不存在控股股东</w:t>
      </w:r>
      <w:r>
        <w:rPr>
          <w:rFonts w:hint="eastAsia"/>
          <w:color w:val="auto"/>
          <w:spacing w:val="-5"/>
          <w:sz w:val="24"/>
          <w:szCs w:val="24"/>
          <w:highlight w:val="none"/>
        </w:rPr>
        <w:t>为大企业的情形，也不存在与大企业的负责人为同一人的情形。</w:t>
      </w:r>
    </w:p>
    <w:p>
      <w:pPr>
        <w:pStyle w:val="8"/>
        <w:autoSpaceDE w:val="0"/>
        <w:autoSpaceDN w:val="0"/>
        <w:spacing w:line="360" w:lineRule="auto"/>
        <w:ind w:firstLine="460" w:firstLineChars="200"/>
        <w:jc w:val="both"/>
        <w:rPr>
          <w:color w:val="auto"/>
          <w:spacing w:val="-5"/>
          <w:sz w:val="24"/>
          <w:szCs w:val="24"/>
          <w:highlight w:val="none"/>
        </w:rPr>
      </w:pPr>
      <w:r>
        <w:rPr>
          <w:rFonts w:hint="eastAsia"/>
          <w:color w:val="auto"/>
          <w:spacing w:val="-5"/>
          <w:sz w:val="24"/>
          <w:szCs w:val="24"/>
          <w:highlight w:val="none"/>
        </w:rPr>
        <w:t>本企业对上述声明内容的真实性负责。如有虚假，将依法承担相应责任。</w:t>
      </w:r>
    </w:p>
    <w:p>
      <w:pPr>
        <w:pStyle w:val="8"/>
        <w:autoSpaceDE w:val="0"/>
        <w:autoSpaceDN w:val="0"/>
        <w:spacing w:line="360" w:lineRule="auto"/>
        <w:ind w:firstLine="462" w:firstLineChars="200"/>
        <w:jc w:val="both"/>
        <w:rPr>
          <w:color w:val="auto"/>
          <w:spacing w:val="-5"/>
          <w:sz w:val="24"/>
          <w:szCs w:val="24"/>
          <w:highlight w:val="none"/>
        </w:rPr>
      </w:pPr>
      <w:r>
        <w:rPr>
          <w:rFonts w:hint="eastAsia"/>
          <w:b/>
          <w:bCs/>
          <w:color w:val="auto"/>
          <w:spacing w:val="-5"/>
          <w:sz w:val="24"/>
          <w:szCs w:val="24"/>
          <w:highlight w:val="none"/>
        </w:rPr>
        <w:t>注：本项目所属行业为：</w:t>
      </w:r>
      <w:r>
        <w:rPr>
          <w:rFonts w:hint="eastAsia"/>
          <w:b/>
          <w:bCs/>
          <w:color w:val="auto"/>
          <w:spacing w:val="-5"/>
          <w:sz w:val="24"/>
          <w:szCs w:val="24"/>
          <w:highlight w:val="none"/>
          <w:lang w:val="en-US"/>
        </w:rPr>
        <w:t>工程技术与设计服务业</w:t>
      </w:r>
      <w:r>
        <w:rPr>
          <w:rFonts w:hint="eastAsia"/>
          <w:b/>
          <w:bCs/>
          <w:color w:val="auto"/>
          <w:spacing w:val="-5"/>
          <w:sz w:val="24"/>
          <w:szCs w:val="24"/>
          <w:highlight w:val="none"/>
        </w:rPr>
        <w:t>。</w:t>
      </w:r>
    </w:p>
    <w:p>
      <w:pPr>
        <w:pStyle w:val="8"/>
        <w:spacing w:before="29" w:line="360" w:lineRule="auto"/>
        <w:ind w:left="4060" w:right="2166"/>
        <w:rPr>
          <w:color w:val="auto"/>
          <w:sz w:val="24"/>
          <w:szCs w:val="24"/>
          <w:highlight w:val="none"/>
        </w:rPr>
      </w:pPr>
    </w:p>
    <w:p>
      <w:pPr>
        <w:pStyle w:val="8"/>
        <w:spacing w:before="29" w:line="360" w:lineRule="auto"/>
        <w:ind w:left="4060" w:right="2166"/>
        <w:rPr>
          <w:color w:val="auto"/>
          <w:sz w:val="24"/>
          <w:szCs w:val="24"/>
          <w:highlight w:val="none"/>
          <w:u w:val="single"/>
          <w:lang w:val="en-US"/>
        </w:rPr>
      </w:pPr>
      <w:r>
        <w:rPr>
          <w:rFonts w:hint="eastAsia"/>
          <w:color w:val="auto"/>
          <w:sz w:val="24"/>
          <w:szCs w:val="24"/>
          <w:highlight w:val="none"/>
        </w:rPr>
        <w:t>企业名称（盖章）：</w:t>
      </w:r>
    </w:p>
    <w:p>
      <w:pPr>
        <w:pStyle w:val="8"/>
        <w:spacing w:before="29" w:line="360" w:lineRule="auto"/>
        <w:ind w:left="4060" w:right="2166"/>
        <w:rPr>
          <w:color w:val="auto"/>
          <w:sz w:val="24"/>
          <w:szCs w:val="24"/>
          <w:highlight w:val="none"/>
        </w:rPr>
      </w:pPr>
      <w:r>
        <w:rPr>
          <w:rFonts w:hint="eastAsia"/>
          <w:color w:val="auto"/>
          <w:spacing w:val="24"/>
          <w:sz w:val="24"/>
          <w:szCs w:val="24"/>
          <w:highlight w:val="none"/>
        </w:rPr>
        <w:t>日期：</w:t>
      </w:r>
    </w:p>
    <w:p>
      <w:pPr>
        <w:widowControl/>
        <w:spacing w:line="360" w:lineRule="auto"/>
        <w:rPr>
          <w:rFonts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 xml:space="preserve">说明： </w:t>
      </w:r>
    </w:p>
    <w:p>
      <w:pPr>
        <w:widowControl/>
        <w:spacing w:line="360" w:lineRule="auto"/>
        <w:rPr>
          <w:rFonts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 xml:space="preserve">1、从业人员、营业收入、资产总额填报上一年度数据，无上一年度数据的新成立企业可不填报。 </w:t>
      </w:r>
    </w:p>
    <w:p>
      <w:pPr>
        <w:widowControl/>
        <w:spacing w:line="360" w:lineRule="auto"/>
        <w:rPr>
          <w:rFonts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 xml:space="preserve">2、该声明函是针对小微型企业的，非小型、微型企业投标时不用提供该声明。 </w:t>
      </w:r>
    </w:p>
    <w:p>
      <w:pPr>
        <w:widowControl/>
        <w:spacing w:line="360" w:lineRule="auto"/>
        <w:rPr>
          <w:rFonts w:hint="eastAsia"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3、对于未预留份额专门面向中小企业采购的采购项目，以及预留份额项目中的非预留部分采购包，对符合中小企业扶持政策的小微企业报价给予 20%的扣除，用扣除后的价格参加评审。中小企业加政府采购活动，应当出具《中小企业声明函》，否则不得享受相关中小企业扶持政策。</w:t>
      </w:r>
    </w:p>
    <w:p>
      <w:pPr>
        <w:pStyle w:val="38"/>
        <w:rPr>
          <w:lang w:eastAsia="zh-CN"/>
        </w:rPr>
      </w:pPr>
    </w:p>
    <w:p>
      <w:pPr>
        <w:pStyle w:val="9"/>
        <w:rPr>
          <w:highlight w:val="none"/>
          <w:lang w:eastAsia="zh-CN"/>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s="宋体"/>
          <w:b/>
          <w:bCs/>
          <w:color w:val="auto"/>
          <w:highlight w:val="none"/>
          <w:lang w:eastAsia="zh-CN"/>
        </w:rPr>
      </w:pPr>
      <w:bookmarkStart w:id="153" w:name="_Toc21406"/>
      <w:bookmarkStart w:id="154" w:name="_Toc29274"/>
      <w:bookmarkStart w:id="155" w:name="_Toc32220"/>
      <w:r>
        <w:rPr>
          <w:rFonts w:hint="eastAsia" w:ascii="宋体" w:hAnsi="宋体" w:eastAsia="宋体" w:cs="宋体"/>
          <w:b/>
          <w:bCs/>
          <w:color w:val="auto"/>
          <w:highlight w:val="none"/>
          <w:lang w:eastAsia="zh-CN"/>
        </w:rPr>
        <w:t>（三）残疾人福利性单位声明函（如有）</w:t>
      </w:r>
      <w:bookmarkEnd w:id="153"/>
      <w:bookmarkEnd w:id="154"/>
      <w:bookmarkEnd w:id="155"/>
    </w:p>
    <w:p>
      <w:pPr>
        <w:spacing w:line="360" w:lineRule="auto"/>
        <w:ind w:firstLine="504"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本单位郑重声明，根据《财政部 民政部 中国残疾人联合会关于促进残疾人就业政府采购政策的通知》（财库</w:t>
      </w:r>
      <w:r>
        <w:rPr>
          <w:rFonts w:hint="eastAsia" w:ascii="宋体" w:hAnsi="宋体" w:eastAsia="宋体" w:cs="宋体"/>
          <w:color w:val="auto"/>
          <w:highlight w:val="none"/>
          <w:lang w:eastAsia="zh-CN"/>
        </w:rPr>
        <w:t>〔2017〕 141</w:t>
      </w:r>
      <w:r>
        <w:rPr>
          <w:rFonts w:hint="eastAsia" w:ascii="宋体" w:hAnsi="宋体" w:eastAsia="宋体" w:cs="宋体"/>
          <w:color w:val="auto"/>
          <w:spacing w:val="6"/>
          <w:highlight w:val="none"/>
          <w:lang w:eastAsia="zh-CN"/>
        </w:rPr>
        <w:t>号）的规定，本单位为符合条件的残疾人福利性单位，且本单位参加</w:t>
      </w:r>
      <w:r>
        <w:rPr>
          <w:rFonts w:hint="eastAsia" w:ascii="宋体" w:hAnsi="宋体" w:eastAsia="宋体" w:cs="宋体"/>
          <w:color w:val="auto"/>
          <w:spacing w:val="6"/>
          <w:highlight w:val="none"/>
          <w:u w:val="single"/>
          <w:lang w:eastAsia="zh-CN"/>
        </w:rPr>
        <w:t xml:space="preserve">       </w:t>
      </w:r>
      <w:r>
        <w:rPr>
          <w:rFonts w:hint="eastAsia" w:ascii="宋体" w:hAnsi="宋体" w:eastAsia="宋体" w:cs="宋体"/>
          <w:color w:val="auto"/>
          <w:spacing w:val="6"/>
          <w:highlight w:val="none"/>
          <w:lang w:eastAsia="zh-CN"/>
        </w:rPr>
        <w:t>单位的</w:t>
      </w:r>
      <w:r>
        <w:rPr>
          <w:rFonts w:hint="eastAsia" w:ascii="宋体" w:hAnsi="宋体" w:eastAsia="宋体" w:cs="宋体"/>
          <w:color w:val="auto"/>
          <w:spacing w:val="6"/>
          <w:highlight w:val="none"/>
          <w:u w:val="single"/>
          <w:lang w:eastAsia="zh-CN"/>
        </w:rPr>
        <w:t xml:space="preserve">      </w:t>
      </w:r>
      <w:r>
        <w:rPr>
          <w:rFonts w:hint="eastAsia" w:ascii="宋体" w:hAnsi="宋体" w:eastAsia="宋体" w:cs="宋体"/>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本单位对上述声明的真实性负责。如有虚假，将依法承担相应责任。</w:t>
      </w:r>
    </w:p>
    <w:p>
      <w:pPr>
        <w:tabs>
          <w:tab w:val="left" w:pos="4860"/>
        </w:tabs>
        <w:spacing w:line="360" w:lineRule="auto"/>
        <w:ind w:right="1560" w:firstLine="504" w:firstLineChars="200"/>
        <w:jc w:val="center"/>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 xml:space="preserve">               单位名称（盖章）：</w:t>
      </w:r>
    </w:p>
    <w:p>
      <w:pPr>
        <w:tabs>
          <w:tab w:val="left" w:pos="4860"/>
        </w:tabs>
        <w:spacing w:line="360" w:lineRule="auto"/>
        <w:ind w:right="1560" w:firstLine="504" w:firstLineChars="200"/>
        <w:jc w:val="center"/>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 xml:space="preserve">       日  期：</w:t>
      </w:r>
    </w:p>
    <w:p>
      <w:pPr>
        <w:tabs>
          <w:tab w:val="left" w:pos="840"/>
        </w:tabs>
        <w:autoSpaceDE w:val="0"/>
        <w:autoSpaceDN w:val="0"/>
        <w:adjustRightInd w:val="0"/>
        <w:spacing w:line="360" w:lineRule="auto"/>
        <w:jc w:val="center"/>
        <w:rPr>
          <w:rFonts w:ascii="宋体" w:hAnsi="宋体" w:eastAsia="宋体" w:cs="宋体"/>
          <w:b/>
          <w:color w:val="auto"/>
          <w:highlight w:val="none"/>
          <w:lang w:eastAsia="zh-CN"/>
        </w:rPr>
      </w:pPr>
    </w:p>
    <w:p>
      <w:pPr>
        <w:widowControl/>
        <w:spacing w:line="360" w:lineRule="auto"/>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（提醒：如果供应商</w:t>
      </w:r>
      <w:r>
        <w:rPr>
          <w:rFonts w:hint="eastAsia" w:ascii="宋体" w:hAnsi="宋体" w:eastAsia="宋体" w:cs="宋体"/>
          <w:b/>
          <w:color w:val="auto"/>
          <w:spacing w:val="10"/>
          <w:highlight w:val="none"/>
          <w:lang w:eastAsia="zh-CN"/>
        </w:rPr>
        <w:t>不是残疾人福利性单位</w:t>
      </w:r>
      <w:r>
        <w:rPr>
          <w:rFonts w:hint="eastAsia" w:ascii="宋体" w:hAnsi="宋体" w:eastAsia="宋体" w:cs="宋体"/>
          <w:b/>
          <w:color w:val="auto"/>
          <w:highlight w:val="none"/>
          <w:lang w:eastAsia="zh-CN"/>
        </w:rPr>
        <w:t>，则不需要提供《残疾人福利性单位声明函》。否则，因此导致虚假投标的后果由供应商自行承担。）</w:t>
      </w:r>
    </w:p>
    <w:p>
      <w:pPr>
        <w:tabs>
          <w:tab w:val="left" w:pos="840"/>
        </w:tabs>
        <w:autoSpaceDE w:val="0"/>
        <w:autoSpaceDN w:val="0"/>
        <w:adjustRightInd w:val="0"/>
        <w:spacing w:line="360" w:lineRule="auto"/>
        <w:rPr>
          <w:rFonts w:ascii="宋体" w:hAnsi="宋体" w:eastAsia="宋体" w:cs="宋体"/>
          <w:b/>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《财政部民政部中国残疾人联合会关于促进残疾人就业政府采购政策的通知》（财库（2017〔141〕号）的规定：</w:t>
      </w:r>
    </w:p>
    <w:p>
      <w:pPr>
        <w:spacing w:line="360" w:lineRule="auto"/>
        <w:ind w:firstLine="48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 享受政府采购支持政策的残疾人福利性单位应当同时满足以下条件：</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（1）安置的残疾人占本单位在职职工人数的比例不低于25%（含25%），并且安置的残疾人人数不少于10人（含10人）；</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（2）依法与安置的每位残疾人签订了一年以上（含一年）的劳动合同或服务协议；</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（3）为安置的每位残疾人按月足额缴纳了基本养老保险、基本医疗保险、失业保险、工伤保险和生育保险等社会保险费；</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（4）通过银行等金融机构向安置的每位残疾人，按月支付了不低于单位所在区县适用的经省级人民政府批准的月最低工资标准的工资；</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（5）提供本单位制造的货物、承担的工程或者服务（以下简称产品），或者提供其他残疾人福利性单位制造的货物（不包括使用非残疾人福利性单位注册商标的货物）。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2. 成交单位为残疾人福利性单位的，采购人或者其委托的采购代理机构应当随中标、成交结果同时公告其《残疾人福利性单位声明函》，接受社会监督。</w:t>
      </w:r>
    </w:p>
    <w:p>
      <w:pPr>
        <w:pStyle w:val="8"/>
        <w:rPr>
          <w:color w:val="auto"/>
          <w:sz w:val="24"/>
          <w:highlight w:val="none"/>
        </w:rPr>
      </w:pPr>
    </w:p>
    <w:p>
      <w:pPr>
        <w:pStyle w:val="9"/>
        <w:rPr>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（四）其他材料</w:t>
      </w:r>
    </w:p>
    <w:p>
      <w:pPr>
        <w:pStyle w:val="9"/>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格式内容自拟，供应商认为有必要提供的其他材料</w:t>
      </w:r>
    </w:p>
    <w:p>
      <w:pPr>
        <w:pStyle w:val="9"/>
        <w:spacing w:line="360" w:lineRule="auto"/>
        <w:ind w:firstLine="480" w:firstLineChars="200"/>
        <w:rPr>
          <w:rFonts w:ascii="宋体" w:hAnsi="宋体" w:eastAsia="宋体" w:cs="宋体"/>
          <w:sz w:val="24"/>
          <w:szCs w:val="24"/>
          <w:highlight w:val="none"/>
          <w:lang w:eastAsia="zh-CN"/>
        </w:rPr>
      </w:pPr>
    </w:p>
    <w:sectPr>
      <w:footerReference r:id="rId5" w:type="default"/>
      <w:pgSz w:w="11900" w:h="16840"/>
      <w:pgMar w:top="1529" w:right="1591" w:bottom="1297" w:left="1756" w:header="1101" w:footer="737" w:gutter="0"/>
      <w:pgNumType w:fmt="decimal" w:start="35"/>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default"/>
                              <w:lang w:val="en-US"/>
                            </w:rPr>
                            <w:t>34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default"/>
                        <w:lang w:val="en-US"/>
                      </w:rPr>
                      <w:t>34</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inline distT="0" distB="0" distL="114300" distR="114300">
              <wp:extent cx="1828800" cy="1828800"/>
              <wp:effectExtent l="0" t="0" r="0" b="0"/>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35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rPr>
                        <w:rFonts w:hint="default"/>
                        <w:lang w:val="en-US"/>
                      </w:rPr>
                    </w:pPr>
                    <w:r>
                      <w:rPr>
                        <w:rFonts w:hint="default"/>
                        <w:lang w:val="en-US"/>
                      </w:rPr>
                      <w:t>35</w:t>
                    </w:r>
                  </w:p>
                </w:txbxContent>
              </v:textbox>
              <w10:wrap type="non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A94A9"/>
    <w:multiLevelType w:val="singleLevel"/>
    <w:tmpl w:val="B23A94A9"/>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EADF99"/>
    <w:multiLevelType w:val="singleLevel"/>
    <w:tmpl w:val="12EADF99"/>
    <w:lvl w:ilvl="0" w:tentative="0">
      <w:start w:val="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3F544A6D"/>
    <w:multiLevelType w:val="multilevel"/>
    <w:tmpl w:val="3F544A6D"/>
    <w:lvl w:ilvl="0" w:tentative="0">
      <w:start w:val="1"/>
      <w:numFmt w:val="japaneseCounting"/>
      <w:lvlText w:val="第%1条"/>
      <w:lvlJc w:val="left"/>
      <w:pPr>
        <w:ind w:left="420" w:hanging="420"/>
      </w:pPr>
      <w:rPr>
        <w:rFonts w:hint="eastAsia"/>
        <w:b w:val="0"/>
        <w:u w:val="no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e004e608-6d5b-4ef8-9b2b-8a7a4ae2dc5b"/>
  </w:docVars>
  <w:rsids>
    <w:rsidRoot w:val="32685F06"/>
    <w:rsid w:val="00000684"/>
    <w:rsid w:val="00113D76"/>
    <w:rsid w:val="00131EEC"/>
    <w:rsid w:val="00316E9F"/>
    <w:rsid w:val="00322080"/>
    <w:rsid w:val="003624AB"/>
    <w:rsid w:val="003F7839"/>
    <w:rsid w:val="00493053"/>
    <w:rsid w:val="004A2502"/>
    <w:rsid w:val="00624CCC"/>
    <w:rsid w:val="006D12E9"/>
    <w:rsid w:val="00821E14"/>
    <w:rsid w:val="0085623D"/>
    <w:rsid w:val="00862CA7"/>
    <w:rsid w:val="00955B10"/>
    <w:rsid w:val="00A448AC"/>
    <w:rsid w:val="00AC1DC1"/>
    <w:rsid w:val="00C904C1"/>
    <w:rsid w:val="00CF2FF0"/>
    <w:rsid w:val="00D3142E"/>
    <w:rsid w:val="00DB453D"/>
    <w:rsid w:val="00EB7E07"/>
    <w:rsid w:val="00F803CD"/>
    <w:rsid w:val="00FB030A"/>
    <w:rsid w:val="00FC5996"/>
    <w:rsid w:val="01136EF7"/>
    <w:rsid w:val="020D488C"/>
    <w:rsid w:val="02551A35"/>
    <w:rsid w:val="03444964"/>
    <w:rsid w:val="038F7BB8"/>
    <w:rsid w:val="05357D10"/>
    <w:rsid w:val="05D7268D"/>
    <w:rsid w:val="06034410"/>
    <w:rsid w:val="06B00810"/>
    <w:rsid w:val="06B71B97"/>
    <w:rsid w:val="099E0CB4"/>
    <w:rsid w:val="0A5C592B"/>
    <w:rsid w:val="0B0C4973"/>
    <w:rsid w:val="0C8B665C"/>
    <w:rsid w:val="0CBD67E6"/>
    <w:rsid w:val="0D0C434C"/>
    <w:rsid w:val="0D411050"/>
    <w:rsid w:val="0DA4405F"/>
    <w:rsid w:val="0E2D66C5"/>
    <w:rsid w:val="0E4B33CD"/>
    <w:rsid w:val="0EF44384"/>
    <w:rsid w:val="0F6F63CE"/>
    <w:rsid w:val="103E1817"/>
    <w:rsid w:val="10557A3A"/>
    <w:rsid w:val="1084784A"/>
    <w:rsid w:val="10F474A7"/>
    <w:rsid w:val="11417F12"/>
    <w:rsid w:val="11F51C4C"/>
    <w:rsid w:val="133E22B0"/>
    <w:rsid w:val="13687013"/>
    <w:rsid w:val="14BA2D03"/>
    <w:rsid w:val="14E759FD"/>
    <w:rsid w:val="165825D9"/>
    <w:rsid w:val="16CB7CD9"/>
    <w:rsid w:val="16D51170"/>
    <w:rsid w:val="17486E4C"/>
    <w:rsid w:val="17B76EF9"/>
    <w:rsid w:val="19037FE5"/>
    <w:rsid w:val="19410B0E"/>
    <w:rsid w:val="1B2168A4"/>
    <w:rsid w:val="1B4D19EC"/>
    <w:rsid w:val="1B5C045E"/>
    <w:rsid w:val="1BB75683"/>
    <w:rsid w:val="1D1D1537"/>
    <w:rsid w:val="1D235A85"/>
    <w:rsid w:val="1DFF2D66"/>
    <w:rsid w:val="1E0E0A04"/>
    <w:rsid w:val="1E2E1B59"/>
    <w:rsid w:val="1E5220D4"/>
    <w:rsid w:val="1F2E46FC"/>
    <w:rsid w:val="1F3C4928"/>
    <w:rsid w:val="2022551C"/>
    <w:rsid w:val="20C00912"/>
    <w:rsid w:val="21397216"/>
    <w:rsid w:val="21A310E3"/>
    <w:rsid w:val="21A9734A"/>
    <w:rsid w:val="2271533D"/>
    <w:rsid w:val="235B2B23"/>
    <w:rsid w:val="235B4D88"/>
    <w:rsid w:val="236D76BA"/>
    <w:rsid w:val="24180D53"/>
    <w:rsid w:val="241D6FC2"/>
    <w:rsid w:val="243834EA"/>
    <w:rsid w:val="245367AE"/>
    <w:rsid w:val="25874E59"/>
    <w:rsid w:val="26A147F8"/>
    <w:rsid w:val="26A47B7F"/>
    <w:rsid w:val="28973AA8"/>
    <w:rsid w:val="28E219C5"/>
    <w:rsid w:val="290350CE"/>
    <w:rsid w:val="29964061"/>
    <w:rsid w:val="29E85667"/>
    <w:rsid w:val="2A2D6D9A"/>
    <w:rsid w:val="2AB7478C"/>
    <w:rsid w:val="2B080047"/>
    <w:rsid w:val="2B372868"/>
    <w:rsid w:val="2BCC7460"/>
    <w:rsid w:val="2BE069BC"/>
    <w:rsid w:val="2C132344"/>
    <w:rsid w:val="2C8A7839"/>
    <w:rsid w:val="2D0F07B8"/>
    <w:rsid w:val="2ED95618"/>
    <w:rsid w:val="2F8530AA"/>
    <w:rsid w:val="2FE62581"/>
    <w:rsid w:val="304078BC"/>
    <w:rsid w:val="30F524B2"/>
    <w:rsid w:val="31F455AC"/>
    <w:rsid w:val="32685F06"/>
    <w:rsid w:val="327369D7"/>
    <w:rsid w:val="33423458"/>
    <w:rsid w:val="3366631A"/>
    <w:rsid w:val="33A87BC0"/>
    <w:rsid w:val="34957D93"/>
    <w:rsid w:val="35777B3C"/>
    <w:rsid w:val="35845DEA"/>
    <w:rsid w:val="367D20B4"/>
    <w:rsid w:val="36851BE2"/>
    <w:rsid w:val="36C97D20"/>
    <w:rsid w:val="38B96F71"/>
    <w:rsid w:val="38FC0F83"/>
    <w:rsid w:val="3ABD13EE"/>
    <w:rsid w:val="3B7C547B"/>
    <w:rsid w:val="3C722C08"/>
    <w:rsid w:val="3CCB17DB"/>
    <w:rsid w:val="3D772F1A"/>
    <w:rsid w:val="3DCF7CFD"/>
    <w:rsid w:val="3EFA2545"/>
    <w:rsid w:val="3F1A1160"/>
    <w:rsid w:val="40081045"/>
    <w:rsid w:val="405E4B48"/>
    <w:rsid w:val="41197521"/>
    <w:rsid w:val="415833A9"/>
    <w:rsid w:val="416B15C0"/>
    <w:rsid w:val="425C0598"/>
    <w:rsid w:val="432E6E4B"/>
    <w:rsid w:val="437C2F40"/>
    <w:rsid w:val="43A62B94"/>
    <w:rsid w:val="441C4F11"/>
    <w:rsid w:val="45154029"/>
    <w:rsid w:val="45277935"/>
    <w:rsid w:val="469B5FE6"/>
    <w:rsid w:val="46DA77E0"/>
    <w:rsid w:val="4748457E"/>
    <w:rsid w:val="48420D80"/>
    <w:rsid w:val="49F41101"/>
    <w:rsid w:val="4A4D1BA4"/>
    <w:rsid w:val="4A6902EC"/>
    <w:rsid w:val="4AE455EC"/>
    <w:rsid w:val="4BF51380"/>
    <w:rsid w:val="4C232819"/>
    <w:rsid w:val="4CBA5328"/>
    <w:rsid w:val="4CFE5C64"/>
    <w:rsid w:val="4D0C49B3"/>
    <w:rsid w:val="4D1B632E"/>
    <w:rsid w:val="4DD80D20"/>
    <w:rsid w:val="4FF6307B"/>
    <w:rsid w:val="502B49B8"/>
    <w:rsid w:val="50724756"/>
    <w:rsid w:val="5136054A"/>
    <w:rsid w:val="5284642F"/>
    <w:rsid w:val="5386343C"/>
    <w:rsid w:val="548616DB"/>
    <w:rsid w:val="556C5AC5"/>
    <w:rsid w:val="55D45479"/>
    <w:rsid w:val="56976776"/>
    <w:rsid w:val="57B8376D"/>
    <w:rsid w:val="58C45019"/>
    <w:rsid w:val="58DB503F"/>
    <w:rsid w:val="597A3A18"/>
    <w:rsid w:val="59A72A92"/>
    <w:rsid w:val="59E05D50"/>
    <w:rsid w:val="5A37689F"/>
    <w:rsid w:val="5A527540"/>
    <w:rsid w:val="5B3244B5"/>
    <w:rsid w:val="5B3972E1"/>
    <w:rsid w:val="5CFF3517"/>
    <w:rsid w:val="5D080CF3"/>
    <w:rsid w:val="5E5217E9"/>
    <w:rsid w:val="5EB617B3"/>
    <w:rsid w:val="612726B6"/>
    <w:rsid w:val="61812554"/>
    <w:rsid w:val="62892B30"/>
    <w:rsid w:val="629628FD"/>
    <w:rsid w:val="62BA71DD"/>
    <w:rsid w:val="63CE1E98"/>
    <w:rsid w:val="64255E6C"/>
    <w:rsid w:val="64B85A8B"/>
    <w:rsid w:val="65B75386"/>
    <w:rsid w:val="661533BE"/>
    <w:rsid w:val="664223F8"/>
    <w:rsid w:val="66A06FCE"/>
    <w:rsid w:val="66AC3408"/>
    <w:rsid w:val="673F497B"/>
    <w:rsid w:val="67AA5810"/>
    <w:rsid w:val="68432152"/>
    <w:rsid w:val="686612B3"/>
    <w:rsid w:val="68A23D7E"/>
    <w:rsid w:val="69603C65"/>
    <w:rsid w:val="6A9A3D79"/>
    <w:rsid w:val="6B1155E8"/>
    <w:rsid w:val="6B442BC4"/>
    <w:rsid w:val="6C8E43BC"/>
    <w:rsid w:val="6D2C79D5"/>
    <w:rsid w:val="6D660C72"/>
    <w:rsid w:val="6D896923"/>
    <w:rsid w:val="6DBE53FE"/>
    <w:rsid w:val="6E9109ED"/>
    <w:rsid w:val="6EE73F19"/>
    <w:rsid w:val="6F8D4049"/>
    <w:rsid w:val="6F8E1728"/>
    <w:rsid w:val="6FCA022D"/>
    <w:rsid w:val="6FF55C0F"/>
    <w:rsid w:val="6FF87CEB"/>
    <w:rsid w:val="70AF7172"/>
    <w:rsid w:val="720A6E64"/>
    <w:rsid w:val="7222212A"/>
    <w:rsid w:val="72563E57"/>
    <w:rsid w:val="72EC3309"/>
    <w:rsid w:val="72EE6302"/>
    <w:rsid w:val="731C6E4F"/>
    <w:rsid w:val="73243F55"/>
    <w:rsid w:val="73A66718"/>
    <w:rsid w:val="73AA3AB8"/>
    <w:rsid w:val="73E97832"/>
    <w:rsid w:val="74402A5D"/>
    <w:rsid w:val="74445546"/>
    <w:rsid w:val="74791404"/>
    <w:rsid w:val="749A3AF2"/>
    <w:rsid w:val="76784FB9"/>
    <w:rsid w:val="77A24880"/>
    <w:rsid w:val="77A92C7B"/>
    <w:rsid w:val="77BE58ED"/>
    <w:rsid w:val="77CF6A26"/>
    <w:rsid w:val="781F1006"/>
    <w:rsid w:val="78243599"/>
    <w:rsid w:val="78311B0E"/>
    <w:rsid w:val="786A73F5"/>
    <w:rsid w:val="78D25E1D"/>
    <w:rsid w:val="79705DA3"/>
    <w:rsid w:val="79F75693"/>
    <w:rsid w:val="7AB20098"/>
    <w:rsid w:val="7AD16BF5"/>
    <w:rsid w:val="7BB41AC3"/>
    <w:rsid w:val="7C983B7B"/>
    <w:rsid w:val="7E526BA9"/>
    <w:rsid w:val="7E7D055C"/>
    <w:rsid w:val="7EAF0B77"/>
    <w:rsid w:val="7EF8753F"/>
    <w:rsid w:val="7F2E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1"/>
    <w:pPr>
      <w:ind w:left="118" w:right="324"/>
      <w:jc w:val="center"/>
      <w:outlineLvl w:val="0"/>
    </w:pPr>
    <w:rPr>
      <w:rFonts w:ascii="仿宋" w:hAnsi="仿宋" w:eastAsia="仿宋" w:cs="仿宋"/>
      <w:b/>
      <w:bCs/>
      <w:sz w:val="84"/>
      <w:szCs w:val="84"/>
      <w:lang w:val="zh-CN" w:eastAsia="zh-CN" w:bidi="zh-CN"/>
    </w:rPr>
  </w:style>
  <w:style w:type="paragraph" w:styleId="3">
    <w:name w:val="heading 2"/>
    <w:basedOn w:val="1"/>
    <w:next w:val="1"/>
    <w:qFormat/>
    <w:uiPriority w:val="1"/>
    <w:pPr>
      <w:spacing w:before="11"/>
      <w:ind w:left="505" w:right="249"/>
      <w:jc w:val="center"/>
      <w:outlineLvl w:val="1"/>
    </w:pPr>
    <w:rPr>
      <w:rFonts w:ascii="仿宋" w:hAnsi="仿宋" w:eastAsia="仿宋" w:cs="仿宋"/>
      <w:b/>
      <w:bCs/>
      <w:sz w:val="44"/>
      <w:szCs w:val="44"/>
      <w:lang w:val="zh-CN" w:eastAsia="zh-CN" w:bidi="zh-CN"/>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qFormat/>
    <w:uiPriority w:val="1"/>
    <w:pPr>
      <w:spacing w:before="35"/>
      <w:ind w:left="123" w:right="324"/>
      <w:jc w:val="center"/>
      <w:outlineLvl w:val="5"/>
    </w:pPr>
    <w:rPr>
      <w:rFonts w:ascii="仿宋" w:hAnsi="仿宋" w:eastAsia="仿宋" w:cs="仿宋"/>
      <w:b/>
      <w:bCs/>
      <w:sz w:val="28"/>
      <w:szCs w:val="28"/>
      <w:lang w:val="zh-CN" w:eastAsia="zh-CN" w:bidi="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toa heading"/>
    <w:basedOn w:val="1"/>
    <w:next w:val="1"/>
    <w:qFormat/>
    <w:uiPriority w:val="0"/>
    <w:pPr>
      <w:spacing w:before="120"/>
    </w:pPr>
    <w:rPr>
      <w:rFonts w:ascii="Cambria" w:hAnsi="Cambria"/>
    </w:rPr>
  </w:style>
  <w:style w:type="paragraph" w:styleId="8">
    <w:name w:val="Body Text"/>
    <w:basedOn w:val="1"/>
    <w:next w:val="9"/>
    <w:qFormat/>
    <w:uiPriority w:val="1"/>
    <w:rPr>
      <w:rFonts w:ascii="宋体" w:hAnsi="宋体" w:eastAsia="宋体" w:cs="宋体"/>
      <w:sz w:val="21"/>
      <w:szCs w:val="21"/>
      <w:lang w:val="zh-CN" w:eastAsia="zh-CN" w:bidi="zh-CN"/>
    </w:rPr>
  </w:style>
  <w:style w:type="paragraph" w:styleId="9">
    <w:name w:val="Body Text 2"/>
    <w:basedOn w:val="1"/>
    <w:qFormat/>
    <w:uiPriority w:val="0"/>
    <w:pPr>
      <w:suppressAutoHyphens/>
    </w:pPr>
    <w:rPr>
      <w:kern w:val="1"/>
      <w:sz w:val="28"/>
      <w:szCs w:val="20"/>
    </w:rPr>
  </w:style>
  <w:style w:type="paragraph" w:styleId="10">
    <w:name w:val="Body Text Indent"/>
    <w:basedOn w:val="1"/>
    <w:qFormat/>
    <w:uiPriority w:val="0"/>
    <w:pPr>
      <w:ind w:firstLine="630"/>
    </w:pPr>
    <w:rPr>
      <w:sz w:val="32"/>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Arial" w:hAnsi="Arial"/>
      <w:sz w:val="24"/>
      <w:szCs w:val="24"/>
    </w:rPr>
  </w:style>
  <w:style w:type="paragraph" w:styleId="20">
    <w:name w:val="Normal (Web)"/>
    <w:basedOn w:val="1"/>
    <w:qFormat/>
    <w:uiPriority w:val="0"/>
    <w:rPr>
      <w:lang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25">
    <w:name w:val="page number"/>
    <w:basedOn w:val="23"/>
    <w:qFormat/>
    <w:uiPriority w:val="0"/>
  </w:style>
  <w:style w:type="character" w:styleId="26">
    <w:name w:val="FollowedHyperlink"/>
    <w:basedOn w:val="23"/>
    <w:qFormat/>
    <w:uiPriority w:val="0"/>
    <w:rPr>
      <w:rFonts w:ascii="Times New Roman" w:hAnsi="Times New Roman" w:eastAsia="Times New Roman" w:cs="Times New Roman"/>
      <w:color w:val="800080"/>
      <w:spacing w:val="0"/>
      <w:w w:val="100"/>
      <w:position w:val="0"/>
      <w:sz w:val="24"/>
      <w:szCs w:val="24"/>
      <w:u w:val="none"/>
      <w:shd w:val="clear" w:color="auto" w:fill="auto"/>
      <w:lang w:val="en-US" w:eastAsia="en-US" w:bidi="en-US"/>
    </w:rPr>
  </w:style>
  <w:style w:type="character" w:styleId="27">
    <w:name w:val="Emphasis"/>
    <w:basedOn w:val="23"/>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28">
    <w:name w:val="HTML Definition"/>
    <w:basedOn w:val="23"/>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29">
    <w:name w:val="HTML Typewriter"/>
    <w:basedOn w:val="23"/>
    <w:qFormat/>
    <w:uiPriority w:val="0"/>
    <w:rPr>
      <w:rFonts w:hint="default" w:ascii="monospace" w:hAnsi="monospace" w:eastAsia="monospace" w:cs="monospace"/>
      <w:color w:val="000000"/>
      <w:spacing w:val="0"/>
      <w:w w:val="100"/>
      <w:position w:val="0"/>
      <w:sz w:val="20"/>
      <w:szCs w:val="24"/>
      <w:shd w:val="clear" w:color="auto" w:fill="auto"/>
      <w:lang w:val="en-US" w:eastAsia="en-US" w:bidi="en-US"/>
    </w:rPr>
  </w:style>
  <w:style w:type="character" w:styleId="30">
    <w:name w:val="HTML Acronym"/>
    <w:basedOn w:val="23"/>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31">
    <w:name w:val="HTML Variable"/>
    <w:basedOn w:val="23"/>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32">
    <w:name w:val="Hyperlink"/>
    <w:basedOn w:val="23"/>
    <w:qFormat/>
    <w:uiPriority w:val="0"/>
    <w:rPr>
      <w:rFonts w:ascii="Times New Roman" w:hAnsi="Times New Roman" w:eastAsia="Times New Roman" w:cs="Times New Roman"/>
      <w:color w:val="0000FF"/>
      <w:spacing w:val="0"/>
      <w:w w:val="100"/>
      <w:position w:val="0"/>
      <w:sz w:val="24"/>
      <w:szCs w:val="24"/>
      <w:u w:val="none"/>
      <w:shd w:val="clear" w:color="auto" w:fill="auto"/>
      <w:lang w:val="en-US" w:eastAsia="en-US" w:bidi="en-US"/>
    </w:rPr>
  </w:style>
  <w:style w:type="character" w:styleId="33">
    <w:name w:val="HTML Code"/>
    <w:basedOn w:val="23"/>
    <w:qFormat/>
    <w:uiPriority w:val="0"/>
    <w:rPr>
      <w:rFonts w:hint="default" w:ascii="monospace" w:hAnsi="monospace" w:eastAsia="monospace" w:cs="monospace"/>
      <w:color w:val="000000"/>
      <w:spacing w:val="0"/>
      <w:w w:val="100"/>
      <w:position w:val="0"/>
      <w:sz w:val="20"/>
      <w:szCs w:val="24"/>
      <w:shd w:val="clear" w:color="auto" w:fill="auto"/>
      <w:lang w:val="en-US" w:eastAsia="en-US" w:bidi="en-US"/>
    </w:rPr>
  </w:style>
  <w:style w:type="character" w:styleId="34">
    <w:name w:val="HTML Cite"/>
    <w:basedOn w:val="23"/>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35">
    <w:name w:val="HTML Keyboard"/>
    <w:basedOn w:val="23"/>
    <w:qFormat/>
    <w:uiPriority w:val="0"/>
    <w:rPr>
      <w:rFonts w:ascii="monospace" w:hAnsi="monospace" w:eastAsia="monospace" w:cs="monospace"/>
      <w:color w:val="000000"/>
      <w:spacing w:val="0"/>
      <w:w w:val="100"/>
      <w:position w:val="0"/>
      <w:sz w:val="20"/>
      <w:szCs w:val="24"/>
      <w:shd w:val="clear" w:color="auto" w:fill="auto"/>
      <w:lang w:val="en-US" w:eastAsia="en-US" w:bidi="en-US"/>
    </w:rPr>
  </w:style>
  <w:style w:type="character" w:styleId="36">
    <w:name w:val="HTML Sample"/>
    <w:basedOn w:val="23"/>
    <w:qFormat/>
    <w:uiPriority w:val="0"/>
    <w:rPr>
      <w:rFonts w:hint="default" w:ascii="monospace" w:hAnsi="monospace" w:eastAsia="monospace" w:cs="monospace"/>
      <w:color w:val="000000"/>
      <w:spacing w:val="0"/>
      <w:w w:val="100"/>
      <w:position w:val="0"/>
      <w:sz w:val="24"/>
      <w:szCs w:val="24"/>
      <w:shd w:val="clear" w:color="auto" w:fill="auto"/>
      <w:lang w:val="en-US" w:eastAsia="en-US" w:bidi="en-US"/>
    </w:rPr>
  </w:style>
  <w:style w:type="paragraph" w:customStyle="1" w:styleId="37">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无间隔1"/>
    <w:basedOn w:val="1"/>
    <w:qFormat/>
    <w:uiPriority w:val="1"/>
    <w:pPr>
      <w:spacing w:line="400" w:lineRule="exact"/>
    </w:pPr>
  </w:style>
  <w:style w:type="paragraph" w:customStyle="1" w:styleId="39">
    <w:name w:val="style4"/>
    <w:basedOn w:val="1"/>
    <w:next w:val="40"/>
    <w:qFormat/>
    <w:uiPriority w:val="0"/>
    <w:pPr>
      <w:spacing w:before="100" w:beforeAutospacing="1" w:after="100" w:afterAutospacing="1"/>
    </w:pPr>
    <w:rPr>
      <w:rFonts w:ascii="宋体" w:hAnsi="宋体" w:cs="宋体"/>
      <w:sz w:val="18"/>
      <w:szCs w:val="18"/>
    </w:rPr>
  </w:style>
  <w:style w:type="paragraph" w:customStyle="1" w:styleId="40">
    <w:name w:val="2"/>
    <w:basedOn w:val="1"/>
    <w:next w:val="1"/>
    <w:qFormat/>
    <w:uiPriority w:val="0"/>
    <w:pPr>
      <w:adjustRightInd w:val="0"/>
      <w:spacing w:line="420" w:lineRule="atLeast"/>
      <w:ind w:left="1134" w:hanging="227"/>
      <w:textAlignment w:val="baseline"/>
    </w:pPr>
  </w:style>
  <w:style w:type="character" w:customStyle="1" w:styleId="41">
    <w:name w:val="Heading #1|1_"/>
    <w:basedOn w:val="23"/>
    <w:link w:val="42"/>
    <w:qFormat/>
    <w:uiPriority w:val="0"/>
    <w:rPr>
      <w:rFonts w:ascii="宋体" w:hAnsi="宋体" w:eastAsia="宋体" w:cs="宋体"/>
      <w:b/>
      <w:bCs/>
      <w:color w:val="000000"/>
      <w:spacing w:val="0"/>
      <w:w w:val="100"/>
      <w:position w:val="0"/>
      <w:sz w:val="48"/>
      <w:szCs w:val="48"/>
      <w:u w:val="none"/>
      <w:shd w:val="clear" w:color="auto" w:fill="auto"/>
      <w:lang w:val="zh-TW" w:eastAsia="zh-TW" w:bidi="zh-TW"/>
    </w:rPr>
  </w:style>
  <w:style w:type="paragraph" w:customStyle="1" w:styleId="42">
    <w:name w:val="Heading #1|1"/>
    <w:basedOn w:val="1"/>
    <w:link w:val="41"/>
    <w:qFormat/>
    <w:uiPriority w:val="0"/>
    <w:pPr>
      <w:spacing w:after="1760" w:line="624" w:lineRule="exact"/>
      <w:jc w:val="center"/>
      <w:outlineLvl w:val="0"/>
    </w:pPr>
    <w:rPr>
      <w:rFonts w:ascii="宋体" w:hAnsi="宋体" w:eastAsia="宋体" w:cs="宋体"/>
      <w:b/>
      <w:bCs/>
      <w:sz w:val="48"/>
      <w:szCs w:val="48"/>
      <w:lang w:val="zh-TW" w:eastAsia="zh-TW" w:bidi="zh-TW"/>
    </w:rPr>
  </w:style>
  <w:style w:type="character" w:customStyle="1" w:styleId="43">
    <w:name w:val="Body text|5_"/>
    <w:basedOn w:val="23"/>
    <w:link w:val="44"/>
    <w:qFormat/>
    <w:uiPriority w:val="0"/>
    <w:rPr>
      <w:rFonts w:ascii="宋体" w:hAnsi="宋体" w:eastAsia="宋体" w:cs="宋体"/>
      <w:b/>
      <w:bCs/>
      <w:color w:val="000000"/>
      <w:spacing w:val="0"/>
      <w:w w:val="100"/>
      <w:position w:val="0"/>
      <w:sz w:val="84"/>
      <w:szCs w:val="84"/>
      <w:u w:val="none"/>
      <w:shd w:val="clear" w:color="auto" w:fill="auto"/>
      <w:lang w:val="zh-TW" w:eastAsia="zh-TW" w:bidi="zh-TW"/>
    </w:rPr>
  </w:style>
  <w:style w:type="paragraph" w:customStyle="1" w:styleId="44">
    <w:name w:val="Body text|5"/>
    <w:basedOn w:val="1"/>
    <w:link w:val="43"/>
    <w:qFormat/>
    <w:uiPriority w:val="0"/>
    <w:pPr>
      <w:spacing w:after="260"/>
      <w:jc w:val="center"/>
    </w:pPr>
    <w:rPr>
      <w:rFonts w:ascii="宋体" w:hAnsi="宋体" w:eastAsia="宋体" w:cs="宋体"/>
      <w:b/>
      <w:bCs/>
      <w:sz w:val="84"/>
      <w:szCs w:val="84"/>
      <w:lang w:val="zh-TW" w:eastAsia="zh-TW" w:bidi="zh-TW"/>
    </w:rPr>
  </w:style>
  <w:style w:type="character" w:customStyle="1" w:styleId="45">
    <w:name w:val="Body text|2_"/>
    <w:basedOn w:val="23"/>
    <w:link w:val="46"/>
    <w:qFormat/>
    <w:uiPriority w:val="0"/>
    <w:rPr>
      <w:rFonts w:ascii="宋体" w:hAnsi="宋体" w:eastAsia="宋体" w:cs="宋体"/>
      <w:b/>
      <w:bCs/>
      <w:color w:val="000000"/>
      <w:spacing w:val="0"/>
      <w:w w:val="100"/>
      <w:position w:val="0"/>
      <w:sz w:val="30"/>
      <w:szCs w:val="30"/>
      <w:u w:val="none"/>
      <w:shd w:val="clear" w:color="auto" w:fill="auto"/>
      <w:lang w:val="zh-TW" w:eastAsia="zh-TW" w:bidi="zh-TW"/>
    </w:rPr>
  </w:style>
  <w:style w:type="paragraph" w:customStyle="1" w:styleId="46">
    <w:name w:val="Body text|2"/>
    <w:basedOn w:val="1"/>
    <w:link w:val="45"/>
    <w:qFormat/>
    <w:uiPriority w:val="0"/>
    <w:pPr>
      <w:spacing w:line="634" w:lineRule="exact"/>
      <w:ind w:left="2280"/>
    </w:pPr>
    <w:rPr>
      <w:rFonts w:ascii="宋体" w:hAnsi="宋体" w:eastAsia="宋体" w:cs="宋体"/>
      <w:b/>
      <w:bCs/>
      <w:sz w:val="30"/>
      <w:szCs w:val="30"/>
      <w:lang w:val="zh-TW" w:eastAsia="zh-TW" w:bidi="zh-TW"/>
    </w:rPr>
  </w:style>
  <w:style w:type="character" w:customStyle="1" w:styleId="47">
    <w:name w:val="Body text|3_"/>
    <w:basedOn w:val="23"/>
    <w:link w:val="48"/>
    <w:qFormat/>
    <w:uiPriority w:val="0"/>
    <w:rPr>
      <w:rFonts w:ascii="Times New Roman" w:hAnsi="Times New Roman" w:eastAsia="Times New Roman" w:cs="Times New Roman"/>
      <w:b/>
      <w:bCs/>
      <w:color w:val="000000"/>
      <w:spacing w:val="0"/>
      <w:w w:val="100"/>
      <w:position w:val="0"/>
      <w:sz w:val="30"/>
      <w:szCs w:val="30"/>
      <w:u w:val="none"/>
      <w:shd w:val="clear" w:color="auto" w:fill="auto"/>
      <w:lang w:val="en-US" w:eastAsia="en-US" w:bidi="en-US"/>
    </w:rPr>
  </w:style>
  <w:style w:type="paragraph" w:customStyle="1" w:styleId="48">
    <w:name w:val="Body text|3"/>
    <w:basedOn w:val="1"/>
    <w:link w:val="47"/>
    <w:qFormat/>
    <w:uiPriority w:val="0"/>
    <w:pPr>
      <w:spacing w:after="1580"/>
      <w:ind w:left="2640"/>
    </w:pPr>
    <w:rPr>
      <w:b/>
      <w:bCs/>
      <w:sz w:val="30"/>
      <w:szCs w:val="30"/>
    </w:rPr>
  </w:style>
  <w:style w:type="character" w:customStyle="1" w:styleId="49">
    <w:name w:val="Body text|6_"/>
    <w:basedOn w:val="23"/>
    <w:link w:val="50"/>
    <w:qFormat/>
    <w:uiPriority w:val="0"/>
    <w:rPr>
      <w:rFonts w:ascii="Times New Roman" w:hAnsi="Times New Roman" w:eastAsia="Times New Roman" w:cs="Times New Roman"/>
      <w:b/>
      <w:bCs/>
      <w:color w:val="000000"/>
      <w:spacing w:val="0"/>
      <w:w w:val="100"/>
      <w:position w:val="0"/>
      <w:sz w:val="34"/>
      <w:szCs w:val="34"/>
      <w:u w:val="none"/>
      <w:shd w:val="clear" w:color="auto" w:fill="auto"/>
      <w:lang w:val="en-US" w:eastAsia="en-US" w:bidi="en-US"/>
    </w:rPr>
  </w:style>
  <w:style w:type="paragraph" w:customStyle="1" w:styleId="50">
    <w:name w:val="Body text|6"/>
    <w:basedOn w:val="1"/>
    <w:link w:val="49"/>
    <w:qFormat/>
    <w:uiPriority w:val="0"/>
    <w:pPr>
      <w:spacing w:after="1440"/>
      <w:jc w:val="center"/>
    </w:pPr>
    <w:rPr>
      <w:b/>
      <w:bCs/>
      <w:sz w:val="34"/>
      <w:szCs w:val="34"/>
    </w:rPr>
  </w:style>
  <w:style w:type="character" w:customStyle="1" w:styleId="51">
    <w:name w:val="Table of contents|1_"/>
    <w:basedOn w:val="23"/>
    <w:link w:val="52"/>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52">
    <w:name w:val="Table of contents|1"/>
    <w:basedOn w:val="1"/>
    <w:link w:val="51"/>
    <w:qFormat/>
    <w:uiPriority w:val="0"/>
    <w:pPr>
      <w:spacing w:after="180"/>
    </w:pPr>
    <w:rPr>
      <w:rFonts w:ascii="宋体" w:hAnsi="宋体" w:eastAsia="宋体" w:cs="宋体"/>
      <w:sz w:val="22"/>
      <w:szCs w:val="22"/>
      <w:lang w:val="zh-TW" w:eastAsia="zh-TW" w:bidi="zh-TW"/>
    </w:rPr>
  </w:style>
  <w:style w:type="character" w:customStyle="1" w:styleId="53">
    <w:name w:val="Header or footer|2_"/>
    <w:basedOn w:val="23"/>
    <w:link w:val="54"/>
    <w:qFormat/>
    <w:uiPriority w:val="0"/>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 w:type="paragraph" w:customStyle="1" w:styleId="54">
    <w:name w:val="Header or footer|2"/>
    <w:basedOn w:val="1"/>
    <w:link w:val="53"/>
    <w:qFormat/>
    <w:uiPriority w:val="0"/>
    <w:rPr>
      <w:sz w:val="20"/>
      <w:szCs w:val="20"/>
      <w:lang w:val="zh-TW" w:eastAsia="zh-TW" w:bidi="zh-TW"/>
    </w:rPr>
  </w:style>
  <w:style w:type="character" w:customStyle="1" w:styleId="55">
    <w:name w:val="Body text|1_"/>
    <w:basedOn w:val="23"/>
    <w:link w:val="56"/>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56">
    <w:name w:val="Body text|1"/>
    <w:basedOn w:val="1"/>
    <w:link w:val="55"/>
    <w:qFormat/>
    <w:uiPriority w:val="0"/>
    <w:pPr>
      <w:spacing w:line="442" w:lineRule="auto"/>
      <w:ind w:firstLine="400"/>
    </w:pPr>
    <w:rPr>
      <w:rFonts w:ascii="宋体" w:hAnsi="宋体" w:eastAsia="宋体" w:cs="宋体"/>
      <w:sz w:val="22"/>
      <w:szCs w:val="22"/>
      <w:lang w:val="zh-TW" w:eastAsia="zh-TW" w:bidi="zh-TW"/>
    </w:rPr>
  </w:style>
  <w:style w:type="character" w:customStyle="1" w:styleId="57">
    <w:name w:val="Heading #2|1_"/>
    <w:basedOn w:val="23"/>
    <w:link w:val="58"/>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58">
    <w:name w:val="Heading #2|1"/>
    <w:basedOn w:val="1"/>
    <w:link w:val="57"/>
    <w:qFormat/>
    <w:uiPriority w:val="0"/>
    <w:pPr>
      <w:spacing w:after="110" w:line="276" w:lineRule="auto"/>
      <w:outlineLvl w:val="1"/>
    </w:pPr>
    <w:rPr>
      <w:rFonts w:ascii="宋体" w:hAnsi="宋体" w:eastAsia="宋体" w:cs="宋体"/>
      <w:sz w:val="22"/>
      <w:szCs w:val="22"/>
      <w:lang w:val="zh-TW" w:eastAsia="zh-TW" w:bidi="zh-TW"/>
    </w:rPr>
  </w:style>
  <w:style w:type="character" w:customStyle="1" w:styleId="59">
    <w:name w:val="Table caption|1_"/>
    <w:basedOn w:val="23"/>
    <w:link w:val="60"/>
    <w:qFormat/>
    <w:uiPriority w:val="0"/>
    <w:rPr>
      <w:rFonts w:ascii="宋体" w:hAnsi="宋体" w:eastAsia="宋体" w:cs="宋体"/>
      <w:color w:val="000000"/>
      <w:spacing w:val="0"/>
      <w:w w:val="100"/>
      <w:position w:val="0"/>
      <w:sz w:val="24"/>
      <w:szCs w:val="24"/>
      <w:u w:val="none"/>
      <w:shd w:val="clear" w:color="auto" w:fill="auto"/>
      <w:lang w:val="zh-TW" w:eastAsia="zh-TW" w:bidi="zh-TW"/>
    </w:rPr>
  </w:style>
  <w:style w:type="paragraph" w:customStyle="1" w:styleId="60">
    <w:name w:val="Table caption|1"/>
    <w:basedOn w:val="1"/>
    <w:link w:val="59"/>
    <w:qFormat/>
    <w:uiPriority w:val="0"/>
    <w:pPr>
      <w:spacing w:line="326" w:lineRule="exact"/>
      <w:ind w:left="1080"/>
    </w:pPr>
    <w:rPr>
      <w:rFonts w:ascii="宋体" w:hAnsi="宋体" w:eastAsia="宋体" w:cs="宋体"/>
      <w:lang w:val="zh-TW" w:eastAsia="zh-TW" w:bidi="zh-TW"/>
    </w:rPr>
  </w:style>
  <w:style w:type="character" w:customStyle="1" w:styleId="61">
    <w:name w:val="Other|1_"/>
    <w:basedOn w:val="23"/>
    <w:link w:val="62"/>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62">
    <w:name w:val="Other|1"/>
    <w:basedOn w:val="1"/>
    <w:link w:val="61"/>
    <w:qFormat/>
    <w:uiPriority w:val="0"/>
    <w:pPr>
      <w:spacing w:line="442" w:lineRule="auto"/>
      <w:ind w:firstLine="400"/>
    </w:pPr>
    <w:rPr>
      <w:rFonts w:ascii="宋体" w:hAnsi="宋体" w:eastAsia="宋体" w:cs="宋体"/>
      <w:sz w:val="22"/>
      <w:szCs w:val="22"/>
      <w:lang w:val="zh-TW" w:eastAsia="zh-TW" w:bidi="zh-TW"/>
    </w:rPr>
  </w:style>
  <w:style w:type="character" w:customStyle="1" w:styleId="63">
    <w:name w:val="Header or footer|1_"/>
    <w:basedOn w:val="23"/>
    <w:link w:val="64"/>
    <w:qFormat/>
    <w:uiPriority w:val="0"/>
    <w:rPr>
      <w:rFonts w:ascii="Times New Roman" w:hAnsi="Times New Roman" w:eastAsia="Times New Roman" w:cs="Times New Roman"/>
      <w:color w:val="000000"/>
      <w:spacing w:val="0"/>
      <w:w w:val="100"/>
      <w:position w:val="0"/>
      <w:sz w:val="18"/>
      <w:szCs w:val="18"/>
      <w:u w:val="none"/>
      <w:shd w:val="clear" w:color="auto" w:fill="auto"/>
      <w:lang w:val="zh-TW" w:eastAsia="zh-TW" w:bidi="zh-TW"/>
    </w:rPr>
  </w:style>
  <w:style w:type="paragraph" w:customStyle="1" w:styleId="64">
    <w:name w:val="Header or footer|1"/>
    <w:basedOn w:val="1"/>
    <w:link w:val="63"/>
    <w:qFormat/>
    <w:uiPriority w:val="0"/>
    <w:rPr>
      <w:sz w:val="18"/>
      <w:szCs w:val="18"/>
      <w:lang w:val="zh-TW" w:eastAsia="zh-TW" w:bidi="zh-TW"/>
    </w:rPr>
  </w:style>
  <w:style w:type="character" w:customStyle="1" w:styleId="65">
    <w:name w:val="Body text|4_"/>
    <w:basedOn w:val="23"/>
    <w:link w:val="66"/>
    <w:qFormat/>
    <w:uiPriority w:val="0"/>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 w:type="paragraph" w:customStyle="1" w:styleId="66">
    <w:name w:val="Body text|4"/>
    <w:basedOn w:val="1"/>
    <w:link w:val="65"/>
    <w:qFormat/>
    <w:uiPriority w:val="0"/>
    <w:pPr>
      <w:spacing w:after="200"/>
      <w:ind w:right="520"/>
      <w:jc w:val="right"/>
    </w:pPr>
    <w:rPr>
      <w:sz w:val="20"/>
      <w:szCs w:val="20"/>
      <w:lang w:val="zh-TW" w:eastAsia="zh-TW" w:bidi="zh-TW"/>
    </w:rPr>
  </w:style>
  <w:style w:type="character" w:customStyle="1" w:styleId="67">
    <w:name w:val="Heading #3|1_"/>
    <w:basedOn w:val="23"/>
    <w:link w:val="68"/>
    <w:qFormat/>
    <w:uiPriority w:val="0"/>
    <w:rPr>
      <w:rFonts w:ascii="宋体" w:hAnsi="宋体" w:eastAsia="宋体" w:cs="宋体"/>
      <w:b/>
      <w:bCs/>
      <w:color w:val="000000"/>
      <w:spacing w:val="0"/>
      <w:w w:val="100"/>
      <w:position w:val="0"/>
      <w:sz w:val="20"/>
      <w:szCs w:val="20"/>
      <w:u w:val="none"/>
      <w:shd w:val="clear" w:color="auto" w:fill="auto"/>
      <w:lang w:val="zh-TW" w:eastAsia="zh-TW" w:bidi="zh-TW"/>
    </w:rPr>
  </w:style>
  <w:style w:type="paragraph" w:customStyle="1" w:styleId="68">
    <w:name w:val="Heading #3|1"/>
    <w:basedOn w:val="1"/>
    <w:link w:val="67"/>
    <w:qFormat/>
    <w:uiPriority w:val="0"/>
    <w:pPr>
      <w:ind w:firstLine="140"/>
      <w:outlineLvl w:val="2"/>
    </w:pPr>
    <w:rPr>
      <w:rFonts w:ascii="宋体" w:hAnsi="宋体" w:eastAsia="宋体" w:cs="宋体"/>
      <w:b/>
      <w:bCs/>
      <w:sz w:val="20"/>
      <w:szCs w:val="20"/>
      <w:lang w:val="zh-TW" w:eastAsia="zh-TW" w:bidi="zh-TW"/>
    </w:rPr>
  </w:style>
  <w:style w:type="character" w:customStyle="1" w:styleId="69">
    <w:name w:val="Heading #4|1_"/>
    <w:basedOn w:val="23"/>
    <w:link w:val="70"/>
    <w:qFormat/>
    <w:uiPriority w:val="0"/>
    <w:rPr>
      <w:rFonts w:ascii="宋体" w:hAnsi="宋体" w:eastAsia="宋体" w:cs="宋体"/>
      <w:b/>
      <w:bCs/>
      <w:color w:val="000000"/>
      <w:spacing w:val="0"/>
      <w:w w:val="100"/>
      <w:position w:val="0"/>
      <w:sz w:val="32"/>
      <w:szCs w:val="32"/>
      <w:u w:val="none"/>
      <w:shd w:val="clear" w:color="auto" w:fill="auto"/>
      <w:lang w:val="zh-TW" w:eastAsia="zh-TW" w:bidi="zh-TW"/>
    </w:rPr>
  </w:style>
  <w:style w:type="paragraph" w:customStyle="1" w:styleId="70">
    <w:name w:val="Heading #4|1"/>
    <w:basedOn w:val="1"/>
    <w:link w:val="69"/>
    <w:qFormat/>
    <w:uiPriority w:val="0"/>
    <w:pPr>
      <w:spacing w:after="600"/>
      <w:jc w:val="center"/>
      <w:outlineLvl w:val="3"/>
    </w:pPr>
    <w:rPr>
      <w:rFonts w:ascii="宋体" w:hAnsi="宋体" w:eastAsia="宋体" w:cs="宋体"/>
      <w:b/>
      <w:bCs/>
      <w:sz w:val="32"/>
      <w:szCs w:val="32"/>
      <w:lang w:val="zh-TW" w:eastAsia="zh-TW" w:bidi="zh-TW"/>
    </w:rPr>
  </w:style>
  <w:style w:type="paragraph" w:customStyle="1" w:styleId="71">
    <w:name w:val="Table Paragraph"/>
    <w:basedOn w:val="1"/>
    <w:qFormat/>
    <w:uiPriority w:val="1"/>
    <w:rPr>
      <w:rFonts w:ascii="宋体" w:hAnsi="宋体" w:eastAsia="宋体" w:cs="宋体"/>
      <w:lang w:val="zh-CN" w:eastAsia="zh-CN" w:bidi="zh-CN"/>
    </w:rPr>
  </w:style>
  <w:style w:type="paragraph" w:styleId="72">
    <w:name w:val="List Paragraph"/>
    <w:basedOn w:val="1"/>
    <w:qFormat/>
    <w:uiPriority w:val="1"/>
    <w:pPr>
      <w:ind w:left="1224" w:hanging="368"/>
    </w:pPr>
    <w:rPr>
      <w:rFonts w:ascii="宋体" w:hAnsi="宋体" w:eastAsia="宋体" w:cs="宋体"/>
      <w:lang w:val="zh-CN" w:eastAsia="zh-CN" w:bidi="zh-CN"/>
    </w:rPr>
  </w:style>
  <w:style w:type="character" w:customStyle="1" w:styleId="73">
    <w:name w:val="font41"/>
    <w:basedOn w:val="23"/>
    <w:qFormat/>
    <w:uiPriority w:val="0"/>
    <w:rPr>
      <w:rFonts w:hint="default" w:ascii="Times New Roman" w:hAnsi="Times New Roman" w:eastAsia="Times New Roman" w:cs="Times New Roman"/>
      <w:color w:val="000000"/>
      <w:spacing w:val="0"/>
      <w:w w:val="100"/>
      <w:position w:val="0"/>
      <w:sz w:val="21"/>
      <w:szCs w:val="21"/>
      <w:u w:val="none"/>
      <w:shd w:val="clear" w:color="auto" w:fill="auto"/>
      <w:lang w:val="en-US" w:eastAsia="en-US" w:bidi="en-US"/>
    </w:rPr>
  </w:style>
  <w:style w:type="character" w:customStyle="1" w:styleId="74">
    <w:name w:val="font21"/>
    <w:basedOn w:val="23"/>
    <w:qFormat/>
    <w:uiPriority w:val="0"/>
    <w:rPr>
      <w:rFonts w:hint="eastAsia" w:ascii="宋体" w:hAnsi="宋体" w:eastAsia="宋体" w:cs="宋体"/>
      <w:color w:val="000000"/>
      <w:spacing w:val="0"/>
      <w:w w:val="100"/>
      <w:position w:val="0"/>
      <w:sz w:val="21"/>
      <w:szCs w:val="21"/>
      <w:u w:val="none"/>
      <w:shd w:val="clear" w:color="auto" w:fill="auto"/>
      <w:lang w:val="en-US" w:eastAsia="en-US" w:bidi="en-US"/>
    </w:rPr>
  </w:style>
  <w:style w:type="character" w:customStyle="1" w:styleId="75">
    <w:name w:val="font01"/>
    <w:basedOn w:val="23"/>
    <w:qFormat/>
    <w:uiPriority w:val="0"/>
    <w:rPr>
      <w:rFonts w:hint="default" w:ascii="Times New Roman" w:hAnsi="Times New Roman" w:eastAsia="Times New Roman" w:cs="Times New Roman"/>
      <w:color w:val="000000"/>
      <w:spacing w:val="0"/>
      <w:w w:val="100"/>
      <w:position w:val="0"/>
      <w:sz w:val="20"/>
      <w:szCs w:val="20"/>
      <w:u w:val="none"/>
      <w:shd w:val="clear" w:color="auto" w:fill="auto"/>
      <w:lang w:val="en-US" w:eastAsia="en-US" w:bidi="en-US"/>
    </w:rPr>
  </w:style>
  <w:style w:type="character" w:customStyle="1" w:styleId="76">
    <w:name w:val="font31"/>
    <w:basedOn w:val="23"/>
    <w:qFormat/>
    <w:uiPriority w:val="0"/>
    <w:rPr>
      <w:rFonts w:hint="eastAsia" w:ascii="宋体" w:hAnsi="宋体" w:eastAsia="宋体" w:cs="宋体"/>
      <w:color w:val="000000"/>
      <w:spacing w:val="0"/>
      <w:w w:val="100"/>
      <w:position w:val="0"/>
      <w:sz w:val="20"/>
      <w:szCs w:val="20"/>
      <w:u w:val="none"/>
      <w:shd w:val="clear" w:color="auto" w:fill="auto"/>
      <w:lang w:val="en-US" w:eastAsia="en-US" w:bidi="en-US"/>
    </w:rPr>
  </w:style>
  <w:style w:type="character" w:customStyle="1" w:styleId="77">
    <w:name w:val="font51"/>
    <w:basedOn w:val="23"/>
    <w:qFormat/>
    <w:uiPriority w:val="0"/>
    <w:rPr>
      <w:rFonts w:ascii="Arial" w:hAnsi="Arial" w:eastAsia="Times New Roman" w:cs="Arial"/>
      <w:color w:val="000000"/>
      <w:spacing w:val="0"/>
      <w:w w:val="100"/>
      <w:position w:val="0"/>
      <w:sz w:val="20"/>
      <w:szCs w:val="20"/>
      <w:u w:val="none"/>
      <w:shd w:val="clear" w:color="auto" w:fill="auto"/>
      <w:lang w:val="en-US" w:eastAsia="en-US" w:bidi="en-US"/>
    </w:rPr>
  </w:style>
  <w:style w:type="character" w:customStyle="1" w:styleId="78">
    <w:name w:val="font11"/>
    <w:basedOn w:val="23"/>
    <w:qFormat/>
    <w:uiPriority w:val="0"/>
    <w:rPr>
      <w:rFonts w:hint="default" w:ascii="Times New Roman" w:hAnsi="Times New Roman" w:eastAsia="Times New Roman" w:cs="Times New Roman"/>
      <w:color w:val="000000"/>
      <w:spacing w:val="0"/>
      <w:w w:val="100"/>
      <w:position w:val="0"/>
      <w:sz w:val="20"/>
      <w:szCs w:val="20"/>
      <w:u w:val="none"/>
      <w:shd w:val="clear" w:color="auto" w:fill="auto"/>
      <w:lang w:val="en-US" w:eastAsia="en-US" w:bidi="en-US"/>
    </w:rPr>
  </w:style>
  <w:style w:type="paragraph" w:customStyle="1" w:styleId="79">
    <w:name w:val="WPSOffice手动目录 1"/>
    <w:qFormat/>
    <w:uiPriority w:val="0"/>
    <w:rPr>
      <w:rFonts w:ascii="Times New Roman" w:hAnsi="Times New Roman" w:eastAsia="宋体" w:cs="Times New Roman"/>
      <w:lang w:val="en-US" w:eastAsia="zh-CN" w:bidi="ar-SA"/>
    </w:rPr>
  </w:style>
  <w:style w:type="character" w:customStyle="1" w:styleId="80">
    <w:name w:val="HTML Markup"/>
    <w:qFormat/>
    <w:uiPriority w:val="0"/>
    <w:rPr>
      <w:vanish/>
      <w:color w:val="FF0000"/>
    </w:rPr>
  </w:style>
  <w:style w:type="paragraph" w:customStyle="1" w:styleId="81">
    <w:name w:val="列出段落1"/>
    <w:basedOn w:val="1"/>
    <w:qFormat/>
    <w:uiPriority w:val="0"/>
    <w:pPr>
      <w:ind w:firstLine="420" w:firstLineChars="200"/>
    </w:pPr>
  </w:style>
  <w:style w:type="paragraph" w:customStyle="1" w:styleId="82">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55</Pages>
  <Words>24305</Words>
  <Characters>26238</Characters>
  <Lines>193</Lines>
  <Paragraphs>54</Paragraphs>
  <TotalTime>61</TotalTime>
  <ScaleCrop>false</ScaleCrop>
  <LinksUpToDate>false</LinksUpToDate>
  <CharactersWithSpaces>27541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2023-07-05T02:20:00Z</dcterms:created>
  <dc:creator>Administrator</dc:creator>
  <cp:lastModifiedBy>A001晓燕</cp:lastModifiedBy>
  <cp:lastPrinted>2023-07-17T02:07:00Z</cp:lastPrinted>
  <dcterms:modified xsi:type="dcterms:W3CDTF">2023-12-15T08:34:48Z</dcterms:modified>
  <dc:title>市委北院院区道路维修工程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E4F6E0B19B984691BFECBA2429845E37</vt:lpwstr>
  </property>
  <property fmtid="{D5CDD505-2E9C-101B-9397-08002B2CF9AE}" pid="4" name="commondata">
    <vt:lpwstr>eyJoZGlkIjoiOGVhMzgwMmY2MmM4MGViMzA3NTJlMjhlNzhhOTU3MjAifQ==</vt:lpwstr>
  </property>
</Properties>
</file>