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17" w:line="360" w:lineRule="auto"/>
        <w:jc w:val="center"/>
        <w:rPr>
          <w:rFonts w:hint="eastAsia" w:ascii="仿宋" w:hAnsi="仿宋" w:eastAsia="仿宋" w:cs="仿宋"/>
          <w:b/>
          <w:sz w:val="52"/>
          <w:szCs w:val="52"/>
        </w:rPr>
      </w:pPr>
      <w:bookmarkStart w:id="0" w:name="_Toc28208"/>
      <w:r>
        <w:rPr>
          <w:rFonts w:hint="default" w:ascii="仿宋" w:hAnsi="仿宋" w:eastAsia="仿宋" w:cs="仿宋"/>
          <w:b/>
          <w:sz w:val="52"/>
          <w:szCs w:val="52"/>
          <w:lang w:val="en-US"/>
        </w:rPr>
        <w:t xml:space="preserve"> </w:t>
      </w:r>
      <w:r>
        <w:rPr>
          <w:rFonts w:hint="eastAsia" w:ascii="仿宋" w:hAnsi="仿宋" w:eastAsia="仿宋" w:cs="仿宋"/>
          <w:b/>
          <w:sz w:val="52"/>
          <w:szCs w:val="52"/>
        </w:rPr>
        <w:t>中牟县自然资源和规划局中牟县老火车站片区城市更新专项规划项目</w:t>
      </w:r>
    </w:p>
    <w:p>
      <w:pPr>
        <w:spacing w:before="417" w:line="360" w:lineRule="auto"/>
        <w:jc w:val="center"/>
        <w:rPr>
          <w:rFonts w:hint="eastAsia" w:ascii="仿宋" w:hAnsi="仿宋" w:eastAsia="仿宋" w:cs="仿宋"/>
          <w:b/>
          <w:sz w:val="52"/>
          <w:szCs w:val="52"/>
        </w:rPr>
      </w:pPr>
      <w:r>
        <w:rPr>
          <w:rFonts w:hint="eastAsia" w:ascii="仿宋" w:hAnsi="仿宋" w:eastAsia="仿宋" w:cs="仿宋"/>
          <w:b/>
          <w:sz w:val="52"/>
          <w:szCs w:val="52"/>
          <w:lang w:eastAsia="zh-CN"/>
        </w:rPr>
        <w:t>竞争性磋商文件</w:t>
      </w:r>
    </w:p>
    <w:p>
      <w:pPr>
        <w:spacing w:line="360" w:lineRule="auto"/>
        <w:jc w:val="center"/>
        <w:rPr>
          <w:rFonts w:hint="eastAsia" w:ascii="仿宋" w:hAnsi="仿宋" w:eastAsia="仿宋" w:cs="仿宋"/>
          <w:b/>
          <w:sz w:val="30"/>
          <w:szCs w:val="30"/>
        </w:rPr>
      </w:pPr>
    </w:p>
    <w:p>
      <w:pPr>
        <w:spacing w:line="360" w:lineRule="auto"/>
        <w:jc w:val="center"/>
        <w:rPr>
          <w:rFonts w:hint="default"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eastAsia="zh-CN"/>
          <w14:textFill>
            <w14:solidFill>
              <w14:schemeClr w14:val="tx1"/>
            </w14:solidFill>
          </w14:textFill>
        </w:rPr>
        <w:t>采购编号：</w:t>
      </w:r>
      <w:r>
        <w:rPr>
          <w:rFonts w:hint="eastAsia" w:ascii="宋体" w:hAnsi="宋体" w:eastAsia="宋体" w:cs="宋体"/>
          <w:b/>
          <w:bCs/>
          <w:color w:val="000000" w:themeColor="text1"/>
          <w:sz w:val="24"/>
          <w:szCs w:val="24"/>
          <w:highlight w:val="none"/>
          <w:lang w:eastAsia="zh-CN"/>
          <w14:textFill>
            <w14:solidFill>
              <w14:schemeClr w14:val="tx1"/>
            </w14:solidFill>
          </w14:textFill>
        </w:rPr>
        <w:t>中牟磋商采购-2023-</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89</w:t>
      </w:r>
    </w:p>
    <w:p>
      <w:pPr>
        <w:spacing w:line="360" w:lineRule="auto"/>
        <w:jc w:val="center"/>
        <w:rPr>
          <w:rFonts w:ascii="仿宋" w:hAnsi="仿宋" w:eastAsia="仿宋" w:cs="仿宋"/>
          <w:bCs/>
          <w:color w:val="FF0000"/>
          <w:sz w:val="30"/>
          <w:szCs w:val="30"/>
        </w:rPr>
      </w:pPr>
      <w:r>
        <w:rPr>
          <w:rFonts w:hint="default" w:ascii="宋体" w:hAnsi="宋体" w:eastAsia="宋体" w:cs="宋体"/>
          <w:b/>
          <w:bCs/>
          <w:color w:val="FF0000"/>
          <w:highlight w:val="none"/>
          <w:lang w:val="en-US" w:eastAsia="zh-CN"/>
        </w:rPr>
        <w:t xml:space="preserve"> </w:t>
      </w:r>
      <w:r>
        <w:rPr>
          <w:rFonts w:hint="default" w:ascii="仿宋" w:hAnsi="仿宋" w:eastAsia="仿宋" w:cs="仿宋"/>
          <w:b/>
          <w:color w:val="FF0000"/>
          <w:sz w:val="30"/>
          <w:szCs w:val="30"/>
          <w:lang w:val="en-US"/>
        </w:rPr>
        <w:t xml:space="preserve"> </w:t>
      </w:r>
      <w:r>
        <w:rPr>
          <w:rFonts w:hint="eastAsia" w:ascii="仿宋" w:hAnsi="仿宋" w:eastAsia="仿宋" w:cs="仿宋"/>
          <w:b/>
          <w:color w:val="FF0000"/>
          <w:sz w:val="30"/>
          <w:szCs w:val="30"/>
        </w:rPr>
        <w:t xml:space="preserve"> </w:t>
      </w:r>
      <w:r>
        <w:rPr>
          <w:rFonts w:hint="eastAsia" w:ascii="仿宋" w:hAnsi="仿宋" w:eastAsia="仿宋" w:cs="仿宋"/>
          <w:b/>
          <w:sz w:val="30"/>
          <w:szCs w:val="30"/>
        </w:rPr>
        <w:t xml:space="preserve"> </w:t>
      </w:r>
      <w:r>
        <w:rPr>
          <w:rFonts w:hint="eastAsia" w:ascii="仿宋" w:hAnsi="仿宋" w:eastAsia="仿宋" w:cs="仿宋"/>
          <w:color w:val="FF0000"/>
          <w:kern w:val="0"/>
          <w:sz w:val="32"/>
          <w:szCs w:val="32"/>
          <w:shd w:val="clear" w:color="auto" w:fill="FFFFFF"/>
          <w:lang w:bidi="ar"/>
        </w:rPr>
        <w:t xml:space="preserve">  </w:t>
      </w:r>
    </w:p>
    <w:p>
      <w:pPr>
        <w:spacing w:line="360" w:lineRule="auto"/>
        <w:rPr>
          <w:rFonts w:hint="eastAsia" w:ascii="仿宋" w:hAnsi="仿宋" w:eastAsia="仿宋" w:cs="仿宋"/>
          <w:b/>
          <w:szCs w:val="21"/>
        </w:rPr>
      </w:pPr>
    </w:p>
    <w:p>
      <w:pPr>
        <w:pStyle w:val="36"/>
        <w:rPr>
          <w:rFonts w:hint="eastAsia" w:ascii="仿宋" w:hAnsi="仿宋" w:eastAsia="仿宋" w:cs="仿宋"/>
          <w:b/>
          <w:szCs w:val="21"/>
        </w:rPr>
      </w:pPr>
    </w:p>
    <w:p>
      <w:pPr>
        <w:spacing w:line="360" w:lineRule="auto"/>
        <w:rPr>
          <w:rFonts w:ascii="仿宋" w:hAnsi="仿宋" w:eastAsia="仿宋" w:cs="仿宋"/>
          <w:b/>
          <w:sz w:val="11"/>
          <w:szCs w:val="11"/>
        </w:rPr>
      </w:pPr>
      <w:r>
        <w:rPr>
          <w:rFonts w:hint="eastAsia" w:ascii="仿宋" w:hAnsi="仿宋" w:eastAsia="仿宋" w:cs="仿宋"/>
          <w:b/>
          <w:szCs w:val="21"/>
        </w:rPr>
        <w:t xml:space="preserve">               </w:t>
      </w:r>
      <w:r>
        <w:rPr>
          <w:rFonts w:hint="eastAsia" w:ascii="仿宋" w:hAnsi="仿宋" w:eastAsia="仿宋" w:cs="仿宋"/>
          <w:b/>
          <w:szCs w:val="21"/>
        </w:rPr>
        <w:drawing>
          <wp:inline distT="0" distB="0" distL="114300" distR="114300">
            <wp:extent cx="2962275" cy="2257425"/>
            <wp:effectExtent l="0" t="0" r="9525" b="9525"/>
            <wp:docPr id="3" name="图片 1" descr="ee57a8adfd82b83d4b1a4001b19d7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ee57a8adfd82b83d4b1a4001b19d7ce"/>
                    <pic:cNvPicPr>
                      <a:picLocks noChangeAspect="1"/>
                    </pic:cNvPicPr>
                  </pic:nvPicPr>
                  <pic:blipFill>
                    <a:blip r:embed="rId7"/>
                    <a:stretch>
                      <a:fillRect/>
                    </a:stretch>
                  </pic:blipFill>
                  <pic:spPr>
                    <a:xfrm>
                      <a:off x="0" y="0"/>
                      <a:ext cx="2962275" cy="2257425"/>
                    </a:xfrm>
                    <a:prstGeom prst="rect">
                      <a:avLst/>
                    </a:prstGeom>
                    <a:noFill/>
                    <a:ln>
                      <a:noFill/>
                    </a:ln>
                  </pic:spPr>
                </pic:pic>
              </a:graphicData>
            </a:graphic>
          </wp:inline>
        </w:drawing>
      </w:r>
    </w:p>
    <w:p>
      <w:pPr>
        <w:spacing w:line="360" w:lineRule="auto"/>
        <w:rPr>
          <w:rFonts w:hint="eastAsia" w:ascii="仿宋" w:hAnsi="仿宋" w:eastAsia="仿宋" w:cs="仿宋"/>
          <w:b/>
          <w:szCs w:val="21"/>
        </w:rPr>
      </w:pPr>
    </w:p>
    <w:p>
      <w:pPr>
        <w:pStyle w:val="78"/>
        <w:spacing w:before="156" w:beforeLines="50" w:after="156" w:afterLines="50" w:line="500" w:lineRule="exact"/>
        <w:ind w:firstLine="1490" w:firstLineChars="530"/>
        <w:jc w:val="both"/>
        <w:rPr>
          <w:rFonts w:hint="eastAsia" w:hAnsi="宋体" w:eastAsia="宋体" w:cs="黑体"/>
          <w:b/>
          <w:color w:val="auto"/>
          <w:sz w:val="28"/>
          <w:szCs w:val="28"/>
        </w:rPr>
      </w:pPr>
    </w:p>
    <w:p>
      <w:pPr>
        <w:pStyle w:val="78"/>
        <w:spacing w:before="156" w:beforeLines="50" w:after="156" w:afterLines="50" w:line="500" w:lineRule="exact"/>
        <w:ind w:firstLine="1490" w:firstLineChars="530"/>
        <w:jc w:val="both"/>
        <w:rPr>
          <w:rFonts w:hint="eastAsia" w:hAnsi="宋体" w:eastAsia="宋体" w:cs="黑体"/>
          <w:b/>
          <w:color w:val="auto"/>
          <w:sz w:val="28"/>
          <w:szCs w:val="28"/>
        </w:rPr>
      </w:pPr>
    </w:p>
    <w:p>
      <w:pPr>
        <w:pStyle w:val="78"/>
        <w:spacing w:before="156" w:beforeLines="50" w:after="156" w:afterLines="50" w:line="500" w:lineRule="exact"/>
        <w:ind w:firstLine="1490" w:firstLineChars="530"/>
        <w:jc w:val="both"/>
        <w:rPr>
          <w:rFonts w:hint="eastAsia" w:hAnsi="宋体" w:eastAsia="宋体" w:cs="黑体"/>
          <w:b/>
          <w:color w:val="auto"/>
          <w:sz w:val="28"/>
          <w:szCs w:val="28"/>
        </w:rPr>
      </w:pPr>
      <w:r>
        <w:rPr>
          <w:rFonts w:hint="eastAsia" w:hAnsi="宋体" w:eastAsia="宋体" w:cs="黑体"/>
          <w:b/>
          <w:color w:val="auto"/>
          <w:sz w:val="28"/>
          <w:szCs w:val="28"/>
        </w:rPr>
        <w:t xml:space="preserve">采  </w:t>
      </w:r>
      <w:r>
        <w:rPr>
          <w:rFonts w:hint="eastAsia" w:hAnsi="宋体" w:cs="黑体"/>
          <w:b/>
          <w:color w:val="auto"/>
          <w:sz w:val="28"/>
          <w:szCs w:val="28"/>
        </w:rPr>
        <w:t xml:space="preserve"> </w:t>
      </w:r>
      <w:r>
        <w:rPr>
          <w:rFonts w:hint="eastAsia" w:hAnsi="宋体" w:eastAsia="宋体" w:cs="黑体"/>
          <w:b/>
          <w:color w:val="auto"/>
          <w:sz w:val="28"/>
          <w:szCs w:val="28"/>
        </w:rPr>
        <w:t>购</w:t>
      </w:r>
      <w:r>
        <w:rPr>
          <w:rFonts w:hint="eastAsia" w:hAnsi="宋体" w:cs="黑体"/>
          <w:b/>
          <w:color w:val="auto"/>
          <w:sz w:val="28"/>
          <w:szCs w:val="28"/>
        </w:rPr>
        <w:t xml:space="preserve"> </w:t>
      </w:r>
      <w:r>
        <w:rPr>
          <w:rFonts w:hint="eastAsia" w:hAnsi="宋体" w:eastAsia="宋体" w:cs="黑体"/>
          <w:b/>
          <w:color w:val="auto"/>
          <w:sz w:val="28"/>
          <w:szCs w:val="28"/>
        </w:rPr>
        <w:t xml:space="preserve">  </w:t>
      </w:r>
      <w:r>
        <w:rPr>
          <w:rFonts w:hint="eastAsia" w:hAnsi="宋体" w:cs="黑体"/>
          <w:b/>
          <w:color w:val="auto"/>
          <w:sz w:val="28"/>
          <w:szCs w:val="28"/>
        </w:rPr>
        <w:t>人</w:t>
      </w:r>
      <w:r>
        <w:rPr>
          <w:rFonts w:hint="eastAsia" w:hAnsi="宋体" w:eastAsia="宋体" w:cs="黑体"/>
          <w:b/>
          <w:color w:val="auto"/>
          <w:sz w:val="28"/>
          <w:szCs w:val="28"/>
        </w:rPr>
        <w:t>：中牟县自然资源和规划局</w:t>
      </w:r>
    </w:p>
    <w:p>
      <w:pPr>
        <w:pStyle w:val="78"/>
        <w:spacing w:before="156" w:beforeLines="50" w:after="156" w:afterLines="50" w:line="500" w:lineRule="exact"/>
        <w:ind w:firstLine="1490" w:firstLineChars="530"/>
        <w:jc w:val="both"/>
        <w:rPr>
          <w:rFonts w:hint="eastAsia" w:hAnsi="宋体" w:cs="黑体"/>
          <w:b/>
          <w:color w:val="auto"/>
          <w:sz w:val="28"/>
          <w:szCs w:val="28"/>
        </w:rPr>
      </w:pPr>
      <w:r>
        <w:rPr>
          <w:rFonts w:hint="eastAsia" w:hAnsi="宋体" w:eastAsia="宋体" w:cs="黑体"/>
          <w:b/>
          <w:color w:val="auto"/>
          <w:sz w:val="28"/>
          <w:szCs w:val="28"/>
        </w:rPr>
        <w:t>采购</w:t>
      </w:r>
      <w:r>
        <w:rPr>
          <w:rFonts w:hint="eastAsia" w:hAnsi="宋体" w:cs="黑体"/>
          <w:b/>
          <w:color w:val="auto"/>
          <w:sz w:val="28"/>
          <w:szCs w:val="28"/>
        </w:rPr>
        <w:t>代理</w:t>
      </w:r>
      <w:r>
        <w:rPr>
          <w:rFonts w:hint="eastAsia" w:hAnsi="宋体" w:eastAsia="宋体" w:cs="黑体"/>
          <w:b/>
          <w:color w:val="auto"/>
          <w:sz w:val="28"/>
          <w:szCs w:val="28"/>
        </w:rPr>
        <w:t>机构：恒之宇工程集团有限公司</w:t>
      </w:r>
    </w:p>
    <w:p>
      <w:pPr>
        <w:spacing w:line="500" w:lineRule="exact"/>
        <w:jc w:val="center"/>
        <w:rPr>
          <w:rFonts w:hint="eastAsia" w:ascii="宋体" w:hAnsi="宋体"/>
          <w:b/>
          <w:sz w:val="32"/>
          <w:szCs w:val="32"/>
        </w:rPr>
      </w:pPr>
      <w:r>
        <w:rPr>
          <w:rFonts w:hint="eastAsia" w:hAnsi="宋体" w:cs="黑体"/>
          <w:b/>
          <w:sz w:val="28"/>
          <w:szCs w:val="28"/>
        </w:rPr>
        <w:t>二零二三年</w:t>
      </w:r>
      <w:r>
        <w:rPr>
          <w:rFonts w:hint="eastAsia" w:hAnsi="宋体" w:cs="黑体"/>
          <w:b/>
          <w:sz w:val="28"/>
          <w:szCs w:val="28"/>
          <w:lang w:val="en-US" w:eastAsia="zh-CN"/>
        </w:rPr>
        <w:t>八</w:t>
      </w:r>
      <w:r>
        <w:rPr>
          <w:rFonts w:hint="eastAsia" w:hAnsi="宋体" w:cs="黑体"/>
          <w:b/>
          <w:sz w:val="28"/>
          <w:szCs w:val="28"/>
        </w:rPr>
        <w:t>月</w:t>
      </w:r>
    </w:p>
    <w:p>
      <w:pPr>
        <w:rPr>
          <w:rFonts w:hint="eastAsia" w:cs="宋体"/>
          <w:b/>
          <w:sz w:val="44"/>
          <w:szCs w:val="22"/>
          <w:highlight w:val="none"/>
          <w:lang w:eastAsia="zh-CN"/>
        </w:rPr>
      </w:pPr>
    </w:p>
    <w:bookmarkEnd w:id="0"/>
    <w:sdt>
      <w:sdtPr>
        <w:rPr>
          <w:rFonts w:ascii="宋体" w:hAnsi="宋体" w:eastAsia="宋体"/>
          <w:sz w:val="48"/>
          <w:szCs w:val="56"/>
          <w:highlight w:val="none"/>
        </w:rPr>
        <w:id w:val="147467778"/>
        <w15:color w:val="DBDBDB"/>
        <w:docPartObj>
          <w:docPartGallery w:val="Table of Contents"/>
          <w:docPartUnique/>
        </w:docPartObj>
      </w:sdtPr>
      <w:sdtEndPr>
        <w:rPr>
          <w:rFonts w:hint="eastAsia" w:ascii="Times New Roman" w:hAnsi="Times New Roman" w:eastAsia="Times New Roman"/>
          <w:sz w:val="24"/>
          <w:szCs w:val="24"/>
          <w:highlight w:val="none"/>
          <w:lang w:eastAsia="zh-CN"/>
        </w:rPr>
      </w:sdtEndPr>
      <w:sdtContent>
        <w:p>
          <w:pPr>
            <w:jc w:val="center"/>
            <w:rPr>
              <w:sz w:val="56"/>
              <w:szCs w:val="56"/>
              <w:highlight w:val="none"/>
              <w:lang w:eastAsia="zh-CN"/>
            </w:rPr>
          </w:pPr>
          <w:r>
            <w:rPr>
              <w:rFonts w:ascii="宋体" w:hAnsi="宋体" w:eastAsia="宋体"/>
              <w:sz w:val="48"/>
              <w:szCs w:val="56"/>
              <w:highlight w:val="none"/>
              <w:lang w:eastAsia="zh-CN"/>
            </w:rPr>
            <w:t>目录</w:t>
          </w:r>
        </w:p>
        <w:p>
          <w:pPr>
            <w:pStyle w:val="14"/>
            <w:tabs>
              <w:tab w:val="right" w:leader="dot" w:pos="8553"/>
            </w:tabs>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lang w:eastAsia="zh-CN"/>
            </w:rPr>
            <w:fldChar w:fldCharType="begin"/>
          </w:r>
          <w:r>
            <w:rPr>
              <w:rFonts w:hint="eastAsia" w:ascii="宋体" w:hAnsi="宋体" w:eastAsia="宋体" w:cs="宋体"/>
              <w:sz w:val="30"/>
              <w:szCs w:val="30"/>
              <w:highlight w:val="none"/>
              <w:lang w:eastAsia="zh-CN"/>
            </w:rPr>
            <w:instrText xml:space="preserve">TOC \o "1-1" \h \u </w:instrText>
          </w:r>
          <w:r>
            <w:rPr>
              <w:rFonts w:hint="eastAsia" w:ascii="宋体" w:hAnsi="宋体" w:eastAsia="宋体" w:cs="宋体"/>
              <w:sz w:val="30"/>
              <w:szCs w:val="30"/>
              <w:highlight w:val="none"/>
              <w:lang w:eastAsia="zh-CN"/>
            </w:rPr>
            <w:fldChar w:fldCharType="separate"/>
          </w:r>
          <w:r>
            <w:rPr>
              <w:rFonts w:hint="eastAsia" w:ascii="宋体" w:hAnsi="宋体" w:eastAsia="宋体" w:cs="宋体"/>
              <w:sz w:val="30"/>
              <w:szCs w:val="30"/>
              <w:highlight w:val="none"/>
              <w:lang w:eastAsia="zh-CN"/>
            </w:rPr>
            <w:fldChar w:fldCharType="begin"/>
          </w:r>
          <w:r>
            <w:rPr>
              <w:rFonts w:hint="eastAsia" w:ascii="宋体" w:hAnsi="宋体" w:eastAsia="宋体" w:cs="宋体"/>
              <w:sz w:val="30"/>
              <w:szCs w:val="30"/>
              <w:highlight w:val="none"/>
              <w:lang w:eastAsia="zh-CN"/>
            </w:rPr>
            <w:instrText xml:space="preserve"> HYPERLINK \l _Toc2245 </w:instrText>
          </w:r>
          <w:r>
            <w:rPr>
              <w:rFonts w:hint="eastAsia" w:ascii="宋体" w:hAnsi="宋体" w:eastAsia="宋体" w:cs="宋体"/>
              <w:sz w:val="30"/>
              <w:szCs w:val="30"/>
              <w:highlight w:val="none"/>
              <w:lang w:eastAsia="zh-CN"/>
            </w:rPr>
            <w:fldChar w:fldCharType="separate"/>
          </w:r>
          <w:r>
            <w:rPr>
              <w:rFonts w:hint="eastAsia" w:ascii="宋体" w:hAnsi="宋体" w:eastAsia="宋体" w:cs="宋体"/>
              <w:bCs/>
              <w:sz w:val="30"/>
              <w:szCs w:val="30"/>
              <w:highlight w:val="none"/>
              <w:lang w:eastAsia="zh-CN"/>
            </w:rPr>
            <w:t>第一章 竞争性磋商公告</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_Toc2245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2</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lang w:eastAsia="zh-CN"/>
            </w:rPr>
            <w:fldChar w:fldCharType="end"/>
          </w:r>
        </w:p>
        <w:p>
          <w:pPr>
            <w:pStyle w:val="14"/>
            <w:tabs>
              <w:tab w:val="right" w:leader="dot" w:pos="8553"/>
            </w:tabs>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lang w:eastAsia="zh-CN"/>
            </w:rPr>
            <w:fldChar w:fldCharType="begin"/>
          </w:r>
          <w:r>
            <w:rPr>
              <w:rFonts w:hint="eastAsia" w:ascii="宋体" w:hAnsi="宋体" w:eastAsia="宋体" w:cs="宋体"/>
              <w:sz w:val="30"/>
              <w:szCs w:val="30"/>
              <w:highlight w:val="none"/>
              <w:lang w:eastAsia="zh-CN"/>
            </w:rPr>
            <w:instrText xml:space="preserve"> HYPERLINK \l _Toc266 </w:instrText>
          </w:r>
          <w:r>
            <w:rPr>
              <w:rFonts w:hint="eastAsia" w:ascii="宋体" w:hAnsi="宋体" w:eastAsia="宋体" w:cs="宋体"/>
              <w:sz w:val="30"/>
              <w:szCs w:val="30"/>
              <w:highlight w:val="none"/>
              <w:lang w:eastAsia="zh-CN"/>
            </w:rPr>
            <w:fldChar w:fldCharType="separate"/>
          </w:r>
          <w:r>
            <w:rPr>
              <w:rFonts w:hint="eastAsia" w:ascii="宋体" w:hAnsi="宋体" w:eastAsia="宋体" w:cs="宋体"/>
              <w:sz w:val="30"/>
              <w:szCs w:val="30"/>
              <w:highlight w:val="none"/>
            </w:rPr>
            <w:t>第二章</w:t>
          </w:r>
          <w:r>
            <w:rPr>
              <w:rFonts w:hint="eastAsia" w:ascii="宋体" w:hAnsi="宋体" w:eastAsia="宋体" w:cs="宋体"/>
              <w:sz w:val="30"/>
              <w:szCs w:val="30"/>
              <w:highlight w:val="none"/>
              <w:lang w:val="en-US" w:eastAsia="zh-CN"/>
            </w:rPr>
            <w:t xml:space="preserve"> </w:t>
          </w:r>
          <w:r>
            <w:rPr>
              <w:rFonts w:hint="eastAsia" w:ascii="宋体" w:hAnsi="宋体" w:eastAsia="宋体" w:cs="宋体"/>
              <w:sz w:val="30"/>
              <w:szCs w:val="30"/>
              <w:highlight w:val="none"/>
            </w:rPr>
            <w:t>供应商须知</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_Toc266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7</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lang w:eastAsia="zh-CN"/>
            </w:rPr>
            <w:fldChar w:fldCharType="end"/>
          </w:r>
        </w:p>
        <w:p>
          <w:pPr>
            <w:pStyle w:val="14"/>
            <w:tabs>
              <w:tab w:val="right" w:leader="dot" w:pos="8553"/>
            </w:tabs>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lang w:eastAsia="zh-CN"/>
            </w:rPr>
            <w:fldChar w:fldCharType="begin"/>
          </w:r>
          <w:r>
            <w:rPr>
              <w:rFonts w:hint="eastAsia" w:ascii="宋体" w:hAnsi="宋体" w:eastAsia="宋体" w:cs="宋体"/>
              <w:sz w:val="30"/>
              <w:szCs w:val="30"/>
              <w:highlight w:val="none"/>
              <w:lang w:eastAsia="zh-CN"/>
            </w:rPr>
            <w:instrText xml:space="preserve"> HYPERLINK \l _Toc6622 </w:instrText>
          </w:r>
          <w:r>
            <w:rPr>
              <w:rFonts w:hint="eastAsia" w:ascii="宋体" w:hAnsi="宋体" w:eastAsia="宋体" w:cs="宋体"/>
              <w:sz w:val="30"/>
              <w:szCs w:val="30"/>
              <w:highlight w:val="none"/>
              <w:lang w:eastAsia="zh-CN"/>
            </w:rPr>
            <w:fldChar w:fldCharType="separate"/>
          </w:r>
          <w:r>
            <w:rPr>
              <w:rFonts w:hint="eastAsia" w:ascii="宋体" w:hAnsi="宋体" w:eastAsia="宋体" w:cs="宋体"/>
              <w:sz w:val="30"/>
              <w:szCs w:val="30"/>
              <w:highlight w:val="none"/>
            </w:rPr>
            <w:t>第三章</w:t>
          </w:r>
          <w:r>
            <w:rPr>
              <w:rFonts w:hint="eastAsia" w:ascii="宋体" w:hAnsi="宋体" w:eastAsia="宋体" w:cs="宋体"/>
              <w:sz w:val="30"/>
              <w:szCs w:val="30"/>
              <w:highlight w:val="none"/>
              <w:lang w:val="en-US" w:eastAsia="zh-CN"/>
            </w:rPr>
            <w:t xml:space="preserve"> </w:t>
          </w:r>
          <w:r>
            <w:rPr>
              <w:rFonts w:hint="eastAsia" w:ascii="宋体" w:hAnsi="宋体" w:eastAsia="宋体" w:cs="宋体"/>
              <w:sz w:val="30"/>
              <w:szCs w:val="30"/>
              <w:highlight w:val="none"/>
            </w:rPr>
            <w:t>评标办法（综合评分法）</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_Toc6622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22</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lang w:eastAsia="zh-CN"/>
            </w:rPr>
            <w:fldChar w:fldCharType="end"/>
          </w:r>
        </w:p>
        <w:p>
          <w:pPr>
            <w:pStyle w:val="14"/>
            <w:tabs>
              <w:tab w:val="right" w:leader="dot" w:pos="8553"/>
            </w:tabs>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lang w:eastAsia="zh-CN"/>
            </w:rPr>
            <w:fldChar w:fldCharType="begin"/>
          </w:r>
          <w:r>
            <w:rPr>
              <w:rFonts w:hint="eastAsia" w:ascii="宋体" w:hAnsi="宋体" w:eastAsia="宋体" w:cs="宋体"/>
              <w:sz w:val="30"/>
              <w:szCs w:val="30"/>
              <w:highlight w:val="none"/>
              <w:lang w:eastAsia="zh-CN"/>
            </w:rPr>
            <w:instrText xml:space="preserve"> HYPERLINK \l _Toc29860 </w:instrText>
          </w:r>
          <w:r>
            <w:rPr>
              <w:rFonts w:hint="eastAsia" w:ascii="宋体" w:hAnsi="宋体" w:eastAsia="宋体" w:cs="宋体"/>
              <w:sz w:val="30"/>
              <w:szCs w:val="30"/>
              <w:highlight w:val="none"/>
              <w:lang w:eastAsia="zh-CN"/>
            </w:rPr>
            <w:fldChar w:fldCharType="separate"/>
          </w:r>
          <w:r>
            <w:rPr>
              <w:rFonts w:hint="eastAsia" w:ascii="宋体" w:hAnsi="宋体" w:eastAsia="宋体" w:cs="宋体"/>
              <w:sz w:val="30"/>
              <w:szCs w:val="30"/>
              <w:highlight w:val="none"/>
            </w:rPr>
            <w:t>第四章</w:t>
          </w:r>
          <w:r>
            <w:rPr>
              <w:rFonts w:hint="eastAsia" w:ascii="宋体" w:hAnsi="宋体" w:eastAsia="宋体" w:cs="宋体"/>
              <w:sz w:val="30"/>
              <w:szCs w:val="30"/>
              <w:highlight w:val="none"/>
              <w:lang w:val="en-US" w:eastAsia="zh-CN"/>
            </w:rPr>
            <w:t xml:space="preserve"> </w:t>
          </w:r>
          <w:r>
            <w:rPr>
              <w:rFonts w:hint="eastAsia" w:ascii="宋体" w:hAnsi="宋体" w:eastAsia="宋体" w:cs="宋体"/>
              <w:sz w:val="30"/>
              <w:szCs w:val="30"/>
              <w:highlight w:val="none"/>
            </w:rPr>
            <w:t>合同文本</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_Toc29860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31</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lang w:eastAsia="zh-CN"/>
            </w:rPr>
            <w:fldChar w:fldCharType="end"/>
          </w:r>
        </w:p>
        <w:p>
          <w:pPr>
            <w:pStyle w:val="14"/>
            <w:tabs>
              <w:tab w:val="right" w:leader="dot" w:pos="8553"/>
            </w:tabs>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lang w:eastAsia="zh-CN"/>
            </w:rPr>
            <w:fldChar w:fldCharType="begin"/>
          </w:r>
          <w:r>
            <w:rPr>
              <w:rFonts w:hint="eastAsia" w:ascii="宋体" w:hAnsi="宋体" w:eastAsia="宋体" w:cs="宋体"/>
              <w:sz w:val="30"/>
              <w:szCs w:val="30"/>
              <w:highlight w:val="none"/>
              <w:lang w:eastAsia="zh-CN"/>
            </w:rPr>
            <w:instrText xml:space="preserve"> HYPERLINK \l _Toc13821 </w:instrText>
          </w:r>
          <w:r>
            <w:rPr>
              <w:rFonts w:hint="eastAsia" w:ascii="宋体" w:hAnsi="宋体" w:eastAsia="宋体" w:cs="宋体"/>
              <w:sz w:val="30"/>
              <w:szCs w:val="30"/>
              <w:highlight w:val="none"/>
              <w:lang w:eastAsia="zh-CN"/>
            </w:rPr>
            <w:fldChar w:fldCharType="separate"/>
          </w:r>
          <w:r>
            <w:rPr>
              <w:rFonts w:hint="eastAsia" w:ascii="宋体" w:hAnsi="宋体" w:eastAsia="宋体" w:cs="宋体"/>
              <w:sz w:val="30"/>
              <w:szCs w:val="30"/>
              <w:highlight w:val="none"/>
            </w:rPr>
            <w:t>第</w:t>
          </w:r>
          <w:r>
            <w:rPr>
              <w:rFonts w:hint="eastAsia" w:ascii="宋体" w:hAnsi="宋体" w:eastAsia="宋体" w:cs="宋体"/>
              <w:sz w:val="30"/>
              <w:szCs w:val="30"/>
              <w:highlight w:val="none"/>
              <w:lang w:val="en-US" w:eastAsia="zh-CN"/>
            </w:rPr>
            <w:t>五</w:t>
          </w:r>
          <w:r>
            <w:rPr>
              <w:rFonts w:hint="eastAsia" w:ascii="宋体" w:hAnsi="宋体" w:eastAsia="宋体" w:cs="宋体"/>
              <w:sz w:val="30"/>
              <w:szCs w:val="30"/>
              <w:highlight w:val="none"/>
            </w:rPr>
            <w:t>章</w:t>
          </w:r>
          <w:r>
            <w:rPr>
              <w:rFonts w:hint="eastAsia" w:ascii="宋体" w:hAnsi="宋体" w:eastAsia="宋体" w:cs="宋体"/>
              <w:sz w:val="30"/>
              <w:szCs w:val="30"/>
              <w:highlight w:val="none"/>
              <w:lang w:val="en-US" w:eastAsia="zh-CN"/>
            </w:rPr>
            <w:t xml:space="preserve"> 项目需求</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_Toc13821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36</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lang w:eastAsia="zh-CN"/>
            </w:rPr>
            <w:fldChar w:fldCharType="end"/>
          </w:r>
        </w:p>
        <w:p>
          <w:pPr>
            <w:pStyle w:val="14"/>
            <w:tabs>
              <w:tab w:val="right" w:leader="dot" w:pos="8553"/>
            </w:tabs>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lang w:eastAsia="zh-CN"/>
            </w:rPr>
            <w:fldChar w:fldCharType="begin"/>
          </w:r>
          <w:r>
            <w:rPr>
              <w:rFonts w:hint="eastAsia" w:ascii="宋体" w:hAnsi="宋体" w:eastAsia="宋体" w:cs="宋体"/>
              <w:sz w:val="30"/>
              <w:szCs w:val="30"/>
              <w:highlight w:val="none"/>
              <w:lang w:eastAsia="zh-CN"/>
            </w:rPr>
            <w:instrText xml:space="preserve"> HYPERLINK \l _Toc27032 </w:instrText>
          </w:r>
          <w:r>
            <w:rPr>
              <w:rFonts w:hint="eastAsia" w:ascii="宋体" w:hAnsi="宋体" w:eastAsia="宋体" w:cs="宋体"/>
              <w:sz w:val="30"/>
              <w:szCs w:val="30"/>
              <w:highlight w:val="none"/>
              <w:lang w:eastAsia="zh-CN"/>
            </w:rPr>
            <w:fldChar w:fldCharType="separate"/>
          </w:r>
          <w:r>
            <w:rPr>
              <w:rFonts w:hint="eastAsia" w:ascii="宋体" w:hAnsi="宋体" w:eastAsia="宋体" w:cs="宋体"/>
              <w:sz w:val="30"/>
              <w:szCs w:val="30"/>
              <w:highlight w:val="none"/>
            </w:rPr>
            <w:t>第</w:t>
          </w:r>
          <w:r>
            <w:rPr>
              <w:rFonts w:hint="eastAsia" w:ascii="宋体" w:hAnsi="宋体" w:eastAsia="宋体" w:cs="宋体"/>
              <w:sz w:val="30"/>
              <w:szCs w:val="30"/>
              <w:highlight w:val="none"/>
              <w:lang w:val="en-US" w:eastAsia="zh-CN"/>
            </w:rPr>
            <w:t>六</w:t>
          </w:r>
          <w:r>
            <w:rPr>
              <w:rFonts w:hint="eastAsia" w:ascii="宋体" w:hAnsi="宋体" w:eastAsia="宋体" w:cs="宋体"/>
              <w:sz w:val="30"/>
              <w:szCs w:val="30"/>
              <w:highlight w:val="none"/>
            </w:rPr>
            <w:t>章</w:t>
          </w:r>
          <w:r>
            <w:rPr>
              <w:rFonts w:hint="eastAsia" w:ascii="宋体" w:hAnsi="宋体" w:eastAsia="宋体" w:cs="宋体"/>
              <w:sz w:val="30"/>
              <w:szCs w:val="30"/>
              <w:highlight w:val="none"/>
              <w:lang w:val="en-US" w:eastAsia="zh-CN"/>
            </w:rPr>
            <w:t xml:space="preserve"> </w:t>
          </w:r>
          <w:r>
            <w:rPr>
              <w:rFonts w:hint="eastAsia" w:ascii="宋体" w:hAnsi="宋体" w:eastAsia="宋体" w:cs="宋体"/>
              <w:sz w:val="30"/>
              <w:szCs w:val="30"/>
              <w:highlight w:val="none"/>
            </w:rPr>
            <w:t>竞争性磋商响应文件格式</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_Toc27032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38</w:t>
          </w:r>
          <w:r>
            <w:rPr>
              <w:rFonts w:hint="eastAsia" w:ascii="宋体" w:hAnsi="宋体" w:eastAsia="宋体" w:cs="宋体"/>
              <w:sz w:val="30"/>
              <w:szCs w:val="30"/>
              <w:highlight w:val="none"/>
            </w:rPr>
            <w:fldChar w:fldCharType="end"/>
          </w:r>
          <w:r>
            <w:rPr>
              <w:rFonts w:hint="eastAsia" w:ascii="宋体" w:hAnsi="宋体" w:eastAsia="宋体" w:cs="宋体"/>
              <w:sz w:val="30"/>
              <w:szCs w:val="30"/>
              <w:highlight w:val="none"/>
              <w:lang w:eastAsia="zh-CN"/>
            </w:rPr>
            <w:fldChar w:fldCharType="end"/>
          </w:r>
        </w:p>
        <w:p>
          <w:pPr>
            <w:pStyle w:val="36"/>
            <w:spacing w:line="360" w:lineRule="auto"/>
            <w:jc w:val="center"/>
            <w:rPr>
              <w:highlight w:val="none"/>
              <w:lang w:eastAsia="zh-CN"/>
            </w:rPr>
          </w:pPr>
          <w:r>
            <w:rPr>
              <w:rFonts w:hint="eastAsia" w:ascii="宋体" w:hAnsi="宋体" w:eastAsia="宋体" w:cs="宋体"/>
              <w:sz w:val="30"/>
              <w:szCs w:val="30"/>
              <w:highlight w:val="none"/>
              <w:lang w:eastAsia="zh-CN"/>
            </w:rPr>
            <w:fldChar w:fldCharType="end"/>
          </w:r>
        </w:p>
      </w:sdtContent>
    </w:sdt>
    <w:p>
      <w:pPr>
        <w:jc w:val="center"/>
        <w:rPr>
          <w:highlight w:val="none"/>
          <w:lang w:eastAsia="zh-CN"/>
        </w:rPr>
      </w:pPr>
    </w:p>
    <w:p>
      <w:pPr>
        <w:pStyle w:val="36"/>
        <w:keepNext/>
        <w:keepLines/>
        <w:spacing w:after="300" w:line="240" w:lineRule="auto"/>
        <w:jc w:val="center"/>
        <w:outlineLvl w:val="0"/>
        <w:rPr>
          <w:rFonts w:ascii="宋体" w:hAnsi="宋体" w:eastAsia="宋体" w:cs="宋体"/>
          <w:b/>
          <w:bCs/>
          <w:sz w:val="32"/>
          <w:szCs w:val="32"/>
          <w:highlight w:val="none"/>
          <w:lang w:eastAsia="zh-CN"/>
        </w:rPr>
      </w:pPr>
      <w:r>
        <w:rPr>
          <w:rFonts w:hint="eastAsia"/>
          <w:highlight w:val="none"/>
          <w:lang w:eastAsia="zh-CN"/>
        </w:rPr>
        <w:br w:type="page"/>
      </w:r>
      <w:bookmarkStart w:id="1" w:name="bookmark4"/>
      <w:bookmarkStart w:id="2" w:name="bookmark3"/>
      <w:bookmarkStart w:id="3" w:name="_Toc14718"/>
      <w:bookmarkStart w:id="4" w:name="_Toc31"/>
      <w:bookmarkStart w:id="5" w:name="_Toc16364"/>
      <w:bookmarkStart w:id="6" w:name="_Toc23873"/>
      <w:bookmarkStart w:id="7" w:name="bookmark6"/>
      <w:bookmarkStart w:id="8" w:name="_Toc2245"/>
      <w:r>
        <w:rPr>
          <w:rFonts w:hint="eastAsia" w:ascii="宋体" w:hAnsi="宋体" w:eastAsia="宋体" w:cs="宋体"/>
          <w:b/>
          <w:bCs/>
          <w:sz w:val="32"/>
          <w:szCs w:val="32"/>
          <w:highlight w:val="none"/>
          <w:lang w:eastAsia="zh-CN"/>
        </w:rPr>
        <w:t>第一章 竞争性磋商公告</w:t>
      </w:r>
      <w:bookmarkEnd w:id="1"/>
      <w:bookmarkEnd w:id="2"/>
      <w:bookmarkEnd w:id="3"/>
      <w:bookmarkEnd w:id="4"/>
      <w:bookmarkEnd w:id="5"/>
      <w:bookmarkEnd w:id="6"/>
      <w:bookmarkEnd w:id="7"/>
      <w:bookmarkEnd w:id="8"/>
    </w:p>
    <w:p>
      <w:pPr>
        <w:widowControl/>
        <w:shd w:val="clear" w:color="auto" w:fill="FFFFFF"/>
        <w:spacing w:line="360" w:lineRule="auto"/>
        <w:jc w:val="center"/>
        <w:rPr>
          <w:rFonts w:hint="eastAsia" w:ascii="宋体" w:hAnsi="宋体" w:eastAsia="宋体" w:cs="宋体"/>
          <w:b/>
          <w:color w:val="444444"/>
          <w:kern w:val="0"/>
          <w:sz w:val="28"/>
          <w:szCs w:val="28"/>
          <w:lang w:val="en-US" w:eastAsia="zh-CN" w:bidi="ar"/>
        </w:rPr>
      </w:pPr>
      <w:bookmarkStart w:id="9" w:name="bookmark73"/>
      <w:bookmarkStart w:id="10" w:name="bookmark74"/>
      <w:bookmarkStart w:id="11" w:name="bookmark76"/>
      <w:r>
        <w:rPr>
          <w:rFonts w:hint="eastAsia" w:ascii="宋体" w:hAnsi="宋体" w:eastAsia="宋体" w:cs="宋体"/>
          <w:b/>
          <w:color w:val="444444"/>
          <w:kern w:val="0"/>
          <w:sz w:val="28"/>
          <w:szCs w:val="28"/>
          <w:lang w:val="en-US" w:eastAsia="zh-CN" w:bidi="ar"/>
        </w:rPr>
        <w:t>中牟县自然资源和规划局中牟县老火车站片区城市更新专项</w:t>
      </w:r>
    </w:p>
    <w:p>
      <w:pPr>
        <w:widowControl/>
        <w:shd w:val="clear" w:color="auto" w:fill="FFFFFF"/>
        <w:spacing w:line="360" w:lineRule="auto"/>
        <w:jc w:val="center"/>
        <w:rPr>
          <w:rFonts w:hint="eastAsia" w:ascii="宋体" w:hAnsi="宋体" w:eastAsia="宋体" w:cs="宋体"/>
          <w:b/>
          <w:color w:val="444444"/>
          <w:kern w:val="0"/>
          <w:sz w:val="28"/>
          <w:szCs w:val="28"/>
          <w:lang w:bidi="ar"/>
        </w:rPr>
      </w:pPr>
      <w:r>
        <w:rPr>
          <w:rFonts w:hint="eastAsia" w:ascii="宋体" w:hAnsi="宋体" w:eastAsia="宋体" w:cs="宋体"/>
          <w:b/>
          <w:color w:val="444444"/>
          <w:kern w:val="0"/>
          <w:sz w:val="28"/>
          <w:szCs w:val="28"/>
          <w:lang w:val="en-US" w:eastAsia="zh-CN" w:bidi="ar"/>
        </w:rPr>
        <w:t>规划项目</w:t>
      </w:r>
      <w:r>
        <w:rPr>
          <w:rFonts w:hint="eastAsia" w:ascii="宋体" w:hAnsi="宋体" w:eastAsia="宋体" w:cs="宋体"/>
          <w:b/>
          <w:color w:val="444444"/>
          <w:kern w:val="0"/>
          <w:sz w:val="28"/>
          <w:szCs w:val="28"/>
          <w:lang w:bidi="ar"/>
        </w:rPr>
        <w:t>竞争性磋商公告</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项目概况</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中牟县自然资源和规划局中牟县老火车站片区城市更新专项规划项目的潜在供应商应在“中牟县公共资源交易中心”网</w:t>
      </w:r>
      <w:r>
        <w:rPr>
          <w:rFonts w:hint="eastAsia" w:ascii="宋体" w:hAnsi="宋体" w:eastAsia="宋体" w:cs="宋体"/>
          <w:color w:val="333333"/>
          <w:kern w:val="0"/>
          <w:sz w:val="28"/>
          <w:szCs w:val="28"/>
          <w:lang w:val="en-US" w:eastAsia="zh-CN" w:bidi="ar"/>
        </w:rPr>
        <w:t>站获取磋商文件</w:t>
      </w:r>
      <w:r>
        <w:rPr>
          <w:rFonts w:hint="eastAsia" w:ascii="宋体" w:hAnsi="宋体" w:eastAsia="宋体" w:cs="宋体"/>
          <w:color w:val="000000" w:themeColor="text1"/>
          <w:kern w:val="0"/>
          <w:sz w:val="28"/>
          <w:szCs w:val="28"/>
          <w:lang w:val="en-US" w:eastAsia="zh-CN" w:bidi="ar"/>
          <w14:textFill>
            <w14:solidFill>
              <w14:schemeClr w14:val="tx1"/>
            </w14:solidFill>
          </w14:textFill>
        </w:rPr>
        <w:t>，并于2023年</w:t>
      </w:r>
      <w:r>
        <w:rPr>
          <w:rFonts w:hint="default" w:ascii="宋体" w:hAnsi="宋体" w:eastAsia="宋体" w:cs="宋体"/>
          <w:color w:val="000000" w:themeColor="text1"/>
          <w:kern w:val="0"/>
          <w:sz w:val="28"/>
          <w:szCs w:val="28"/>
          <w:lang w:val="en-US" w:eastAsia="zh-CN" w:bidi="ar"/>
          <w14:textFill>
            <w14:solidFill>
              <w14:schemeClr w14:val="tx1"/>
            </w14:solidFill>
          </w14:textFill>
        </w:rPr>
        <w:t>9</w:t>
      </w:r>
      <w:r>
        <w:rPr>
          <w:rFonts w:hint="eastAsia" w:ascii="宋体" w:hAnsi="宋体" w:eastAsia="宋体" w:cs="宋体"/>
          <w:color w:val="000000" w:themeColor="text1"/>
          <w:kern w:val="0"/>
          <w:sz w:val="28"/>
          <w:szCs w:val="28"/>
          <w:lang w:val="en-US" w:eastAsia="zh-CN" w:bidi="ar"/>
          <w14:textFill>
            <w14:solidFill>
              <w14:schemeClr w14:val="tx1"/>
            </w14:solidFill>
          </w14:textFill>
        </w:rPr>
        <w:t>月</w:t>
      </w:r>
      <w:r>
        <w:rPr>
          <w:rFonts w:hint="default" w:ascii="宋体" w:hAnsi="宋体" w:eastAsia="宋体" w:cs="宋体"/>
          <w:color w:val="000000" w:themeColor="text1"/>
          <w:kern w:val="0"/>
          <w:sz w:val="28"/>
          <w:szCs w:val="28"/>
          <w:lang w:val="en-US" w:eastAsia="zh-CN" w:bidi="ar"/>
          <w14:textFill>
            <w14:solidFill>
              <w14:schemeClr w14:val="tx1"/>
            </w14:solidFill>
          </w14:textFill>
        </w:rPr>
        <w:t>15</w:t>
      </w:r>
      <w:r>
        <w:rPr>
          <w:rFonts w:hint="eastAsia" w:ascii="宋体" w:hAnsi="宋体" w:eastAsia="宋体" w:cs="宋体"/>
          <w:color w:val="000000" w:themeColor="text1"/>
          <w:kern w:val="0"/>
          <w:sz w:val="28"/>
          <w:szCs w:val="28"/>
          <w:lang w:val="en-US" w:eastAsia="zh-CN" w:bidi="ar"/>
          <w14:textFill>
            <w14:solidFill>
              <w14:schemeClr w14:val="tx1"/>
            </w14:solidFill>
          </w14:textFill>
        </w:rPr>
        <w:t>日09时00分（</w:t>
      </w:r>
      <w:r>
        <w:rPr>
          <w:rFonts w:hint="eastAsia" w:ascii="宋体" w:hAnsi="宋体" w:eastAsia="宋体" w:cs="宋体"/>
          <w:color w:val="333333"/>
          <w:kern w:val="0"/>
          <w:sz w:val="28"/>
          <w:szCs w:val="28"/>
          <w:lang w:val="en-US" w:eastAsia="zh-CN" w:bidi="ar"/>
        </w:rPr>
        <w:t>北京</w:t>
      </w:r>
      <w:r>
        <w:rPr>
          <w:rFonts w:hint="eastAsia" w:ascii="宋体" w:hAnsi="宋体" w:eastAsia="宋体" w:cs="宋体"/>
          <w:color w:val="000000"/>
          <w:kern w:val="0"/>
          <w:sz w:val="28"/>
          <w:szCs w:val="28"/>
          <w:lang w:val="en-US" w:eastAsia="zh-CN" w:bidi="ar"/>
        </w:rPr>
        <w:t>时间）前递交响应文件。</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left"/>
        <w:outlineLvl w:val="1"/>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一、项目基本情况</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88" w:firstLine="560" w:firstLineChars="200"/>
        <w:jc w:val="left"/>
        <w:rPr>
          <w:rFonts w:hint="eastAsia" w:ascii="宋体" w:hAnsi="宋体" w:eastAsia="宋体" w:cs="宋体"/>
          <w:color w:val="FF0000"/>
          <w:sz w:val="28"/>
          <w:szCs w:val="28"/>
          <w:lang w:val="en-US"/>
        </w:rPr>
      </w:pPr>
      <w:r>
        <w:rPr>
          <w:rFonts w:hint="eastAsia" w:ascii="宋体" w:hAnsi="宋体" w:eastAsia="宋体" w:cs="宋体"/>
          <w:color w:val="000000"/>
          <w:kern w:val="0"/>
          <w:sz w:val="28"/>
          <w:szCs w:val="28"/>
          <w:lang w:val="en-US" w:eastAsia="zh-CN" w:bidi="ar"/>
        </w:rPr>
        <w:t>1、</w:t>
      </w: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采购编号：中牟磋商采购-2023-89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right="-88" w:firstLine="1120" w:firstLineChars="400"/>
        <w:jc w:val="left"/>
        <w:rPr>
          <w:rFonts w:hint="eastAsia" w:ascii="宋体" w:hAnsi="宋体" w:eastAsia="宋体" w:cs="宋体"/>
          <w:sz w:val="28"/>
          <w:szCs w:val="28"/>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进场编号：牟公资采2023-</w:t>
      </w:r>
      <w:r>
        <w:rPr>
          <w:rFonts w:hint="default" w:ascii="宋体" w:hAnsi="宋体" w:eastAsia="宋体" w:cs="宋体"/>
          <w:color w:val="000000" w:themeColor="text1"/>
          <w:kern w:val="0"/>
          <w:sz w:val="28"/>
          <w:szCs w:val="28"/>
          <w:lang w:val="en-US" w:eastAsia="zh-CN" w:bidi="ar"/>
          <w14:textFill>
            <w14:solidFill>
              <w14:schemeClr w14:val="tx1"/>
            </w14:solidFill>
          </w14:textFill>
        </w:rPr>
        <w:t>0822</w:t>
      </w:r>
      <w:r>
        <w:rPr>
          <w:rFonts w:hint="eastAsia" w:ascii="宋体" w:hAnsi="宋体" w:eastAsia="宋体" w:cs="宋体"/>
          <w:color w:val="000000" w:themeColor="text1"/>
          <w:kern w:val="0"/>
          <w:sz w:val="28"/>
          <w:szCs w:val="28"/>
          <w:lang w:val="en-US" w:eastAsia="zh-CN" w:bidi="ar"/>
          <w14:textFill>
            <w14:solidFill>
              <w14:schemeClr w14:val="tx1"/>
            </w14:solidFill>
          </w14:textFill>
        </w:rPr>
        <w:t>-</w:t>
      </w:r>
      <w:r>
        <w:rPr>
          <w:rFonts w:hint="default" w:ascii="宋体" w:hAnsi="宋体" w:eastAsia="宋体" w:cs="宋体"/>
          <w:color w:val="000000" w:themeColor="text1"/>
          <w:kern w:val="0"/>
          <w:sz w:val="28"/>
          <w:szCs w:val="28"/>
          <w:lang w:val="en-US" w:eastAsia="zh-CN" w:bidi="ar"/>
          <w14:textFill>
            <w14:solidFill>
              <w14:schemeClr w14:val="tx1"/>
            </w14:solidFill>
          </w14:textFill>
        </w:rPr>
        <w:t>169</w:t>
      </w: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    </w:t>
      </w:r>
      <w:r>
        <w:rPr>
          <w:rFonts w:hint="eastAsia" w:ascii="宋体" w:hAnsi="宋体" w:eastAsia="宋体" w:cs="宋体"/>
          <w:color w:val="333333"/>
          <w:kern w:val="0"/>
          <w:sz w:val="28"/>
          <w:szCs w:val="28"/>
          <w:lang w:val="en-US" w:eastAsia="zh-CN" w:bidi="ar"/>
        </w:rPr>
        <w:t>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2、项目名称：中牟县自然资源和规划局中牟县老火车站片区城市更新专项规划项目</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3、采购方式：竞争性磋商</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4、预算金额：1719200元</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1120" w:firstLineChars="4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最高限价：1719200元</w:t>
      </w:r>
    </w:p>
    <w:tbl>
      <w:tblPr>
        <w:tblStyle w:val="20"/>
        <w:tblW w:w="9297"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29"/>
        <w:gridCol w:w="2044"/>
        <w:gridCol w:w="2689"/>
        <w:gridCol w:w="1715"/>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86"/>
              <w:jc w:val="center"/>
              <w:rPr>
                <w:rFonts w:hint="eastAsia" w:ascii="宋体" w:hAnsi="宋体" w:eastAsia="宋体" w:cs="宋体"/>
                <w:sz w:val="28"/>
                <w:szCs w:val="28"/>
              </w:rPr>
            </w:pPr>
            <w:r>
              <w:rPr>
                <w:rFonts w:hint="eastAsia" w:ascii="宋体" w:hAnsi="宋体" w:eastAsia="宋体" w:cs="宋体"/>
                <w:color w:val="000000"/>
                <w:sz w:val="28"/>
                <w:szCs w:val="28"/>
              </w:rPr>
              <w:t>序号</w:t>
            </w:r>
          </w:p>
        </w:tc>
        <w:tc>
          <w:tcPr>
            <w:tcW w:w="20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139" w:rightChars="0"/>
              <w:jc w:val="center"/>
              <w:rPr>
                <w:rFonts w:hint="eastAsia" w:ascii="宋体" w:hAnsi="宋体" w:eastAsia="宋体" w:cs="宋体"/>
                <w:sz w:val="28"/>
                <w:szCs w:val="28"/>
              </w:rPr>
            </w:pPr>
            <w:r>
              <w:rPr>
                <w:rFonts w:hint="eastAsia" w:ascii="宋体" w:hAnsi="宋体" w:eastAsia="宋体" w:cs="宋体"/>
                <w:color w:val="000000"/>
                <w:sz w:val="28"/>
                <w:szCs w:val="28"/>
              </w:rPr>
              <w:t>包号</w:t>
            </w:r>
          </w:p>
        </w:tc>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61" w:rightChars="0"/>
              <w:jc w:val="center"/>
              <w:rPr>
                <w:rFonts w:hint="eastAsia" w:ascii="宋体" w:hAnsi="宋体" w:eastAsia="宋体" w:cs="宋体"/>
                <w:sz w:val="28"/>
                <w:szCs w:val="28"/>
              </w:rPr>
            </w:pPr>
            <w:r>
              <w:rPr>
                <w:rFonts w:hint="eastAsia" w:ascii="宋体" w:hAnsi="宋体" w:eastAsia="宋体" w:cs="宋体"/>
                <w:color w:val="000000"/>
                <w:sz w:val="28"/>
                <w:szCs w:val="28"/>
              </w:rPr>
              <w:t> 包名称</w:t>
            </w:r>
          </w:p>
        </w:tc>
        <w:tc>
          <w:tcPr>
            <w:tcW w:w="17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rPr>
                <w:rFonts w:hint="eastAsia" w:ascii="宋体" w:hAnsi="宋体" w:eastAsia="宋体" w:cs="宋体"/>
                <w:sz w:val="28"/>
                <w:szCs w:val="28"/>
              </w:rPr>
            </w:pPr>
            <w:r>
              <w:rPr>
                <w:rFonts w:hint="eastAsia" w:ascii="宋体" w:hAnsi="宋体" w:eastAsia="宋体" w:cs="宋体"/>
                <w:color w:val="000000"/>
                <w:sz w:val="28"/>
                <w:szCs w:val="28"/>
              </w:rPr>
              <w:t>包预算（元）</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29"/>
              <w:jc w:val="center"/>
              <w:rPr>
                <w:rFonts w:hint="eastAsia" w:ascii="宋体" w:hAnsi="宋体" w:eastAsia="宋体" w:cs="宋体"/>
                <w:sz w:val="28"/>
                <w:szCs w:val="28"/>
              </w:rPr>
            </w:pPr>
            <w:r>
              <w:rPr>
                <w:rFonts w:hint="eastAsia" w:ascii="宋体" w:hAnsi="宋体" w:eastAsia="宋体" w:cs="宋体"/>
                <w:color w:val="000000"/>
                <w:sz w:val="28"/>
                <w:szCs w:val="28"/>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16" w:hRule="atLeast"/>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rPr>
                <w:rFonts w:hint="eastAsia" w:ascii="宋体" w:hAnsi="宋体" w:eastAsia="宋体" w:cs="宋体"/>
                <w:sz w:val="28"/>
                <w:szCs w:val="28"/>
              </w:rPr>
            </w:pPr>
            <w:r>
              <w:rPr>
                <w:rFonts w:hint="eastAsia" w:ascii="宋体" w:hAnsi="宋体" w:eastAsia="宋体" w:cs="宋体"/>
                <w:color w:val="000000"/>
                <w:sz w:val="28"/>
                <w:szCs w:val="28"/>
              </w:rPr>
              <w:t>1</w:t>
            </w:r>
          </w:p>
        </w:tc>
        <w:tc>
          <w:tcPr>
            <w:tcW w:w="20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97"/>
              <w:jc w:val="center"/>
              <w:rPr>
                <w:rFonts w:hint="eastAsia" w:ascii="宋体" w:hAnsi="宋体" w:eastAsia="宋体" w:cs="宋体"/>
                <w:color w:val="FF0000"/>
                <w:sz w:val="28"/>
                <w:szCs w:val="28"/>
                <w:lang w:val="en-US"/>
              </w:rPr>
            </w:pPr>
            <w:r>
              <w:rPr>
                <w:rFonts w:hint="eastAsia" w:ascii="宋体" w:hAnsi="宋体" w:eastAsia="宋体" w:cs="宋体"/>
                <w:color w:val="000000" w:themeColor="text1"/>
                <w:sz w:val="28"/>
                <w:szCs w:val="28"/>
                <w14:textFill>
                  <w14:solidFill>
                    <w14:schemeClr w14:val="tx1"/>
                  </w14:solidFill>
                </w14:textFill>
              </w:rPr>
              <w:t>中牟磋商采购-2023-</w:t>
            </w:r>
            <w:r>
              <w:rPr>
                <w:rFonts w:hint="eastAsia" w:ascii="宋体" w:hAnsi="宋体" w:eastAsia="宋体" w:cs="宋体"/>
                <w:color w:val="000000" w:themeColor="text1"/>
                <w:sz w:val="28"/>
                <w:szCs w:val="28"/>
                <w:lang w:val="en-US"/>
                <w14:textFill>
                  <w14:solidFill>
                    <w14:schemeClr w14:val="tx1"/>
                  </w14:solidFill>
                </w14:textFill>
              </w:rPr>
              <w:t>89</w:t>
            </w:r>
          </w:p>
        </w:tc>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rightChars="0"/>
              <w:jc w:val="center"/>
              <w:rPr>
                <w:rFonts w:hint="eastAsia" w:ascii="宋体" w:hAnsi="宋体" w:eastAsia="宋体" w:cs="宋体"/>
                <w:color w:val="FF0000"/>
                <w:sz w:val="28"/>
                <w:szCs w:val="28"/>
              </w:rPr>
            </w:pPr>
            <w:r>
              <w:rPr>
                <w:rFonts w:hint="eastAsia" w:ascii="宋体" w:hAnsi="宋体" w:eastAsia="宋体" w:cs="宋体"/>
                <w:color w:val="000000"/>
                <w:kern w:val="0"/>
                <w:sz w:val="28"/>
                <w:szCs w:val="28"/>
                <w:lang w:val="en-US" w:eastAsia="zh-CN" w:bidi="ar"/>
              </w:rPr>
              <w:t>中牟县自然资源和规划局中牟县老火车站片区城市更新专项规划项目</w:t>
            </w:r>
          </w:p>
        </w:tc>
        <w:tc>
          <w:tcPr>
            <w:tcW w:w="17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center"/>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1719200</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97"/>
              <w:jc w:val="center"/>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1719200</w:t>
            </w:r>
          </w:p>
        </w:tc>
      </w:tr>
    </w:tbl>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88"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5、采购需求（包括但不限于标的的名称、数量、简要技术需求或服务要求等）： </w:t>
      </w:r>
    </w:p>
    <w:p>
      <w:pPr>
        <w:pStyle w:val="19"/>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sz w:val="28"/>
          <w:szCs w:val="28"/>
        </w:rPr>
        <w:t>5.1、采购内容：</w:t>
      </w:r>
      <w:r>
        <w:rPr>
          <w:rFonts w:hint="eastAsia" w:ascii="宋体" w:hAnsi="宋体" w:eastAsia="宋体" w:cs="宋体"/>
          <w:color w:val="000000"/>
          <w:kern w:val="0"/>
          <w:sz w:val="28"/>
          <w:szCs w:val="28"/>
          <w:lang w:val="en-US" w:eastAsia="zh-CN" w:bidi="ar"/>
        </w:rPr>
        <w:t>对中牟县老火车站周边，解放路两侧、贾鲁河南、陇海铁路北、省道223西区域内编制城市更新专项规划，规划面积为614公顷。（详见磋商文件）</w:t>
      </w:r>
    </w:p>
    <w:p>
      <w:pPr>
        <w:pStyle w:val="19"/>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rPr>
          <w:rFonts w:hint="eastAsia" w:ascii="宋体" w:hAnsi="宋体" w:eastAsia="宋体" w:cs="宋体"/>
          <w:sz w:val="28"/>
          <w:szCs w:val="28"/>
        </w:rPr>
      </w:pPr>
      <w:r>
        <w:rPr>
          <w:rFonts w:hint="eastAsia" w:ascii="宋体" w:hAnsi="宋体" w:eastAsia="宋体" w:cs="宋体"/>
          <w:color w:val="000000"/>
          <w:sz w:val="28"/>
          <w:szCs w:val="28"/>
        </w:rPr>
        <w:t>5.2包段划分：本项目共分为</w:t>
      </w:r>
      <w:r>
        <w:rPr>
          <w:rFonts w:hint="eastAsia" w:ascii="宋体" w:hAnsi="宋体" w:eastAsia="宋体" w:cs="宋体"/>
          <w:color w:val="000000"/>
          <w:sz w:val="28"/>
          <w:szCs w:val="28"/>
          <w:lang w:val="en-US" w:eastAsia="zh-CN"/>
        </w:rPr>
        <w:t>一</w:t>
      </w:r>
      <w:r>
        <w:rPr>
          <w:rFonts w:hint="eastAsia" w:ascii="宋体" w:hAnsi="宋体" w:eastAsia="宋体" w:cs="宋体"/>
          <w:color w:val="000000"/>
          <w:sz w:val="28"/>
          <w:szCs w:val="28"/>
        </w:rPr>
        <w:t>个标段。</w:t>
      </w:r>
    </w:p>
    <w:p>
      <w:pPr>
        <w:pStyle w:val="19"/>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rPr>
          <w:rFonts w:hint="eastAsia" w:ascii="宋体" w:hAnsi="宋体" w:eastAsia="宋体" w:cs="宋体"/>
          <w:sz w:val="28"/>
          <w:szCs w:val="28"/>
        </w:rPr>
      </w:pPr>
      <w:r>
        <w:rPr>
          <w:rFonts w:hint="eastAsia" w:ascii="宋体" w:hAnsi="宋体" w:eastAsia="宋体" w:cs="宋体"/>
          <w:color w:val="000000"/>
          <w:sz w:val="28"/>
          <w:szCs w:val="28"/>
        </w:rPr>
        <w:t>5.3</w:t>
      </w:r>
      <w:r>
        <w:rPr>
          <w:rFonts w:hint="eastAsia" w:ascii="宋体" w:hAnsi="宋体" w:eastAsia="宋体" w:cs="宋体"/>
          <w:color w:val="000000" w:themeColor="text1"/>
          <w:sz w:val="28"/>
          <w:szCs w:val="28"/>
          <w14:textFill>
            <w14:solidFill>
              <w14:schemeClr w14:val="tx1"/>
            </w14:solidFill>
          </w14:textFill>
        </w:rPr>
        <w:t>服务期限：</w:t>
      </w:r>
      <w:r>
        <w:rPr>
          <w:rFonts w:hint="eastAsia" w:ascii="宋体" w:hAnsi="宋体" w:eastAsia="宋体" w:cs="宋体"/>
          <w:color w:val="000000" w:themeColor="text1"/>
          <w:sz w:val="28"/>
          <w:szCs w:val="28"/>
          <w:lang w:eastAsia="zh-CN"/>
          <w14:textFill>
            <w14:solidFill>
              <w14:schemeClr w14:val="tx1"/>
            </w14:solidFill>
          </w14:textFill>
        </w:rPr>
        <w:t>自签订合同之日起</w:t>
      </w:r>
      <w:r>
        <w:rPr>
          <w:rFonts w:hint="eastAsia" w:ascii="宋体" w:hAnsi="宋体" w:eastAsia="宋体" w:cs="宋体"/>
          <w:color w:val="000000" w:themeColor="text1"/>
          <w:sz w:val="28"/>
          <w:szCs w:val="28"/>
          <w:lang w:val="en-US" w:eastAsia="zh-CN"/>
          <w14:textFill>
            <w14:solidFill>
              <w14:schemeClr w14:val="tx1"/>
            </w14:solidFill>
          </w14:textFill>
        </w:rPr>
        <w:t>至2023年12月31日</w:t>
      </w:r>
      <w:r>
        <w:rPr>
          <w:rFonts w:hint="eastAsia" w:ascii="宋体" w:hAnsi="宋体" w:eastAsia="宋体" w:cs="宋体"/>
          <w:color w:val="000000" w:themeColor="text1"/>
          <w:sz w:val="28"/>
          <w:szCs w:val="28"/>
          <w14:textFill>
            <w14:solidFill>
              <w14:schemeClr w14:val="tx1"/>
            </w14:solidFill>
          </w14:textFill>
        </w:rPr>
        <w:t>；</w:t>
      </w:r>
    </w:p>
    <w:p>
      <w:pPr>
        <w:pStyle w:val="19"/>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rPr>
          <w:rFonts w:hint="eastAsia" w:ascii="宋体" w:hAnsi="宋体" w:eastAsia="宋体" w:cs="宋体"/>
          <w:sz w:val="28"/>
          <w:szCs w:val="28"/>
        </w:rPr>
      </w:pPr>
      <w:r>
        <w:rPr>
          <w:rFonts w:hint="eastAsia" w:ascii="宋体" w:hAnsi="宋体" w:eastAsia="宋体" w:cs="宋体"/>
          <w:color w:val="000000"/>
          <w:sz w:val="28"/>
          <w:szCs w:val="28"/>
        </w:rPr>
        <w:t>5.4服务质量：执行国家最新的强制标准和国家及行业最新的规范；</w:t>
      </w:r>
    </w:p>
    <w:p>
      <w:pPr>
        <w:pStyle w:val="19"/>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sz w:val="28"/>
          <w:szCs w:val="28"/>
        </w:rPr>
        <w:t>6、合同履行期限：</w:t>
      </w:r>
      <w:r>
        <w:rPr>
          <w:rFonts w:hint="eastAsia" w:ascii="宋体" w:hAnsi="宋体" w:eastAsia="宋体" w:cs="宋体"/>
          <w:color w:val="000000" w:themeColor="text1"/>
          <w:sz w:val="28"/>
          <w:szCs w:val="28"/>
          <w:lang w:eastAsia="zh-CN"/>
          <w14:textFill>
            <w14:solidFill>
              <w14:schemeClr w14:val="tx1"/>
            </w14:solidFill>
          </w14:textFill>
        </w:rPr>
        <w:t>自签订合同之日起</w:t>
      </w:r>
      <w:r>
        <w:rPr>
          <w:rFonts w:hint="eastAsia" w:ascii="宋体" w:hAnsi="宋体" w:eastAsia="宋体" w:cs="宋体"/>
          <w:color w:val="000000" w:themeColor="text1"/>
          <w:sz w:val="28"/>
          <w:szCs w:val="28"/>
          <w:lang w:val="en-US" w:eastAsia="zh-CN"/>
          <w14:textFill>
            <w14:solidFill>
              <w14:schemeClr w14:val="tx1"/>
            </w14:solidFill>
          </w14:textFill>
        </w:rPr>
        <w:t>至2023年12月31日</w:t>
      </w:r>
      <w:r>
        <w:rPr>
          <w:rFonts w:hint="eastAsia" w:ascii="宋体" w:hAnsi="宋体" w:eastAsia="宋体" w:cs="宋体"/>
          <w:color w:val="000000" w:themeColor="text1"/>
          <w:sz w:val="28"/>
          <w:szCs w:val="28"/>
          <w14:textFill>
            <w14:solidFill>
              <w14:schemeClr w14:val="tx1"/>
            </w14:solidFill>
          </w14:textFill>
        </w:rPr>
        <w:t>；</w:t>
      </w:r>
    </w:p>
    <w:p>
      <w:pPr>
        <w:pStyle w:val="19"/>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rPr>
          <w:rFonts w:hint="eastAsia" w:ascii="宋体" w:hAnsi="宋体" w:eastAsia="宋体" w:cs="宋体"/>
          <w:sz w:val="28"/>
          <w:szCs w:val="28"/>
        </w:rPr>
      </w:pPr>
      <w:r>
        <w:rPr>
          <w:rFonts w:hint="eastAsia" w:ascii="宋体" w:hAnsi="宋体" w:eastAsia="宋体" w:cs="宋体"/>
          <w:color w:val="000000"/>
          <w:sz w:val="28"/>
          <w:szCs w:val="28"/>
        </w:rPr>
        <w:t>7、本项目是否接受联合体投标：否</w:t>
      </w:r>
    </w:p>
    <w:p>
      <w:pPr>
        <w:pStyle w:val="19"/>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rPr>
          <w:rFonts w:hint="eastAsia" w:ascii="宋体" w:hAnsi="宋体" w:eastAsia="宋体" w:cs="宋体"/>
          <w:sz w:val="28"/>
          <w:szCs w:val="28"/>
        </w:rPr>
      </w:pPr>
      <w:r>
        <w:rPr>
          <w:rFonts w:hint="eastAsia" w:ascii="宋体" w:hAnsi="宋体" w:eastAsia="宋体" w:cs="宋体"/>
          <w:color w:val="000000"/>
          <w:sz w:val="28"/>
          <w:szCs w:val="28"/>
        </w:rPr>
        <w:t>8、是否接受进口产品：否</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9、是否专门面向中小企业：否</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left"/>
        <w:outlineLvl w:val="1"/>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二、申请人资格要求</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333333"/>
          <w:kern w:val="0"/>
          <w:sz w:val="28"/>
          <w:szCs w:val="28"/>
          <w:lang w:val="en-US" w:eastAsia="zh-CN" w:bidi="ar"/>
        </w:rPr>
        <w:t>1</w:t>
      </w:r>
      <w:r>
        <w:rPr>
          <w:rFonts w:hint="eastAsia" w:ascii="宋体" w:hAnsi="宋体" w:eastAsia="宋体" w:cs="宋体"/>
          <w:color w:val="000000"/>
          <w:kern w:val="0"/>
          <w:sz w:val="28"/>
          <w:szCs w:val="28"/>
          <w:lang w:val="en-US" w:eastAsia="zh-CN" w:bidi="ar"/>
        </w:rPr>
        <w:t>、满足《中华人民共和国政府采购法》第二十二条规定；</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2、落实政府采购政策满足的资格要求：本项目落实政府采购促进中小企业发展（监狱企业、残疾人福利性企业视同小微企业）等相关政府采购政策。本项目对小型和微型企业，报价给予20%的扣除参与评审。（具体政策详见磋商文件）</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3、本项目的特定资格要求：</w:t>
      </w:r>
    </w:p>
    <w:p>
      <w:pPr>
        <w:pStyle w:val="19"/>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88" w:firstLine="560" w:firstLineChars="200"/>
        <w:rPr>
          <w:rFonts w:hint="eastAsia" w:ascii="宋体" w:hAnsi="宋体" w:eastAsia="宋体" w:cs="宋体"/>
          <w:sz w:val="28"/>
          <w:szCs w:val="28"/>
        </w:rPr>
      </w:pPr>
      <w:r>
        <w:rPr>
          <w:rFonts w:hint="eastAsia" w:ascii="宋体" w:hAnsi="宋体" w:eastAsia="宋体" w:cs="宋体"/>
          <w:color w:val="000000"/>
          <w:sz w:val="28"/>
          <w:szCs w:val="28"/>
        </w:rPr>
        <w:t>3.1、具有独立承担民事责任的能力（具有有效的企业营业执照）；</w:t>
      </w:r>
    </w:p>
    <w:p>
      <w:pPr>
        <w:pStyle w:val="19"/>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88" w:firstLine="560" w:firstLineChars="200"/>
        <w:jc w:val="both"/>
        <w:rPr>
          <w:rFonts w:hint="eastAsia" w:ascii="宋体" w:hAnsi="宋体" w:eastAsia="宋体" w:cs="宋体"/>
          <w:sz w:val="28"/>
          <w:szCs w:val="28"/>
        </w:rPr>
      </w:pPr>
      <w:r>
        <w:rPr>
          <w:rFonts w:hint="eastAsia" w:ascii="宋体" w:hAnsi="宋体" w:eastAsia="宋体" w:cs="宋体"/>
          <w:color w:val="000000"/>
          <w:sz w:val="28"/>
          <w:szCs w:val="28"/>
        </w:rPr>
        <w:t>3.2、资质要求：</w:t>
      </w:r>
    </w:p>
    <w:p>
      <w:pPr>
        <w:pStyle w:val="19"/>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88"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（1）供应商须具备行政主管部门核发的城乡规划编制</w:t>
      </w:r>
      <w:r>
        <w:rPr>
          <w:rFonts w:hint="eastAsia" w:ascii="宋体" w:hAnsi="宋体" w:eastAsia="宋体" w:cs="宋体"/>
          <w:color w:val="000000" w:themeColor="text1"/>
          <w:sz w:val="28"/>
          <w:szCs w:val="28"/>
          <w:lang w:val="en-US" w:eastAsia="zh-CN"/>
          <w14:textFill>
            <w14:solidFill>
              <w14:schemeClr w14:val="tx1"/>
            </w14:solidFill>
          </w14:textFill>
        </w:rPr>
        <w:t>乙</w:t>
      </w:r>
      <w:r>
        <w:rPr>
          <w:rFonts w:hint="eastAsia" w:ascii="宋体" w:hAnsi="宋体" w:eastAsia="宋体" w:cs="宋体"/>
          <w:color w:val="000000" w:themeColor="text1"/>
          <w:sz w:val="28"/>
          <w:szCs w:val="28"/>
          <w14:textFill>
            <w14:solidFill>
              <w14:schemeClr w14:val="tx1"/>
            </w14:solidFill>
          </w14:textFill>
        </w:rPr>
        <w:t xml:space="preserve">级资质证书； </w:t>
      </w:r>
    </w:p>
    <w:p>
      <w:pPr>
        <w:pStyle w:val="19"/>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88"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（2）项目负责人具有国家注册城市（乡）规划师注册证书及</w:t>
      </w:r>
      <w:r>
        <w:rPr>
          <w:rFonts w:hint="eastAsia" w:ascii="宋体" w:hAnsi="宋体" w:eastAsia="宋体" w:cs="宋体"/>
          <w:color w:val="000000" w:themeColor="text1"/>
          <w:sz w:val="28"/>
          <w:szCs w:val="28"/>
          <w:lang w:val="en-US" w:eastAsia="zh-CN"/>
          <w14:textFill>
            <w14:solidFill>
              <w14:schemeClr w14:val="tx1"/>
            </w14:solidFill>
          </w14:textFill>
        </w:rPr>
        <w:t>中</w:t>
      </w:r>
      <w:r>
        <w:rPr>
          <w:rFonts w:hint="eastAsia" w:ascii="宋体" w:hAnsi="宋体" w:eastAsia="宋体" w:cs="宋体"/>
          <w:color w:val="000000" w:themeColor="text1"/>
          <w:sz w:val="28"/>
          <w:szCs w:val="28"/>
          <w14:textFill>
            <w14:solidFill>
              <w14:schemeClr w14:val="tx1"/>
            </w14:solidFill>
          </w14:textFill>
        </w:rPr>
        <w:t>级工程师及以上职称。</w:t>
      </w:r>
    </w:p>
    <w:p>
      <w:pPr>
        <w:pStyle w:val="19"/>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88" w:firstLine="560" w:firstLineChars="200"/>
        <w:jc w:val="both"/>
        <w:rPr>
          <w:rFonts w:hint="eastAsia" w:ascii="宋体" w:hAnsi="宋体" w:eastAsia="宋体" w:cs="宋体"/>
          <w:sz w:val="28"/>
          <w:szCs w:val="28"/>
        </w:rPr>
      </w:pPr>
      <w:r>
        <w:rPr>
          <w:rFonts w:hint="eastAsia" w:ascii="宋体" w:hAnsi="宋体" w:eastAsia="宋体" w:cs="宋体"/>
          <w:color w:val="000000"/>
          <w:sz w:val="28"/>
          <w:szCs w:val="28"/>
        </w:rPr>
        <w:t>3.3、具有良好的商业信誉和健全的财务会计制度（提供完整的2021年或2022年度经审计的财务审计报告，新成立企业提供银行出具的资信证明）；</w:t>
      </w:r>
    </w:p>
    <w:p>
      <w:pPr>
        <w:pStyle w:val="19"/>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88" w:firstLine="560" w:firstLineChars="200"/>
        <w:rPr>
          <w:rFonts w:hint="eastAsia" w:ascii="宋体" w:hAnsi="宋体" w:eastAsia="宋体" w:cs="宋体"/>
          <w:sz w:val="28"/>
          <w:szCs w:val="28"/>
        </w:rPr>
      </w:pPr>
      <w:r>
        <w:rPr>
          <w:rFonts w:hint="eastAsia" w:ascii="宋体" w:hAnsi="宋体" w:eastAsia="宋体" w:cs="宋体"/>
          <w:color w:val="000000"/>
          <w:sz w:val="28"/>
          <w:szCs w:val="28"/>
        </w:rPr>
        <w:t>3.4、具有履行合同所必需的设备和专业技术能力，（提供承诺函，格式自拟）；</w:t>
      </w:r>
    </w:p>
    <w:p>
      <w:pPr>
        <w:pStyle w:val="19"/>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86" w:rightChars="-36" w:firstLine="560" w:firstLineChars="200"/>
        <w:jc w:val="both"/>
        <w:rPr>
          <w:rFonts w:hint="eastAsia" w:ascii="宋体" w:hAnsi="宋体" w:eastAsia="宋体" w:cs="宋体"/>
          <w:sz w:val="28"/>
          <w:szCs w:val="28"/>
        </w:rPr>
      </w:pPr>
      <w:r>
        <w:rPr>
          <w:rFonts w:hint="eastAsia" w:ascii="宋体" w:hAnsi="宋体" w:eastAsia="宋体" w:cs="宋体"/>
          <w:color w:val="000000"/>
          <w:sz w:val="28"/>
          <w:szCs w:val="28"/>
        </w:rPr>
        <w:t>3.5、具有依法缴纳税收和社会保障资金的良好记录（提供2023年1月以来任意 1 个月的社会保障资金及税收缴纳证明材料。新成立企业从成立之日起计算，依法免税或不需要缴纳社会保障资金的供应商，应提供相应文件证明其依法免税或不需要缴纳社会保障资金）；</w:t>
      </w:r>
    </w:p>
    <w:p>
      <w:pPr>
        <w:pStyle w:val="19"/>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88" w:firstLine="560" w:firstLineChars="200"/>
        <w:rPr>
          <w:rFonts w:hint="eastAsia" w:ascii="宋体" w:hAnsi="宋体" w:eastAsia="宋体" w:cs="宋体"/>
          <w:sz w:val="28"/>
          <w:szCs w:val="28"/>
        </w:rPr>
      </w:pPr>
      <w:r>
        <w:rPr>
          <w:rFonts w:hint="eastAsia" w:ascii="宋体" w:hAnsi="宋体" w:eastAsia="宋体" w:cs="宋体"/>
          <w:color w:val="000000"/>
          <w:sz w:val="28"/>
          <w:szCs w:val="28"/>
        </w:rPr>
        <w:t>3.6、供应商在参加政府采购活动前三年内，在经营活动中没有重大违法记录（供应商出具承诺书，格式自拟）；</w:t>
      </w:r>
    </w:p>
    <w:p>
      <w:pPr>
        <w:pStyle w:val="19"/>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jc w:val="both"/>
        <w:rPr>
          <w:rFonts w:hint="eastAsia" w:ascii="宋体" w:hAnsi="宋体" w:eastAsia="宋体" w:cs="宋体"/>
          <w:sz w:val="28"/>
          <w:szCs w:val="28"/>
        </w:rPr>
      </w:pPr>
      <w:r>
        <w:rPr>
          <w:rFonts w:hint="eastAsia" w:ascii="宋体" w:hAnsi="宋体" w:eastAsia="宋体" w:cs="宋体"/>
          <w:color w:val="000000"/>
          <w:sz w:val="28"/>
          <w:szCs w:val="28"/>
        </w:rPr>
        <w:t>3.7信誉要求：根据财政部《关于在政府采购活动中查询及使用信用记录有关问题的通知》(财库[2016]125号) 和豫财购[2016]15号的规定，对列入失信被执行人、重大税收违法失信主体、政府采购严重违法失信行为记录名单的供应商，视为无效投标。查询渠道：“信用中国”网站（www.creditchina.gov.cn ）或通过信用中国转至中国执行信息公开网、中国政府采购网（www.ccgp.gov.cn ），查询截止时点为：从磋商公告发布之日起至投标截止之日止；</w:t>
      </w:r>
    </w:p>
    <w:p>
      <w:pPr>
        <w:pStyle w:val="19"/>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88" w:firstLine="560" w:firstLineChars="200"/>
        <w:rPr>
          <w:rFonts w:hint="eastAsia" w:ascii="宋体" w:hAnsi="宋体" w:eastAsia="宋体" w:cs="宋体"/>
          <w:sz w:val="28"/>
          <w:szCs w:val="28"/>
        </w:rPr>
      </w:pPr>
      <w:r>
        <w:rPr>
          <w:rFonts w:hint="eastAsia" w:ascii="宋体" w:hAnsi="宋体" w:eastAsia="宋体" w:cs="宋体"/>
          <w:color w:val="000000"/>
          <w:sz w:val="28"/>
          <w:szCs w:val="28"/>
        </w:rPr>
        <w:t>3.8、单位负责人为同一人或者存在控股、管理关系的不同单位，不得同时参加本项</w:t>
      </w:r>
      <w:r>
        <w:rPr>
          <w:rFonts w:hint="eastAsia" w:ascii="宋体" w:hAnsi="宋体" w:eastAsia="宋体" w:cs="宋体"/>
          <w:color w:val="333333"/>
          <w:sz w:val="28"/>
          <w:szCs w:val="28"/>
        </w:rPr>
        <w:t>目投标；（提供“国家企业信用信息公示系统”中查询的相关材料并加盖公章，查询信息需包含公司基本信息、股东信息及股权变更信息等相关信息，查询日期为本项目磋商公告发布之后）。</w:t>
      </w:r>
    </w:p>
    <w:p>
      <w:pPr>
        <w:pStyle w:val="19"/>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88" w:firstLine="560" w:firstLineChars="200"/>
        <w:rPr>
          <w:rFonts w:hint="eastAsia" w:ascii="宋体" w:hAnsi="宋体" w:eastAsia="宋体" w:cs="宋体"/>
          <w:sz w:val="28"/>
          <w:szCs w:val="28"/>
        </w:rPr>
      </w:pPr>
      <w:r>
        <w:rPr>
          <w:rFonts w:hint="eastAsia" w:ascii="宋体" w:hAnsi="宋体" w:eastAsia="宋体" w:cs="宋体"/>
          <w:color w:val="333333"/>
          <w:sz w:val="28"/>
          <w:szCs w:val="28"/>
        </w:rPr>
        <w:t>3.9本项目不接受联合体投标。</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left"/>
        <w:outlineLvl w:val="1"/>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三、获取竞争性磋商文件</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333333"/>
          <w:kern w:val="0"/>
          <w:sz w:val="28"/>
          <w:szCs w:val="28"/>
          <w:lang w:val="en-US" w:eastAsia="zh-CN" w:bidi="ar"/>
        </w:rPr>
        <w:t>1.时</w:t>
      </w:r>
      <w:r>
        <w:rPr>
          <w:rFonts w:hint="eastAsia" w:ascii="宋体" w:hAnsi="宋体" w:eastAsia="宋体" w:cs="宋体"/>
          <w:color w:val="000000" w:themeColor="text1"/>
          <w:kern w:val="0"/>
          <w:sz w:val="28"/>
          <w:szCs w:val="28"/>
          <w:lang w:val="en-US" w:eastAsia="zh-CN" w:bidi="ar"/>
          <w14:textFill>
            <w14:solidFill>
              <w14:schemeClr w14:val="tx1"/>
            </w14:solidFill>
          </w14:textFill>
        </w:rPr>
        <w:t>间：2023年</w:t>
      </w:r>
      <w:r>
        <w:rPr>
          <w:rFonts w:hint="default" w:ascii="宋体" w:hAnsi="宋体" w:eastAsia="宋体" w:cs="宋体"/>
          <w:color w:val="000000" w:themeColor="text1"/>
          <w:kern w:val="0"/>
          <w:sz w:val="28"/>
          <w:szCs w:val="28"/>
          <w:lang w:val="en-US" w:eastAsia="zh-CN" w:bidi="ar"/>
          <w14:textFill>
            <w14:solidFill>
              <w14:schemeClr w14:val="tx1"/>
            </w14:solidFill>
          </w14:textFill>
        </w:rPr>
        <w:t>8</w:t>
      </w:r>
      <w:r>
        <w:rPr>
          <w:rFonts w:hint="eastAsia" w:ascii="宋体" w:hAnsi="宋体" w:eastAsia="宋体" w:cs="宋体"/>
          <w:color w:val="000000" w:themeColor="text1"/>
          <w:kern w:val="0"/>
          <w:sz w:val="28"/>
          <w:szCs w:val="28"/>
          <w:lang w:val="en-US" w:eastAsia="zh-CN" w:bidi="ar"/>
          <w14:textFill>
            <w14:solidFill>
              <w14:schemeClr w14:val="tx1"/>
            </w14:solidFill>
          </w14:textFill>
        </w:rPr>
        <w:t>月</w:t>
      </w:r>
      <w:r>
        <w:rPr>
          <w:rFonts w:hint="default" w:ascii="宋体" w:hAnsi="宋体" w:eastAsia="宋体" w:cs="宋体"/>
          <w:color w:val="000000" w:themeColor="text1"/>
          <w:kern w:val="0"/>
          <w:sz w:val="28"/>
          <w:szCs w:val="28"/>
          <w:lang w:val="en-US" w:eastAsia="zh-CN" w:bidi="ar"/>
          <w14:textFill>
            <w14:solidFill>
              <w14:schemeClr w14:val="tx1"/>
            </w14:solidFill>
          </w14:textFill>
        </w:rPr>
        <w:t>25</w:t>
      </w:r>
      <w:r>
        <w:rPr>
          <w:rFonts w:hint="eastAsia" w:ascii="宋体" w:hAnsi="宋体" w:eastAsia="宋体" w:cs="宋体"/>
          <w:color w:val="000000" w:themeColor="text1"/>
          <w:kern w:val="0"/>
          <w:sz w:val="28"/>
          <w:szCs w:val="28"/>
          <w:lang w:val="en-US" w:eastAsia="zh-CN" w:bidi="ar"/>
          <w14:textFill>
            <w14:solidFill>
              <w14:schemeClr w14:val="tx1"/>
            </w14:solidFill>
          </w14:textFill>
        </w:rPr>
        <w:t>日至2023年</w:t>
      </w:r>
      <w:r>
        <w:rPr>
          <w:rFonts w:hint="default" w:ascii="宋体" w:hAnsi="宋体" w:eastAsia="宋体" w:cs="宋体"/>
          <w:color w:val="000000" w:themeColor="text1"/>
          <w:kern w:val="0"/>
          <w:sz w:val="28"/>
          <w:szCs w:val="28"/>
          <w:lang w:val="en-US" w:eastAsia="zh-CN" w:bidi="ar"/>
          <w14:textFill>
            <w14:solidFill>
              <w14:schemeClr w14:val="tx1"/>
            </w14:solidFill>
          </w14:textFill>
        </w:rPr>
        <w:t>8</w:t>
      </w:r>
      <w:r>
        <w:rPr>
          <w:rFonts w:hint="eastAsia" w:ascii="宋体" w:hAnsi="宋体" w:eastAsia="宋体" w:cs="宋体"/>
          <w:color w:val="000000" w:themeColor="text1"/>
          <w:kern w:val="0"/>
          <w:sz w:val="28"/>
          <w:szCs w:val="28"/>
          <w:lang w:val="en-US" w:eastAsia="zh-CN" w:bidi="ar"/>
          <w14:textFill>
            <w14:solidFill>
              <w14:schemeClr w14:val="tx1"/>
            </w14:solidFill>
          </w14:textFill>
        </w:rPr>
        <w:t>月</w:t>
      </w:r>
      <w:r>
        <w:rPr>
          <w:rFonts w:hint="default" w:ascii="宋体" w:hAnsi="宋体" w:eastAsia="宋体" w:cs="宋体"/>
          <w:color w:val="000000" w:themeColor="text1"/>
          <w:kern w:val="0"/>
          <w:sz w:val="28"/>
          <w:szCs w:val="28"/>
          <w:lang w:val="en-US" w:eastAsia="zh-CN" w:bidi="ar"/>
          <w14:textFill>
            <w14:solidFill>
              <w14:schemeClr w14:val="tx1"/>
            </w14:solidFill>
          </w14:textFill>
        </w:rPr>
        <w:t>31</w:t>
      </w:r>
      <w:r>
        <w:rPr>
          <w:rFonts w:hint="eastAsia" w:ascii="宋体" w:hAnsi="宋体" w:eastAsia="宋体" w:cs="宋体"/>
          <w:color w:val="000000" w:themeColor="text1"/>
          <w:kern w:val="0"/>
          <w:sz w:val="28"/>
          <w:szCs w:val="28"/>
          <w:lang w:val="en-US" w:eastAsia="zh-CN" w:bidi="ar"/>
          <w14:textFill>
            <w14:solidFill>
              <w14:schemeClr w14:val="tx1"/>
            </w14:solidFill>
          </w14:textFill>
        </w:rPr>
        <w:t>日，</w:t>
      </w:r>
      <w:r>
        <w:rPr>
          <w:rFonts w:hint="eastAsia" w:ascii="宋体" w:hAnsi="宋体" w:eastAsia="宋体" w:cs="宋体"/>
          <w:color w:val="333333"/>
          <w:kern w:val="0"/>
          <w:sz w:val="28"/>
          <w:szCs w:val="28"/>
          <w:lang w:val="en-US" w:eastAsia="zh-CN" w:bidi="ar"/>
        </w:rPr>
        <w:t>每天上午8:00至12:00，下午12:00至17:30（北京时间，法定节假日除外。）</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333333"/>
          <w:kern w:val="0"/>
          <w:sz w:val="28"/>
          <w:szCs w:val="28"/>
          <w:lang w:val="en-US" w:eastAsia="zh-CN" w:bidi="ar"/>
        </w:rPr>
        <w:t>2.地点：中牟县公共资源交易中心网站网上下载电子磋商文件</w:t>
      </w:r>
    </w:p>
    <w:p>
      <w:pPr>
        <w:pStyle w:val="19"/>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rPr>
          <w:rFonts w:hint="eastAsia" w:ascii="宋体" w:hAnsi="宋体" w:eastAsia="宋体" w:cs="宋体"/>
          <w:sz w:val="28"/>
          <w:szCs w:val="28"/>
        </w:rPr>
      </w:pPr>
      <w:r>
        <w:rPr>
          <w:rFonts w:hint="eastAsia" w:ascii="宋体" w:hAnsi="宋体" w:eastAsia="宋体" w:cs="宋体"/>
          <w:color w:val="333333"/>
          <w:sz w:val="28"/>
          <w:szCs w:val="28"/>
        </w:rPr>
        <w:t>3.方式：凡有意参加投标者，需进入中牟</w:t>
      </w:r>
      <w:r>
        <w:rPr>
          <w:rFonts w:hint="eastAsia" w:ascii="宋体" w:hAnsi="宋体" w:eastAsia="宋体" w:cs="宋体"/>
          <w:color w:val="000000"/>
          <w:sz w:val="28"/>
          <w:szCs w:val="28"/>
        </w:rPr>
        <w:t>县公共资源交易中心网站（</w:t>
      </w:r>
      <w:r>
        <w:rPr>
          <w:rFonts w:hint="eastAsia" w:ascii="宋体" w:hAnsi="宋体" w:eastAsia="宋体" w:cs="宋体"/>
          <w:sz w:val="28"/>
          <w:szCs w:val="28"/>
          <w:u w:val="none"/>
        </w:rPr>
        <w:fldChar w:fldCharType="begin"/>
      </w:r>
      <w:r>
        <w:rPr>
          <w:rFonts w:hint="eastAsia" w:ascii="宋体" w:hAnsi="宋体" w:eastAsia="宋体" w:cs="宋体"/>
          <w:sz w:val="28"/>
          <w:szCs w:val="28"/>
          <w:u w:val="none"/>
        </w:rPr>
        <w:instrText xml:space="preserve"> HYPERLINK "http://www.zmxggzy.gov.cn/" </w:instrText>
      </w:r>
      <w:r>
        <w:rPr>
          <w:rFonts w:hint="eastAsia" w:ascii="宋体" w:hAnsi="宋体" w:eastAsia="宋体" w:cs="宋体"/>
          <w:sz w:val="28"/>
          <w:szCs w:val="28"/>
          <w:u w:val="none"/>
        </w:rPr>
        <w:fldChar w:fldCharType="separate"/>
      </w:r>
      <w:r>
        <w:rPr>
          <w:rStyle w:val="31"/>
          <w:rFonts w:hint="eastAsia" w:ascii="宋体" w:hAnsi="宋体" w:eastAsia="宋体" w:cs="宋体"/>
          <w:color w:val="000000"/>
          <w:sz w:val="28"/>
          <w:szCs w:val="28"/>
          <w:u w:val="none"/>
        </w:rPr>
        <w:t>http:// www.zmxggzy.com</w:t>
      </w:r>
      <w:r>
        <w:rPr>
          <w:rFonts w:hint="eastAsia" w:ascii="宋体" w:hAnsi="宋体" w:eastAsia="宋体" w:cs="宋体"/>
          <w:sz w:val="28"/>
          <w:szCs w:val="28"/>
          <w:u w:val="none"/>
        </w:rPr>
        <w:fldChar w:fldCharType="end"/>
      </w:r>
      <w:r>
        <w:rPr>
          <w:rFonts w:hint="eastAsia" w:ascii="宋体" w:hAnsi="宋体" w:eastAsia="宋体" w:cs="宋体"/>
          <w:color w:val="000000"/>
          <w:sz w:val="28"/>
          <w:szCs w:val="28"/>
        </w:rPr>
        <w:t>），进行供应商/供应商会员注册，（注册步骤详见办事指南-办事流程），完成后需到中牟县公共资源交易中心进行现场审核，现场审核需携带相关资料原件及加盖公章的复印件一套，审核通过后供应商需在中牟县房产交易大厦 18 楼办理 CA 锁，办理完毕携带 CA 锁到中牟县公共资源交易中心受理科（中牟县房产交易大厦 18 楼）审核激活，供应商通过 CA 锁登陆进行网上磋商文件等相关文件的下载，纸质文件不再出售；</w:t>
      </w:r>
    </w:p>
    <w:p>
      <w:pPr>
        <w:pStyle w:val="19"/>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rPr>
          <w:rFonts w:hint="eastAsia" w:ascii="宋体" w:hAnsi="宋体" w:eastAsia="宋体" w:cs="宋体"/>
          <w:sz w:val="28"/>
          <w:szCs w:val="28"/>
        </w:rPr>
      </w:pPr>
      <w:r>
        <w:rPr>
          <w:rFonts w:hint="eastAsia" w:ascii="宋体" w:hAnsi="宋体" w:eastAsia="宋体" w:cs="宋体"/>
          <w:color w:val="000000"/>
          <w:sz w:val="28"/>
          <w:szCs w:val="28"/>
        </w:rPr>
        <w:t>4.售价：0 元。</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left"/>
        <w:outlineLvl w:val="1"/>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kern w:val="0"/>
          <w:sz w:val="28"/>
          <w:szCs w:val="28"/>
          <w:lang w:val="en-US" w:eastAsia="zh-CN" w:bidi="ar"/>
        </w:rPr>
        <w:t>四、提</w:t>
      </w:r>
      <w:r>
        <w:rPr>
          <w:rFonts w:hint="eastAsia" w:ascii="宋体" w:hAnsi="宋体" w:eastAsia="宋体" w:cs="宋体"/>
          <w:color w:val="000000" w:themeColor="text1"/>
          <w:kern w:val="0"/>
          <w:sz w:val="28"/>
          <w:szCs w:val="28"/>
          <w:lang w:val="en-US" w:eastAsia="zh-CN" w:bidi="ar"/>
          <w14:textFill>
            <w14:solidFill>
              <w14:schemeClr w14:val="tx1"/>
            </w14:solidFill>
          </w14:textFill>
        </w:rPr>
        <w:t>交响应文件截止时间及地点</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1.时间：2023年</w:t>
      </w:r>
      <w:r>
        <w:rPr>
          <w:rFonts w:hint="default" w:ascii="宋体" w:hAnsi="宋体" w:eastAsia="宋体" w:cs="宋体"/>
          <w:color w:val="000000" w:themeColor="text1"/>
          <w:kern w:val="0"/>
          <w:sz w:val="28"/>
          <w:szCs w:val="28"/>
          <w:lang w:val="en-US" w:eastAsia="zh-CN" w:bidi="ar"/>
          <w14:textFill>
            <w14:solidFill>
              <w14:schemeClr w14:val="tx1"/>
            </w14:solidFill>
          </w14:textFill>
        </w:rPr>
        <w:t>9</w:t>
      </w:r>
      <w:r>
        <w:rPr>
          <w:rFonts w:hint="eastAsia" w:ascii="宋体" w:hAnsi="宋体" w:eastAsia="宋体" w:cs="宋体"/>
          <w:color w:val="000000" w:themeColor="text1"/>
          <w:kern w:val="0"/>
          <w:sz w:val="28"/>
          <w:szCs w:val="28"/>
          <w:lang w:val="en-US" w:eastAsia="zh-CN" w:bidi="ar"/>
          <w14:textFill>
            <w14:solidFill>
              <w14:schemeClr w14:val="tx1"/>
            </w14:solidFill>
          </w14:textFill>
        </w:rPr>
        <w:t>月</w:t>
      </w:r>
      <w:r>
        <w:rPr>
          <w:rFonts w:hint="default" w:ascii="宋体" w:hAnsi="宋体" w:eastAsia="宋体" w:cs="宋体"/>
          <w:color w:val="000000" w:themeColor="text1"/>
          <w:kern w:val="0"/>
          <w:sz w:val="28"/>
          <w:szCs w:val="28"/>
          <w:lang w:val="en-US" w:eastAsia="zh-CN" w:bidi="ar"/>
          <w14:textFill>
            <w14:solidFill>
              <w14:schemeClr w14:val="tx1"/>
            </w14:solidFill>
          </w14:textFill>
        </w:rPr>
        <w:t>15</w:t>
      </w:r>
      <w:r>
        <w:rPr>
          <w:rFonts w:hint="eastAsia" w:ascii="宋体" w:hAnsi="宋体" w:eastAsia="宋体" w:cs="宋体"/>
          <w:color w:val="000000" w:themeColor="text1"/>
          <w:kern w:val="0"/>
          <w:sz w:val="28"/>
          <w:szCs w:val="28"/>
          <w:lang w:val="en-US" w:eastAsia="zh-CN" w:bidi="ar"/>
          <w14:textFill>
            <w14:solidFill>
              <w14:schemeClr w14:val="tx1"/>
            </w14:solidFill>
          </w14:textFill>
        </w:rPr>
        <w:t>日09点00分（北京时间）</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jc w:val="left"/>
        <w:rPr>
          <w:rFonts w:hint="eastAsia" w:ascii="宋体" w:hAnsi="宋体" w:eastAsia="宋体" w:cs="宋体"/>
          <w:sz w:val="28"/>
          <w:szCs w:val="28"/>
        </w:rPr>
      </w:pPr>
      <w:r>
        <w:rPr>
          <w:rFonts w:hint="eastAsia" w:ascii="宋体" w:hAnsi="宋体" w:eastAsia="宋体" w:cs="宋体"/>
          <w:color w:val="333333"/>
          <w:kern w:val="0"/>
          <w:sz w:val="28"/>
          <w:szCs w:val="28"/>
          <w:lang w:val="en-US" w:eastAsia="zh-CN" w:bidi="ar"/>
        </w:rPr>
        <w:t xml:space="preserve">2.地点：中牟县公共资源交易中心（http:// </w:t>
      </w:r>
      <w:r>
        <w:rPr>
          <w:rFonts w:hint="eastAsia" w:ascii="宋体" w:hAnsi="宋体" w:eastAsia="宋体" w:cs="宋体"/>
          <w:kern w:val="0"/>
          <w:sz w:val="28"/>
          <w:szCs w:val="28"/>
          <w:u w:val="none"/>
          <w:lang w:val="en-US" w:eastAsia="zh-CN" w:bidi="ar"/>
        </w:rPr>
        <w:fldChar w:fldCharType="begin"/>
      </w:r>
      <w:r>
        <w:rPr>
          <w:rFonts w:hint="eastAsia" w:ascii="宋体" w:hAnsi="宋体" w:eastAsia="宋体" w:cs="宋体"/>
          <w:kern w:val="0"/>
          <w:sz w:val="28"/>
          <w:szCs w:val="28"/>
          <w:u w:val="none"/>
          <w:lang w:val="en-US" w:eastAsia="zh-CN" w:bidi="ar"/>
        </w:rPr>
        <w:instrText xml:space="preserve"> HYPERLINK "http://www.zmxggzy.com/" </w:instrText>
      </w:r>
      <w:r>
        <w:rPr>
          <w:rFonts w:hint="eastAsia" w:ascii="宋体" w:hAnsi="宋体" w:eastAsia="宋体" w:cs="宋体"/>
          <w:kern w:val="0"/>
          <w:sz w:val="28"/>
          <w:szCs w:val="28"/>
          <w:u w:val="none"/>
          <w:lang w:val="en-US" w:eastAsia="zh-CN" w:bidi="ar"/>
        </w:rPr>
        <w:fldChar w:fldCharType="separate"/>
      </w:r>
      <w:r>
        <w:rPr>
          <w:rStyle w:val="31"/>
          <w:rFonts w:hint="eastAsia" w:ascii="宋体" w:hAnsi="宋体" w:eastAsia="宋体" w:cs="宋体"/>
          <w:sz w:val="28"/>
          <w:szCs w:val="28"/>
          <w:u w:val="none"/>
        </w:rPr>
        <w:t>www.zmxggzy.com</w:t>
      </w:r>
      <w:r>
        <w:rPr>
          <w:rFonts w:hint="eastAsia" w:ascii="宋体" w:hAnsi="宋体" w:eastAsia="宋体" w:cs="宋体"/>
          <w:kern w:val="0"/>
          <w:sz w:val="28"/>
          <w:szCs w:val="28"/>
          <w:u w:val="none"/>
          <w:lang w:val="en-US" w:eastAsia="zh-CN" w:bidi="ar"/>
        </w:rPr>
        <w:fldChar w:fldCharType="end"/>
      </w:r>
      <w:r>
        <w:rPr>
          <w:rFonts w:hint="eastAsia" w:ascii="宋体" w:hAnsi="宋体" w:eastAsia="宋体" w:cs="宋体"/>
          <w:color w:val="333333"/>
          <w:kern w:val="0"/>
          <w:sz w:val="28"/>
          <w:szCs w:val="28"/>
          <w:lang w:val="en-US" w:eastAsia="zh-CN" w:bidi="ar"/>
        </w:rPr>
        <w:t>）电子交易平台；供应商须在响应文件递交截止时间前登录中牟县公共资源交易中心网站 （http://www.zmxggzy.com）通过电子交易平台上传加密的电子响应文件，确保成功上传电子响应文件。加密电子响应文件逾期上传或者未上传指定地点的响应文件，采购人不予受理。</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left"/>
        <w:outlineLvl w:val="1"/>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五、开标时间及地点</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1572" w:firstLine="560" w:firstLineChars="200"/>
        <w:jc w:val="left"/>
        <w:rPr>
          <w:rFonts w:hint="eastAsia" w:ascii="宋体" w:hAnsi="宋体" w:eastAsia="宋体" w:cs="宋体"/>
          <w:color w:val="000000" w:themeColor="text1"/>
          <w:sz w:val="28"/>
          <w:szCs w:val="28"/>
          <w14:textFill>
            <w14:solidFill>
              <w14:schemeClr w14:val="tx1"/>
            </w14:solidFill>
          </w14:textFill>
        </w:rPr>
      </w:pPr>
      <w:bookmarkStart w:id="153" w:name="_GoBack"/>
      <w:r>
        <w:rPr>
          <w:rFonts w:hint="eastAsia" w:ascii="宋体" w:hAnsi="宋体" w:eastAsia="宋体" w:cs="宋体"/>
          <w:color w:val="000000" w:themeColor="text1"/>
          <w:kern w:val="0"/>
          <w:sz w:val="28"/>
          <w:szCs w:val="28"/>
          <w:lang w:val="en-US" w:eastAsia="zh-CN" w:bidi="ar"/>
          <w14:textFill>
            <w14:solidFill>
              <w14:schemeClr w14:val="tx1"/>
            </w14:solidFill>
          </w14:textFill>
        </w:rPr>
        <w:t>1.时间：2023年</w:t>
      </w:r>
      <w:r>
        <w:rPr>
          <w:rFonts w:hint="default" w:ascii="宋体" w:hAnsi="宋体" w:eastAsia="宋体" w:cs="宋体"/>
          <w:color w:val="000000" w:themeColor="text1"/>
          <w:kern w:val="0"/>
          <w:sz w:val="28"/>
          <w:szCs w:val="28"/>
          <w:lang w:val="en-US" w:eastAsia="zh-CN" w:bidi="ar"/>
          <w14:textFill>
            <w14:solidFill>
              <w14:schemeClr w14:val="tx1"/>
            </w14:solidFill>
          </w14:textFill>
        </w:rPr>
        <w:t>9</w:t>
      </w:r>
      <w:r>
        <w:rPr>
          <w:rFonts w:hint="eastAsia" w:ascii="宋体" w:hAnsi="宋体" w:eastAsia="宋体" w:cs="宋体"/>
          <w:color w:val="000000" w:themeColor="text1"/>
          <w:kern w:val="0"/>
          <w:sz w:val="28"/>
          <w:szCs w:val="28"/>
          <w:lang w:val="en-US" w:eastAsia="zh-CN" w:bidi="ar"/>
          <w14:textFill>
            <w14:solidFill>
              <w14:schemeClr w14:val="tx1"/>
            </w14:solidFill>
          </w14:textFill>
        </w:rPr>
        <w:t>月</w:t>
      </w:r>
      <w:r>
        <w:rPr>
          <w:rFonts w:hint="default" w:ascii="宋体" w:hAnsi="宋体" w:eastAsia="宋体" w:cs="宋体"/>
          <w:color w:val="000000" w:themeColor="text1"/>
          <w:kern w:val="0"/>
          <w:sz w:val="28"/>
          <w:szCs w:val="28"/>
          <w:lang w:val="en-US" w:eastAsia="zh-CN" w:bidi="ar"/>
          <w14:textFill>
            <w14:solidFill>
              <w14:schemeClr w14:val="tx1"/>
            </w14:solidFill>
          </w14:textFill>
        </w:rPr>
        <w:t>15</w:t>
      </w:r>
      <w:r>
        <w:rPr>
          <w:rFonts w:hint="eastAsia" w:ascii="宋体" w:hAnsi="宋体" w:eastAsia="宋体" w:cs="宋体"/>
          <w:color w:val="000000" w:themeColor="text1"/>
          <w:kern w:val="0"/>
          <w:sz w:val="28"/>
          <w:szCs w:val="28"/>
          <w:lang w:val="en-US" w:eastAsia="zh-CN" w:bidi="ar"/>
          <w14:textFill>
            <w14:solidFill>
              <w14:schemeClr w14:val="tx1"/>
            </w14:solidFill>
          </w14:textFill>
        </w:rPr>
        <w:t>日09点00分（北京时间）</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34" w:firstLine="560" w:firstLineChars="200"/>
        <w:jc w:val="left"/>
        <w:rPr>
          <w:rFonts w:hint="eastAsia" w:ascii="宋体" w:hAnsi="宋体" w:eastAsia="宋体" w:cs="宋体"/>
          <w:sz w:val="28"/>
          <w:szCs w:val="28"/>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2.地点：中牟县公共资源交易中心第二开标室(中</w:t>
      </w:r>
      <w:bookmarkEnd w:id="153"/>
      <w:r>
        <w:rPr>
          <w:rFonts w:hint="eastAsia" w:ascii="宋体" w:hAnsi="宋体" w:eastAsia="宋体" w:cs="宋体"/>
          <w:color w:val="333333"/>
          <w:kern w:val="0"/>
          <w:sz w:val="28"/>
          <w:szCs w:val="28"/>
          <w:lang w:val="en-US" w:eastAsia="zh-CN" w:bidi="ar"/>
        </w:rPr>
        <w:t>牟县政务服务中心2楼)；本项目采用“远程不见面”开标方式，供应商无需到开标现场参与开标活动，供应商须在投标截止前进入远程开标大厅（</w:t>
      </w:r>
      <w:r>
        <w:rPr>
          <w:rFonts w:hint="eastAsia" w:ascii="宋体" w:hAnsi="宋体" w:eastAsia="宋体" w:cs="宋体"/>
          <w:kern w:val="0"/>
          <w:sz w:val="28"/>
          <w:szCs w:val="28"/>
          <w:u w:val="none"/>
          <w:lang w:val="en-US" w:eastAsia="zh-CN" w:bidi="ar"/>
        </w:rPr>
        <w:fldChar w:fldCharType="begin"/>
      </w:r>
      <w:r>
        <w:rPr>
          <w:rFonts w:hint="eastAsia" w:ascii="宋体" w:hAnsi="宋体" w:eastAsia="宋体" w:cs="宋体"/>
          <w:kern w:val="0"/>
          <w:sz w:val="28"/>
          <w:szCs w:val="28"/>
          <w:u w:val="none"/>
          <w:lang w:val="en-US" w:eastAsia="zh-CN" w:bidi="ar"/>
        </w:rPr>
        <w:instrText xml:space="preserve"> HYPERLINK "http://www.zmxggzy.com/BidOpening" </w:instrText>
      </w:r>
      <w:r>
        <w:rPr>
          <w:rFonts w:hint="eastAsia" w:ascii="宋体" w:hAnsi="宋体" w:eastAsia="宋体" w:cs="宋体"/>
          <w:kern w:val="0"/>
          <w:sz w:val="28"/>
          <w:szCs w:val="28"/>
          <w:u w:val="none"/>
          <w:lang w:val="en-US" w:eastAsia="zh-CN" w:bidi="ar"/>
        </w:rPr>
        <w:fldChar w:fldCharType="separate"/>
      </w:r>
      <w:r>
        <w:rPr>
          <w:rStyle w:val="31"/>
          <w:rFonts w:hint="eastAsia" w:ascii="宋体" w:hAnsi="宋体" w:eastAsia="宋体" w:cs="宋体"/>
          <w:sz w:val="28"/>
          <w:szCs w:val="28"/>
          <w:u w:val="none"/>
        </w:rPr>
        <w:t>http://www.zmxggzy.com/BidOpening</w:t>
      </w:r>
      <w:r>
        <w:rPr>
          <w:rFonts w:hint="eastAsia" w:ascii="宋体" w:hAnsi="宋体" w:eastAsia="宋体" w:cs="宋体"/>
          <w:kern w:val="0"/>
          <w:sz w:val="28"/>
          <w:szCs w:val="28"/>
          <w:u w:val="none"/>
          <w:lang w:val="en-US" w:eastAsia="zh-CN" w:bidi="ar"/>
        </w:rPr>
        <w:fldChar w:fldCharType="end"/>
      </w:r>
      <w:r>
        <w:rPr>
          <w:rFonts w:hint="eastAsia" w:ascii="宋体" w:hAnsi="宋体" w:eastAsia="宋体" w:cs="宋体"/>
          <w:color w:val="333333"/>
          <w:kern w:val="0"/>
          <w:sz w:val="28"/>
          <w:szCs w:val="28"/>
          <w:lang w:val="en-US" w:eastAsia="zh-CN" w:bidi="ar"/>
        </w:rPr>
        <w:t>）进行开标操作和响应文件的解密；在规定时间内响应文件未解密的供应商，视为放弃投标；具体操作流程及程序，请供应商查阅中牟县公共资源交易中心网站（http:// www.zmxggzy.com）“下载中心”专区的“中牟不见面开标-操作手册”。</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left"/>
        <w:outlineLvl w:val="1"/>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六、发布公告的媒介及磋商公告期限</w:t>
      </w:r>
    </w:p>
    <w:p>
      <w:pPr>
        <w:pStyle w:val="19"/>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rPr>
          <w:rFonts w:hint="eastAsia" w:ascii="宋体" w:hAnsi="宋体" w:eastAsia="宋体" w:cs="宋体"/>
          <w:sz w:val="28"/>
          <w:szCs w:val="28"/>
        </w:rPr>
      </w:pPr>
      <w:r>
        <w:rPr>
          <w:rFonts w:hint="eastAsia" w:ascii="宋体" w:hAnsi="宋体" w:eastAsia="宋体" w:cs="宋体"/>
          <w:color w:val="000000"/>
          <w:sz w:val="28"/>
          <w:szCs w:val="28"/>
        </w:rPr>
        <w:t>本次磋商公告在《河南省政府采购网》、《中牟县政府采购网》、《中牟县公共资源交易中心网》上发布，磋商公告期限为五个工作日。</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jc w:val="left"/>
        <w:outlineLvl w:val="1"/>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七、其他补充事宜</w:t>
      </w:r>
    </w:p>
    <w:p>
      <w:pPr>
        <w:pStyle w:val="19"/>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rPr>
          <w:rFonts w:hint="eastAsia" w:ascii="宋体" w:hAnsi="宋体" w:eastAsia="宋体" w:cs="宋体"/>
          <w:sz w:val="28"/>
          <w:szCs w:val="28"/>
        </w:rPr>
      </w:pPr>
      <w:r>
        <w:rPr>
          <w:rFonts w:hint="eastAsia" w:ascii="宋体" w:hAnsi="宋体" w:eastAsia="宋体" w:cs="宋体"/>
          <w:color w:val="000000"/>
          <w:sz w:val="28"/>
          <w:szCs w:val="28"/>
        </w:rPr>
        <w:t>1、本项目同时落实但不重复享受以下相关政府采购政策：</w:t>
      </w:r>
    </w:p>
    <w:p>
      <w:pPr>
        <w:pStyle w:val="19"/>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rPr>
          <w:rFonts w:hint="eastAsia" w:ascii="宋体" w:hAnsi="宋体" w:eastAsia="宋体" w:cs="宋体"/>
          <w:sz w:val="28"/>
          <w:szCs w:val="28"/>
        </w:rPr>
      </w:pPr>
      <w:r>
        <w:rPr>
          <w:rFonts w:hint="eastAsia" w:ascii="宋体" w:hAnsi="宋体" w:eastAsia="宋体" w:cs="宋体"/>
          <w:color w:val="000000"/>
          <w:sz w:val="28"/>
          <w:szCs w:val="28"/>
        </w:rPr>
        <w:t>（1）执行财政部工业和信息化部《政府采购促进中小企业发展管理办法》（财库〔2020〕46号）；对小型和微型企业产品的价格给予20%的扣除，用扣除后的价格参与评审。</w:t>
      </w:r>
    </w:p>
    <w:p>
      <w:pPr>
        <w:pStyle w:val="19"/>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rPr>
          <w:rFonts w:hint="eastAsia" w:ascii="宋体" w:hAnsi="宋体" w:eastAsia="宋体" w:cs="宋体"/>
          <w:sz w:val="28"/>
          <w:szCs w:val="28"/>
        </w:rPr>
      </w:pPr>
      <w:r>
        <w:rPr>
          <w:rFonts w:hint="eastAsia" w:ascii="宋体" w:hAnsi="宋体" w:eastAsia="宋体" w:cs="宋体"/>
          <w:color w:val="000000"/>
          <w:sz w:val="28"/>
          <w:szCs w:val="28"/>
        </w:rPr>
        <w:t>（2）执行财政部、司法部《关于政府采购支持监狱企业发展有关问题的通知》（财库〔2014〕68号）；</w:t>
      </w:r>
    </w:p>
    <w:p>
      <w:pPr>
        <w:pStyle w:val="19"/>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rPr>
          <w:rFonts w:hint="eastAsia" w:ascii="宋体" w:hAnsi="宋体" w:eastAsia="宋体" w:cs="宋体"/>
          <w:sz w:val="28"/>
          <w:szCs w:val="28"/>
        </w:rPr>
      </w:pPr>
      <w:r>
        <w:rPr>
          <w:rFonts w:hint="eastAsia" w:ascii="宋体" w:hAnsi="宋体" w:eastAsia="宋体" w:cs="宋体"/>
          <w:color w:val="000000"/>
          <w:sz w:val="28"/>
          <w:szCs w:val="28"/>
        </w:rPr>
        <w:t>（3）执行财政部、民政部、中国残疾人联合会《关于促进残疾人就业政府采购政策的通知》（财库〔2017〕141号）；</w:t>
      </w:r>
    </w:p>
    <w:p>
      <w:pPr>
        <w:pStyle w:val="19"/>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560" w:firstLineChars="200"/>
        <w:rPr>
          <w:rFonts w:hint="eastAsia" w:ascii="宋体" w:hAnsi="宋体" w:eastAsia="宋体" w:cs="宋体"/>
          <w:sz w:val="28"/>
          <w:szCs w:val="28"/>
        </w:rPr>
      </w:pPr>
      <w:r>
        <w:rPr>
          <w:rFonts w:hint="eastAsia" w:ascii="宋体" w:hAnsi="宋体" w:eastAsia="宋体" w:cs="宋体"/>
          <w:color w:val="000000"/>
          <w:sz w:val="28"/>
          <w:szCs w:val="28"/>
        </w:rPr>
        <w:t>（4）执行财政部、发展改革委、生态环境部、市场监管总局《关于调整优化节能产品、环境标志产品政府采购执行机制的通知》（财库〔2019〕9号）。</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34" w:firstLine="560" w:firstLineChars="200"/>
        <w:jc w:val="both"/>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2、本项目实行电子开评标，获取磋商文件后，请各供应商在“中牟县公共资源交易中心门户网站（http:// </w:t>
      </w:r>
      <w:r>
        <w:rPr>
          <w:rFonts w:hint="eastAsia" w:ascii="宋体" w:hAnsi="宋体" w:eastAsia="宋体" w:cs="宋体"/>
          <w:kern w:val="0"/>
          <w:sz w:val="28"/>
          <w:szCs w:val="28"/>
          <w:u w:val="none"/>
          <w:lang w:val="en-US" w:eastAsia="zh-CN" w:bidi="ar"/>
        </w:rPr>
        <w:fldChar w:fldCharType="begin"/>
      </w:r>
      <w:r>
        <w:rPr>
          <w:rFonts w:hint="eastAsia" w:ascii="宋体" w:hAnsi="宋体" w:eastAsia="宋体" w:cs="宋体"/>
          <w:kern w:val="0"/>
          <w:sz w:val="28"/>
          <w:szCs w:val="28"/>
          <w:u w:val="none"/>
          <w:lang w:val="en-US" w:eastAsia="zh-CN" w:bidi="ar"/>
        </w:rPr>
        <w:instrText xml:space="preserve"> HYPERLINK "http://www.zmxggzy.com/" </w:instrText>
      </w:r>
      <w:r>
        <w:rPr>
          <w:rFonts w:hint="eastAsia" w:ascii="宋体" w:hAnsi="宋体" w:eastAsia="宋体" w:cs="宋体"/>
          <w:kern w:val="0"/>
          <w:sz w:val="28"/>
          <w:szCs w:val="28"/>
          <w:u w:val="none"/>
          <w:lang w:val="en-US" w:eastAsia="zh-CN" w:bidi="ar"/>
        </w:rPr>
        <w:fldChar w:fldCharType="separate"/>
      </w:r>
      <w:r>
        <w:rPr>
          <w:rStyle w:val="31"/>
          <w:rFonts w:hint="eastAsia" w:ascii="宋体" w:hAnsi="宋体" w:eastAsia="宋体" w:cs="宋体"/>
          <w:color w:val="000000"/>
          <w:sz w:val="28"/>
          <w:szCs w:val="28"/>
          <w:u w:val="none"/>
        </w:rPr>
        <w:t>http:// www.zmxggzy.com</w:t>
      </w:r>
      <w:r>
        <w:rPr>
          <w:rFonts w:hint="eastAsia" w:ascii="宋体" w:hAnsi="宋体" w:eastAsia="宋体" w:cs="宋体"/>
          <w:kern w:val="0"/>
          <w:sz w:val="28"/>
          <w:szCs w:val="28"/>
          <w:u w:val="none"/>
          <w:lang w:val="en-US" w:eastAsia="zh-CN" w:bidi="ar"/>
        </w:rPr>
        <w:fldChar w:fldCharType="end"/>
      </w:r>
      <w:r>
        <w:rPr>
          <w:rFonts w:hint="eastAsia" w:ascii="宋体" w:hAnsi="宋体" w:eastAsia="宋体" w:cs="宋体"/>
          <w:color w:val="000000"/>
          <w:kern w:val="0"/>
          <w:sz w:val="28"/>
          <w:szCs w:val="28"/>
          <w:lang w:val="en-US" w:eastAsia="zh-CN" w:bidi="ar"/>
        </w:rPr>
        <w:t>）“下载中心”栏目下载相关驱动和电子投标工具。供应商在制作电子标书过程中，如遇到电子交易系统的软件操作问题时，可通过热线电话（4009980000）进行咨询。</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34" w:firstLine="560" w:firstLineChars="200"/>
        <w:jc w:val="both"/>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3、响应文件的上传：供应商须使用电子交易系统提供的响应文件制作工具进行电子响应文件的制作，并按要求上传经 CA 锁签章和加密的电子磋商响应文件（.ZMTF 格式），加密电子响应文件逾期上传或者未上传的，采购人不予受理。</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34" w:firstLine="560" w:firstLineChars="200"/>
        <w:jc w:val="both"/>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4、本项目采用“远程不见面”开标方式，各供应商无需到交易中心现场参加开标会议，无需现场提交原件。各供应商应当在磋商文件确定的投标截止时间前,登录远程开标大厅</w:t>
      </w:r>
      <w:r>
        <w:rPr>
          <w:rFonts w:hint="eastAsia" w:ascii="宋体" w:hAnsi="宋体" w:eastAsia="宋体" w:cs="宋体"/>
          <w:kern w:val="0"/>
          <w:sz w:val="28"/>
          <w:szCs w:val="28"/>
          <w:u w:val="none"/>
          <w:lang w:val="en-US" w:eastAsia="zh-CN" w:bidi="ar"/>
        </w:rPr>
        <w:fldChar w:fldCharType="begin"/>
      </w:r>
      <w:r>
        <w:rPr>
          <w:rFonts w:hint="eastAsia" w:ascii="宋体" w:hAnsi="宋体" w:eastAsia="宋体" w:cs="宋体"/>
          <w:kern w:val="0"/>
          <w:sz w:val="28"/>
          <w:szCs w:val="28"/>
          <w:u w:val="none"/>
          <w:lang w:val="en-US" w:eastAsia="zh-CN" w:bidi="ar"/>
        </w:rPr>
        <w:instrText xml:space="preserve"> HYPERLINK "http://www.zmxggzy.com/BidOpening" </w:instrText>
      </w:r>
      <w:r>
        <w:rPr>
          <w:rFonts w:hint="eastAsia" w:ascii="宋体" w:hAnsi="宋体" w:eastAsia="宋体" w:cs="宋体"/>
          <w:kern w:val="0"/>
          <w:sz w:val="28"/>
          <w:szCs w:val="28"/>
          <w:u w:val="none"/>
          <w:lang w:val="en-US" w:eastAsia="zh-CN" w:bidi="ar"/>
        </w:rPr>
        <w:fldChar w:fldCharType="separate"/>
      </w:r>
      <w:r>
        <w:rPr>
          <w:rStyle w:val="31"/>
          <w:rFonts w:hint="eastAsia" w:ascii="宋体" w:hAnsi="宋体" w:eastAsia="宋体" w:cs="宋体"/>
          <w:color w:val="000000"/>
          <w:sz w:val="28"/>
          <w:szCs w:val="28"/>
          <w:u w:val="none"/>
        </w:rPr>
        <w:t>（http://http:// www.zmxggzy.com/BidOpening</w:t>
      </w:r>
      <w:r>
        <w:rPr>
          <w:rFonts w:hint="eastAsia" w:ascii="宋体" w:hAnsi="宋体" w:eastAsia="宋体" w:cs="宋体"/>
          <w:kern w:val="0"/>
          <w:sz w:val="28"/>
          <w:szCs w:val="28"/>
          <w:u w:val="none"/>
          <w:lang w:val="en-US" w:eastAsia="zh-CN" w:bidi="ar"/>
        </w:rPr>
        <w:fldChar w:fldCharType="end"/>
      </w:r>
      <w:r>
        <w:rPr>
          <w:rFonts w:hint="eastAsia" w:ascii="宋体" w:hAnsi="宋体" w:eastAsia="宋体" w:cs="宋体"/>
          <w:color w:val="000000"/>
          <w:kern w:val="0"/>
          <w:sz w:val="28"/>
          <w:szCs w:val="28"/>
          <w:lang w:val="en-US" w:eastAsia="zh-CN" w:bidi="ar"/>
        </w:rPr>
        <w:t>），在线准时参加开标活动并进行文件解密、答疑澄清等。</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34" w:firstLine="560" w:firstLineChars="200"/>
        <w:jc w:val="both"/>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5、本项目所有供应商应提前 30 分钟登录“中牟县公共资源交易中心门户网站远</w:t>
      </w:r>
      <w:r>
        <w:rPr>
          <w:rFonts w:hint="eastAsia" w:ascii="宋体" w:hAnsi="宋体" w:eastAsia="宋体" w:cs="宋体"/>
          <w:kern w:val="0"/>
          <w:sz w:val="28"/>
          <w:szCs w:val="28"/>
          <w:u w:val="none"/>
          <w:lang w:val="en-US" w:eastAsia="zh-CN" w:bidi="ar"/>
        </w:rPr>
        <w:fldChar w:fldCharType="begin"/>
      </w:r>
      <w:r>
        <w:rPr>
          <w:rFonts w:hint="eastAsia" w:ascii="宋体" w:hAnsi="宋体" w:eastAsia="宋体" w:cs="宋体"/>
          <w:kern w:val="0"/>
          <w:sz w:val="28"/>
          <w:szCs w:val="28"/>
          <w:u w:val="none"/>
          <w:lang w:val="en-US" w:eastAsia="zh-CN" w:bidi="ar"/>
        </w:rPr>
        <w:instrText xml:space="preserve"> HYPERLINK "http://www.zmxggzy.com/BidOpening" </w:instrText>
      </w:r>
      <w:r>
        <w:rPr>
          <w:rFonts w:hint="eastAsia" w:ascii="宋体" w:hAnsi="宋体" w:eastAsia="宋体" w:cs="宋体"/>
          <w:kern w:val="0"/>
          <w:sz w:val="28"/>
          <w:szCs w:val="28"/>
          <w:u w:val="none"/>
          <w:lang w:val="en-US" w:eastAsia="zh-CN" w:bidi="ar"/>
        </w:rPr>
        <w:fldChar w:fldCharType="separate"/>
      </w:r>
      <w:r>
        <w:rPr>
          <w:rStyle w:val="31"/>
          <w:rFonts w:hint="eastAsia" w:ascii="宋体" w:hAnsi="宋体" w:eastAsia="宋体" w:cs="宋体"/>
          <w:color w:val="000000"/>
          <w:sz w:val="28"/>
          <w:szCs w:val="28"/>
          <w:u w:val="none"/>
        </w:rPr>
        <w:t>程开标大厅（http://http:// www.zmxggzy.com/BidOpening</w:t>
      </w:r>
      <w:r>
        <w:rPr>
          <w:rFonts w:hint="eastAsia" w:ascii="宋体" w:hAnsi="宋体" w:eastAsia="宋体" w:cs="宋体"/>
          <w:kern w:val="0"/>
          <w:sz w:val="28"/>
          <w:szCs w:val="28"/>
          <w:u w:val="none"/>
          <w:lang w:val="en-US" w:eastAsia="zh-CN" w:bidi="ar"/>
        </w:rPr>
        <w:fldChar w:fldCharType="end"/>
      </w:r>
      <w:r>
        <w:rPr>
          <w:rFonts w:hint="eastAsia" w:ascii="宋体" w:hAnsi="宋体" w:eastAsia="宋体" w:cs="宋体"/>
          <w:color w:val="000000"/>
          <w:kern w:val="0"/>
          <w:sz w:val="28"/>
          <w:szCs w:val="28"/>
          <w:lang w:val="en-US" w:eastAsia="zh-CN" w:bidi="ar"/>
        </w:rPr>
        <w:t> ）”进行远程开标准备工作。</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34" w:firstLine="560" w:firstLineChars="200"/>
        <w:jc w:val="both"/>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6、供应商登录“中牟县公共资源交易中心门户网站远程开标大厅”后，须先进行签到，其后应一直保持在线状态，保证能准时参加开标大会、响应文件的解密、现场答疑澄清等活动。</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34"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7、不见面开标操作说明详见中牟县公共资源交易中心网站下载中心《中牟不见面开标-操作手册（供应商）V1.0》。</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0"/>
        <w:jc w:val="left"/>
        <w:outlineLvl w:val="1"/>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八、对本次招标提出询问，请按以下方式联系。</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4692"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1.采购人信息</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0" w:firstLine="560" w:firstLineChars="200"/>
        <w:jc w:val="left"/>
        <w:outlineLvl w:val="9"/>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名 称：中牟县自然资源和规划局</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0" w:firstLine="560" w:firstLineChars="200"/>
        <w:jc w:val="left"/>
        <w:outlineLvl w:val="9"/>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地址：中牟县商都大道与清阳街交叉口东南角</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0" w:firstLine="560" w:firstLineChars="200"/>
        <w:jc w:val="left"/>
        <w:outlineLvl w:val="9"/>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联系方式：</w:t>
      </w:r>
      <w:bookmarkStart w:id="12" w:name="_Toc28359009"/>
      <w:bookmarkStart w:id="13" w:name="_Toc28359086"/>
      <w:r>
        <w:rPr>
          <w:rFonts w:hint="eastAsia" w:ascii="宋体" w:hAnsi="宋体" w:eastAsia="宋体" w:cs="宋体"/>
          <w:color w:val="000000"/>
          <w:kern w:val="0"/>
          <w:sz w:val="28"/>
          <w:szCs w:val="28"/>
          <w:lang w:val="en-US" w:eastAsia="zh-CN" w:bidi="ar"/>
        </w:rPr>
        <w:t>0371-62123002</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0" w:firstLine="560" w:firstLineChars="200"/>
        <w:jc w:val="left"/>
        <w:outlineLvl w:val="9"/>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2.采购代理机构信息</w:t>
      </w:r>
      <w:bookmarkEnd w:id="12"/>
      <w:bookmarkEnd w:id="13"/>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0" w:firstLine="560" w:firstLineChars="200"/>
        <w:jc w:val="left"/>
        <w:outlineLvl w:val="9"/>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名 称：恒之宇工程集团有限公司</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0" w:firstLine="560" w:firstLineChars="200"/>
        <w:jc w:val="left"/>
        <w:outlineLvl w:val="9"/>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地　址：郑州市国基路7号3号楼5层</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0" w:firstLine="560" w:firstLineChars="200"/>
        <w:jc w:val="left"/>
        <w:outlineLvl w:val="9"/>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联系方式：</w:t>
      </w:r>
      <w:bookmarkStart w:id="14" w:name="_Toc28359087"/>
      <w:bookmarkStart w:id="15" w:name="_Toc28359010"/>
      <w:r>
        <w:rPr>
          <w:rFonts w:hint="eastAsia" w:ascii="宋体" w:hAnsi="宋体" w:eastAsia="宋体" w:cs="宋体"/>
          <w:color w:val="000000"/>
          <w:kern w:val="0"/>
          <w:sz w:val="28"/>
          <w:szCs w:val="28"/>
          <w:lang w:val="en-US" w:eastAsia="zh-CN" w:bidi="ar"/>
        </w:rPr>
        <w:t>15517772702</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0" w:firstLine="560" w:firstLineChars="200"/>
        <w:jc w:val="left"/>
        <w:outlineLvl w:val="9"/>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3.项目联系方式</w:t>
      </w:r>
      <w:bookmarkEnd w:id="14"/>
      <w:bookmarkEnd w:id="15"/>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0" w:firstLine="560" w:firstLineChars="200"/>
        <w:jc w:val="left"/>
        <w:outlineLvl w:val="9"/>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项目联系人：王亚钉</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0" w:firstLine="560" w:firstLineChars="200"/>
        <w:jc w:val="left"/>
        <w:outlineLvl w:val="9"/>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电　话：15517772702</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0" w:firstLine="560" w:firstLineChars="200"/>
        <w:jc w:val="left"/>
        <w:outlineLvl w:val="9"/>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监督部门：中牟县财政局</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0"/>
        <w:jc w:val="right"/>
        <w:outlineLvl w:val="9"/>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   发 布 人：恒之宇工程集团有限公司</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exact"/>
        <w:ind w:left="0" w:right="0"/>
        <w:jc w:val="right"/>
        <w:outlineLvl w:val="9"/>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发布时间：2023年</w:t>
      </w:r>
      <w:r>
        <w:rPr>
          <w:rFonts w:hint="default" w:ascii="宋体" w:hAnsi="宋体" w:eastAsia="宋体" w:cs="宋体"/>
          <w:color w:val="000000"/>
          <w:kern w:val="0"/>
          <w:sz w:val="28"/>
          <w:szCs w:val="28"/>
          <w:lang w:val="en-US" w:eastAsia="zh-CN" w:bidi="ar"/>
        </w:rPr>
        <w:t>8</w:t>
      </w:r>
      <w:r>
        <w:rPr>
          <w:rFonts w:hint="eastAsia" w:ascii="宋体" w:hAnsi="宋体" w:eastAsia="宋体" w:cs="宋体"/>
          <w:color w:val="000000"/>
          <w:kern w:val="0"/>
          <w:sz w:val="28"/>
          <w:szCs w:val="28"/>
          <w:lang w:val="en-US" w:eastAsia="zh-CN" w:bidi="ar"/>
        </w:rPr>
        <w:t>月</w:t>
      </w:r>
      <w:r>
        <w:rPr>
          <w:rFonts w:hint="default" w:ascii="宋体" w:hAnsi="宋体" w:eastAsia="宋体" w:cs="宋体"/>
          <w:color w:val="000000"/>
          <w:kern w:val="0"/>
          <w:sz w:val="28"/>
          <w:szCs w:val="28"/>
          <w:lang w:val="en-US" w:eastAsia="zh-CN" w:bidi="ar"/>
        </w:rPr>
        <w:t>24</w:t>
      </w:r>
      <w:r>
        <w:rPr>
          <w:rFonts w:hint="eastAsia" w:ascii="宋体" w:hAnsi="宋体" w:eastAsia="宋体" w:cs="宋体"/>
          <w:color w:val="000000"/>
          <w:kern w:val="0"/>
          <w:sz w:val="28"/>
          <w:szCs w:val="28"/>
          <w:lang w:val="en-US" w:eastAsia="zh-CN" w:bidi="ar"/>
        </w:rPr>
        <w:t>日</w:t>
      </w:r>
    </w:p>
    <w:p>
      <w:pPr>
        <w:pStyle w:val="36"/>
        <w:ind w:firstLine="560" w:firstLineChars="200"/>
        <w:outlineLvl w:val="9"/>
        <w:rPr>
          <w:rFonts w:hint="eastAsia" w:ascii="宋体" w:hAnsi="宋体" w:eastAsia="宋体" w:cs="宋体"/>
          <w:sz w:val="28"/>
          <w:szCs w:val="28"/>
          <w:lang w:val="en-US" w:eastAsia="zh-CN"/>
        </w:rPr>
      </w:pPr>
    </w:p>
    <w:p>
      <w:pPr>
        <w:rPr>
          <w:highlight w:val="none"/>
          <w:lang w:eastAsia="zh-CN"/>
        </w:rPr>
      </w:pPr>
      <w:r>
        <w:rPr>
          <w:highlight w:val="none"/>
          <w:lang w:eastAsia="zh-CN"/>
        </w:rPr>
        <w:br w:type="page"/>
      </w:r>
    </w:p>
    <w:p>
      <w:pPr>
        <w:pStyle w:val="40"/>
        <w:keepNext/>
        <w:keepLines/>
        <w:spacing w:after="300" w:line="240" w:lineRule="auto"/>
        <w:rPr>
          <w:sz w:val="32"/>
          <w:szCs w:val="32"/>
          <w:highlight w:val="none"/>
        </w:rPr>
      </w:pPr>
      <w:bookmarkStart w:id="16" w:name="_Toc25024"/>
      <w:bookmarkStart w:id="17" w:name="_Toc28129"/>
      <w:bookmarkStart w:id="18" w:name="_Toc266"/>
      <w:bookmarkStart w:id="19" w:name="_Toc22901"/>
      <w:bookmarkStart w:id="20" w:name="_Toc5227"/>
      <w:bookmarkStart w:id="21" w:name="_Toc20596"/>
      <w:r>
        <w:rPr>
          <w:sz w:val="32"/>
          <w:szCs w:val="32"/>
          <w:highlight w:val="none"/>
        </w:rPr>
        <w:t>第二章</w:t>
      </w:r>
      <w:r>
        <w:rPr>
          <w:rFonts w:hint="eastAsia"/>
          <w:sz w:val="32"/>
          <w:szCs w:val="32"/>
          <w:highlight w:val="none"/>
          <w:lang w:val="en-US" w:eastAsia="zh-CN"/>
        </w:rPr>
        <w:t xml:space="preserve"> </w:t>
      </w:r>
      <w:r>
        <w:rPr>
          <w:sz w:val="32"/>
          <w:szCs w:val="32"/>
          <w:highlight w:val="none"/>
        </w:rPr>
        <w:t>供应商须知</w:t>
      </w:r>
      <w:bookmarkEnd w:id="9"/>
      <w:bookmarkEnd w:id="10"/>
      <w:bookmarkEnd w:id="11"/>
      <w:bookmarkEnd w:id="16"/>
      <w:bookmarkEnd w:id="17"/>
      <w:bookmarkEnd w:id="18"/>
      <w:bookmarkEnd w:id="19"/>
      <w:bookmarkEnd w:id="20"/>
      <w:bookmarkEnd w:id="21"/>
    </w:p>
    <w:p>
      <w:pPr>
        <w:pStyle w:val="66"/>
        <w:keepNext/>
        <w:keepLines/>
        <w:pageBreakBefore w:val="0"/>
        <w:widowControl w:val="0"/>
        <w:kinsoku/>
        <w:wordWrap/>
        <w:overflowPunct/>
        <w:topLinePunct w:val="0"/>
        <w:autoSpaceDE/>
        <w:autoSpaceDN/>
        <w:bidi w:val="0"/>
        <w:adjustRightInd/>
        <w:snapToGrid/>
        <w:ind w:firstLine="142"/>
        <w:jc w:val="center"/>
        <w:textAlignment w:val="auto"/>
        <w:outlineLvl w:val="1"/>
        <w:rPr>
          <w:sz w:val="28"/>
          <w:szCs w:val="28"/>
          <w:highlight w:val="none"/>
        </w:rPr>
      </w:pPr>
      <w:bookmarkStart w:id="22" w:name="_Toc12089"/>
      <w:bookmarkStart w:id="23" w:name="_Toc3409"/>
      <w:bookmarkStart w:id="24" w:name="_Toc30755"/>
      <w:bookmarkStart w:id="25" w:name="_Toc32121"/>
      <w:r>
        <w:rPr>
          <w:sz w:val="28"/>
          <w:szCs w:val="28"/>
          <w:highlight w:val="none"/>
        </w:rPr>
        <w:t>供应商须知前附表</w:t>
      </w:r>
      <w:bookmarkEnd w:id="22"/>
      <w:bookmarkEnd w:id="23"/>
      <w:bookmarkEnd w:id="24"/>
      <w:bookmarkEnd w:id="25"/>
      <w:bookmarkStart w:id="26" w:name="bookmark79"/>
      <w:bookmarkStart w:id="27" w:name="bookmark78"/>
      <w:bookmarkStart w:id="28" w:name="bookmark77"/>
    </w:p>
    <w:tbl>
      <w:tblPr>
        <w:tblStyle w:val="20"/>
        <w:tblW w:w="9205" w:type="dxa"/>
        <w:tblInd w:w="96" w:type="dxa"/>
        <w:tblLayout w:type="autofit"/>
        <w:tblCellMar>
          <w:top w:w="0" w:type="dxa"/>
          <w:left w:w="108" w:type="dxa"/>
          <w:bottom w:w="0" w:type="dxa"/>
          <w:right w:w="108" w:type="dxa"/>
        </w:tblCellMar>
      </w:tblPr>
      <w:tblGrid>
        <w:gridCol w:w="960"/>
        <w:gridCol w:w="2004"/>
        <w:gridCol w:w="6241"/>
      </w:tblGrid>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条款号</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条款名称</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编列内容</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1.1.2</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采购人</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textAlignment w:val="center"/>
              <w:rPr>
                <w:rFonts w:hint="eastAsia" w:ascii="宋体" w:hAnsi="宋体" w:eastAsia="宋体" w:cs="宋体"/>
                <w:highlight w:val="none"/>
                <w:lang w:eastAsia="zh-CN"/>
              </w:rPr>
            </w:pPr>
            <w:r>
              <w:rPr>
                <w:rFonts w:hint="eastAsia" w:ascii="宋体" w:hAnsi="宋体" w:eastAsia="宋体" w:cs="宋体"/>
                <w:highlight w:val="none"/>
                <w:lang w:eastAsia="zh-CN"/>
              </w:rPr>
              <w:t>名 称：中牟县自然资源和规划局</w:t>
            </w:r>
          </w:p>
          <w:p>
            <w:pPr>
              <w:widowControl/>
              <w:spacing w:line="500" w:lineRule="exact"/>
              <w:textAlignment w:val="center"/>
              <w:rPr>
                <w:rFonts w:hint="eastAsia" w:ascii="宋体" w:hAnsi="宋体" w:eastAsia="宋体" w:cs="宋体"/>
                <w:highlight w:val="none"/>
                <w:lang w:eastAsia="zh-CN"/>
              </w:rPr>
            </w:pPr>
            <w:r>
              <w:rPr>
                <w:rFonts w:hint="eastAsia" w:ascii="宋体" w:hAnsi="宋体" w:eastAsia="宋体" w:cs="宋体"/>
                <w:highlight w:val="none"/>
                <w:lang w:eastAsia="zh-CN"/>
              </w:rPr>
              <w:t>地址：中牟县商都大道与清阳街交叉口东南角</w:t>
            </w:r>
          </w:p>
          <w:p>
            <w:pPr>
              <w:widowControl/>
              <w:spacing w:line="500" w:lineRule="exact"/>
              <w:textAlignment w:val="center"/>
              <w:rPr>
                <w:rFonts w:hint="eastAsia" w:ascii="宋体" w:hAnsi="宋体" w:eastAsia="宋体" w:cs="宋体"/>
                <w:highlight w:val="none"/>
                <w:lang w:eastAsia="zh-CN"/>
              </w:rPr>
            </w:pPr>
            <w:r>
              <w:rPr>
                <w:rFonts w:hint="eastAsia" w:ascii="宋体" w:hAnsi="宋体" w:eastAsia="宋体" w:cs="宋体"/>
                <w:highlight w:val="none"/>
                <w:lang w:eastAsia="zh-CN"/>
              </w:rPr>
              <w:t>联系方式：0371-62123002</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1.1.3</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代理机构</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textAlignment w:val="center"/>
              <w:rPr>
                <w:rFonts w:hint="eastAsia" w:ascii="宋体" w:hAnsi="宋体" w:eastAsia="宋体" w:cs="宋体"/>
                <w:highlight w:val="none"/>
                <w:lang w:eastAsia="zh-CN"/>
              </w:rPr>
            </w:pPr>
            <w:r>
              <w:rPr>
                <w:rFonts w:hint="eastAsia" w:ascii="宋体" w:hAnsi="宋体" w:eastAsia="宋体" w:cs="宋体"/>
                <w:highlight w:val="none"/>
                <w:lang w:eastAsia="zh-CN"/>
              </w:rPr>
              <w:t>名 称：恒之宇工程集团有限公司</w:t>
            </w:r>
          </w:p>
          <w:p>
            <w:pPr>
              <w:widowControl/>
              <w:spacing w:line="500" w:lineRule="exact"/>
              <w:textAlignment w:val="center"/>
              <w:rPr>
                <w:rFonts w:hint="eastAsia" w:ascii="宋体" w:hAnsi="宋体" w:eastAsia="宋体" w:cs="宋体"/>
                <w:highlight w:val="none"/>
                <w:lang w:eastAsia="zh-CN"/>
              </w:rPr>
            </w:pPr>
            <w:r>
              <w:rPr>
                <w:rFonts w:hint="eastAsia" w:ascii="宋体" w:hAnsi="宋体" w:eastAsia="宋体" w:cs="宋体"/>
                <w:highlight w:val="none"/>
                <w:lang w:eastAsia="zh-CN"/>
              </w:rPr>
              <w:t>地　址：郑州市国基路7号3号楼5层</w:t>
            </w:r>
          </w:p>
          <w:p>
            <w:pPr>
              <w:widowControl/>
              <w:spacing w:line="500" w:lineRule="exact"/>
              <w:textAlignment w:val="center"/>
              <w:rPr>
                <w:rFonts w:hint="eastAsia" w:ascii="宋体" w:hAnsi="宋体" w:eastAsia="宋体" w:cs="宋体"/>
                <w:highlight w:val="none"/>
                <w:lang w:eastAsia="zh-CN"/>
              </w:rPr>
            </w:pPr>
            <w:r>
              <w:rPr>
                <w:rFonts w:hint="eastAsia" w:ascii="宋体" w:hAnsi="宋体" w:eastAsia="宋体" w:cs="宋体"/>
                <w:highlight w:val="none"/>
                <w:lang w:eastAsia="zh-CN"/>
              </w:rPr>
              <w:t>联系方式：</w:t>
            </w:r>
            <w:r>
              <w:rPr>
                <w:rFonts w:hint="eastAsia" w:ascii="宋体" w:hAnsi="宋体" w:eastAsia="宋体" w:cs="宋体"/>
                <w:highlight w:val="none"/>
                <w:lang w:val="en-US" w:eastAsia="zh-CN"/>
              </w:rPr>
              <w:t>15517772702</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1.1.4</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项目名称</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lang w:eastAsia="zh-CN"/>
              </w:rPr>
            </w:pPr>
            <w:r>
              <w:rPr>
                <w:rFonts w:hint="eastAsia" w:ascii="宋体" w:hAnsi="宋体" w:eastAsia="宋体" w:cs="宋体"/>
                <w:highlight w:val="none"/>
                <w:lang w:val="en-US" w:eastAsia="zh-CN"/>
              </w:rPr>
              <w:t>中牟县自然资源和规划局中牟县老火车站片区城市更新专项规划项目</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1.1.5</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建设地点</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中牟县</w:t>
            </w:r>
          </w:p>
        </w:tc>
      </w:tr>
      <w:tr>
        <w:tblPrEx>
          <w:tblCellMar>
            <w:top w:w="0" w:type="dxa"/>
            <w:left w:w="108" w:type="dxa"/>
            <w:bottom w:w="0" w:type="dxa"/>
            <w:right w:w="108" w:type="dxa"/>
          </w:tblCellMar>
        </w:tblPrEx>
        <w:trPr>
          <w:trHeight w:val="501"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1.2.1</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资金来源</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财政资金</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1.2.2</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出资比例</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100%</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1.2.3</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资金落实情况</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已落实</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1.3.1</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采购范围</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bidi="ar"/>
              </w:rPr>
              <w:t>对中牟县老火车站周边，解放路两侧、贾鲁河南、陇海铁路北、省道223西区域内编制城市更新专项规划，规划面积为614公顷。</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1.3.2</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rPr>
              <w:t>服务期限</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自签订合同之日起</w:t>
            </w:r>
            <w:r>
              <w:rPr>
                <w:rFonts w:hint="eastAsia" w:ascii="宋体" w:hAnsi="宋体" w:eastAsia="宋体" w:cs="宋体"/>
                <w:color w:val="000000" w:themeColor="text1"/>
                <w:highlight w:val="none"/>
                <w:lang w:val="en-US" w:eastAsia="zh-CN"/>
                <w14:textFill>
                  <w14:solidFill>
                    <w14:schemeClr w14:val="tx1"/>
                  </w14:solidFill>
                </w14:textFill>
              </w:rPr>
              <w:t>至</w:t>
            </w:r>
            <w:r>
              <w:rPr>
                <w:rFonts w:hint="default" w:ascii="宋体" w:hAnsi="宋体" w:eastAsia="宋体" w:cs="宋体"/>
                <w:color w:val="000000" w:themeColor="text1"/>
                <w:highlight w:val="none"/>
                <w:lang w:val="en-US" w:eastAsia="zh-CN"/>
                <w14:textFill>
                  <w14:solidFill>
                    <w14:schemeClr w14:val="tx1"/>
                  </w14:solidFill>
                </w14:textFill>
              </w:rPr>
              <w:t>2023</w:t>
            </w:r>
            <w:r>
              <w:rPr>
                <w:rFonts w:hint="eastAsia" w:ascii="宋体" w:hAnsi="宋体" w:eastAsia="宋体" w:cs="宋体"/>
                <w:color w:val="000000" w:themeColor="text1"/>
                <w:highlight w:val="none"/>
                <w:lang w:val="en-US" w:eastAsia="zh-CN"/>
                <w14:textFill>
                  <w14:solidFill>
                    <w14:schemeClr w14:val="tx1"/>
                  </w14:solidFill>
                </w14:textFill>
              </w:rPr>
              <w:t>年</w:t>
            </w:r>
            <w:r>
              <w:rPr>
                <w:rFonts w:hint="default" w:ascii="宋体" w:hAnsi="宋体" w:eastAsia="宋体" w:cs="宋体"/>
                <w:color w:val="000000" w:themeColor="text1"/>
                <w:highlight w:val="none"/>
                <w:lang w:val="en-US" w:eastAsia="zh-CN"/>
                <w14:textFill>
                  <w14:solidFill>
                    <w14:schemeClr w14:val="tx1"/>
                  </w14:solidFill>
                </w14:textFill>
              </w:rPr>
              <w:t>12</w:t>
            </w:r>
            <w:r>
              <w:rPr>
                <w:rFonts w:hint="eastAsia" w:ascii="宋体" w:hAnsi="宋体" w:eastAsia="宋体" w:cs="宋体"/>
                <w:color w:val="000000" w:themeColor="text1"/>
                <w:highlight w:val="none"/>
                <w:lang w:val="en-US" w:eastAsia="zh-CN"/>
                <w14:textFill>
                  <w14:solidFill>
                    <w14:schemeClr w14:val="tx1"/>
                  </w14:solidFill>
                </w14:textFill>
              </w:rPr>
              <w:t>月</w:t>
            </w:r>
            <w:r>
              <w:rPr>
                <w:rFonts w:hint="default" w:ascii="宋体" w:hAnsi="宋体" w:eastAsia="宋体" w:cs="宋体"/>
                <w:color w:val="000000" w:themeColor="text1"/>
                <w:highlight w:val="none"/>
                <w:lang w:val="en-US" w:eastAsia="zh-CN"/>
                <w14:textFill>
                  <w14:solidFill>
                    <w14:schemeClr w14:val="tx1"/>
                  </w14:solidFill>
                </w14:textFill>
              </w:rPr>
              <w:t>31</w:t>
            </w:r>
            <w:r>
              <w:rPr>
                <w:rFonts w:hint="eastAsia" w:ascii="宋体" w:hAnsi="宋体" w:eastAsia="宋体" w:cs="宋体"/>
                <w:color w:val="000000" w:themeColor="text1"/>
                <w:highlight w:val="none"/>
                <w:lang w:val="en-US" w:eastAsia="zh-CN"/>
                <w14:textFill>
                  <w14:solidFill>
                    <w14:schemeClr w14:val="tx1"/>
                  </w14:solidFill>
                </w14:textFill>
              </w:rPr>
              <w:t>日</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1.3.3</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rPr>
              <w:t>服务质量</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执行国家最新的强制标准和国家及行业最新的规范</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1.4.1</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供应商资质条件</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bottom"/>
          </w:tcPr>
          <w:p>
            <w:pPr>
              <w:autoSpaceDE w:val="0"/>
              <w:autoSpaceDN w:val="0"/>
              <w:spacing w:line="360" w:lineRule="auto"/>
              <w:rPr>
                <w:rFonts w:ascii="宋体" w:hAnsi="宋体" w:eastAsia="宋体" w:cs="宋体"/>
                <w:highlight w:val="none"/>
                <w:lang w:eastAsia="zh-CN"/>
              </w:rPr>
            </w:pPr>
            <w:r>
              <w:rPr>
                <w:rFonts w:hint="eastAsia" w:ascii="宋体" w:hAnsi="宋体" w:eastAsia="宋体" w:cs="宋体"/>
                <w:color w:val="333333"/>
                <w:highlight w:val="none"/>
                <w:lang w:eastAsia="zh-CN"/>
              </w:rPr>
              <w:t>1</w:t>
            </w:r>
            <w:r>
              <w:rPr>
                <w:rFonts w:hint="eastAsia" w:ascii="宋体" w:hAnsi="宋体" w:eastAsia="宋体" w:cs="宋体"/>
                <w:highlight w:val="none"/>
                <w:lang w:eastAsia="zh-CN"/>
              </w:rPr>
              <w:t>、满足《中华人民共和国政府采购法》第二十二条规定；</w:t>
            </w:r>
          </w:p>
          <w:p>
            <w:pPr>
              <w:autoSpaceDE w:val="0"/>
              <w:autoSpaceDN w:val="0"/>
              <w:spacing w:line="360" w:lineRule="auto"/>
              <w:rPr>
                <w:rFonts w:ascii="宋体" w:hAnsi="宋体" w:eastAsia="宋体" w:cs="宋体"/>
                <w:highlight w:val="none"/>
                <w:lang w:eastAsia="zh-CN"/>
              </w:rPr>
            </w:pPr>
            <w:r>
              <w:rPr>
                <w:rFonts w:hint="eastAsia" w:ascii="宋体" w:hAnsi="宋体" w:eastAsia="宋体" w:cs="宋体"/>
                <w:highlight w:val="none"/>
                <w:lang w:eastAsia="zh-CN"/>
              </w:rPr>
              <w:t>2、落实政府采购政策满足的资格要求：本项目落实政府采购促进中小企业发展（监狱企业、残疾人福利性企业视同小微企业）等相关政府采购政策。本项目对小型和微型企业，报价给予 20%的扣除参与评审。（具体政策详见磋商文件）</w:t>
            </w:r>
          </w:p>
          <w:p>
            <w:pPr>
              <w:autoSpaceDE w:val="0"/>
              <w:autoSpaceDN w:val="0"/>
              <w:spacing w:line="360" w:lineRule="auto"/>
              <w:rPr>
                <w:rFonts w:ascii="宋体" w:hAnsi="宋体" w:eastAsia="宋体" w:cs="宋体"/>
                <w:highlight w:val="none"/>
                <w:lang w:eastAsia="zh-CN"/>
              </w:rPr>
            </w:pPr>
            <w:r>
              <w:rPr>
                <w:rFonts w:hint="eastAsia" w:ascii="宋体" w:hAnsi="宋体" w:eastAsia="宋体" w:cs="宋体"/>
                <w:highlight w:val="none"/>
                <w:lang w:eastAsia="zh-CN"/>
              </w:rPr>
              <w:t>3、本项目的特定资格要求：</w:t>
            </w:r>
          </w:p>
          <w:p>
            <w:pPr>
              <w:pStyle w:val="70"/>
              <w:tabs>
                <w:tab w:val="left" w:pos="1676"/>
              </w:tabs>
              <w:autoSpaceDE w:val="0"/>
              <w:autoSpaceDN w:val="0"/>
              <w:spacing w:line="360" w:lineRule="auto"/>
              <w:ind w:left="0" w:right="-87" w:firstLine="0"/>
              <w:rPr>
                <w:highlight w:val="none"/>
              </w:rPr>
            </w:pPr>
            <w:r>
              <w:rPr>
                <w:rFonts w:hint="eastAsia"/>
                <w:highlight w:val="none"/>
                <w:lang w:val="en-US"/>
              </w:rPr>
              <w:t>3.1、</w:t>
            </w:r>
            <w:r>
              <w:rPr>
                <w:rFonts w:hint="eastAsia"/>
                <w:highlight w:val="none"/>
              </w:rPr>
              <w:t>具有独立承担民事责任的能力（具有有效的企业营业执照）；</w:t>
            </w:r>
          </w:p>
          <w:p>
            <w:pPr>
              <w:pStyle w:val="70"/>
              <w:tabs>
                <w:tab w:val="left" w:pos="1673"/>
              </w:tabs>
              <w:autoSpaceDE w:val="0"/>
              <w:autoSpaceDN w:val="0"/>
              <w:spacing w:line="360" w:lineRule="auto"/>
              <w:ind w:left="0" w:right="-87" w:firstLine="0"/>
              <w:jc w:val="both"/>
              <w:rPr>
                <w:highlight w:val="none"/>
                <w:lang w:val="en-US"/>
              </w:rPr>
            </w:pPr>
            <w:r>
              <w:rPr>
                <w:rFonts w:hint="eastAsia"/>
                <w:highlight w:val="none"/>
                <w:lang w:val="en-US"/>
              </w:rPr>
              <w:t>3.2、资质要求：</w:t>
            </w:r>
          </w:p>
          <w:p>
            <w:pPr>
              <w:pStyle w:val="70"/>
              <w:tabs>
                <w:tab w:val="left" w:pos="1673"/>
              </w:tabs>
              <w:autoSpaceDE w:val="0"/>
              <w:autoSpaceDN w:val="0"/>
              <w:spacing w:line="360" w:lineRule="auto"/>
              <w:ind w:left="0" w:right="-87" w:firstLine="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14:textFill>
                  <w14:solidFill>
                    <w14:schemeClr w14:val="tx1"/>
                  </w14:solidFill>
                </w14:textFill>
              </w:rPr>
              <w:t>1）</w:t>
            </w:r>
            <w:r>
              <w:rPr>
                <w:rFonts w:hint="eastAsia"/>
                <w:color w:val="000000" w:themeColor="text1"/>
                <w:highlight w:val="none"/>
                <w14:textFill>
                  <w14:solidFill>
                    <w14:schemeClr w14:val="tx1"/>
                  </w14:solidFill>
                </w14:textFill>
              </w:rPr>
              <w:t>供应商须具备行政主管部门核发的城乡规划编制</w:t>
            </w:r>
            <w:r>
              <w:rPr>
                <w:rFonts w:hint="eastAsia"/>
                <w:color w:val="000000" w:themeColor="text1"/>
                <w:highlight w:val="none"/>
                <w:lang w:val="en-US" w:eastAsia="zh-CN"/>
                <w14:textFill>
                  <w14:solidFill>
                    <w14:schemeClr w14:val="tx1"/>
                  </w14:solidFill>
                </w14:textFill>
              </w:rPr>
              <w:t>乙</w:t>
            </w:r>
            <w:r>
              <w:rPr>
                <w:rFonts w:hint="eastAsia"/>
                <w:color w:val="000000" w:themeColor="text1"/>
                <w:highlight w:val="none"/>
                <w14:textFill>
                  <w14:solidFill>
                    <w14:schemeClr w14:val="tx1"/>
                  </w14:solidFill>
                </w14:textFill>
              </w:rPr>
              <w:t xml:space="preserve">级资质证书； </w:t>
            </w:r>
          </w:p>
          <w:p>
            <w:pPr>
              <w:pStyle w:val="70"/>
              <w:tabs>
                <w:tab w:val="left" w:pos="1673"/>
              </w:tabs>
              <w:autoSpaceDE w:val="0"/>
              <w:autoSpaceDN w:val="0"/>
              <w:spacing w:line="360" w:lineRule="auto"/>
              <w:ind w:left="0" w:right="-87" w:firstLine="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14:textFill>
                  <w14:solidFill>
                    <w14:schemeClr w14:val="tx1"/>
                  </w14:solidFill>
                </w14:textFill>
              </w:rPr>
              <w:t>2）</w:t>
            </w:r>
            <w:r>
              <w:rPr>
                <w:rFonts w:hint="eastAsia"/>
                <w:color w:val="000000" w:themeColor="text1"/>
                <w:highlight w:val="none"/>
                <w14:textFill>
                  <w14:solidFill>
                    <w14:schemeClr w14:val="tx1"/>
                  </w14:solidFill>
                </w14:textFill>
              </w:rPr>
              <w:t>项目负责人具有国家注册城市（乡）规划师注册证书及</w:t>
            </w:r>
            <w:r>
              <w:rPr>
                <w:rFonts w:hint="eastAsia"/>
                <w:color w:val="000000" w:themeColor="text1"/>
                <w:highlight w:val="none"/>
                <w:lang w:val="en-US" w:eastAsia="zh-CN"/>
                <w14:textFill>
                  <w14:solidFill>
                    <w14:schemeClr w14:val="tx1"/>
                  </w14:solidFill>
                </w14:textFill>
              </w:rPr>
              <w:t>中</w:t>
            </w:r>
            <w:r>
              <w:rPr>
                <w:rFonts w:hint="eastAsia"/>
                <w:color w:val="000000" w:themeColor="text1"/>
                <w:highlight w:val="none"/>
                <w14:textFill>
                  <w14:solidFill>
                    <w14:schemeClr w14:val="tx1"/>
                  </w14:solidFill>
                </w14:textFill>
              </w:rPr>
              <w:t>级工程师及以上职称；</w:t>
            </w:r>
          </w:p>
          <w:p>
            <w:pPr>
              <w:pStyle w:val="70"/>
              <w:tabs>
                <w:tab w:val="left" w:pos="1673"/>
              </w:tabs>
              <w:autoSpaceDE w:val="0"/>
              <w:autoSpaceDN w:val="0"/>
              <w:spacing w:line="360" w:lineRule="auto"/>
              <w:ind w:left="0" w:right="-87" w:firstLine="0"/>
              <w:jc w:val="both"/>
              <w:rPr>
                <w:highlight w:val="none"/>
                <w:lang w:val="en-US"/>
              </w:rPr>
            </w:pPr>
            <w:r>
              <w:rPr>
                <w:rFonts w:hint="eastAsia"/>
                <w:highlight w:val="none"/>
                <w:lang w:val="en-US"/>
              </w:rPr>
              <w:t>3.3、具有良好的商业信誉和健全的财务会计制度（提供完整的</w:t>
            </w:r>
            <w:r>
              <w:rPr>
                <w:rFonts w:hint="eastAsia"/>
                <w:highlight w:val="none"/>
                <w:lang w:val="en-US" w:eastAsia="zh-CN"/>
              </w:rPr>
              <w:t>2021年或</w:t>
            </w:r>
            <w:r>
              <w:rPr>
                <w:rFonts w:hint="eastAsia"/>
                <w:highlight w:val="none"/>
                <w:lang w:val="en-US"/>
              </w:rPr>
              <w:t>2022年度经审计的财务审计报告</w:t>
            </w:r>
            <w:r>
              <w:rPr>
                <w:rFonts w:hint="eastAsia"/>
                <w:highlight w:val="none"/>
                <w:lang w:val="en-US" w:eastAsia="zh-CN"/>
              </w:rPr>
              <w:t>，</w:t>
            </w:r>
            <w:r>
              <w:rPr>
                <w:rFonts w:hint="eastAsia"/>
                <w:highlight w:val="none"/>
                <w:lang w:val="en-US"/>
              </w:rPr>
              <w:t>新成立企业提供银行出具的资信证明）；</w:t>
            </w:r>
          </w:p>
          <w:p>
            <w:pPr>
              <w:pStyle w:val="70"/>
              <w:tabs>
                <w:tab w:val="left" w:pos="1676"/>
              </w:tabs>
              <w:autoSpaceDE w:val="0"/>
              <w:autoSpaceDN w:val="0"/>
              <w:spacing w:line="360" w:lineRule="auto"/>
              <w:ind w:left="0" w:right="-87" w:firstLine="0"/>
              <w:rPr>
                <w:highlight w:val="none"/>
              </w:rPr>
            </w:pPr>
            <w:r>
              <w:rPr>
                <w:rFonts w:hint="eastAsia"/>
                <w:highlight w:val="none"/>
                <w:lang w:val="en-US"/>
              </w:rPr>
              <w:t>3.4、</w:t>
            </w:r>
            <w:r>
              <w:rPr>
                <w:rFonts w:hint="eastAsia"/>
                <w:highlight w:val="none"/>
              </w:rPr>
              <w:t>具有履行合同所必需的设备和专业技术能力，（提供承诺函，格式自拟）；</w:t>
            </w:r>
          </w:p>
          <w:p>
            <w:pPr>
              <w:pStyle w:val="70"/>
              <w:tabs>
                <w:tab w:val="left" w:pos="1673"/>
              </w:tabs>
              <w:autoSpaceDE w:val="0"/>
              <w:autoSpaceDN w:val="0"/>
              <w:spacing w:line="360" w:lineRule="auto"/>
              <w:ind w:left="0" w:right="-86" w:rightChars="-36" w:firstLine="0"/>
              <w:jc w:val="both"/>
              <w:rPr>
                <w:highlight w:val="none"/>
              </w:rPr>
            </w:pPr>
            <w:r>
              <w:rPr>
                <w:rFonts w:hint="eastAsia"/>
                <w:highlight w:val="none"/>
                <w:lang w:val="en-US"/>
              </w:rPr>
              <w:t>3.5、</w:t>
            </w:r>
            <w:r>
              <w:rPr>
                <w:rFonts w:hint="eastAsia"/>
                <w:highlight w:val="none"/>
              </w:rPr>
              <w:t>具有依法缴纳税收和社会保障资金的良好记录（提供202</w:t>
            </w:r>
            <w:r>
              <w:rPr>
                <w:rFonts w:hint="eastAsia"/>
                <w:highlight w:val="none"/>
                <w:lang w:val="en-US"/>
              </w:rPr>
              <w:t>3</w:t>
            </w:r>
            <w:r>
              <w:rPr>
                <w:rFonts w:hint="eastAsia"/>
                <w:highlight w:val="none"/>
              </w:rPr>
              <w:t>年</w:t>
            </w:r>
            <w:r>
              <w:rPr>
                <w:rFonts w:hint="eastAsia"/>
                <w:highlight w:val="none"/>
                <w:lang w:val="en-US"/>
              </w:rPr>
              <w:t>1</w:t>
            </w:r>
            <w:r>
              <w:rPr>
                <w:rFonts w:hint="eastAsia"/>
                <w:highlight w:val="none"/>
              </w:rPr>
              <w:t>月以来任意 1 个月的社会保障资金及税收缴纳证明材料。新成立企业从成立之日起计算，依法免税或不需要缴纳社会保障资金的供应商，应提供相应文件证明其依法免税或不需要缴纳社会保障资金）；</w:t>
            </w:r>
          </w:p>
          <w:p>
            <w:pPr>
              <w:pStyle w:val="70"/>
              <w:tabs>
                <w:tab w:val="left" w:pos="1673"/>
              </w:tabs>
              <w:autoSpaceDE w:val="0"/>
              <w:autoSpaceDN w:val="0"/>
              <w:spacing w:line="360" w:lineRule="auto"/>
              <w:ind w:left="0" w:right="-87" w:firstLine="0"/>
              <w:rPr>
                <w:highlight w:val="none"/>
              </w:rPr>
            </w:pPr>
            <w:r>
              <w:rPr>
                <w:rFonts w:hint="eastAsia"/>
                <w:highlight w:val="none"/>
                <w:lang w:val="en-US"/>
              </w:rPr>
              <w:t>3.6、</w:t>
            </w:r>
            <w:r>
              <w:rPr>
                <w:rFonts w:hint="eastAsia"/>
                <w:highlight w:val="none"/>
              </w:rPr>
              <w:t>供应商在参加政府采购活动前三年内，在经营活动中没有重大违法记录（ 供应商出具承诺书，格式自拟）</w:t>
            </w:r>
            <w:r>
              <w:rPr>
                <w:rFonts w:hint="eastAsia"/>
                <w:highlight w:val="none"/>
                <w:lang w:val="en-US"/>
              </w:rPr>
              <w:t>；</w:t>
            </w:r>
          </w:p>
          <w:p>
            <w:pPr>
              <w:pStyle w:val="70"/>
              <w:tabs>
                <w:tab w:val="left" w:pos="1492"/>
              </w:tabs>
              <w:autoSpaceDE w:val="0"/>
              <w:autoSpaceDN w:val="0"/>
              <w:spacing w:line="360" w:lineRule="auto"/>
              <w:ind w:left="0" w:firstLine="0"/>
              <w:jc w:val="both"/>
              <w:rPr>
                <w:highlight w:val="none"/>
                <w:lang w:val="en-US"/>
              </w:rPr>
            </w:pPr>
            <w:r>
              <w:rPr>
                <w:rFonts w:hint="eastAsia"/>
                <w:highlight w:val="none"/>
                <w:lang w:val="en-US"/>
              </w:rPr>
              <w:t>3.7</w:t>
            </w:r>
            <w:r>
              <w:rPr>
                <w:rFonts w:hint="eastAsia"/>
                <w:highlight w:val="none"/>
              </w:rPr>
              <w:t>信誉要求：根据财政部《关于在政府采购活动中查询及使用信用记录有关问题的通知》(财库[2016]125号) 和豫财购[2016]15号的规定，对列入失信被执行人、重大税收违法失信主体、政府采购严重违法失信行为记录名单的供应商，视为无效投标。查询渠道：“信用中国”网站（www.creditchina.gov.cn ）</w:t>
            </w:r>
            <w:r>
              <w:rPr>
                <w:rFonts w:hint="eastAsia"/>
                <w:highlight w:val="none"/>
                <w:lang w:val="en-US"/>
              </w:rPr>
              <w:t>或通过信用中国转至中国执行信息公开网</w:t>
            </w:r>
            <w:r>
              <w:rPr>
                <w:rFonts w:hint="eastAsia"/>
                <w:highlight w:val="none"/>
              </w:rPr>
              <w:t>、中国政府采购网（www.ccgp.gov.cn ），查询截止时点为：从</w:t>
            </w:r>
            <w:r>
              <w:rPr>
                <w:rFonts w:hint="eastAsia"/>
                <w:highlight w:val="none"/>
                <w:lang w:val="en-US"/>
              </w:rPr>
              <w:t>磋商</w:t>
            </w:r>
            <w:r>
              <w:rPr>
                <w:rFonts w:hint="eastAsia"/>
                <w:highlight w:val="none"/>
              </w:rPr>
              <w:t>公告发布之日起至投标截止之日止；</w:t>
            </w:r>
          </w:p>
          <w:p>
            <w:pPr>
              <w:pStyle w:val="70"/>
              <w:tabs>
                <w:tab w:val="left" w:pos="1673"/>
              </w:tabs>
              <w:autoSpaceDE w:val="0"/>
              <w:autoSpaceDN w:val="0"/>
              <w:spacing w:line="360" w:lineRule="auto"/>
              <w:ind w:left="0" w:right="-87" w:firstLine="0"/>
              <w:rPr>
                <w:color w:val="auto"/>
                <w:highlight w:val="none"/>
              </w:rPr>
            </w:pPr>
            <w:r>
              <w:rPr>
                <w:rFonts w:hint="eastAsia"/>
                <w:highlight w:val="none"/>
                <w:lang w:val="en-US"/>
              </w:rPr>
              <w:t>3.8、</w:t>
            </w:r>
            <w:r>
              <w:rPr>
                <w:rFonts w:hint="eastAsia"/>
                <w:highlight w:val="none"/>
              </w:rPr>
              <w:t>单位负责人为同一人或者存在控股、管理关系的不同单位，不得同时参加本项</w:t>
            </w:r>
            <w:r>
              <w:rPr>
                <w:rFonts w:hint="eastAsia"/>
                <w:color w:val="auto"/>
                <w:highlight w:val="none"/>
              </w:rPr>
              <w:t>目投标；提供投标企业在“国家企业信用信息公示系统”中公示的公司基本信息、股东或投资人信息</w:t>
            </w:r>
            <w:r>
              <w:rPr>
                <w:rFonts w:hint="eastAsia"/>
                <w:highlight w:val="none"/>
              </w:rPr>
              <w:t>（提供“国家企业信用信息公示系统”中查询的相关材料并加盖公章，查询信息需包含公司基本信息、股东信息及股权变更信息等相关信息，查询日期为本项目</w:t>
            </w:r>
            <w:r>
              <w:rPr>
                <w:rFonts w:hint="eastAsia"/>
                <w:highlight w:val="none"/>
                <w:lang w:val="en-US"/>
              </w:rPr>
              <w:t>磋商</w:t>
            </w:r>
            <w:r>
              <w:rPr>
                <w:rFonts w:hint="eastAsia"/>
                <w:highlight w:val="none"/>
              </w:rPr>
              <w:t>公告发布之后）</w:t>
            </w:r>
            <w:r>
              <w:rPr>
                <w:rFonts w:hint="eastAsia"/>
                <w:color w:val="auto"/>
                <w:highlight w:val="none"/>
              </w:rPr>
              <w:t>。</w:t>
            </w:r>
          </w:p>
          <w:p>
            <w:pPr>
              <w:pStyle w:val="70"/>
              <w:tabs>
                <w:tab w:val="left" w:pos="1673"/>
              </w:tabs>
              <w:autoSpaceDE w:val="0"/>
              <w:autoSpaceDN w:val="0"/>
              <w:spacing w:line="360" w:lineRule="auto"/>
              <w:ind w:left="0" w:right="-87" w:firstLine="0"/>
              <w:rPr>
                <w:highlight w:val="none"/>
                <w:lang w:val="en-US"/>
              </w:rPr>
            </w:pPr>
            <w:r>
              <w:rPr>
                <w:rFonts w:hint="eastAsia"/>
                <w:color w:val="auto"/>
                <w:highlight w:val="none"/>
                <w:lang w:val="en-US"/>
              </w:rPr>
              <w:t>3.9本项目不接受联合体投标。</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both"/>
              <w:textAlignment w:val="center"/>
              <w:rPr>
                <w:rFonts w:ascii="宋体" w:hAnsi="宋体" w:eastAsia="宋体" w:cs="宋体"/>
                <w:highlight w:val="none"/>
              </w:rPr>
            </w:pPr>
            <w:r>
              <w:rPr>
                <w:rFonts w:hint="eastAsia" w:ascii="宋体" w:hAnsi="宋体" w:eastAsia="宋体" w:cs="宋体"/>
                <w:highlight w:val="none"/>
                <w:lang w:eastAsia="zh-CN" w:bidi="ar"/>
              </w:rPr>
              <w:t>1.4.2</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center"/>
              <w:textAlignment w:val="bottom"/>
              <w:rPr>
                <w:rFonts w:ascii="宋体" w:hAnsi="宋体" w:eastAsia="宋体" w:cs="宋体"/>
                <w:highlight w:val="none"/>
              </w:rPr>
            </w:pPr>
            <w:r>
              <w:rPr>
                <w:rFonts w:hint="eastAsia" w:ascii="宋体" w:hAnsi="宋体" w:eastAsia="宋体" w:cs="宋体"/>
                <w:highlight w:val="none"/>
                <w:lang w:eastAsia="zh-CN" w:bidi="ar"/>
              </w:rPr>
              <w:t>是否接受联合体投标</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不接受</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1.10.1</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投标预备会</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不召开</w:t>
            </w:r>
          </w:p>
        </w:tc>
      </w:tr>
      <w:tr>
        <w:tblPrEx>
          <w:tblCellMar>
            <w:top w:w="0" w:type="dxa"/>
            <w:left w:w="108" w:type="dxa"/>
            <w:bottom w:w="0" w:type="dxa"/>
            <w:right w:w="108" w:type="dxa"/>
          </w:tblCellMar>
        </w:tblPrEx>
        <w:trPr>
          <w:trHeight w:val="534"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1.10.2</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center"/>
              <w:textAlignment w:val="bottom"/>
              <w:rPr>
                <w:rFonts w:ascii="宋体" w:hAnsi="宋体" w:eastAsia="宋体" w:cs="宋体"/>
                <w:highlight w:val="none"/>
                <w:lang w:eastAsia="zh-CN"/>
              </w:rPr>
            </w:pPr>
            <w:r>
              <w:rPr>
                <w:rFonts w:hint="eastAsia" w:ascii="宋体" w:hAnsi="宋体" w:eastAsia="宋体" w:cs="宋体"/>
                <w:highlight w:val="none"/>
                <w:lang w:eastAsia="zh-CN" w:bidi="ar"/>
              </w:rPr>
              <w:t>供应商提出问题的截止时间</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lang w:eastAsia="zh-CN"/>
              </w:rPr>
            </w:pPr>
            <w:r>
              <w:rPr>
                <w:rFonts w:hint="eastAsia" w:ascii="宋体" w:hAnsi="宋体" w:eastAsia="宋体" w:cs="宋体"/>
                <w:highlight w:val="none"/>
                <w:lang w:eastAsia="zh-CN" w:bidi="ar"/>
              </w:rPr>
              <w:t>磋商文件公告期限届满之日</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1.10.3</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center"/>
              <w:textAlignment w:val="bottom"/>
              <w:rPr>
                <w:rFonts w:ascii="宋体" w:hAnsi="宋体" w:eastAsia="宋体" w:cs="宋体"/>
                <w:highlight w:val="none"/>
                <w:lang w:eastAsia="zh-CN"/>
              </w:rPr>
            </w:pPr>
            <w:r>
              <w:rPr>
                <w:rFonts w:hint="eastAsia" w:ascii="宋体" w:hAnsi="宋体" w:eastAsia="宋体" w:cs="宋体"/>
                <w:highlight w:val="none"/>
                <w:lang w:eastAsia="zh-CN" w:bidi="ar"/>
              </w:rPr>
              <w:t>采购人书面澄 清的时间</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lang w:eastAsia="zh-CN"/>
              </w:rPr>
            </w:pPr>
            <w:r>
              <w:rPr>
                <w:rFonts w:hint="eastAsia" w:ascii="宋体" w:hAnsi="宋体" w:eastAsia="宋体" w:cs="宋体"/>
                <w:highlight w:val="none"/>
                <w:lang w:eastAsia="zh-CN" w:bidi="ar"/>
              </w:rPr>
              <w:t>递交响应文件的截止之日</w:t>
            </w:r>
            <w:r>
              <w:rPr>
                <w:rStyle w:val="73"/>
                <w:rFonts w:hint="eastAsia" w:ascii="宋体" w:hAnsi="宋体" w:eastAsia="宋体" w:cs="宋体"/>
                <w:sz w:val="24"/>
                <w:szCs w:val="24"/>
                <w:highlight w:val="none"/>
                <w:lang w:eastAsia="zh-CN" w:bidi="ar"/>
              </w:rPr>
              <w:t>5</w:t>
            </w:r>
            <w:r>
              <w:rPr>
                <w:rStyle w:val="74"/>
                <w:rFonts w:hint="default"/>
                <w:sz w:val="24"/>
                <w:szCs w:val="24"/>
                <w:highlight w:val="none"/>
                <w:lang w:eastAsia="zh-CN" w:bidi="ar"/>
              </w:rPr>
              <w:t>日前</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1.11</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分包</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不允许</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2.1</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lang w:eastAsia="zh-CN" w:bidi="ar"/>
              </w:rPr>
            </w:pPr>
            <w:r>
              <w:rPr>
                <w:rFonts w:hint="eastAsia" w:ascii="宋体" w:hAnsi="宋体" w:eastAsia="宋体" w:cs="宋体"/>
                <w:highlight w:val="none"/>
                <w:lang w:eastAsia="zh-CN" w:bidi="ar"/>
              </w:rPr>
              <w:t>构成磋商文件</w:t>
            </w:r>
          </w:p>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的其他材料</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lang w:eastAsia="zh-CN"/>
              </w:rPr>
            </w:pPr>
            <w:r>
              <w:rPr>
                <w:rFonts w:hint="eastAsia" w:ascii="宋体" w:hAnsi="宋体" w:eastAsia="宋体" w:cs="宋体"/>
                <w:highlight w:val="none"/>
                <w:lang w:eastAsia="zh-CN" w:bidi="ar"/>
              </w:rPr>
              <w:t>除磋商文件外，采购人在磋商期间发出的澄清、修改、补充、补遗和其他有效正式函件等内容均是磋商文件的组成部分</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2.2.1</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center"/>
              <w:textAlignment w:val="bottom"/>
              <w:rPr>
                <w:rFonts w:ascii="宋体" w:hAnsi="宋体" w:eastAsia="宋体" w:cs="宋体"/>
                <w:highlight w:val="none"/>
                <w:lang w:eastAsia="zh-CN"/>
              </w:rPr>
            </w:pPr>
            <w:r>
              <w:rPr>
                <w:rFonts w:hint="eastAsia" w:ascii="宋体" w:hAnsi="宋体" w:eastAsia="宋体" w:cs="宋体"/>
                <w:highlight w:val="none"/>
                <w:lang w:eastAsia="zh-CN" w:bidi="ar"/>
              </w:rPr>
              <w:t>供应商要求澄 清磋商文件的截止时间</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lang w:eastAsia="zh-CN"/>
              </w:rPr>
            </w:pPr>
            <w:r>
              <w:rPr>
                <w:rFonts w:hint="eastAsia" w:ascii="宋体" w:hAnsi="宋体" w:eastAsia="宋体" w:cs="宋体"/>
                <w:highlight w:val="none"/>
                <w:lang w:eastAsia="zh-CN" w:bidi="ar"/>
              </w:rPr>
              <w:t>递交响应文件的截止之日</w:t>
            </w:r>
            <w:r>
              <w:rPr>
                <w:rStyle w:val="73"/>
                <w:rFonts w:hint="eastAsia" w:ascii="宋体" w:hAnsi="宋体" w:eastAsia="宋体" w:cs="宋体"/>
                <w:sz w:val="24"/>
                <w:szCs w:val="24"/>
                <w:highlight w:val="none"/>
                <w:lang w:eastAsia="zh-CN" w:bidi="ar"/>
              </w:rPr>
              <w:t>5</w:t>
            </w:r>
            <w:r>
              <w:rPr>
                <w:rStyle w:val="74"/>
                <w:rFonts w:hint="default"/>
                <w:sz w:val="24"/>
                <w:szCs w:val="24"/>
                <w:highlight w:val="none"/>
                <w:lang w:eastAsia="zh-CN" w:bidi="ar"/>
              </w:rPr>
              <w:t>日前</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2.2.2</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center"/>
              <w:textAlignment w:val="bottom"/>
              <w:rPr>
                <w:rFonts w:ascii="宋体" w:hAnsi="宋体" w:eastAsia="宋体" w:cs="宋体"/>
                <w:color w:val="auto"/>
                <w:highlight w:val="none"/>
                <w:lang w:eastAsia="zh-CN"/>
              </w:rPr>
            </w:pPr>
            <w:r>
              <w:rPr>
                <w:rFonts w:hint="eastAsia" w:ascii="宋体" w:hAnsi="宋体" w:eastAsia="宋体" w:cs="宋体"/>
                <w:color w:val="auto"/>
                <w:highlight w:val="none"/>
                <w:lang w:eastAsia="zh-CN" w:bidi="ar"/>
              </w:rPr>
              <w:t>提交响应文件截止时间</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color w:val="auto"/>
                <w:highlight w:val="none"/>
              </w:rPr>
            </w:pPr>
            <w:r>
              <w:rPr>
                <w:rFonts w:hint="eastAsia" w:ascii="宋体" w:hAnsi="宋体" w:eastAsia="宋体" w:cs="宋体"/>
                <w:color w:val="auto"/>
                <w:highlight w:val="none"/>
                <w:lang w:eastAsia="zh-CN" w:bidi="ar"/>
              </w:rPr>
              <w:t>详见竞争性磋商公告</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3.1</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center"/>
              <w:textAlignment w:val="bottom"/>
              <w:rPr>
                <w:rFonts w:ascii="宋体" w:hAnsi="宋体" w:eastAsia="宋体" w:cs="宋体"/>
                <w:highlight w:val="none"/>
                <w:lang w:eastAsia="zh-CN"/>
              </w:rPr>
            </w:pPr>
            <w:r>
              <w:rPr>
                <w:rFonts w:hint="eastAsia" w:ascii="宋体" w:hAnsi="宋体" w:eastAsia="宋体" w:cs="宋体"/>
                <w:highlight w:val="none"/>
                <w:lang w:eastAsia="zh-CN" w:bidi="ar"/>
              </w:rPr>
              <w:t>构成响应文件的其他材料</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lang w:eastAsia="zh-CN"/>
              </w:rPr>
            </w:pPr>
            <w:r>
              <w:rPr>
                <w:rFonts w:hint="eastAsia" w:ascii="宋体" w:hAnsi="宋体" w:eastAsia="宋体" w:cs="宋体"/>
                <w:highlight w:val="none"/>
                <w:lang w:eastAsia="zh-CN" w:bidi="ar"/>
              </w:rPr>
              <w:t>供应商认为需要提交的其他证明材料</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3.3.1</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磋商有效期</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lang w:eastAsia="zh-CN"/>
              </w:rPr>
            </w:pPr>
            <w:r>
              <w:rPr>
                <w:rFonts w:hint="eastAsia" w:ascii="宋体" w:hAnsi="宋体" w:eastAsia="宋体" w:cs="宋体"/>
                <w:highlight w:val="none"/>
                <w:lang w:eastAsia="zh-CN" w:bidi="ar"/>
              </w:rPr>
              <w:t>60</w:t>
            </w:r>
            <w:r>
              <w:rPr>
                <w:rStyle w:val="74"/>
                <w:rFonts w:hint="default"/>
                <w:sz w:val="24"/>
                <w:szCs w:val="24"/>
                <w:highlight w:val="none"/>
                <w:lang w:eastAsia="zh-CN" w:bidi="ar"/>
              </w:rPr>
              <w:t>日历天（自提交响应文件截止之日起计算）</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3.4.1</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磋商保证金</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不收取</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3.5.3</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签字盖章要求</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lang w:eastAsia="zh-CN"/>
              </w:rPr>
            </w:pPr>
            <w:r>
              <w:rPr>
                <w:rFonts w:hint="eastAsia" w:ascii="宋体" w:hAnsi="宋体" w:eastAsia="宋体" w:cs="宋体"/>
                <w:highlight w:val="none"/>
                <w:lang w:eastAsia="zh-CN" w:bidi="ar"/>
              </w:rPr>
              <w:t>按磋商文件格式要求签字盖章。</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3.5.4</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响应文件份数</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lang w:eastAsia="zh-CN"/>
              </w:rPr>
            </w:pPr>
            <w:r>
              <w:rPr>
                <w:rFonts w:hint="eastAsia" w:ascii="宋体" w:hAnsi="宋体" w:eastAsia="宋体" w:cs="宋体"/>
                <w:highlight w:val="none"/>
                <w:lang w:eastAsia="zh-CN" w:bidi="ar"/>
              </w:rPr>
              <w:t>加密的电子磋商响应文件1份（.ZMTF格式）须在磋商响应文件递交截止时间前通过“中牟县公共资源交易中心网站（http:// www. zmxggzy. com）”电子交易平台加密上传；上传文件尽量在截止日前1-2日内完成，以避免网络拥堵或其他原因造成上传失败，由于响应文件未按时提交所造成的后果由供应商自行承担。</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3.5.5</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装订要求</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textAlignment w:val="bottom"/>
              <w:rPr>
                <w:rFonts w:ascii="宋体" w:hAnsi="宋体" w:eastAsia="宋体" w:cs="宋体"/>
                <w:highlight w:val="none"/>
                <w:lang w:eastAsia="zh-CN"/>
              </w:rPr>
            </w:pPr>
            <w:r>
              <w:rPr>
                <w:rFonts w:hint="eastAsia" w:ascii="宋体" w:hAnsi="宋体" w:eastAsia="宋体" w:cs="宋体"/>
                <w:highlight w:val="none"/>
                <w:lang w:eastAsia="zh-CN" w:bidi="ar"/>
              </w:rPr>
              <w:t>供应商无需到交易中心现场参加开标会议，无需现场提交纸质版响应文件或原件。供应商须使用电子交易系统提供的响应文件制作工具进行电子响应文件的制作，并按要求上传经CA锁签章和加密的电子响应文件（.ZMTF格式）。</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4.2.2</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bidi="ar"/>
              </w:rPr>
              <w:t>提交响应文件 时间及地点</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color w:val="auto"/>
                <w:highlight w:val="none"/>
                <w:lang w:eastAsia="zh-CN" w:bidi="ar"/>
              </w:rPr>
            </w:pPr>
            <w:r>
              <w:rPr>
                <w:rFonts w:hint="eastAsia" w:ascii="宋体" w:hAnsi="宋体" w:eastAsia="宋体" w:cs="宋体"/>
                <w:color w:val="auto"/>
                <w:highlight w:val="none"/>
                <w:lang w:eastAsia="zh-CN" w:bidi="ar"/>
              </w:rPr>
              <w:t>截止时间：详见公告</w:t>
            </w:r>
          </w:p>
          <w:p>
            <w:pPr>
              <w:widowControl/>
              <w:spacing w:line="500" w:lineRule="exact"/>
              <w:textAlignment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bidi="ar"/>
              </w:rPr>
              <w:t>地点：详见公告</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4.2.3</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center"/>
              <w:textAlignment w:val="bottom"/>
              <w:rPr>
                <w:rFonts w:ascii="宋体" w:hAnsi="宋体" w:eastAsia="宋体" w:cs="宋体"/>
                <w:highlight w:val="none"/>
              </w:rPr>
            </w:pPr>
            <w:r>
              <w:rPr>
                <w:rFonts w:hint="eastAsia" w:ascii="宋体" w:hAnsi="宋体" w:eastAsia="宋体" w:cs="宋体"/>
                <w:highlight w:val="none"/>
                <w:lang w:eastAsia="zh-CN" w:bidi="ar"/>
              </w:rPr>
              <w:t>是否退还响应 文件</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否</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5.1</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开标时间和地 点</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textAlignment w:val="bottom"/>
              <w:rPr>
                <w:rFonts w:ascii="宋体" w:hAnsi="宋体" w:eastAsia="宋体" w:cs="宋体"/>
                <w:highlight w:val="none"/>
                <w:lang w:eastAsia="zh-CN" w:bidi="ar"/>
              </w:rPr>
            </w:pPr>
            <w:r>
              <w:rPr>
                <w:rFonts w:hint="eastAsia" w:ascii="宋体" w:hAnsi="宋体" w:eastAsia="宋体" w:cs="宋体"/>
                <w:highlight w:val="none"/>
                <w:lang w:eastAsia="zh-CN" w:bidi="ar"/>
              </w:rPr>
              <w:t>磋商时间：同响应文件提交截止时间</w:t>
            </w:r>
          </w:p>
          <w:p>
            <w:pPr>
              <w:widowControl/>
              <w:spacing w:line="500" w:lineRule="exact"/>
              <w:textAlignment w:val="bottom"/>
              <w:rPr>
                <w:rFonts w:ascii="宋体" w:hAnsi="宋体" w:eastAsia="宋体" w:cs="宋体"/>
                <w:highlight w:val="none"/>
              </w:rPr>
            </w:pPr>
            <w:r>
              <w:rPr>
                <w:rFonts w:hint="eastAsia" w:ascii="宋体" w:hAnsi="宋体" w:eastAsia="宋体" w:cs="宋体"/>
                <w:highlight w:val="none"/>
                <w:lang w:eastAsia="zh-CN" w:bidi="ar"/>
              </w:rPr>
              <w:t>开标地点：详见公告</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6.1</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center"/>
              <w:textAlignment w:val="bottom"/>
              <w:rPr>
                <w:rFonts w:ascii="宋体" w:hAnsi="宋体" w:eastAsia="宋体" w:cs="宋体"/>
                <w:highlight w:val="none"/>
              </w:rPr>
            </w:pPr>
            <w:r>
              <w:rPr>
                <w:rFonts w:hint="eastAsia" w:ascii="宋体" w:hAnsi="宋体" w:eastAsia="宋体" w:cs="宋体"/>
                <w:highlight w:val="none"/>
                <w:lang w:eastAsia="zh-CN" w:bidi="ar"/>
              </w:rPr>
              <w:t>磋商小组的组建</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textAlignment w:val="bottom"/>
              <w:rPr>
                <w:rFonts w:ascii="宋体" w:hAnsi="宋体" w:eastAsia="宋体" w:cs="宋体"/>
                <w:highlight w:val="none"/>
                <w:lang w:eastAsia="zh-CN" w:bidi="ar"/>
              </w:rPr>
            </w:pPr>
            <w:r>
              <w:rPr>
                <w:rFonts w:hint="eastAsia" w:ascii="宋体" w:hAnsi="宋体" w:eastAsia="宋体" w:cs="宋体"/>
                <w:highlight w:val="none"/>
                <w:lang w:eastAsia="zh-CN" w:bidi="ar"/>
              </w:rPr>
              <w:t>磋商小组构成：3 人；</w:t>
            </w:r>
          </w:p>
          <w:p>
            <w:pPr>
              <w:widowControl/>
              <w:spacing w:line="500" w:lineRule="exact"/>
              <w:textAlignment w:val="bottom"/>
              <w:rPr>
                <w:rFonts w:ascii="宋体" w:hAnsi="宋体" w:eastAsia="宋体" w:cs="宋体"/>
                <w:highlight w:val="none"/>
                <w:lang w:eastAsia="zh-CN"/>
              </w:rPr>
            </w:pPr>
            <w:r>
              <w:rPr>
                <w:rFonts w:hint="eastAsia" w:ascii="宋体" w:hAnsi="宋体" w:eastAsia="宋体" w:cs="宋体"/>
                <w:highlight w:val="none"/>
                <w:lang w:eastAsia="zh-CN" w:bidi="ar"/>
              </w:rPr>
              <w:t>采购代表1人，相关专业经济、技术专家2人。</w:t>
            </w:r>
          </w:p>
        </w:tc>
      </w:tr>
      <w:tr>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7.1</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center"/>
              <w:textAlignment w:val="bottom"/>
              <w:rPr>
                <w:rFonts w:ascii="宋体" w:hAnsi="宋体" w:eastAsia="宋体" w:cs="宋体"/>
                <w:highlight w:val="none"/>
                <w:lang w:eastAsia="zh-CN"/>
              </w:rPr>
            </w:pPr>
            <w:r>
              <w:rPr>
                <w:rFonts w:hint="eastAsia" w:ascii="宋体" w:hAnsi="宋体" w:eastAsia="宋体" w:cs="宋体"/>
                <w:highlight w:val="none"/>
                <w:lang w:eastAsia="zh-CN" w:bidi="ar"/>
              </w:rPr>
              <w:t>是否授权磋商 小组确定成交 人</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lang w:eastAsia="zh-CN"/>
              </w:rPr>
            </w:pPr>
            <w:r>
              <w:rPr>
                <w:rFonts w:hint="eastAsia" w:ascii="宋体" w:hAnsi="宋体" w:eastAsia="宋体" w:cs="宋体"/>
                <w:highlight w:val="none"/>
                <w:lang w:eastAsia="zh-CN" w:bidi="ar"/>
              </w:rPr>
              <w:t>否；推荐的成交候选人数：</w:t>
            </w:r>
            <w:r>
              <w:rPr>
                <w:rStyle w:val="73"/>
                <w:rFonts w:hint="eastAsia" w:ascii="宋体" w:hAnsi="宋体" w:eastAsia="宋体" w:cs="宋体"/>
                <w:sz w:val="24"/>
                <w:szCs w:val="24"/>
                <w:highlight w:val="none"/>
                <w:lang w:eastAsia="zh-CN" w:bidi="ar"/>
              </w:rPr>
              <w:t>3</w:t>
            </w:r>
            <w:r>
              <w:rPr>
                <w:rStyle w:val="74"/>
                <w:rFonts w:hint="default"/>
                <w:sz w:val="24"/>
                <w:szCs w:val="24"/>
                <w:highlight w:val="none"/>
                <w:lang w:eastAsia="zh-CN" w:bidi="ar"/>
              </w:rPr>
              <w:t>名</w:t>
            </w:r>
          </w:p>
        </w:tc>
      </w:tr>
      <w:tr>
        <w:tblPrEx>
          <w:tblCellMar>
            <w:top w:w="0" w:type="dxa"/>
            <w:left w:w="108" w:type="dxa"/>
            <w:bottom w:w="0" w:type="dxa"/>
            <w:right w:w="108" w:type="dxa"/>
          </w:tblCellMar>
        </w:tblPrEx>
        <w:trPr>
          <w:trHeight w:val="23" w:hRule="atLeast"/>
        </w:trPr>
        <w:tc>
          <w:tcPr>
            <w:tcW w:w="92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需要补充的其他内容</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rPr>
            </w:pPr>
            <w:r>
              <w:rPr>
                <w:rFonts w:hint="eastAsia" w:ascii="宋体" w:hAnsi="宋体" w:eastAsia="宋体" w:cs="宋体"/>
                <w:highlight w:val="none"/>
                <w:lang w:eastAsia="zh-CN" w:bidi="ar"/>
              </w:rPr>
              <w:t>10.1</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招标控制价</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lang w:eastAsia="zh-CN"/>
              </w:rPr>
            </w:pPr>
            <w:r>
              <w:rPr>
                <w:rFonts w:hint="eastAsia" w:ascii="宋体" w:hAnsi="宋体" w:eastAsia="宋体" w:cs="宋体"/>
                <w:highlight w:val="none"/>
                <w:lang w:eastAsia="zh-CN" w:bidi="ar"/>
              </w:rPr>
              <w:t>同磋商公告最高限价，超过最高限价的按废标处理。</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10.2</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代理服务费</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ascii="宋体" w:hAnsi="宋体" w:eastAsia="宋体" w:cs="宋体"/>
                <w:highlight w:val="none"/>
                <w:lang w:eastAsia="zh-CN"/>
              </w:rPr>
            </w:pPr>
            <w:r>
              <w:rPr>
                <w:rFonts w:hint="eastAsia" w:ascii="宋体" w:hAnsi="宋体" w:eastAsia="宋体" w:cs="宋体"/>
                <w:highlight w:val="none"/>
                <w:lang w:eastAsia="zh-CN" w:bidi="ar"/>
              </w:rPr>
              <w:t>本项目收费标准根据《河南省招标代理服务收费指导意见》豫招协【2023】002号文件的标准计取，由中标人在领取中标通知书前一次性缴纳代理服务费。</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10.3</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政府采购政策</w:t>
            </w:r>
          </w:p>
        </w:tc>
        <w:tc>
          <w:tcPr>
            <w:tcW w:w="6241" w:type="dxa"/>
            <w:tcBorders>
              <w:top w:val="single" w:color="000000" w:sz="4" w:space="0"/>
              <w:left w:val="single" w:color="000000" w:sz="4" w:space="0"/>
              <w:bottom w:val="single" w:color="000000" w:sz="4" w:space="0"/>
              <w:right w:val="single" w:color="000000" w:sz="4" w:space="0"/>
            </w:tcBorders>
            <w:shd w:val="clear" w:color="auto" w:fill="FFFFFF"/>
          </w:tcPr>
          <w:p>
            <w:pPr>
              <w:pStyle w:val="78"/>
              <w:spacing w:line="360" w:lineRule="auto"/>
              <w:jc w:val="both"/>
              <w:rPr>
                <w:rFonts w:hAnsi="宋体"/>
                <w:color w:val="auto"/>
                <w:highlight w:val="none"/>
              </w:rPr>
            </w:pPr>
            <w:r>
              <w:rPr>
                <w:rFonts w:hint="eastAsia" w:hAnsi="宋体"/>
                <w:color w:val="auto"/>
                <w:highlight w:val="none"/>
              </w:rPr>
              <w:t xml:space="preserve">1.本项目非专门面向中小企业、监狱企业及残疾人福利性单位采购项目。政府采购政策：本项目执行节约能源、保护环境、扶持不发达及少数民族地区，促进中小企业发展等政府采购政策。 </w:t>
            </w:r>
          </w:p>
          <w:p>
            <w:pPr>
              <w:pStyle w:val="78"/>
              <w:spacing w:line="360" w:lineRule="auto"/>
              <w:jc w:val="both"/>
              <w:rPr>
                <w:rFonts w:hAnsi="宋体"/>
                <w:color w:val="auto"/>
                <w:highlight w:val="none"/>
              </w:rPr>
            </w:pPr>
            <w:r>
              <w:rPr>
                <w:rFonts w:hint="eastAsia" w:hAnsi="宋体"/>
                <w:color w:val="auto"/>
                <w:highlight w:val="none"/>
              </w:rPr>
              <w:t>2.中小微型企业有关政策：</w:t>
            </w:r>
          </w:p>
          <w:p>
            <w:pPr>
              <w:pStyle w:val="78"/>
              <w:spacing w:line="360" w:lineRule="auto"/>
              <w:jc w:val="both"/>
              <w:rPr>
                <w:rFonts w:hAnsi="宋体"/>
                <w:color w:val="auto"/>
                <w:highlight w:val="none"/>
              </w:rPr>
            </w:pPr>
            <w:r>
              <w:rPr>
                <w:rFonts w:hint="eastAsia" w:hAnsi="宋体"/>
                <w:color w:val="auto"/>
                <w:highlight w:val="none"/>
              </w:rPr>
              <w:t xml:space="preserve">对于供应商为监狱企业、小型和微型企业及其投标产品为小型和微型企业生产的，将以扣除优惠比率后的报价参与价格评议，但不作为中标价和合同签约价。中标价和合同签约价仍以其响应文件中的报价为准。小型和微型企业价格给予扣除标准：根据《政府采购促进中小企业发展管理办法》(财库[2020]46 号)及《关于进一步加大政府采购支持中小企业力度的通知》（财库〔2022〕19 号）的规定，对于非专门面向中小企业的项目，对小型和微型企业的价格给予 20%的扣除，用扣除后的报价参与评审。对于中型企业的价格不予扣除。供应商应当在响应文件中提供中小企业声明函（见附件），否则不予认可。根据《财政部、司法部关于政府采购支持监狱企业发展有关问题的通知》(财库〔2014〕68 号)的规定，提供由省级以上监狱管理局、戒毒管理局（含新疆生产建设兵团）出具的属于监狱企业的证明文件，监狱企业视同小型、微型企业，价格给予 20%的扣除，用扣除后的报价参与评审。根据《财政部、民政部、中国残疾人联合会关于促进残疾人就业政府采购政策的通知》（财库[2017]141 号）的规定，提供《残疾人福利性单位声明函》（见附件），并对声明的真实性负责。中标人为残疾人福利性单位的，采购人或者其委托的采购代理机构应当随中标结果同时公告其《残疾人福利性单位声明函》，接受社会监督。提供的《残疾人福利性单位声明函》与事实不符的，依照《中华人民共和国政府采购法》第七十七条第一款的规定追究法律责任。在政府采购活动中，残疾人福利性单位视同小型、微型企业，价格给予 20%的扣除，用扣除后的报价参与评审。 </w:t>
            </w:r>
          </w:p>
          <w:p>
            <w:pPr>
              <w:pStyle w:val="78"/>
              <w:spacing w:line="360" w:lineRule="auto"/>
              <w:jc w:val="both"/>
              <w:rPr>
                <w:rFonts w:hAnsi="宋体"/>
                <w:color w:val="auto"/>
                <w:highlight w:val="none"/>
              </w:rPr>
            </w:pPr>
            <w:r>
              <w:rPr>
                <w:rFonts w:hint="eastAsia" w:hAnsi="宋体"/>
                <w:color w:val="auto"/>
                <w:highlight w:val="none"/>
              </w:rPr>
              <w:t>备注：监狱企业和残疾人福利性单位属于小型、微型企业的，不重复享受政策。</w:t>
            </w:r>
          </w:p>
          <w:p>
            <w:pPr>
              <w:pStyle w:val="78"/>
              <w:spacing w:line="360" w:lineRule="auto"/>
              <w:jc w:val="both"/>
              <w:rPr>
                <w:rFonts w:hAnsi="宋体"/>
                <w:color w:val="auto"/>
                <w:highlight w:val="none"/>
              </w:rPr>
            </w:pPr>
            <w:r>
              <w:rPr>
                <w:rFonts w:hint="eastAsia" w:hAnsi="宋体"/>
                <w:color w:val="auto"/>
                <w:highlight w:val="none"/>
              </w:rPr>
              <w:t>3.优先采购的节能产品、环境标志产品要求：</w:t>
            </w:r>
          </w:p>
          <w:p>
            <w:pPr>
              <w:pStyle w:val="78"/>
              <w:spacing w:line="360" w:lineRule="auto"/>
              <w:jc w:val="both"/>
              <w:rPr>
                <w:rFonts w:hAnsi="宋体"/>
                <w:color w:val="auto"/>
                <w:highlight w:val="none"/>
              </w:rPr>
            </w:pPr>
            <w:r>
              <w:rPr>
                <w:rFonts w:hint="eastAsia" w:hAnsi="宋体"/>
                <w:color w:val="auto"/>
                <w:highlight w:val="none"/>
              </w:rPr>
              <w:t xml:space="preserve">如果所投产品是国家规定的节能产品及环境标志产品的（强制采购节能产品的除外），给予优先采购的权利，须提供以下材料：投标产品中属于政府优先采购节能产品、环境标志产品，应提供对应型号的国家确定的认证机构出具的处于有效期之内的节能产品、环境标志产品认证证书等证明材料，否则视为主动放弃被优先采购的权利。优先采购节能产品和环境标志产品在同等条件下属于优先采购范围（优先采购指最终得分相等时，投标报价也相同时，按技术指标优劣顺序排序，技术指标优劣情况相同的，优先采购节能产品和环境标志产品合计金额占自身投标报价比例大的）。 </w:t>
            </w:r>
          </w:p>
          <w:p>
            <w:pPr>
              <w:pStyle w:val="78"/>
              <w:spacing w:line="360" w:lineRule="auto"/>
              <w:jc w:val="both"/>
              <w:rPr>
                <w:rFonts w:hAnsi="宋体"/>
                <w:color w:val="auto"/>
                <w:highlight w:val="none"/>
              </w:rPr>
            </w:pPr>
            <w:r>
              <w:rPr>
                <w:rFonts w:hint="eastAsia" w:hAnsi="宋体"/>
                <w:color w:val="auto"/>
                <w:highlight w:val="none"/>
              </w:rPr>
              <w:t>4.根据《财政部工业和信息化部国家质检总局国家认监委关于信息安全产品实施政府采购的通知》财库〔2010〕48 号文件要求，各潜在供应商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必须提供由中国信息安全认证中心颁发的有效认证证书。</w:t>
            </w:r>
          </w:p>
          <w:p>
            <w:pPr>
              <w:widowControl/>
              <w:spacing w:line="500" w:lineRule="exact"/>
              <w:textAlignment w:val="top"/>
              <w:rPr>
                <w:rFonts w:ascii="宋体" w:hAnsi="宋体" w:eastAsia="宋体" w:cs="宋体"/>
                <w:highlight w:val="none"/>
                <w:lang w:eastAsia="zh-CN"/>
              </w:rPr>
            </w:pPr>
            <w:r>
              <w:rPr>
                <w:rFonts w:hint="eastAsia" w:hAnsi="宋体" w:eastAsia="宋体"/>
                <w:color w:val="auto"/>
                <w:highlight w:val="none"/>
                <w:lang w:eastAsia="zh-CN"/>
              </w:rPr>
              <w:t>5.</w:t>
            </w:r>
            <w:r>
              <w:rPr>
                <w:rFonts w:hint="eastAsia" w:hAnsi="宋体"/>
                <w:color w:val="auto"/>
                <w:highlight w:val="none"/>
                <w:lang w:eastAsia="zh-CN"/>
              </w:rPr>
              <w:t>所投产品已列入国家强制性产品认证或生产许可的产品，必须提供通过认证或生产许可的有关证明材料。</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10.4</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付款方式</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textAlignment w:val="bottom"/>
              <w:rPr>
                <w:rFonts w:hint="default" w:ascii="宋体" w:hAnsi="宋体" w:eastAsia="宋体" w:cs="宋体"/>
                <w:highlight w:val="none"/>
                <w:lang w:val="en-US" w:eastAsia="zh-CN"/>
              </w:rPr>
            </w:pPr>
            <w:r>
              <w:rPr>
                <w:rFonts w:hint="eastAsia" w:ascii="宋体" w:hAnsi="宋体" w:eastAsia="宋体" w:cs="宋体"/>
                <w:highlight w:val="none"/>
                <w:lang w:val="en-US" w:eastAsia="zh-CN"/>
              </w:rPr>
              <w:t>签订合同时另行约定</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10.5</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合同签订</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textAlignment w:val="bottom"/>
              <w:rPr>
                <w:rFonts w:ascii="宋体" w:hAnsi="宋体" w:eastAsia="宋体" w:cs="宋体"/>
                <w:highlight w:val="none"/>
                <w:lang w:eastAsia="zh-CN"/>
              </w:rPr>
            </w:pPr>
            <w:r>
              <w:rPr>
                <w:rFonts w:hint="eastAsia" w:ascii="宋体" w:hAnsi="宋体" w:eastAsia="宋体" w:cs="宋体"/>
                <w:highlight w:val="none"/>
                <w:lang w:eastAsia="zh-CN" w:bidi="ar"/>
              </w:rPr>
              <w:t>成交供应商确定后，在成交通知书发出之日起30日内，成交供应商与采购人签订本项目合同。</w:t>
            </w:r>
          </w:p>
        </w:tc>
      </w:tr>
      <w:tr>
        <w:tblPrEx>
          <w:tblCellMar>
            <w:top w:w="0" w:type="dxa"/>
            <w:left w:w="108" w:type="dxa"/>
            <w:bottom w:w="0" w:type="dxa"/>
            <w:right w:w="108" w:type="dxa"/>
          </w:tblCellMar>
        </w:tblPrEx>
        <w:trPr>
          <w:trHeight w:val="426"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10.6</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履约保证金</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Fonts w:hint="default" w:ascii="宋体" w:hAnsi="宋体" w:eastAsia="宋体" w:cs="宋体"/>
                <w:highlight w:val="none"/>
                <w:lang w:val="en-US"/>
              </w:rPr>
            </w:pPr>
            <w:r>
              <w:rPr>
                <w:rFonts w:hint="default" w:ascii="宋体" w:hAnsi="宋体" w:eastAsia="宋体" w:cs="宋体"/>
                <w:highlight w:val="none"/>
                <w:lang w:val="en-US"/>
              </w:rPr>
              <w:t>/</w:t>
            </w:r>
          </w:p>
        </w:tc>
      </w:tr>
      <w:tr>
        <w:tblPrEx>
          <w:tblCellMar>
            <w:top w:w="0" w:type="dxa"/>
            <w:left w:w="108" w:type="dxa"/>
            <w:bottom w:w="0" w:type="dxa"/>
            <w:right w:w="108" w:type="dxa"/>
          </w:tblCellMar>
        </w:tblPrEx>
        <w:trPr>
          <w:trHeight w:val="2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10.7</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宋体" w:hAnsi="宋体" w:eastAsia="宋体" w:cs="宋体"/>
                <w:highlight w:val="none"/>
              </w:rPr>
            </w:pPr>
            <w:r>
              <w:rPr>
                <w:rFonts w:hint="eastAsia" w:ascii="宋体" w:hAnsi="宋体" w:eastAsia="宋体" w:cs="宋体"/>
                <w:highlight w:val="none"/>
                <w:lang w:eastAsia="zh-CN" w:bidi="ar"/>
              </w:rPr>
              <w:t>其他</w:t>
            </w:r>
          </w:p>
        </w:tc>
        <w:tc>
          <w:tcPr>
            <w:tcW w:w="6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textAlignment w:val="center"/>
              <w:rPr>
                <w:rStyle w:val="73"/>
                <w:rFonts w:ascii="宋体" w:hAnsi="宋体" w:eastAsia="宋体" w:cs="宋体"/>
                <w:sz w:val="24"/>
                <w:szCs w:val="24"/>
                <w:highlight w:val="none"/>
                <w:lang w:eastAsia="zh-CN" w:bidi="ar"/>
              </w:rPr>
            </w:pPr>
            <w:r>
              <w:rPr>
                <w:rFonts w:hint="eastAsia" w:ascii="宋体" w:hAnsi="宋体" w:eastAsia="宋体" w:cs="宋体"/>
                <w:highlight w:val="none"/>
                <w:lang w:eastAsia="zh-CN" w:bidi="ar"/>
              </w:rPr>
              <w:t>1</w:t>
            </w:r>
            <w:r>
              <w:rPr>
                <w:rStyle w:val="74"/>
                <w:rFonts w:hint="default"/>
                <w:sz w:val="24"/>
                <w:szCs w:val="24"/>
                <w:highlight w:val="none"/>
                <w:lang w:eastAsia="zh-CN" w:bidi="ar"/>
              </w:rPr>
              <w:t>、本文件解释权归招标人；</w:t>
            </w:r>
          </w:p>
          <w:p>
            <w:pPr>
              <w:widowControl/>
              <w:spacing w:line="500" w:lineRule="exact"/>
              <w:textAlignment w:val="center"/>
              <w:rPr>
                <w:rStyle w:val="73"/>
                <w:rFonts w:ascii="宋体" w:hAnsi="宋体" w:eastAsia="宋体" w:cs="宋体"/>
                <w:sz w:val="24"/>
                <w:szCs w:val="24"/>
                <w:highlight w:val="none"/>
                <w:lang w:eastAsia="zh-CN" w:bidi="ar"/>
              </w:rPr>
            </w:pPr>
            <w:r>
              <w:rPr>
                <w:rStyle w:val="73"/>
                <w:rFonts w:hint="eastAsia" w:ascii="宋体" w:hAnsi="宋体" w:eastAsia="宋体" w:cs="宋体"/>
                <w:sz w:val="24"/>
                <w:szCs w:val="24"/>
                <w:highlight w:val="none"/>
                <w:lang w:eastAsia="zh-CN" w:bidi="ar"/>
              </w:rPr>
              <w:t>2</w:t>
            </w:r>
            <w:r>
              <w:rPr>
                <w:rStyle w:val="74"/>
                <w:rFonts w:hint="default"/>
                <w:sz w:val="24"/>
                <w:szCs w:val="24"/>
                <w:highlight w:val="none"/>
                <w:lang w:eastAsia="zh-CN" w:bidi="ar"/>
              </w:rPr>
              <w:t>、本文件未尽事宜，参照现行有关的法律、法规、规章、办法等执行；</w:t>
            </w:r>
          </w:p>
          <w:p>
            <w:pPr>
              <w:widowControl/>
              <w:spacing w:line="500" w:lineRule="exact"/>
              <w:textAlignment w:val="center"/>
              <w:rPr>
                <w:rStyle w:val="73"/>
                <w:rFonts w:ascii="宋体" w:hAnsi="宋体" w:eastAsia="宋体" w:cs="宋体"/>
                <w:sz w:val="24"/>
                <w:szCs w:val="24"/>
                <w:highlight w:val="none"/>
                <w:lang w:eastAsia="zh-CN" w:bidi="ar"/>
              </w:rPr>
            </w:pPr>
            <w:r>
              <w:rPr>
                <w:rStyle w:val="73"/>
                <w:rFonts w:hint="eastAsia" w:ascii="宋体" w:hAnsi="宋体" w:eastAsia="宋体" w:cs="宋体"/>
                <w:sz w:val="24"/>
                <w:szCs w:val="24"/>
                <w:highlight w:val="none"/>
                <w:lang w:eastAsia="zh-CN" w:bidi="ar"/>
              </w:rPr>
              <w:t>3</w:t>
            </w:r>
            <w:r>
              <w:rPr>
                <w:rStyle w:val="74"/>
                <w:rFonts w:hint="default"/>
                <w:sz w:val="24"/>
                <w:szCs w:val="24"/>
                <w:highlight w:val="none"/>
                <w:lang w:eastAsia="zh-CN" w:bidi="ar"/>
              </w:rPr>
              <w:t>、</w:t>
            </w:r>
            <w:r>
              <w:rPr>
                <w:rStyle w:val="75"/>
                <w:rFonts w:hint="eastAsia" w:ascii="宋体" w:hAnsi="宋体" w:eastAsia="宋体" w:cs="宋体"/>
                <w:sz w:val="24"/>
                <w:szCs w:val="24"/>
                <w:highlight w:val="none"/>
                <w:lang w:eastAsia="zh-CN" w:bidi="ar"/>
              </w:rPr>
              <w:t xml:space="preserve"> </w:t>
            </w:r>
            <w:r>
              <w:rPr>
                <w:rStyle w:val="74"/>
                <w:rFonts w:hint="default"/>
                <w:sz w:val="24"/>
                <w:szCs w:val="24"/>
                <w:highlight w:val="none"/>
                <w:lang w:eastAsia="zh-CN" w:bidi="ar"/>
              </w:rPr>
              <w:t>本次采购如有变更、答疑或其他通知将在中牟县公共资源交易中心电子系统或竞争性磋商公告发布的相同网站上公布。</w:t>
            </w:r>
          </w:p>
          <w:p>
            <w:pPr>
              <w:widowControl/>
              <w:spacing w:line="500" w:lineRule="exact"/>
              <w:textAlignment w:val="center"/>
              <w:rPr>
                <w:rFonts w:ascii="宋体" w:hAnsi="宋体" w:eastAsia="宋体" w:cs="宋体"/>
                <w:highlight w:val="none"/>
                <w:lang w:eastAsia="zh-CN"/>
              </w:rPr>
            </w:pPr>
            <w:r>
              <w:rPr>
                <w:rStyle w:val="73"/>
                <w:rFonts w:hint="eastAsia" w:ascii="宋体" w:hAnsi="宋体" w:eastAsia="宋体" w:cs="宋体"/>
                <w:sz w:val="24"/>
                <w:szCs w:val="24"/>
                <w:highlight w:val="none"/>
                <w:lang w:eastAsia="zh-CN" w:bidi="ar"/>
              </w:rPr>
              <w:t>4</w:t>
            </w:r>
            <w:r>
              <w:rPr>
                <w:rStyle w:val="74"/>
                <w:rFonts w:hint="default"/>
                <w:sz w:val="24"/>
                <w:szCs w:val="24"/>
                <w:highlight w:val="none"/>
                <w:lang w:eastAsia="zh-CN" w:bidi="ar"/>
              </w:rPr>
              <w:t>、供应商在磋商响应文件递交截止时间前须自行查看项目进展、变更通知、澄清及回复，因供应商未及时查看而造成的后果自负。</w:t>
            </w:r>
          </w:p>
        </w:tc>
      </w:tr>
    </w:tbl>
    <w:p>
      <w:pPr>
        <w:pStyle w:val="66"/>
        <w:keepNext/>
        <w:keepLines/>
        <w:ind w:firstLine="0"/>
        <w:outlineLvl w:val="9"/>
        <w:rPr>
          <w:sz w:val="21"/>
          <w:szCs w:val="21"/>
          <w:highlight w:val="none"/>
        </w:rPr>
      </w:pPr>
    </w:p>
    <w:p>
      <w:pPr>
        <w:pStyle w:val="66"/>
        <w:keepNext/>
        <w:keepLines/>
        <w:spacing w:line="360" w:lineRule="auto"/>
        <w:outlineLvl w:val="9"/>
        <w:rPr>
          <w:sz w:val="24"/>
          <w:szCs w:val="24"/>
          <w:highlight w:val="none"/>
        </w:rPr>
      </w:pPr>
      <w:bookmarkStart w:id="29" w:name="_Toc22936"/>
      <w:bookmarkStart w:id="30" w:name="_Toc22560"/>
      <w:bookmarkStart w:id="31" w:name="_Toc31424"/>
      <w:bookmarkStart w:id="32" w:name="_Toc3440"/>
      <w:r>
        <w:rPr>
          <w:sz w:val="24"/>
          <w:szCs w:val="24"/>
          <w:highlight w:val="none"/>
        </w:rPr>
        <w:t>注：本磋商文件中内容与供应商须知前附表中内容不一致时以供应商须知前附表中内容为准。</w:t>
      </w:r>
      <w:bookmarkEnd w:id="26"/>
      <w:bookmarkEnd w:id="27"/>
      <w:bookmarkEnd w:id="28"/>
      <w:bookmarkEnd w:id="29"/>
      <w:bookmarkEnd w:id="30"/>
      <w:bookmarkEnd w:id="31"/>
      <w:bookmarkEnd w:id="32"/>
    </w:p>
    <w:p>
      <w:pPr>
        <w:pStyle w:val="66"/>
        <w:keepNext/>
        <w:keepLines/>
        <w:pageBreakBefore w:val="0"/>
        <w:widowControl w:val="0"/>
        <w:kinsoku/>
        <w:wordWrap/>
        <w:overflowPunct/>
        <w:topLinePunct w:val="0"/>
        <w:autoSpaceDE/>
        <w:autoSpaceDN/>
        <w:bidi w:val="0"/>
        <w:adjustRightInd/>
        <w:snapToGrid/>
        <w:spacing w:line="360" w:lineRule="auto"/>
        <w:ind w:firstLine="142"/>
        <w:textAlignment w:val="auto"/>
        <w:outlineLvl w:val="1"/>
        <w:rPr>
          <w:rFonts w:hint="eastAsia" w:ascii="宋体" w:hAnsi="宋体" w:eastAsia="宋体" w:cs="宋体"/>
          <w:sz w:val="24"/>
          <w:szCs w:val="24"/>
          <w:highlight w:val="none"/>
        </w:rPr>
      </w:pPr>
      <w:bookmarkStart w:id="33" w:name="_Toc23959"/>
      <w:r>
        <w:rPr>
          <w:rFonts w:hint="eastAsia" w:ascii="宋体" w:hAnsi="宋体" w:eastAsia="宋体" w:cs="宋体"/>
          <w:sz w:val="24"/>
          <w:szCs w:val="24"/>
          <w:highlight w:val="none"/>
          <w:lang w:val="zh-CN" w:eastAsia="zh-CN" w:bidi="zh-CN"/>
        </w:rPr>
        <w:t>1</w:t>
      </w:r>
      <w:r>
        <w:rPr>
          <w:rFonts w:hint="eastAsia" w:ascii="宋体" w:hAnsi="宋体" w:eastAsia="宋体" w:cs="宋体"/>
          <w:sz w:val="24"/>
          <w:szCs w:val="24"/>
          <w:highlight w:val="none"/>
        </w:rPr>
        <w:t>.总则</w:t>
      </w:r>
      <w:bookmarkEnd w:id="33"/>
    </w:p>
    <w:p>
      <w:pPr>
        <w:pStyle w:val="54"/>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bidi="en-US"/>
        </w:rPr>
        <w:t>1.1</w:t>
      </w:r>
      <w:r>
        <w:rPr>
          <w:rFonts w:hint="eastAsia" w:ascii="宋体" w:hAnsi="宋体" w:eastAsia="宋体" w:cs="宋体"/>
          <w:b/>
          <w:bCs/>
          <w:sz w:val="24"/>
          <w:szCs w:val="24"/>
          <w:highlight w:val="none"/>
        </w:rPr>
        <w:t>适用范围</w:t>
      </w:r>
    </w:p>
    <w:p>
      <w:pPr>
        <w:pStyle w:val="54"/>
        <w:spacing w:line="360" w:lineRule="auto"/>
        <w:ind w:left="140" w:firstLine="42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1.1.1</w:t>
      </w:r>
      <w:r>
        <w:rPr>
          <w:rFonts w:hint="eastAsia" w:ascii="宋体" w:hAnsi="宋体" w:eastAsia="宋体" w:cs="宋体"/>
          <w:sz w:val="24"/>
          <w:szCs w:val="24"/>
          <w:highlight w:val="none"/>
        </w:rPr>
        <w:t>根据《中华人民共和国政府采购法》等有关法律、法规和规章的规定，编制本项目磋商文件。</w:t>
      </w:r>
    </w:p>
    <w:p>
      <w:pPr>
        <w:pStyle w:val="54"/>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1.1.2</w:t>
      </w:r>
      <w:r>
        <w:rPr>
          <w:rFonts w:hint="eastAsia" w:ascii="宋体" w:hAnsi="宋体" w:eastAsia="宋体" w:cs="宋体"/>
          <w:sz w:val="24"/>
          <w:szCs w:val="24"/>
          <w:highlight w:val="none"/>
        </w:rPr>
        <w:t>本项目采购人：见供应商须知前附表。</w:t>
      </w:r>
    </w:p>
    <w:p>
      <w:pPr>
        <w:pStyle w:val="54"/>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1.1.3</w:t>
      </w:r>
      <w:r>
        <w:rPr>
          <w:rFonts w:hint="eastAsia" w:ascii="宋体" w:hAnsi="宋体" w:eastAsia="宋体" w:cs="宋体"/>
          <w:sz w:val="24"/>
          <w:szCs w:val="24"/>
          <w:highlight w:val="none"/>
        </w:rPr>
        <w:t>本项目采购代理机构：见供应商须知前附表。</w:t>
      </w:r>
    </w:p>
    <w:p>
      <w:pPr>
        <w:pStyle w:val="54"/>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1.1.4</w:t>
      </w:r>
      <w:r>
        <w:rPr>
          <w:rFonts w:hint="eastAsia" w:ascii="宋体" w:hAnsi="宋体" w:eastAsia="宋体" w:cs="宋体"/>
          <w:sz w:val="24"/>
          <w:szCs w:val="24"/>
          <w:highlight w:val="none"/>
        </w:rPr>
        <w:t>本项目名称：见供应商须知前附表。</w:t>
      </w:r>
    </w:p>
    <w:p>
      <w:pPr>
        <w:pStyle w:val="54"/>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1.1.5</w:t>
      </w:r>
      <w:r>
        <w:rPr>
          <w:rFonts w:hint="eastAsia" w:ascii="宋体" w:hAnsi="宋体" w:eastAsia="宋体" w:cs="宋体"/>
          <w:sz w:val="24"/>
          <w:szCs w:val="24"/>
          <w:highlight w:val="none"/>
        </w:rPr>
        <w:t>本项目建设地点：见供应商须知前附表。</w:t>
      </w:r>
    </w:p>
    <w:p>
      <w:pPr>
        <w:pStyle w:val="54"/>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zh-CN" w:bidi="en-US"/>
        </w:rPr>
      </w:pPr>
      <w:r>
        <w:rPr>
          <w:rFonts w:hint="eastAsia" w:ascii="宋体" w:hAnsi="宋体" w:eastAsia="宋体" w:cs="宋体"/>
          <w:b/>
          <w:bCs/>
          <w:sz w:val="24"/>
          <w:szCs w:val="24"/>
          <w:highlight w:val="none"/>
          <w:lang w:val="en-US" w:eastAsia="zh-CN" w:bidi="en-US"/>
        </w:rPr>
        <w:t>1.2资金来源和落实情况</w:t>
      </w:r>
    </w:p>
    <w:p>
      <w:pPr>
        <w:pStyle w:val="54"/>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1.2.1</w:t>
      </w:r>
      <w:r>
        <w:rPr>
          <w:rFonts w:hint="eastAsia" w:ascii="宋体" w:hAnsi="宋体" w:eastAsia="宋体" w:cs="宋体"/>
          <w:sz w:val="24"/>
          <w:szCs w:val="24"/>
          <w:highlight w:val="none"/>
        </w:rPr>
        <w:t>本招标项目的资金来源：见供应商须知前附表。</w:t>
      </w:r>
    </w:p>
    <w:p>
      <w:pPr>
        <w:pStyle w:val="54"/>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1.2.2</w:t>
      </w:r>
      <w:r>
        <w:rPr>
          <w:rFonts w:hint="eastAsia" w:ascii="宋体" w:hAnsi="宋体" w:eastAsia="宋体" w:cs="宋体"/>
          <w:sz w:val="24"/>
          <w:szCs w:val="24"/>
          <w:highlight w:val="none"/>
        </w:rPr>
        <w:t>本招标项目的出资比例：见供应商须知前附表。</w:t>
      </w:r>
    </w:p>
    <w:p>
      <w:pPr>
        <w:pStyle w:val="54"/>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1.2.3</w:t>
      </w:r>
      <w:r>
        <w:rPr>
          <w:rFonts w:hint="eastAsia" w:ascii="宋体" w:hAnsi="宋体" w:eastAsia="宋体" w:cs="宋体"/>
          <w:sz w:val="24"/>
          <w:szCs w:val="24"/>
          <w:highlight w:val="none"/>
        </w:rPr>
        <w:t>本招标项目的资金落实情况：见供应商须知前附表。</w:t>
      </w:r>
    </w:p>
    <w:p>
      <w:pPr>
        <w:pStyle w:val="54"/>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zh-CN" w:bidi="en-US"/>
        </w:rPr>
      </w:pPr>
      <w:r>
        <w:rPr>
          <w:rFonts w:hint="eastAsia" w:ascii="宋体" w:hAnsi="宋体" w:eastAsia="宋体" w:cs="宋体"/>
          <w:b/>
          <w:bCs/>
          <w:sz w:val="24"/>
          <w:szCs w:val="24"/>
          <w:highlight w:val="none"/>
          <w:lang w:val="en-US" w:eastAsia="zh-CN" w:bidi="en-US"/>
        </w:rPr>
        <w:t>1.3招标范围、设计周期和质量要求</w:t>
      </w:r>
    </w:p>
    <w:p>
      <w:pPr>
        <w:pStyle w:val="54"/>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1.3.1</w:t>
      </w:r>
      <w:r>
        <w:rPr>
          <w:rFonts w:hint="eastAsia" w:ascii="宋体" w:hAnsi="宋体" w:eastAsia="宋体" w:cs="宋体"/>
          <w:sz w:val="24"/>
          <w:szCs w:val="24"/>
          <w:highlight w:val="none"/>
        </w:rPr>
        <w:t>本次招标范围：见供应商须知前附表。</w:t>
      </w:r>
    </w:p>
    <w:p>
      <w:pPr>
        <w:pStyle w:val="54"/>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1.3.2</w:t>
      </w:r>
      <w:r>
        <w:rPr>
          <w:rFonts w:hint="eastAsia" w:ascii="宋体" w:hAnsi="宋体" w:eastAsia="宋体" w:cs="宋体"/>
          <w:sz w:val="24"/>
          <w:szCs w:val="24"/>
          <w:highlight w:val="none"/>
        </w:rPr>
        <w:t>本</w:t>
      </w: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设计周期</w:t>
      </w:r>
      <w:r>
        <w:rPr>
          <w:rFonts w:hint="eastAsia" w:ascii="宋体" w:hAnsi="宋体" w:eastAsia="宋体" w:cs="宋体"/>
          <w:sz w:val="24"/>
          <w:szCs w:val="24"/>
          <w:highlight w:val="none"/>
        </w:rPr>
        <w:t>：见供应商须知前附表。</w:t>
      </w:r>
    </w:p>
    <w:p>
      <w:pPr>
        <w:pStyle w:val="54"/>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1.3.3</w:t>
      </w:r>
      <w:r>
        <w:rPr>
          <w:rFonts w:hint="eastAsia" w:ascii="宋体" w:hAnsi="宋体" w:eastAsia="宋体" w:cs="宋体"/>
          <w:sz w:val="24"/>
          <w:szCs w:val="24"/>
          <w:highlight w:val="none"/>
        </w:rPr>
        <w:t>本</w:t>
      </w: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的质量要求：见供应商须知前附表。</w:t>
      </w:r>
    </w:p>
    <w:p>
      <w:pPr>
        <w:pStyle w:val="54"/>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zh-CN" w:bidi="en-US"/>
        </w:rPr>
      </w:pPr>
      <w:r>
        <w:rPr>
          <w:rFonts w:hint="eastAsia" w:ascii="宋体" w:hAnsi="宋体" w:eastAsia="宋体" w:cs="宋体"/>
          <w:b/>
          <w:bCs/>
          <w:sz w:val="24"/>
          <w:szCs w:val="24"/>
          <w:highlight w:val="none"/>
          <w:lang w:val="en-US" w:eastAsia="zh-CN" w:bidi="en-US"/>
        </w:rPr>
        <w:t>1.4供应商资质条件和能力</w:t>
      </w:r>
    </w:p>
    <w:p>
      <w:pPr>
        <w:pStyle w:val="54"/>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1.4.1</w:t>
      </w:r>
      <w:r>
        <w:rPr>
          <w:rFonts w:hint="eastAsia" w:ascii="宋体" w:hAnsi="宋体" w:eastAsia="宋体" w:cs="宋体"/>
          <w:sz w:val="24"/>
          <w:szCs w:val="24"/>
          <w:highlight w:val="none"/>
        </w:rPr>
        <w:t>供应商资质及能力要求：见供应商须知前附表。</w:t>
      </w:r>
    </w:p>
    <w:p>
      <w:pPr>
        <w:pStyle w:val="54"/>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1.4.2</w:t>
      </w:r>
      <w:r>
        <w:rPr>
          <w:rFonts w:hint="eastAsia" w:ascii="宋体" w:hAnsi="宋体" w:eastAsia="宋体" w:cs="宋体"/>
          <w:sz w:val="24"/>
          <w:szCs w:val="24"/>
          <w:highlight w:val="none"/>
        </w:rPr>
        <w:t>是否接受联合体投标：见供应商须知前附表。</w:t>
      </w:r>
    </w:p>
    <w:p>
      <w:pPr>
        <w:pStyle w:val="54"/>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zh-CN" w:bidi="en-US"/>
        </w:rPr>
      </w:pPr>
      <w:r>
        <w:rPr>
          <w:rFonts w:hint="eastAsia" w:ascii="宋体" w:hAnsi="宋体" w:eastAsia="宋体" w:cs="宋体"/>
          <w:b/>
          <w:bCs/>
          <w:sz w:val="24"/>
          <w:szCs w:val="24"/>
          <w:highlight w:val="none"/>
          <w:lang w:val="en-US" w:eastAsia="zh-CN" w:bidi="en-US"/>
        </w:rPr>
        <w:t>1.5定义及解释</w:t>
      </w:r>
    </w:p>
    <w:p>
      <w:pPr>
        <w:pStyle w:val="54"/>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1.5.1</w:t>
      </w:r>
      <w:r>
        <w:rPr>
          <w:rFonts w:hint="eastAsia" w:ascii="宋体" w:hAnsi="宋体" w:eastAsia="宋体" w:cs="宋体"/>
          <w:sz w:val="24"/>
          <w:szCs w:val="24"/>
          <w:highlight w:val="none"/>
        </w:rPr>
        <w:t>采购人：依法进行政府采购的国家机关、事业单位、团体组织。</w:t>
      </w:r>
    </w:p>
    <w:p>
      <w:pPr>
        <w:pStyle w:val="54"/>
        <w:spacing w:line="360" w:lineRule="auto"/>
        <w:ind w:left="140" w:firstLine="42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1.5.2</w:t>
      </w:r>
      <w:r>
        <w:rPr>
          <w:rFonts w:hint="eastAsia" w:ascii="宋体" w:hAnsi="宋体" w:eastAsia="宋体" w:cs="宋体"/>
          <w:sz w:val="24"/>
          <w:szCs w:val="24"/>
          <w:highlight w:val="none"/>
        </w:rPr>
        <w:t>采购代理机构：取得政府采购招标代理资质，受采购人委托组织招标活动的社会中介组织。</w:t>
      </w:r>
    </w:p>
    <w:p>
      <w:pPr>
        <w:pStyle w:val="54"/>
        <w:spacing w:line="360" w:lineRule="auto"/>
        <w:ind w:left="140" w:firstLine="42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1.5.3</w:t>
      </w:r>
      <w:r>
        <w:rPr>
          <w:rFonts w:hint="eastAsia" w:ascii="宋体" w:hAnsi="宋体" w:eastAsia="宋体" w:cs="宋体"/>
          <w:sz w:val="24"/>
          <w:szCs w:val="24"/>
          <w:highlight w:val="none"/>
        </w:rPr>
        <w:t>供应商：供应商是响应磋商文件、参加磋商竞争的中华人民共和国境内的法人、其他组织。</w:t>
      </w:r>
    </w:p>
    <w:p>
      <w:pPr>
        <w:pStyle w:val="54"/>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1.5.4</w:t>
      </w:r>
      <w:r>
        <w:rPr>
          <w:rFonts w:hint="eastAsia" w:ascii="宋体" w:hAnsi="宋体" w:eastAsia="宋体" w:cs="宋体"/>
          <w:sz w:val="24"/>
          <w:szCs w:val="24"/>
          <w:highlight w:val="none"/>
        </w:rPr>
        <w:t>响应文件：指供应商根据磋商文件提交的所有文件。</w:t>
      </w:r>
    </w:p>
    <w:p>
      <w:pPr>
        <w:pStyle w:val="54"/>
        <w:spacing w:line="360" w:lineRule="auto"/>
        <w:ind w:left="140" w:firstLine="42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1.5.5</w:t>
      </w:r>
      <w:r>
        <w:rPr>
          <w:rFonts w:hint="eastAsia" w:ascii="宋体" w:hAnsi="宋体" w:eastAsia="宋体" w:cs="宋体"/>
          <w:sz w:val="24"/>
          <w:szCs w:val="24"/>
          <w:highlight w:val="none"/>
        </w:rPr>
        <w:t>磋商小组：依据《中华人民共和国政府采购法》及有关法律、法规的规定依法组建的专门负责本次评标工作的临时机构。</w:t>
      </w:r>
    </w:p>
    <w:p>
      <w:pPr>
        <w:pStyle w:val="54"/>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1.5.6“</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zh-CN" w:eastAsia="zh-CN" w:bidi="zh-CN"/>
        </w:rPr>
        <w:t>”或“天”：</w:t>
      </w:r>
      <w:r>
        <w:rPr>
          <w:rFonts w:hint="eastAsia" w:ascii="宋体" w:hAnsi="宋体" w:eastAsia="宋体" w:cs="宋体"/>
          <w:sz w:val="24"/>
          <w:szCs w:val="24"/>
          <w:highlight w:val="none"/>
        </w:rPr>
        <w:t>指日历天。</w:t>
      </w:r>
    </w:p>
    <w:p>
      <w:pPr>
        <w:pStyle w:val="54"/>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1.5.7</w:t>
      </w:r>
      <w:r>
        <w:rPr>
          <w:rFonts w:hint="eastAsia" w:ascii="宋体" w:hAnsi="宋体" w:eastAsia="宋体" w:cs="宋体"/>
          <w:sz w:val="24"/>
          <w:szCs w:val="24"/>
          <w:highlight w:val="none"/>
        </w:rPr>
        <w:t>合同：指依据本次货物采购招标结果签订的协议或合约文件。</w:t>
      </w:r>
    </w:p>
    <w:p>
      <w:pPr>
        <w:pStyle w:val="54"/>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1.5.8</w:t>
      </w:r>
      <w:r>
        <w:rPr>
          <w:rFonts w:hint="eastAsia" w:ascii="宋体" w:hAnsi="宋体" w:eastAsia="宋体" w:cs="宋体"/>
          <w:sz w:val="24"/>
          <w:szCs w:val="24"/>
          <w:highlight w:val="none"/>
        </w:rPr>
        <w:t>磋商文件中的标题或题名仅起引导作用，而不应视为对磋商文件内容的理解和解释。</w:t>
      </w:r>
    </w:p>
    <w:p>
      <w:pPr>
        <w:pStyle w:val="54"/>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zh-CN" w:bidi="en-US"/>
        </w:rPr>
      </w:pPr>
      <w:r>
        <w:rPr>
          <w:rFonts w:hint="eastAsia" w:ascii="宋体" w:hAnsi="宋体" w:eastAsia="宋体" w:cs="宋体"/>
          <w:b/>
          <w:bCs/>
          <w:sz w:val="24"/>
          <w:szCs w:val="24"/>
          <w:highlight w:val="none"/>
          <w:lang w:val="en-US" w:eastAsia="zh-CN" w:bidi="en-US"/>
        </w:rPr>
        <w:t>1.6费用承担</w:t>
      </w:r>
    </w:p>
    <w:p>
      <w:pPr>
        <w:pStyle w:val="54"/>
        <w:spacing w:line="360" w:lineRule="auto"/>
        <w:ind w:left="14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供应商准备和参加磋商活动发生的费用自理，不论磋商的结果如何，采购人和采购代理机 构在任何情况下均无义务和责任承担这些费用。</w:t>
      </w:r>
    </w:p>
    <w:p>
      <w:pPr>
        <w:pStyle w:val="54"/>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zh-CN" w:bidi="en-US"/>
        </w:rPr>
      </w:pPr>
      <w:r>
        <w:rPr>
          <w:rFonts w:hint="eastAsia" w:ascii="宋体" w:hAnsi="宋体" w:eastAsia="宋体" w:cs="宋体"/>
          <w:b/>
          <w:bCs/>
          <w:sz w:val="24"/>
          <w:szCs w:val="24"/>
          <w:highlight w:val="none"/>
          <w:lang w:val="en-US" w:eastAsia="zh-CN" w:bidi="en-US"/>
        </w:rPr>
        <w:t>1.7保密</w:t>
      </w:r>
    </w:p>
    <w:p>
      <w:pPr>
        <w:pStyle w:val="54"/>
        <w:spacing w:line="360" w:lineRule="auto"/>
        <w:ind w:left="14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参与磋商活动的各方应对磋商文件和响应文件中的商业和技术等秘密保密，违者应对由此 造成的后果承担法律责任。</w:t>
      </w:r>
    </w:p>
    <w:p>
      <w:pPr>
        <w:pStyle w:val="54"/>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zh-CN" w:bidi="en-US"/>
        </w:rPr>
      </w:pPr>
      <w:r>
        <w:rPr>
          <w:rFonts w:hint="eastAsia" w:ascii="宋体" w:hAnsi="宋体" w:eastAsia="宋体" w:cs="宋体"/>
          <w:b/>
          <w:bCs/>
          <w:sz w:val="24"/>
          <w:szCs w:val="24"/>
          <w:highlight w:val="none"/>
          <w:lang w:val="en-US" w:eastAsia="zh-CN" w:bidi="en-US"/>
        </w:rPr>
        <w:t>1.8语言文字</w:t>
      </w:r>
    </w:p>
    <w:p>
      <w:pPr>
        <w:pStyle w:val="54"/>
        <w:spacing w:line="360" w:lineRule="auto"/>
        <w:ind w:left="14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除专用术语外，与磋商有关的语言均使用中文。必要时专用术语应附有中文注释，对不同 文字文本响应文件的解释发生异议的，以中文文本为准。</w:t>
      </w:r>
    </w:p>
    <w:p>
      <w:pPr>
        <w:pStyle w:val="54"/>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zh-CN" w:bidi="en-US"/>
        </w:rPr>
      </w:pPr>
      <w:r>
        <w:rPr>
          <w:rFonts w:hint="eastAsia" w:ascii="宋体" w:hAnsi="宋体" w:eastAsia="宋体" w:cs="宋体"/>
          <w:b/>
          <w:bCs/>
          <w:sz w:val="24"/>
          <w:szCs w:val="24"/>
          <w:highlight w:val="none"/>
          <w:lang w:val="en-US" w:eastAsia="zh-CN" w:bidi="en-US"/>
        </w:rPr>
        <w:t>1.9计量单位</w:t>
      </w:r>
    </w:p>
    <w:p>
      <w:pPr>
        <w:pStyle w:val="54"/>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所有计量均采用中华人民共和国法定计量单位。</w:t>
      </w:r>
    </w:p>
    <w:p>
      <w:pPr>
        <w:pStyle w:val="54"/>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zh-CN" w:bidi="en-US"/>
        </w:rPr>
      </w:pPr>
      <w:r>
        <w:rPr>
          <w:rFonts w:hint="eastAsia" w:ascii="宋体" w:hAnsi="宋体" w:eastAsia="宋体" w:cs="宋体"/>
          <w:b/>
          <w:bCs/>
          <w:sz w:val="24"/>
          <w:szCs w:val="24"/>
          <w:highlight w:val="none"/>
          <w:lang w:val="en-US" w:eastAsia="zh-CN" w:bidi="en-US"/>
        </w:rPr>
        <w:t>1.10投标预备会</w:t>
      </w:r>
    </w:p>
    <w:p>
      <w:pPr>
        <w:pStyle w:val="54"/>
        <w:spacing w:line="360" w:lineRule="auto"/>
        <w:ind w:left="140" w:firstLine="42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1.10.1</w:t>
      </w:r>
      <w:r>
        <w:rPr>
          <w:rFonts w:hint="eastAsia" w:ascii="宋体" w:hAnsi="宋体" w:eastAsia="宋体" w:cs="宋体"/>
          <w:sz w:val="24"/>
          <w:szCs w:val="24"/>
          <w:highlight w:val="none"/>
        </w:rPr>
        <w:t>供应商须知前附表规定召开磋商预备会的，采购人按供应商须知前附表规定的时间 和地点召开投标预备会，澄清供应商提出的问题。</w:t>
      </w:r>
    </w:p>
    <w:p>
      <w:pPr>
        <w:pStyle w:val="54"/>
        <w:spacing w:line="360" w:lineRule="auto"/>
        <w:ind w:left="140" w:firstLine="42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1.10.2</w:t>
      </w:r>
      <w:r>
        <w:rPr>
          <w:rFonts w:hint="eastAsia" w:ascii="宋体" w:hAnsi="宋体" w:eastAsia="宋体" w:cs="宋体"/>
          <w:sz w:val="24"/>
          <w:szCs w:val="24"/>
          <w:highlight w:val="none"/>
        </w:rPr>
        <w:t>供应商应在供应商须知前附表规定的时间前，以书面形式将提出的问题送达采购人, 以便采购人在会议期间澄清。</w:t>
      </w:r>
    </w:p>
    <w:p>
      <w:pPr>
        <w:pStyle w:val="54"/>
        <w:spacing w:line="360" w:lineRule="auto"/>
        <w:ind w:left="140" w:firstLine="42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1.10.3</w:t>
      </w:r>
      <w:r>
        <w:rPr>
          <w:rFonts w:hint="eastAsia" w:ascii="宋体" w:hAnsi="宋体" w:eastAsia="宋体" w:cs="宋体"/>
          <w:sz w:val="24"/>
          <w:szCs w:val="24"/>
          <w:highlight w:val="none"/>
        </w:rPr>
        <w:t>磋商预备会后，采购人在供应商须知前附表规定的时间内，将对供应商所提问题的 澄清，通知所有购买磋商文件的供应商。该澄清内容为磋商文件的组成部分。</w:t>
      </w:r>
    </w:p>
    <w:p>
      <w:pPr>
        <w:pStyle w:val="54"/>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zh-CN" w:bidi="en-US"/>
        </w:rPr>
      </w:pPr>
      <w:r>
        <w:rPr>
          <w:rFonts w:hint="eastAsia" w:ascii="宋体" w:hAnsi="宋体" w:eastAsia="宋体" w:cs="宋体"/>
          <w:b/>
          <w:bCs/>
          <w:sz w:val="24"/>
          <w:szCs w:val="24"/>
          <w:highlight w:val="none"/>
          <w:lang w:val="en-US" w:eastAsia="zh-CN" w:bidi="en-US"/>
        </w:rPr>
        <w:t>1.11分包</w:t>
      </w:r>
    </w:p>
    <w:p>
      <w:pPr>
        <w:pStyle w:val="54"/>
        <w:spacing w:line="360" w:lineRule="auto"/>
        <w:ind w:firstLine="700"/>
        <w:rPr>
          <w:rFonts w:hint="eastAsia" w:ascii="宋体" w:hAnsi="宋体" w:eastAsia="宋体" w:cs="宋体"/>
          <w:sz w:val="24"/>
          <w:szCs w:val="24"/>
          <w:highlight w:val="none"/>
        </w:rPr>
      </w:pPr>
      <w:r>
        <w:rPr>
          <w:rFonts w:hint="eastAsia" w:ascii="宋体" w:hAnsi="宋体" w:eastAsia="宋体" w:cs="宋体"/>
          <w:sz w:val="24"/>
          <w:szCs w:val="24"/>
          <w:highlight w:val="none"/>
        </w:rPr>
        <w:t>是否允许分包：见供应商须知前附表。</w:t>
      </w:r>
    </w:p>
    <w:p>
      <w:pPr>
        <w:pStyle w:val="54"/>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1"/>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bidi="en-US"/>
        </w:rPr>
        <w:t>2.</w:t>
      </w:r>
      <w:r>
        <w:rPr>
          <w:rFonts w:hint="eastAsia" w:ascii="宋体" w:hAnsi="宋体" w:eastAsia="宋体" w:cs="宋体"/>
          <w:b/>
          <w:bCs/>
          <w:sz w:val="24"/>
          <w:szCs w:val="24"/>
          <w:highlight w:val="none"/>
        </w:rPr>
        <w:t>磋商文件</w:t>
      </w:r>
    </w:p>
    <w:p>
      <w:pPr>
        <w:pStyle w:val="54"/>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bidi="en-US"/>
        </w:rPr>
        <w:t>2.1</w:t>
      </w:r>
      <w:r>
        <w:rPr>
          <w:rFonts w:hint="eastAsia" w:ascii="宋体" w:hAnsi="宋体" w:eastAsia="宋体" w:cs="宋体"/>
          <w:b/>
          <w:bCs/>
          <w:sz w:val="24"/>
          <w:szCs w:val="24"/>
          <w:highlight w:val="none"/>
        </w:rPr>
        <w:t>磋商文件的组成</w:t>
      </w:r>
    </w:p>
    <w:p>
      <w:pPr>
        <w:pStyle w:val="54"/>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本磋商文件包括：</w:t>
      </w:r>
    </w:p>
    <w:p>
      <w:pPr>
        <w:pStyle w:val="54"/>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第一章竞争性磋商公告</w:t>
      </w:r>
    </w:p>
    <w:p>
      <w:pPr>
        <w:pStyle w:val="54"/>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第二章供应商须知及供应商须知前附表</w:t>
      </w:r>
    </w:p>
    <w:p>
      <w:pPr>
        <w:pStyle w:val="54"/>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第三章评分办法</w:t>
      </w:r>
    </w:p>
    <w:p>
      <w:pPr>
        <w:pStyle w:val="54"/>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第四章合同文本</w:t>
      </w:r>
    </w:p>
    <w:p>
      <w:pPr>
        <w:pStyle w:val="54"/>
        <w:spacing w:line="360" w:lineRule="auto"/>
        <w:ind w:firstLine="56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章</w:t>
      </w:r>
      <w:r>
        <w:rPr>
          <w:rFonts w:hint="eastAsia" w:ascii="宋体" w:hAnsi="宋体" w:eastAsia="宋体" w:cs="宋体"/>
          <w:sz w:val="24"/>
          <w:szCs w:val="24"/>
          <w:highlight w:val="none"/>
          <w:lang w:val="en-US" w:eastAsia="zh-CN"/>
        </w:rPr>
        <w:t>采购需求</w:t>
      </w:r>
    </w:p>
    <w:p>
      <w:pPr>
        <w:pStyle w:val="54"/>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章竞争性磋商响应文件格式</w:t>
      </w:r>
    </w:p>
    <w:p>
      <w:pPr>
        <w:pStyle w:val="54"/>
        <w:spacing w:line="360" w:lineRule="auto"/>
        <w:ind w:left="14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根据本章第</w:t>
      </w:r>
      <w:r>
        <w:rPr>
          <w:rFonts w:hint="eastAsia" w:ascii="宋体" w:hAnsi="宋体" w:eastAsia="宋体" w:cs="宋体"/>
          <w:sz w:val="24"/>
          <w:szCs w:val="24"/>
          <w:highlight w:val="none"/>
          <w:lang w:val="en-US" w:eastAsia="zh-CN" w:bidi="en-US"/>
        </w:rPr>
        <w:t>1.10</w:t>
      </w:r>
      <w:r>
        <w:rPr>
          <w:rFonts w:hint="eastAsia" w:ascii="宋体" w:hAnsi="宋体" w:eastAsia="宋体" w:cs="宋体"/>
          <w:sz w:val="24"/>
          <w:szCs w:val="24"/>
          <w:highlight w:val="none"/>
        </w:rPr>
        <w:t>款、第</w:t>
      </w:r>
      <w:r>
        <w:rPr>
          <w:rFonts w:hint="eastAsia" w:ascii="宋体" w:hAnsi="宋体" w:eastAsia="宋体" w:cs="宋体"/>
          <w:sz w:val="24"/>
          <w:szCs w:val="24"/>
          <w:highlight w:val="none"/>
          <w:lang w:val="en-US" w:eastAsia="zh-CN" w:bidi="en-US"/>
        </w:rPr>
        <w:t>2.2</w:t>
      </w:r>
      <w:r>
        <w:rPr>
          <w:rFonts w:hint="eastAsia" w:ascii="宋体" w:hAnsi="宋体" w:eastAsia="宋体" w:cs="宋体"/>
          <w:sz w:val="24"/>
          <w:szCs w:val="24"/>
          <w:highlight w:val="none"/>
        </w:rPr>
        <w:t>款和第</w:t>
      </w:r>
      <w:r>
        <w:rPr>
          <w:rFonts w:hint="eastAsia" w:ascii="宋体" w:hAnsi="宋体" w:eastAsia="宋体" w:cs="宋体"/>
          <w:sz w:val="24"/>
          <w:szCs w:val="24"/>
          <w:highlight w:val="none"/>
          <w:lang w:val="en-US" w:eastAsia="zh-CN" w:bidi="en-US"/>
        </w:rPr>
        <w:t>2.3</w:t>
      </w:r>
      <w:r>
        <w:rPr>
          <w:rFonts w:hint="eastAsia" w:ascii="宋体" w:hAnsi="宋体" w:eastAsia="宋体" w:cs="宋体"/>
          <w:sz w:val="24"/>
          <w:szCs w:val="24"/>
          <w:highlight w:val="none"/>
        </w:rPr>
        <w:t>款对磋商文件所作的澄清、修改，构成磋商文件的 组成部分。</w:t>
      </w:r>
    </w:p>
    <w:p>
      <w:pPr>
        <w:pStyle w:val="54"/>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zh-CN" w:bidi="en-US"/>
        </w:rPr>
      </w:pPr>
      <w:r>
        <w:rPr>
          <w:rFonts w:hint="eastAsia" w:ascii="宋体" w:hAnsi="宋体" w:eastAsia="宋体" w:cs="宋体"/>
          <w:b/>
          <w:bCs/>
          <w:sz w:val="24"/>
          <w:szCs w:val="24"/>
          <w:highlight w:val="none"/>
          <w:lang w:val="en-US" w:eastAsia="zh-CN" w:bidi="en-US"/>
        </w:rPr>
        <w:t>2.2磋商文件的澄清</w:t>
      </w:r>
    </w:p>
    <w:p>
      <w:pPr>
        <w:pStyle w:val="54"/>
        <w:spacing w:line="360" w:lineRule="auto"/>
        <w:ind w:left="14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2.2.1</w:t>
      </w:r>
      <w:r>
        <w:rPr>
          <w:rFonts w:hint="eastAsia" w:ascii="宋体" w:hAnsi="宋体" w:eastAsia="宋体" w:cs="宋体"/>
          <w:sz w:val="24"/>
          <w:szCs w:val="24"/>
          <w:highlight w:val="none"/>
        </w:rPr>
        <w:t>供应商应仔细阅读和检查磋商文件的全部内容。如发现缺页或附件不全，应及时向采 购人提出，以便补齐。如有疑问，应按供应商须知前附表规定的时间以书面形式将提出的问题 送达采购代理机构，要求对磋商文件予以澄清。</w:t>
      </w:r>
    </w:p>
    <w:p>
      <w:pPr>
        <w:pStyle w:val="54"/>
        <w:spacing w:line="360" w:lineRule="auto"/>
        <w:ind w:firstLine="5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2.2.2</w:t>
      </w:r>
      <w:r>
        <w:rPr>
          <w:rFonts w:hint="eastAsia" w:ascii="宋体" w:hAnsi="宋体" w:eastAsia="宋体" w:cs="宋体"/>
          <w:sz w:val="24"/>
          <w:szCs w:val="24"/>
          <w:highlight w:val="none"/>
        </w:rPr>
        <w:t>提交响应文件截止时间：见供应商须知前附表。</w:t>
      </w:r>
    </w:p>
    <w:p>
      <w:pPr>
        <w:pStyle w:val="54"/>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zh-CN" w:bidi="en-US"/>
        </w:rPr>
      </w:pPr>
      <w:r>
        <w:rPr>
          <w:rFonts w:hint="eastAsia" w:ascii="宋体" w:hAnsi="宋体" w:eastAsia="宋体" w:cs="宋体"/>
          <w:b/>
          <w:bCs/>
          <w:sz w:val="24"/>
          <w:szCs w:val="24"/>
          <w:highlight w:val="none"/>
          <w:lang w:val="en-US" w:eastAsia="zh-CN" w:bidi="en-US"/>
        </w:rPr>
        <w:t>2.3磋商文件的修改</w:t>
      </w:r>
    </w:p>
    <w:p>
      <w:pPr>
        <w:pStyle w:val="54"/>
        <w:spacing w:line="360" w:lineRule="auto"/>
        <w:ind w:left="14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2.3.1</w:t>
      </w:r>
      <w:r>
        <w:rPr>
          <w:rFonts w:hint="eastAsia" w:ascii="宋体" w:hAnsi="宋体" w:eastAsia="宋体" w:cs="宋体"/>
          <w:sz w:val="24"/>
          <w:szCs w:val="24"/>
          <w:highlight w:val="none"/>
        </w:rPr>
        <w:t>磋商文件的澄清、修改按供应商须知前附表规定的形式发出。澄清、修改发出的时 间距提交响应文件截止时间不足5日的，并且修改内容可能影响响应文件编制的，将相应延长 提交响应文件截止时间。</w:t>
      </w:r>
    </w:p>
    <w:p>
      <w:pPr>
        <w:pStyle w:val="54"/>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1"/>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bidi="en-US"/>
        </w:rPr>
        <w:t>3.</w:t>
      </w:r>
      <w:r>
        <w:rPr>
          <w:rFonts w:hint="eastAsia" w:ascii="宋体" w:hAnsi="宋体" w:eastAsia="宋体" w:cs="宋体"/>
          <w:b/>
          <w:bCs/>
          <w:sz w:val="24"/>
          <w:szCs w:val="24"/>
          <w:highlight w:val="none"/>
        </w:rPr>
        <w:t>响应文件</w:t>
      </w:r>
    </w:p>
    <w:p>
      <w:pPr>
        <w:pStyle w:val="54"/>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bidi="en-US"/>
        </w:rPr>
        <w:t>3.1</w:t>
      </w:r>
      <w:r>
        <w:rPr>
          <w:rFonts w:hint="eastAsia" w:ascii="宋体" w:hAnsi="宋体" w:eastAsia="宋体" w:cs="宋体"/>
          <w:b/>
          <w:bCs/>
          <w:sz w:val="24"/>
          <w:szCs w:val="24"/>
          <w:highlight w:val="none"/>
        </w:rPr>
        <w:t>响应文件的组成</w:t>
      </w:r>
    </w:p>
    <w:p>
      <w:pPr>
        <w:pStyle w:val="54"/>
        <w:spacing w:line="360" w:lineRule="auto"/>
        <w:ind w:firstLine="500"/>
        <w:rPr>
          <w:rFonts w:hint="eastAsia" w:ascii="宋体" w:hAnsi="宋体" w:eastAsia="宋体" w:cs="宋体"/>
          <w:sz w:val="24"/>
          <w:szCs w:val="24"/>
          <w:highlight w:val="none"/>
        </w:rPr>
      </w:pPr>
      <w:r>
        <w:rPr>
          <w:rFonts w:hint="eastAsia" w:ascii="宋体" w:hAnsi="宋体" w:eastAsia="宋体" w:cs="宋体"/>
          <w:sz w:val="24"/>
          <w:szCs w:val="24"/>
          <w:highlight w:val="none"/>
        </w:rPr>
        <w:t>详见第</w:t>
      </w: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章</w:t>
      </w:r>
      <w:r>
        <w:rPr>
          <w:rFonts w:hint="eastAsia" w:ascii="宋体" w:hAnsi="宋体" w:eastAsia="宋体" w:cs="宋体"/>
          <w:sz w:val="24"/>
          <w:szCs w:val="24"/>
          <w:highlight w:val="none"/>
          <w:lang w:val="zh-CN" w:eastAsia="zh-CN" w:bidi="zh-CN"/>
        </w:rPr>
        <w:t>“竞争</w:t>
      </w:r>
      <w:r>
        <w:rPr>
          <w:rFonts w:hint="eastAsia" w:ascii="宋体" w:hAnsi="宋体" w:eastAsia="宋体" w:cs="宋体"/>
          <w:sz w:val="24"/>
          <w:szCs w:val="24"/>
          <w:highlight w:val="none"/>
        </w:rPr>
        <w:t>性磋商响应文件格式</w:t>
      </w:r>
    </w:p>
    <w:p>
      <w:pPr>
        <w:pStyle w:val="54"/>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zh-CN" w:bidi="en-US"/>
        </w:rPr>
      </w:pPr>
      <w:r>
        <w:rPr>
          <w:rFonts w:hint="eastAsia" w:ascii="宋体" w:hAnsi="宋体" w:eastAsia="宋体" w:cs="宋体"/>
          <w:b/>
          <w:bCs/>
          <w:sz w:val="24"/>
          <w:szCs w:val="24"/>
          <w:highlight w:val="none"/>
          <w:lang w:val="en-US" w:eastAsia="zh-CN" w:bidi="en-US"/>
        </w:rPr>
        <w:t>3.2磋商报价</w:t>
      </w:r>
    </w:p>
    <w:p>
      <w:pPr>
        <w:pStyle w:val="54"/>
        <w:spacing w:line="360" w:lineRule="auto"/>
        <w:ind w:firstLine="5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3.2.1供应商的报价应含包括完成该项目的全部工作而发生的人工费、材料费、交通费、差旅费等的全部成本、保险、税金及利润，并考虑了应承担的风险及相关费用。最终磋商报价为签订合同的依据</w:t>
      </w:r>
      <w:r>
        <w:rPr>
          <w:rFonts w:hint="eastAsia" w:ascii="宋体" w:hAnsi="宋体" w:eastAsia="宋体" w:cs="宋体"/>
          <w:sz w:val="24"/>
          <w:szCs w:val="24"/>
          <w:highlight w:val="none"/>
        </w:rPr>
        <w:t>。</w:t>
      </w:r>
    </w:p>
    <w:p>
      <w:pPr>
        <w:pStyle w:val="54"/>
        <w:spacing w:line="360" w:lineRule="auto"/>
        <w:ind w:firstLine="500"/>
        <w:rPr>
          <w:rFonts w:hint="eastAsia" w:ascii="宋体" w:hAnsi="宋体" w:eastAsia="宋体" w:cs="宋体"/>
          <w:sz w:val="24"/>
          <w:szCs w:val="24"/>
          <w:highlight w:val="none"/>
          <w:lang w:val="en-US" w:eastAsia="zh-CN" w:bidi="en-US"/>
        </w:rPr>
      </w:pPr>
      <w:r>
        <w:rPr>
          <w:rFonts w:hint="eastAsia" w:ascii="宋体" w:hAnsi="宋体" w:eastAsia="宋体" w:cs="宋体"/>
          <w:sz w:val="24"/>
          <w:szCs w:val="24"/>
          <w:highlight w:val="none"/>
          <w:lang w:val="en-US" w:eastAsia="zh-CN" w:bidi="en-US"/>
        </w:rPr>
        <w:t>3.2.2除政策性文件规定以外，供应商所报价格在合同实施期间不因市场变化因素而变动。</w:t>
      </w:r>
    </w:p>
    <w:p>
      <w:pPr>
        <w:pStyle w:val="54"/>
        <w:spacing w:line="360" w:lineRule="auto"/>
        <w:ind w:firstLine="5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3.2.3</w:t>
      </w:r>
      <w:r>
        <w:rPr>
          <w:rFonts w:hint="eastAsia" w:ascii="宋体" w:hAnsi="宋体" w:eastAsia="宋体" w:cs="宋体"/>
          <w:sz w:val="24"/>
          <w:szCs w:val="24"/>
          <w:highlight w:val="none"/>
        </w:rPr>
        <w:t>投标报价以人民币为计量币种报价，并以人民币币种签约、结算。</w:t>
      </w:r>
    </w:p>
    <w:p>
      <w:pPr>
        <w:pStyle w:val="54"/>
        <w:spacing w:line="360" w:lineRule="auto"/>
        <w:ind w:left="14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3.2.4供应商在磋商截止时间前修改磋商报价，应同时修改相应的报价。</w:t>
      </w:r>
    </w:p>
    <w:p>
      <w:pPr>
        <w:pStyle w:val="54"/>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3.2.5</w:t>
      </w:r>
      <w:r>
        <w:rPr>
          <w:rFonts w:hint="eastAsia" w:ascii="宋体" w:hAnsi="宋体" w:eastAsia="宋体" w:cs="宋体"/>
          <w:sz w:val="24"/>
          <w:szCs w:val="24"/>
          <w:highlight w:val="none"/>
        </w:rPr>
        <w:t>落实政府采购政策要求</w:t>
      </w:r>
    </w:p>
    <w:p>
      <w:pPr>
        <w:pStyle w:val="78"/>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1.本项目非专门面向中小企业、监狱企业及残疾人福利性单位采购项目。政府采购政策：本项目执行节约能源、保护环境、扶持不发达及少数民族地区，促进中小企业发展等政府采购政策。 </w:t>
      </w:r>
    </w:p>
    <w:p>
      <w:pPr>
        <w:pStyle w:val="78"/>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2.中小微型企业有关政策：</w:t>
      </w:r>
    </w:p>
    <w:p>
      <w:pPr>
        <w:pStyle w:val="78"/>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对于供应商为监狱企业、小型和微型企业及其投标产品为小型和微型企业生产的，将以扣除优惠比率后的报价参与价格评议，但不作为中标价和合同签约价。中标价和合同签约价仍以其响应文件中的报价为准。小型和微型企业价格给予扣除标准：根据《政府采购促进中小企业发展管理办法》(财库[2020]46 号)及《关于进一步加大政府采购支持中小企业力度的通知》（财库〔2022〕19 号）的规定，对于非专门面向中小企业的项目，对小型和微型企业的价格给予 20%的扣除，用扣除后的报价参与评审。对于中型企业的价格不予扣除。供应商应当在响应文件中提供中小企业声明函（见附件），否则不予认可。根据《财政部、司法部关于政府采购支持监狱企业发展有关问题的通知》(财库〔2014〕68 号)的规定，提供由省级以上监狱管理局、戒毒管理局（含新疆生产建设兵团）出具的属于监狱企业的证明文件，监狱企业视同小型、微型企业，价格给予 20%的扣除，用扣除后的报价参与评审。根据《财政部、民政部、中国残疾人联合会关于促进残疾人就业政府采购政策的通知》（财库[2017]141 号）的规定，提供《残疾人福利性单位声明函》（见附件），并对声明的真实性负责。中标人为残疾人福利性单位的，采购人或者其委托的采购代理机构应当随中标结果同时公告其《残疾人福利性单位声明函》，接受社会监督。提供的《残疾人福利性单位声明函》与事实不符的，依照《中华人民共和国政府采购法》第七十七条第一款的规定追究法律责任。在政府采购活动中，残疾人福利性单位视同小型、微型企业，价格给予20%的扣除，用扣除后的报价参与评审。 </w:t>
      </w:r>
    </w:p>
    <w:p>
      <w:pPr>
        <w:pStyle w:val="78"/>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备注：监狱企业和残疾人福利性单位属于小型、微型企业的，不重复享受政策。</w:t>
      </w:r>
    </w:p>
    <w:p>
      <w:pPr>
        <w:pStyle w:val="78"/>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3.优先采购的节能产品、环境标志产品要求：</w:t>
      </w:r>
    </w:p>
    <w:p>
      <w:pPr>
        <w:pStyle w:val="78"/>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如果所投产品是国家规定的节能产品及环境标志产品的（强制采购节能产品的除外），给予优先采购的权利，须提供以下材料：投标产品中属于政府优先采购节能产品、环境标志产品，应提供对应型号的国家确定的认证机构出具的处于有效期之内的节能产品、环境标志产品认证证书等证明材料，否则视为主动放弃被优先采购的权利。优先采购节能产品和环境标志产品在同等条件下属于优先采购范围（优先采购指最终得分相等时，投标报价也相同时，按技术指标优劣顺序排序，技术指标优劣情况相同的，优先采购节能产品和环境标志产品合计金额占自身投标报价比例大的）。 </w:t>
      </w:r>
    </w:p>
    <w:p>
      <w:pPr>
        <w:pStyle w:val="78"/>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4.根据《财政部工业和信息化部国家质检总局国家认监委关于信息安全产品实施政府采购的通知》财库〔2010〕48号文件要求，各潜在供应商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必须提供由中国信息安全认证中心颁发的有效认证证书。</w:t>
      </w:r>
    </w:p>
    <w:p>
      <w:pPr>
        <w:pStyle w:val="5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.所投产品已列入国家强制性产品认证或生产许可的产品，必须提供通过认证或生产许可的有关证明材料。</w:t>
      </w:r>
    </w:p>
    <w:p>
      <w:pPr>
        <w:pStyle w:val="54"/>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zh-CN" w:bidi="en-US"/>
        </w:rPr>
      </w:pPr>
      <w:r>
        <w:rPr>
          <w:rFonts w:hint="eastAsia" w:ascii="宋体" w:hAnsi="宋体" w:eastAsia="宋体" w:cs="宋体"/>
          <w:b/>
          <w:bCs/>
          <w:sz w:val="24"/>
          <w:szCs w:val="24"/>
          <w:highlight w:val="none"/>
          <w:lang w:val="en-US" w:eastAsia="zh-CN" w:bidi="en-US"/>
        </w:rPr>
        <w:t>3.3磋商有效期</w:t>
      </w:r>
    </w:p>
    <w:p>
      <w:pPr>
        <w:pStyle w:val="54"/>
        <w:tabs>
          <w:tab w:val="left" w:pos="1157"/>
        </w:tabs>
        <w:spacing w:line="360" w:lineRule="auto"/>
        <w:ind w:left="140" w:firstLine="42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3.3.1</w:t>
      </w:r>
      <w:r>
        <w:rPr>
          <w:rFonts w:hint="eastAsia" w:ascii="宋体" w:hAnsi="宋体" w:eastAsia="宋体" w:cs="宋体"/>
          <w:sz w:val="24"/>
          <w:szCs w:val="24"/>
          <w:highlight w:val="none"/>
        </w:rPr>
        <w:t>在供应商须知前附表规定的磋商有效期内，供应商不得要求撤销或修改其响应文件。</w:t>
      </w:r>
    </w:p>
    <w:p>
      <w:pPr>
        <w:pStyle w:val="54"/>
        <w:tabs>
          <w:tab w:val="left" w:pos="1157"/>
        </w:tabs>
        <w:spacing w:line="360" w:lineRule="auto"/>
        <w:ind w:left="140" w:firstLine="42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3.3.2</w:t>
      </w:r>
      <w:r>
        <w:rPr>
          <w:rFonts w:hint="eastAsia" w:ascii="宋体" w:hAnsi="宋体" w:eastAsia="宋体" w:cs="宋体"/>
          <w:sz w:val="24"/>
          <w:szCs w:val="24"/>
          <w:highlight w:val="none"/>
        </w:rPr>
        <w:t>出现特殊情况需要延长磋商有效期的，采购人以书面形式通知所有供应商延长磋商有 效期。供应商同意延长的，但不得要求或被允许修改或撤销其响应文件；供应商拒绝延长的，其响应性文件失效。</w:t>
      </w:r>
    </w:p>
    <w:p>
      <w:pPr>
        <w:pStyle w:val="54"/>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zh-CN" w:bidi="en-US"/>
        </w:rPr>
      </w:pPr>
      <w:r>
        <w:rPr>
          <w:rFonts w:hint="eastAsia" w:ascii="宋体" w:hAnsi="宋体" w:eastAsia="宋体" w:cs="宋体"/>
          <w:b/>
          <w:bCs/>
          <w:sz w:val="24"/>
          <w:szCs w:val="24"/>
          <w:highlight w:val="none"/>
          <w:lang w:val="en-US" w:eastAsia="zh-CN" w:bidi="en-US"/>
        </w:rPr>
        <w:t>3.4磋商保证金（不适用于本项目）</w:t>
      </w:r>
    </w:p>
    <w:p>
      <w:pPr>
        <w:pStyle w:val="54"/>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zh-CN" w:bidi="en-US"/>
        </w:rPr>
      </w:pPr>
      <w:r>
        <w:rPr>
          <w:rFonts w:hint="eastAsia" w:ascii="宋体" w:hAnsi="宋体" w:eastAsia="宋体" w:cs="宋体"/>
          <w:b/>
          <w:bCs/>
          <w:sz w:val="24"/>
          <w:szCs w:val="24"/>
          <w:highlight w:val="none"/>
          <w:lang w:val="en-US" w:eastAsia="zh-CN" w:bidi="en-US"/>
        </w:rPr>
        <w:t>3.5响应文件的编制</w:t>
      </w:r>
    </w:p>
    <w:p>
      <w:pPr>
        <w:pStyle w:val="54"/>
        <w:spacing w:line="360" w:lineRule="auto"/>
        <w:ind w:left="140" w:firstLine="42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3.5.1</w:t>
      </w:r>
      <w:r>
        <w:rPr>
          <w:rFonts w:hint="eastAsia" w:ascii="宋体" w:hAnsi="宋体" w:eastAsia="宋体" w:cs="宋体"/>
          <w:sz w:val="24"/>
          <w:szCs w:val="24"/>
          <w:highlight w:val="none"/>
        </w:rPr>
        <w:t>响应文件应按第</w:t>
      </w: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章</w:t>
      </w:r>
      <w:r>
        <w:rPr>
          <w:rFonts w:hint="eastAsia" w:ascii="宋体" w:hAnsi="宋体" w:eastAsia="宋体" w:cs="宋体"/>
          <w:sz w:val="24"/>
          <w:szCs w:val="24"/>
          <w:highlight w:val="none"/>
          <w:lang w:val="zh-CN" w:eastAsia="zh-CN" w:bidi="zh-CN"/>
        </w:rPr>
        <w:t>“响</w:t>
      </w:r>
      <w:r>
        <w:rPr>
          <w:rFonts w:hint="eastAsia" w:ascii="宋体" w:hAnsi="宋体" w:eastAsia="宋体" w:cs="宋体"/>
          <w:sz w:val="24"/>
          <w:szCs w:val="24"/>
          <w:highlight w:val="none"/>
        </w:rPr>
        <w:t>应文件格式</w:t>
      </w:r>
      <w:r>
        <w:rPr>
          <w:rFonts w:hint="eastAsia" w:ascii="宋体" w:hAnsi="宋体" w:eastAsia="宋体" w:cs="宋体"/>
          <w:sz w:val="24"/>
          <w:szCs w:val="24"/>
          <w:highlight w:val="none"/>
          <w:lang w:val="zh-CN" w:eastAsia="zh-CN" w:bidi="zh-CN"/>
        </w:rPr>
        <w:t>”进行</w:t>
      </w:r>
      <w:r>
        <w:rPr>
          <w:rFonts w:hint="eastAsia" w:ascii="宋体" w:hAnsi="宋体" w:eastAsia="宋体" w:cs="宋体"/>
          <w:sz w:val="24"/>
          <w:szCs w:val="24"/>
          <w:highlight w:val="none"/>
        </w:rPr>
        <w:t>编写，如有必要，可以增加附页，作为响应 文件的组成部分。</w:t>
      </w:r>
    </w:p>
    <w:p>
      <w:pPr>
        <w:pStyle w:val="54"/>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3.5.2</w:t>
      </w:r>
      <w:r>
        <w:rPr>
          <w:rFonts w:hint="eastAsia" w:ascii="宋体" w:hAnsi="宋体" w:eastAsia="宋体" w:cs="宋体"/>
          <w:sz w:val="24"/>
          <w:szCs w:val="24"/>
          <w:highlight w:val="none"/>
        </w:rPr>
        <w:t>响应文件应当对磋商文件有关采购内容等实质性内容作出响应。</w:t>
      </w:r>
    </w:p>
    <w:p>
      <w:pPr>
        <w:pStyle w:val="54"/>
        <w:spacing w:line="360" w:lineRule="auto"/>
        <w:ind w:left="140"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3.5.3</w:t>
      </w:r>
      <w:r>
        <w:rPr>
          <w:rFonts w:hint="eastAsia" w:ascii="宋体" w:hAnsi="宋体" w:eastAsia="宋体" w:cs="宋体"/>
          <w:sz w:val="24"/>
          <w:szCs w:val="24"/>
          <w:highlight w:val="none"/>
        </w:rPr>
        <w:t>响应文件应按照磋商文件格式要求由供应商的法定代表人或其委托代理人签字或盖 单位公章。根据磋商文件格式要求，委托代理人签字的，响应文件应附法定代表人签署的授权 委托书。响应文件应尽量避免涂改、行间插字或删除。如果出现上述情况，改动之处应加盖单 位公章并由供应商的法定代表人或其授权的代理人签字确认。签字或盖章的具体要求见供应商 须知前附表。</w:t>
      </w:r>
    </w:p>
    <w:p>
      <w:pPr>
        <w:pStyle w:val="54"/>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3.5.4</w:t>
      </w:r>
      <w:r>
        <w:rPr>
          <w:rFonts w:hint="eastAsia" w:ascii="宋体" w:hAnsi="宋体" w:eastAsia="宋体" w:cs="宋体"/>
          <w:sz w:val="24"/>
          <w:szCs w:val="24"/>
          <w:highlight w:val="none"/>
        </w:rPr>
        <w:t>响应文件份数：见供应商须知前附表。</w:t>
      </w:r>
    </w:p>
    <w:p>
      <w:pPr>
        <w:pStyle w:val="54"/>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3.5.5</w:t>
      </w:r>
      <w:r>
        <w:rPr>
          <w:rFonts w:hint="eastAsia" w:ascii="宋体" w:hAnsi="宋体" w:eastAsia="宋体" w:cs="宋体"/>
          <w:sz w:val="24"/>
          <w:szCs w:val="24"/>
          <w:highlight w:val="none"/>
        </w:rPr>
        <w:t>装订要求：见供应商须知前附表。</w:t>
      </w:r>
    </w:p>
    <w:p>
      <w:pPr>
        <w:pStyle w:val="54"/>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1"/>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bidi="en-US"/>
        </w:rPr>
        <w:t>4.</w:t>
      </w:r>
      <w:r>
        <w:rPr>
          <w:rFonts w:hint="eastAsia" w:ascii="宋体" w:hAnsi="宋体" w:eastAsia="宋体" w:cs="宋体"/>
          <w:b/>
          <w:bCs/>
          <w:sz w:val="24"/>
          <w:szCs w:val="24"/>
          <w:highlight w:val="none"/>
        </w:rPr>
        <w:t>投标</w:t>
      </w:r>
    </w:p>
    <w:p>
      <w:pPr>
        <w:pStyle w:val="54"/>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bidi="en-US"/>
        </w:rPr>
        <w:t>4.1</w:t>
      </w:r>
      <w:r>
        <w:rPr>
          <w:rFonts w:hint="eastAsia" w:ascii="宋体" w:hAnsi="宋体" w:eastAsia="宋体" w:cs="宋体"/>
          <w:b/>
          <w:bCs/>
          <w:sz w:val="24"/>
          <w:szCs w:val="24"/>
          <w:highlight w:val="none"/>
        </w:rPr>
        <w:t>响应文件的制作</w:t>
      </w:r>
    </w:p>
    <w:p>
      <w:pPr>
        <w:pStyle w:val="54"/>
        <w:spacing w:line="360" w:lineRule="auto"/>
        <w:ind w:left="140" w:firstLine="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4.1.1</w:t>
      </w:r>
      <w:r>
        <w:rPr>
          <w:rFonts w:hint="eastAsia" w:ascii="宋体" w:hAnsi="宋体" w:eastAsia="宋体" w:cs="宋体"/>
          <w:sz w:val="24"/>
          <w:szCs w:val="24"/>
          <w:highlight w:val="none"/>
        </w:rPr>
        <w:t>响应文件应由供应商使用电子交易系统提供的响应文件制作工具进行电子响应文件的 制作，并按要求上传经</w:t>
      </w:r>
      <w:r>
        <w:rPr>
          <w:rFonts w:hint="eastAsia" w:ascii="宋体" w:hAnsi="宋体" w:eastAsia="宋体" w:cs="宋体"/>
          <w:sz w:val="24"/>
          <w:szCs w:val="24"/>
          <w:highlight w:val="none"/>
          <w:lang w:val="en-US" w:eastAsia="zh-CN" w:bidi="en-US"/>
        </w:rPr>
        <w:t>CA</w:t>
      </w:r>
      <w:r>
        <w:rPr>
          <w:rFonts w:hint="eastAsia" w:ascii="宋体" w:hAnsi="宋体" w:eastAsia="宋体" w:cs="宋体"/>
          <w:sz w:val="24"/>
          <w:szCs w:val="24"/>
          <w:highlight w:val="none"/>
        </w:rPr>
        <w:t>锁签章和加密的电子响应文件</w:t>
      </w:r>
      <w:r>
        <w:rPr>
          <w:rFonts w:hint="eastAsia" w:ascii="宋体" w:hAnsi="宋体" w:eastAsia="宋体" w:cs="宋体"/>
          <w:sz w:val="24"/>
          <w:szCs w:val="24"/>
          <w:highlight w:val="none"/>
          <w:lang w:val="en-US" w:eastAsia="zh-CN" w:bidi="en-US"/>
        </w:rPr>
        <w:t>（.ZMTF</w:t>
      </w:r>
      <w:r>
        <w:rPr>
          <w:rFonts w:hint="eastAsia" w:ascii="宋体" w:hAnsi="宋体" w:eastAsia="宋体" w:cs="宋体"/>
          <w:sz w:val="24"/>
          <w:szCs w:val="24"/>
          <w:highlight w:val="none"/>
        </w:rPr>
        <w:t>格式）。</w:t>
      </w:r>
    </w:p>
    <w:p>
      <w:pPr>
        <w:pStyle w:val="54"/>
        <w:spacing w:line="360" w:lineRule="auto"/>
        <w:ind w:firstLine="34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4.1.2</w:t>
      </w:r>
      <w:r>
        <w:rPr>
          <w:rFonts w:hint="eastAsia" w:ascii="宋体" w:hAnsi="宋体" w:eastAsia="宋体" w:cs="宋体"/>
          <w:sz w:val="24"/>
          <w:szCs w:val="24"/>
          <w:highlight w:val="none"/>
        </w:rPr>
        <w:t>未按本章第</w:t>
      </w:r>
      <w:r>
        <w:rPr>
          <w:rFonts w:hint="eastAsia" w:ascii="宋体" w:hAnsi="宋体" w:eastAsia="宋体" w:cs="宋体"/>
          <w:sz w:val="24"/>
          <w:szCs w:val="24"/>
          <w:highlight w:val="none"/>
          <w:lang w:val="en-US" w:eastAsia="zh-CN" w:bidi="en-US"/>
        </w:rPr>
        <w:t>4.1.1</w:t>
      </w:r>
      <w:r>
        <w:rPr>
          <w:rFonts w:hint="eastAsia" w:ascii="宋体" w:hAnsi="宋体" w:eastAsia="宋体" w:cs="宋体"/>
          <w:sz w:val="24"/>
          <w:szCs w:val="24"/>
          <w:highlight w:val="none"/>
        </w:rPr>
        <w:t>项要求制作的响应文件，采购人不承担责任并有权不予受理。</w:t>
      </w:r>
    </w:p>
    <w:p>
      <w:pPr>
        <w:pStyle w:val="54"/>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zh-CN" w:bidi="en-US"/>
        </w:rPr>
      </w:pPr>
      <w:r>
        <w:rPr>
          <w:rFonts w:hint="eastAsia" w:ascii="宋体" w:hAnsi="宋体" w:eastAsia="宋体" w:cs="宋体"/>
          <w:b/>
          <w:bCs/>
          <w:sz w:val="24"/>
          <w:szCs w:val="24"/>
          <w:highlight w:val="none"/>
          <w:lang w:val="en-US" w:eastAsia="zh-CN" w:bidi="en-US"/>
        </w:rPr>
        <w:t>4.2响应文件的递交</w:t>
      </w:r>
    </w:p>
    <w:p>
      <w:pPr>
        <w:pStyle w:val="54"/>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4.2.1 </w:t>
      </w:r>
      <w:r>
        <w:rPr>
          <w:rFonts w:hint="eastAsia" w:ascii="宋体" w:hAnsi="宋体" w:eastAsia="宋体" w:cs="宋体"/>
          <w:sz w:val="24"/>
          <w:szCs w:val="24"/>
          <w:highlight w:val="none"/>
        </w:rPr>
        <w:t>（1）加密的电子磋商响应文件1份</w:t>
      </w:r>
      <w:r>
        <w:rPr>
          <w:rFonts w:hint="eastAsia" w:ascii="宋体" w:hAnsi="宋体" w:eastAsia="宋体" w:cs="宋体"/>
          <w:sz w:val="24"/>
          <w:szCs w:val="24"/>
          <w:highlight w:val="none"/>
          <w:lang w:val="en-US" w:eastAsia="zh-CN"/>
        </w:rPr>
        <w:t>（.ZMTF</w:t>
      </w:r>
      <w:r>
        <w:rPr>
          <w:rFonts w:hint="eastAsia" w:ascii="宋体" w:hAnsi="宋体" w:eastAsia="宋体" w:cs="宋体"/>
          <w:sz w:val="24"/>
          <w:szCs w:val="24"/>
          <w:highlight w:val="none"/>
        </w:rPr>
        <w:t>格式）须在磋商响应文件递交截止时间 前通过“中牟县公共资源交易中心网站</w:t>
      </w:r>
      <w:r>
        <w:rPr>
          <w:rFonts w:hint="eastAsia" w:ascii="宋体" w:hAnsi="宋体" w:eastAsia="宋体" w:cs="宋体"/>
          <w:sz w:val="24"/>
          <w:szCs w:val="24"/>
          <w:highlight w:val="none"/>
          <w:lang w:val="en-US" w:eastAsia="zh-CN"/>
        </w:rPr>
        <w:t xml:space="preserve">（http://http:// www.zmxggzy.com） </w:t>
      </w:r>
      <w:r>
        <w:rPr>
          <w:rFonts w:hint="eastAsia" w:ascii="宋体" w:hAnsi="宋体" w:eastAsia="宋体" w:cs="宋体"/>
          <w:sz w:val="24"/>
          <w:szCs w:val="24"/>
          <w:highlight w:val="none"/>
        </w:rPr>
        <w:t>”电子交易平台加密上传; 上传文件尽量在截止日前</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日内完成，以避免网络拥堵或其他原因造成上传失败，由于响应 文件未按时提交所造成的后果由供应商自行承担。</w:t>
      </w:r>
    </w:p>
    <w:p>
      <w:pPr>
        <w:pStyle w:val="54"/>
        <w:spacing w:line="360" w:lineRule="auto"/>
        <w:ind w:firstLine="760"/>
        <w:rPr>
          <w:rFonts w:hint="eastAsia" w:ascii="宋体" w:hAnsi="宋体" w:eastAsia="宋体" w:cs="宋体"/>
          <w:sz w:val="24"/>
          <w:szCs w:val="24"/>
          <w:highlight w:val="none"/>
        </w:rPr>
      </w:pPr>
      <w:r>
        <w:rPr>
          <w:rFonts w:hint="eastAsia" w:ascii="宋体" w:hAnsi="宋体" w:eastAsia="宋体" w:cs="宋体"/>
          <w:sz w:val="24"/>
          <w:szCs w:val="24"/>
          <w:highlight w:val="none"/>
        </w:rPr>
        <w:t>（2）供应商无需到交易中心现场参加开标会议，无需现场提交纸质版响应文件或原件。</w:t>
      </w:r>
    </w:p>
    <w:p>
      <w:pPr>
        <w:pStyle w:val="54"/>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4.2.2</w:t>
      </w:r>
      <w:r>
        <w:rPr>
          <w:rFonts w:hint="eastAsia" w:ascii="宋体" w:hAnsi="宋体" w:eastAsia="宋体" w:cs="宋体"/>
          <w:sz w:val="24"/>
          <w:szCs w:val="24"/>
          <w:highlight w:val="none"/>
        </w:rPr>
        <w:t>供应商递交响应文件的地点：见供应商须知前附表。</w:t>
      </w:r>
    </w:p>
    <w:p>
      <w:pPr>
        <w:pStyle w:val="54"/>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4.2.3</w:t>
      </w:r>
      <w:r>
        <w:rPr>
          <w:rFonts w:hint="eastAsia" w:ascii="宋体" w:hAnsi="宋体" w:eastAsia="宋体" w:cs="宋体"/>
          <w:sz w:val="24"/>
          <w:szCs w:val="24"/>
          <w:highlight w:val="none"/>
        </w:rPr>
        <w:t>除供应商须知前附表另有规定外，供应商所递交的响应文件不予退还。</w:t>
      </w:r>
    </w:p>
    <w:p>
      <w:pPr>
        <w:pStyle w:val="54"/>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4.2.4</w:t>
      </w:r>
      <w:r>
        <w:rPr>
          <w:rFonts w:hint="eastAsia" w:ascii="宋体" w:hAnsi="宋体" w:eastAsia="宋体" w:cs="宋体"/>
          <w:sz w:val="24"/>
          <w:szCs w:val="24"/>
          <w:highlight w:val="none"/>
        </w:rPr>
        <w:t>逾期送达的或者未送达指定地点的响应文件，采购人不予受理。</w:t>
      </w:r>
    </w:p>
    <w:p>
      <w:pPr>
        <w:pStyle w:val="54"/>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zh-CN" w:bidi="en-US"/>
        </w:rPr>
      </w:pPr>
      <w:r>
        <w:rPr>
          <w:rFonts w:hint="eastAsia" w:ascii="宋体" w:hAnsi="宋体" w:eastAsia="宋体" w:cs="宋体"/>
          <w:b/>
          <w:bCs/>
          <w:sz w:val="24"/>
          <w:szCs w:val="24"/>
          <w:highlight w:val="none"/>
          <w:lang w:val="en-US" w:eastAsia="zh-CN" w:bidi="en-US"/>
        </w:rPr>
        <w:t>4.3响应文件的修改与撤回</w:t>
      </w:r>
    </w:p>
    <w:p>
      <w:pPr>
        <w:pStyle w:val="54"/>
        <w:spacing w:line="360" w:lineRule="auto"/>
        <w:ind w:left="140"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4.3.1</w:t>
      </w:r>
      <w:r>
        <w:rPr>
          <w:rFonts w:hint="eastAsia" w:ascii="宋体" w:hAnsi="宋体" w:eastAsia="宋体" w:cs="宋体"/>
          <w:sz w:val="24"/>
          <w:szCs w:val="24"/>
          <w:highlight w:val="none"/>
        </w:rPr>
        <w:t>供应商在递交磋商响应文件后，在磋商响应文件递交截止时间之前可以修改或撤回其 磋商响应文件，最终响应文件以响应文件递交截止时间前完成上传至中牟县公共资源交易中心 交易系统最后一份响应文件为准。</w:t>
      </w:r>
    </w:p>
    <w:p>
      <w:pPr>
        <w:pStyle w:val="54"/>
        <w:spacing w:line="360" w:lineRule="auto"/>
        <w:ind w:left="140"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4.3.2</w:t>
      </w:r>
      <w:r>
        <w:rPr>
          <w:rFonts w:hint="eastAsia" w:ascii="宋体" w:hAnsi="宋体" w:eastAsia="宋体" w:cs="宋体"/>
          <w:sz w:val="24"/>
          <w:szCs w:val="24"/>
          <w:highlight w:val="none"/>
        </w:rPr>
        <w:t>在磋商响应文件递交截止时间之后，供应商不得撤回其磋商响应文件或对其磋商响应 文件做任何修改。</w:t>
      </w:r>
    </w:p>
    <w:p>
      <w:pPr>
        <w:pStyle w:val="54"/>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1"/>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bidi="en-US"/>
        </w:rPr>
        <w:t>5.</w:t>
      </w:r>
      <w:r>
        <w:rPr>
          <w:rFonts w:hint="eastAsia" w:ascii="宋体" w:hAnsi="宋体" w:eastAsia="宋体" w:cs="宋体"/>
          <w:b/>
          <w:bCs/>
          <w:sz w:val="24"/>
          <w:szCs w:val="24"/>
          <w:highlight w:val="none"/>
        </w:rPr>
        <w:t>磋商会议</w:t>
      </w:r>
    </w:p>
    <w:p>
      <w:pPr>
        <w:pStyle w:val="54"/>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bidi="en-US"/>
        </w:rPr>
        <w:t>5.1</w:t>
      </w:r>
      <w:r>
        <w:rPr>
          <w:rFonts w:hint="eastAsia" w:ascii="宋体" w:hAnsi="宋体" w:eastAsia="宋体" w:cs="宋体"/>
          <w:b/>
          <w:bCs/>
          <w:sz w:val="24"/>
          <w:szCs w:val="24"/>
          <w:highlight w:val="none"/>
        </w:rPr>
        <w:t>开标时间和地点</w:t>
      </w:r>
    </w:p>
    <w:p>
      <w:pPr>
        <w:pStyle w:val="54"/>
        <w:spacing w:line="360" w:lineRule="auto"/>
        <w:ind w:left="140"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采购代理机构将在</w:t>
      </w:r>
      <w:r>
        <w:rPr>
          <w:rFonts w:hint="eastAsia" w:ascii="宋体" w:hAnsi="宋体" w:eastAsia="宋体" w:cs="宋体"/>
          <w:sz w:val="24"/>
          <w:szCs w:val="24"/>
          <w:highlight w:val="none"/>
          <w:lang w:val="zh-CN" w:eastAsia="zh-CN" w:bidi="zh-CN"/>
        </w:rPr>
        <w:t>“供</w:t>
      </w:r>
      <w:r>
        <w:rPr>
          <w:rFonts w:hint="eastAsia" w:ascii="宋体" w:hAnsi="宋体" w:eastAsia="宋体" w:cs="宋体"/>
          <w:sz w:val="24"/>
          <w:szCs w:val="24"/>
          <w:highlight w:val="none"/>
        </w:rPr>
        <w:t>应商须知”中规定的时间和地点组织供应商磋商，准时采用</w:t>
      </w:r>
      <w:r>
        <w:rPr>
          <w:rFonts w:hint="eastAsia" w:ascii="宋体" w:hAnsi="宋体" w:eastAsia="宋体" w:cs="宋体"/>
          <w:sz w:val="24"/>
          <w:szCs w:val="24"/>
          <w:highlight w:val="none"/>
          <w:lang w:val="zh-CN" w:eastAsia="zh-CN" w:bidi="zh-CN"/>
        </w:rPr>
        <w:t xml:space="preserve">“远程 </w:t>
      </w:r>
      <w:r>
        <w:rPr>
          <w:rFonts w:hint="eastAsia" w:ascii="宋体" w:hAnsi="宋体" w:eastAsia="宋体" w:cs="宋体"/>
          <w:sz w:val="24"/>
          <w:szCs w:val="24"/>
          <w:highlight w:val="none"/>
        </w:rPr>
        <w:t>不见面”开标方式参加磋商会议。</w:t>
      </w:r>
    </w:p>
    <w:p>
      <w:pPr>
        <w:pStyle w:val="54"/>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zh-CN" w:bidi="en-US"/>
        </w:rPr>
      </w:pPr>
      <w:r>
        <w:rPr>
          <w:rFonts w:hint="eastAsia" w:ascii="宋体" w:hAnsi="宋体" w:eastAsia="宋体" w:cs="宋体"/>
          <w:b/>
          <w:bCs/>
          <w:sz w:val="24"/>
          <w:szCs w:val="24"/>
          <w:highlight w:val="none"/>
          <w:lang w:val="en-US" w:eastAsia="zh-CN" w:bidi="en-US"/>
        </w:rPr>
        <w:t>5.2磋商程序</w:t>
      </w:r>
    </w:p>
    <w:p>
      <w:pPr>
        <w:pStyle w:val="54"/>
        <w:tabs>
          <w:tab w:val="left" w:pos="1245"/>
        </w:tabs>
        <w:spacing w:line="360" w:lineRule="auto"/>
        <w:ind w:firstLine="560"/>
        <w:rPr>
          <w:rFonts w:hint="eastAsia" w:ascii="宋体" w:hAnsi="宋体" w:eastAsia="宋体" w:cs="宋体"/>
          <w:sz w:val="24"/>
          <w:szCs w:val="24"/>
          <w:highlight w:val="none"/>
        </w:rPr>
      </w:pPr>
      <w:bookmarkStart w:id="34" w:name="bookmark88"/>
      <w:r>
        <w:rPr>
          <w:rFonts w:hint="eastAsia" w:ascii="宋体" w:hAnsi="宋体" w:eastAsia="宋体" w:cs="宋体"/>
          <w:sz w:val="24"/>
          <w:szCs w:val="24"/>
          <w:highlight w:val="none"/>
        </w:rPr>
        <w:t>5</w:t>
      </w:r>
      <w:bookmarkEnd w:id="34"/>
      <w:r>
        <w:rPr>
          <w:rFonts w:hint="eastAsia" w:ascii="宋体" w:hAnsi="宋体" w:eastAsia="宋体" w:cs="宋体"/>
          <w:sz w:val="24"/>
          <w:szCs w:val="24"/>
          <w:highlight w:val="none"/>
        </w:rPr>
        <w:t>.2.1、磋商小组对磋商文件进行熟悉确认。</w:t>
      </w:r>
    </w:p>
    <w:p>
      <w:pPr>
        <w:pStyle w:val="54"/>
        <w:tabs>
          <w:tab w:val="left" w:pos="1245"/>
        </w:tabs>
        <w:spacing w:line="360" w:lineRule="auto"/>
        <w:ind w:firstLine="560"/>
        <w:rPr>
          <w:rFonts w:hint="eastAsia" w:ascii="宋体" w:hAnsi="宋体" w:eastAsia="宋体" w:cs="宋体"/>
          <w:sz w:val="24"/>
          <w:szCs w:val="24"/>
          <w:highlight w:val="none"/>
        </w:rPr>
      </w:pPr>
      <w:bookmarkStart w:id="35" w:name="bookmark89"/>
      <w:r>
        <w:rPr>
          <w:rFonts w:hint="eastAsia" w:ascii="宋体" w:hAnsi="宋体" w:eastAsia="宋体" w:cs="宋体"/>
          <w:sz w:val="24"/>
          <w:szCs w:val="24"/>
          <w:highlight w:val="none"/>
        </w:rPr>
        <w:t>5</w:t>
      </w:r>
      <w:bookmarkEnd w:id="35"/>
      <w:r>
        <w:rPr>
          <w:rFonts w:hint="eastAsia" w:ascii="宋体" w:hAnsi="宋体" w:eastAsia="宋体" w:cs="宋体"/>
          <w:sz w:val="24"/>
          <w:szCs w:val="24"/>
          <w:highlight w:val="none"/>
        </w:rPr>
        <w:t>.2.2、磋商小组推选组长，讨论、通过磋商工作流程和磋商要点。</w:t>
      </w:r>
    </w:p>
    <w:p>
      <w:pPr>
        <w:pStyle w:val="54"/>
        <w:tabs>
          <w:tab w:val="left" w:pos="1223"/>
        </w:tabs>
        <w:spacing w:line="360" w:lineRule="auto"/>
        <w:ind w:left="140" w:firstLine="420"/>
        <w:jc w:val="both"/>
        <w:rPr>
          <w:rFonts w:hint="eastAsia" w:ascii="宋体" w:hAnsi="宋体" w:eastAsia="宋体" w:cs="宋体"/>
          <w:sz w:val="24"/>
          <w:szCs w:val="24"/>
          <w:highlight w:val="none"/>
        </w:rPr>
      </w:pPr>
      <w:bookmarkStart w:id="36" w:name="bookmark90"/>
      <w:r>
        <w:rPr>
          <w:rFonts w:hint="eastAsia" w:ascii="宋体" w:hAnsi="宋体" w:eastAsia="宋体" w:cs="宋体"/>
          <w:sz w:val="24"/>
          <w:szCs w:val="24"/>
          <w:highlight w:val="none"/>
        </w:rPr>
        <w:t>5</w:t>
      </w:r>
      <w:bookmarkEnd w:id="36"/>
      <w:r>
        <w:rPr>
          <w:rFonts w:hint="eastAsia" w:ascii="宋体" w:hAnsi="宋体" w:eastAsia="宋体" w:cs="宋体"/>
          <w:sz w:val="24"/>
          <w:szCs w:val="24"/>
          <w:highlight w:val="none"/>
        </w:rPr>
        <w:t>.2.3、磋商开始后，磋商小组依据磋商文件规定，对响应文件中的资格、符合性进行审查, 以确定磋商供应商是否具备参与磋商的资格。</w:t>
      </w:r>
    </w:p>
    <w:p>
      <w:pPr>
        <w:pStyle w:val="54"/>
        <w:tabs>
          <w:tab w:val="left" w:pos="1242"/>
        </w:tabs>
        <w:spacing w:line="360" w:lineRule="auto"/>
        <w:ind w:left="140" w:firstLine="420"/>
        <w:jc w:val="both"/>
        <w:rPr>
          <w:rFonts w:hint="eastAsia" w:ascii="宋体" w:hAnsi="宋体" w:eastAsia="宋体" w:cs="宋体"/>
          <w:sz w:val="24"/>
          <w:szCs w:val="24"/>
          <w:highlight w:val="none"/>
        </w:rPr>
      </w:pPr>
      <w:bookmarkStart w:id="37" w:name="bookmark91"/>
      <w:r>
        <w:rPr>
          <w:rFonts w:hint="eastAsia" w:ascii="宋体" w:hAnsi="宋体" w:eastAsia="宋体" w:cs="宋体"/>
          <w:sz w:val="24"/>
          <w:szCs w:val="24"/>
          <w:highlight w:val="none"/>
        </w:rPr>
        <w:t>5</w:t>
      </w:r>
      <w:bookmarkEnd w:id="37"/>
      <w:r>
        <w:rPr>
          <w:rFonts w:hint="eastAsia" w:ascii="宋体" w:hAnsi="宋体" w:eastAsia="宋体" w:cs="宋体"/>
          <w:sz w:val="24"/>
          <w:szCs w:val="24"/>
          <w:highlight w:val="none"/>
        </w:rPr>
        <w:t>.2.4、磋商小组对通过资格性和符合性审查的响应文件进行评估，确定与各竞标人磋商的具体内容。</w:t>
      </w:r>
    </w:p>
    <w:p>
      <w:pPr>
        <w:pStyle w:val="54"/>
        <w:tabs>
          <w:tab w:val="left" w:pos="1247"/>
        </w:tabs>
        <w:spacing w:line="360" w:lineRule="auto"/>
        <w:ind w:left="140" w:firstLine="420"/>
        <w:jc w:val="both"/>
        <w:rPr>
          <w:rFonts w:hint="eastAsia" w:ascii="宋体" w:hAnsi="宋体" w:eastAsia="宋体" w:cs="宋体"/>
          <w:sz w:val="24"/>
          <w:szCs w:val="24"/>
          <w:highlight w:val="none"/>
        </w:rPr>
      </w:pPr>
      <w:bookmarkStart w:id="38" w:name="bookmark92"/>
      <w:r>
        <w:rPr>
          <w:rFonts w:hint="eastAsia" w:ascii="宋体" w:hAnsi="宋体" w:eastAsia="宋体" w:cs="宋体"/>
          <w:sz w:val="24"/>
          <w:szCs w:val="24"/>
          <w:highlight w:val="none"/>
        </w:rPr>
        <w:t>5</w:t>
      </w:r>
      <w:bookmarkEnd w:id="38"/>
      <w:r>
        <w:rPr>
          <w:rFonts w:hint="eastAsia" w:ascii="宋体" w:hAnsi="宋体" w:eastAsia="宋体" w:cs="宋体"/>
          <w:sz w:val="24"/>
          <w:szCs w:val="24"/>
          <w:highlight w:val="none"/>
        </w:rPr>
        <w:t>.2.5、围绕磋商要点，磋商小组全体成员集中与单一供应商分别进行磋商。按各供应商递交响应文件的顺序进行磋商。对通过初步评审的供应商进行第2轮报价，依据现场磋商情况， 磋商小组有权决定是否进行第3轮报价，若无第3轮报价，则第2轮报价则为最终报价，依据最终提交的报价进行评审。</w:t>
      </w:r>
    </w:p>
    <w:p>
      <w:pPr>
        <w:pStyle w:val="54"/>
        <w:tabs>
          <w:tab w:val="left" w:pos="1247"/>
        </w:tabs>
        <w:spacing w:line="360" w:lineRule="auto"/>
        <w:ind w:left="140" w:firstLine="420"/>
        <w:rPr>
          <w:rFonts w:hint="eastAsia" w:ascii="宋体" w:hAnsi="宋体" w:eastAsia="宋体" w:cs="宋体"/>
          <w:sz w:val="24"/>
          <w:szCs w:val="24"/>
          <w:highlight w:val="none"/>
        </w:rPr>
      </w:pPr>
      <w:bookmarkStart w:id="39" w:name="bookmark93"/>
      <w:r>
        <w:rPr>
          <w:rFonts w:hint="eastAsia" w:ascii="宋体" w:hAnsi="宋体" w:eastAsia="宋体" w:cs="宋体"/>
          <w:sz w:val="24"/>
          <w:szCs w:val="24"/>
          <w:highlight w:val="none"/>
        </w:rPr>
        <w:t>5</w:t>
      </w:r>
      <w:bookmarkEnd w:id="39"/>
      <w:r>
        <w:rPr>
          <w:rFonts w:hint="eastAsia" w:ascii="宋体" w:hAnsi="宋体" w:eastAsia="宋体" w:cs="宋体"/>
          <w:sz w:val="24"/>
          <w:szCs w:val="24"/>
          <w:highlight w:val="none"/>
        </w:rPr>
        <w:t>.2.6、磋商过程中，磋商小组可以根据磋商情况实质性变动采购需求中的技术及合同草案条款，但不得变动磋商文件中的其他内容。实质性变动的内容需经采购人（业主）代表确认。并以书面形式通知所有参加磋商的供应商，该变动是磋商文件的有效组成部分。供应商应当按照 磋商文件的变动情况和磋商小组的要求重新提交响应文件并由其法定代表人或其授权代表签字 或者加盖公章。由授权代表签字的应当附法定代表人授权书。供应商为自然人的应当由本人签 字并附身份证。供应商应根据磋商小组的要求，以书面形式在规定时间内做出响应，未做出响 应的响应文件将被视为无效竞标。若磋商小组没有实质性变动采购需求中的技术及合同草案条款，则供应商的最终报价不得高于首次报价，否则按废标处理。</w:t>
      </w:r>
    </w:p>
    <w:p>
      <w:pPr>
        <w:pStyle w:val="54"/>
        <w:spacing w:line="360" w:lineRule="auto"/>
        <w:ind w:left="140" w:firstLine="420"/>
        <w:jc w:val="both"/>
        <w:rPr>
          <w:rFonts w:hint="eastAsia" w:ascii="宋体" w:hAnsi="宋体" w:eastAsia="宋体" w:cs="宋体"/>
          <w:sz w:val="24"/>
          <w:szCs w:val="24"/>
          <w:highlight w:val="none"/>
        </w:rPr>
      </w:pPr>
      <w:bookmarkStart w:id="40" w:name="bookmark94"/>
      <w:r>
        <w:rPr>
          <w:rFonts w:hint="eastAsia" w:ascii="宋体" w:hAnsi="宋体" w:eastAsia="宋体" w:cs="宋体"/>
          <w:sz w:val="24"/>
          <w:szCs w:val="24"/>
          <w:highlight w:val="none"/>
        </w:rPr>
        <w:t>5</w:t>
      </w:r>
      <w:bookmarkEnd w:id="40"/>
      <w:r>
        <w:rPr>
          <w:rFonts w:hint="eastAsia" w:ascii="宋体" w:hAnsi="宋体" w:eastAsia="宋体" w:cs="宋体"/>
          <w:sz w:val="24"/>
          <w:szCs w:val="24"/>
          <w:highlight w:val="none"/>
        </w:rPr>
        <w:t>.2.7、经磋商确定最终采购需求，由磋商小组采用综合评分法对通过初步评审的供应商的响应文件进行综合评分。</w:t>
      </w:r>
    </w:p>
    <w:p>
      <w:pPr>
        <w:pStyle w:val="54"/>
        <w:keepNext w:val="0"/>
        <w:keepLines w:val="0"/>
        <w:pageBreakBefore w:val="0"/>
        <w:widowControl w:val="0"/>
        <w:numPr>
          <w:ilvl w:val="0"/>
          <w:numId w:val="1"/>
        </w:numPr>
        <w:tabs>
          <w:tab w:val="left" w:pos="484"/>
        </w:tabs>
        <w:kinsoku/>
        <w:wordWrap/>
        <w:overflowPunct/>
        <w:topLinePunct w:val="0"/>
        <w:autoSpaceDE/>
        <w:autoSpaceDN/>
        <w:bidi w:val="0"/>
        <w:adjustRightInd/>
        <w:snapToGrid/>
        <w:spacing w:line="360" w:lineRule="auto"/>
        <w:ind w:firstLine="142"/>
        <w:textAlignment w:val="auto"/>
        <w:outlineLvl w:val="1"/>
        <w:rPr>
          <w:rFonts w:hint="eastAsia" w:ascii="宋体" w:hAnsi="宋体" w:eastAsia="宋体" w:cs="宋体"/>
          <w:sz w:val="24"/>
          <w:szCs w:val="24"/>
          <w:highlight w:val="none"/>
        </w:rPr>
      </w:pPr>
      <w:bookmarkStart w:id="41" w:name="bookmark95"/>
      <w:bookmarkEnd w:id="41"/>
      <w:r>
        <w:rPr>
          <w:rFonts w:hint="eastAsia" w:ascii="宋体" w:hAnsi="宋体" w:eastAsia="宋体" w:cs="宋体"/>
          <w:b/>
          <w:bCs/>
          <w:sz w:val="24"/>
          <w:szCs w:val="24"/>
          <w:highlight w:val="none"/>
        </w:rPr>
        <w:t>磋商</w:t>
      </w:r>
    </w:p>
    <w:p>
      <w:pPr>
        <w:pStyle w:val="54"/>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en-US" w:bidi="en-US"/>
        </w:rPr>
        <w:t>6.1</w:t>
      </w:r>
      <w:r>
        <w:rPr>
          <w:rFonts w:hint="eastAsia" w:ascii="宋体" w:hAnsi="宋体" w:eastAsia="宋体" w:cs="宋体"/>
          <w:b/>
          <w:bCs/>
          <w:sz w:val="24"/>
          <w:szCs w:val="24"/>
          <w:highlight w:val="none"/>
        </w:rPr>
        <w:t>磋商小组</w:t>
      </w:r>
    </w:p>
    <w:p>
      <w:pPr>
        <w:pStyle w:val="54"/>
        <w:spacing w:line="360" w:lineRule="auto"/>
        <w:ind w:left="140"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磋商由采购人依法组建的磋商小组负责。磋商小组由采购人代表及有关技术、经济等方面 的专家组成。磋商小组成员人数以及技术、经济等方面专家的确定方式见供应商须知前附表。</w:t>
      </w:r>
    </w:p>
    <w:p>
      <w:pPr>
        <w:pStyle w:val="54"/>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en-US" w:bidi="en-US"/>
        </w:rPr>
      </w:pPr>
      <w:r>
        <w:rPr>
          <w:rFonts w:hint="eastAsia" w:ascii="宋体" w:hAnsi="宋体" w:eastAsia="宋体" w:cs="宋体"/>
          <w:b/>
          <w:bCs/>
          <w:sz w:val="24"/>
          <w:szCs w:val="24"/>
          <w:highlight w:val="none"/>
          <w:lang w:val="en-US" w:eastAsia="zh-CN" w:bidi="en-US"/>
        </w:rPr>
        <w:t>6.2</w:t>
      </w:r>
      <w:r>
        <w:rPr>
          <w:rFonts w:hint="eastAsia" w:ascii="宋体" w:hAnsi="宋体" w:eastAsia="宋体" w:cs="宋体"/>
          <w:b/>
          <w:bCs/>
          <w:sz w:val="24"/>
          <w:szCs w:val="24"/>
          <w:highlight w:val="none"/>
          <w:lang w:val="en-US" w:eastAsia="en-US" w:bidi="en-US"/>
        </w:rPr>
        <w:t>磋商原则</w:t>
      </w:r>
    </w:p>
    <w:p>
      <w:pPr>
        <w:pStyle w:val="54"/>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磋商活动遵循公平、公正、科学和择优的原则。</w:t>
      </w:r>
    </w:p>
    <w:p>
      <w:pPr>
        <w:pStyle w:val="54"/>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zh-CN" w:bidi="en-US"/>
        </w:rPr>
      </w:pPr>
      <w:r>
        <w:rPr>
          <w:rFonts w:hint="eastAsia" w:ascii="宋体" w:hAnsi="宋体" w:eastAsia="宋体" w:cs="宋体"/>
          <w:b/>
          <w:bCs/>
          <w:sz w:val="24"/>
          <w:szCs w:val="24"/>
          <w:highlight w:val="none"/>
          <w:lang w:val="en-US" w:eastAsia="zh-CN" w:bidi="en-US"/>
        </w:rPr>
        <w:t>6.3磋商</w:t>
      </w:r>
    </w:p>
    <w:p>
      <w:pPr>
        <w:pStyle w:val="54"/>
        <w:spacing w:line="360" w:lineRule="auto"/>
        <w:ind w:left="14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磋商小组按照第三章</w:t>
      </w:r>
      <w:r>
        <w:rPr>
          <w:rFonts w:hint="eastAsia" w:ascii="宋体" w:hAnsi="宋体" w:eastAsia="宋体" w:cs="宋体"/>
          <w:sz w:val="24"/>
          <w:szCs w:val="24"/>
          <w:highlight w:val="none"/>
          <w:lang w:val="zh-CN" w:eastAsia="zh-CN" w:bidi="zh-CN"/>
        </w:rPr>
        <w:t>“评</w:t>
      </w:r>
      <w:r>
        <w:rPr>
          <w:rFonts w:hint="eastAsia" w:ascii="宋体" w:hAnsi="宋体" w:eastAsia="宋体" w:cs="宋体"/>
          <w:sz w:val="24"/>
          <w:szCs w:val="24"/>
          <w:highlight w:val="none"/>
        </w:rPr>
        <w:t>标办法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规定的方法、评审因素、标准和程序对响应文件进行评审。 第三章</w:t>
      </w:r>
      <w:r>
        <w:rPr>
          <w:rFonts w:hint="eastAsia" w:ascii="宋体" w:hAnsi="宋体" w:eastAsia="宋体" w:cs="宋体"/>
          <w:sz w:val="24"/>
          <w:szCs w:val="24"/>
          <w:highlight w:val="none"/>
          <w:lang w:val="zh-CN" w:eastAsia="zh-CN" w:bidi="zh-CN"/>
        </w:rPr>
        <w:t>“评标</w:t>
      </w:r>
      <w:r>
        <w:rPr>
          <w:rFonts w:hint="eastAsia" w:ascii="宋体" w:hAnsi="宋体" w:eastAsia="宋体" w:cs="宋体"/>
          <w:sz w:val="24"/>
          <w:szCs w:val="24"/>
          <w:highlight w:val="none"/>
        </w:rPr>
        <w:t>办法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没有规定的方法、评审因素和标准，不作为评标依据。</w:t>
      </w:r>
    </w:p>
    <w:p>
      <w:pPr>
        <w:pStyle w:val="54"/>
        <w:keepNext w:val="0"/>
        <w:keepLines w:val="0"/>
        <w:pageBreakBefore w:val="0"/>
        <w:widowControl w:val="0"/>
        <w:numPr>
          <w:ilvl w:val="0"/>
          <w:numId w:val="1"/>
        </w:numPr>
        <w:tabs>
          <w:tab w:val="left" w:pos="484"/>
        </w:tabs>
        <w:kinsoku/>
        <w:wordWrap/>
        <w:overflowPunct/>
        <w:topLinePunct w:val="0"/>
        <w:autoSpaceDE/>
        <w:autoSpaceDN/>
        <w:bidi w:val="0"/>
        <w:adjustRightInd/>
        <w:snapToGrid/>
        <w:spacing w:line="360" w:lineRule="auto"/>
        <w:ind w:firstLine="142"/>
        <w:textAlignment w:val="auto"/>
        <w:outlineLvl w:val="1"/>
        <w:rPr>
          <w:rFonts w:hint="eastAsia" w:ascii="宋体" w:hAnsi="宋体" w:eastAsia="宋体" w:cs="宋体"/>
          <w:sz w:val="24"/>
          <w:szCs w:val="24"/>
          <w:highlight w:val="none"/>
        </w:rPr>
      </w:pPr>
      <w:bookmarkStart w:id="42" w:name="bookmark96"/>
      <w:bookmarkEnd w:id="42"/>
      <w:r>
        <w:rPr>
          <w:rFonts w:hint="eastAsia" w:ascii="宋体" w:hAnsi="宋体" w:eastAsia="宋体" w:cs="宋体"/>
          <w:b/>
          <w:bCs/>
          <w:sz w:val="24"/>
          <w:szCs w:val="24"/>
          <w:highlight w:val="none"/>
        </w:rPr>
        <w:t>合同授予</w:t>
      </w:r>
    </w:p>
    <w:p>
      <w:pPr>
        <w:pStyle w:val="54"/>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en-US" w:bidi="en-US"/>
        </w:rPr>
        <w:t>7.1</w:t>
      </w:r>
      <w:r>
        <w:rPr>
          <w:rFonts w:hint="eastAsia" w:ascii="宋体" w:hAnsi="宋体" w:eastAsia="宋体" w:cs="宋体"/>
          <w:b/>
          <w:bCs/>
          <w:sz w:val="24"/>
          <w:szCs w:val="24"/>
          <w:highlight w:val="none"/>
        </w:rPr>
        <w:t>定标方式</w:t>
      </w:r>
    </w:p>
    <w:p>
      <w:pPr>
        <w:pStyle w:val="54"/>
        <w:spacing w:line="360" w:lineRule="auto"/>
        <w:ind w:left="140"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除供应商须知前附表规定磋商小组直接确定成交人外，采购人依据磋商小组推荐的成交候 选人确定成交人，磋商小组推荐成交候选人的人数见供应商须知前附表。采购人将依序确定排 名第一的供应商为成交人，若第一成交候选人放弃中标、因不可抗力不能履行合同、不按照磋 商文件要求提交履约保证金，或者被查实存在影响成交结果的违法行为等情形，不符合成交条 件的,采购人可以按照磋商小组提出的成交候选人名单排序依次确定其他成交候选人为成交人, 也可以重新磋商。</w:t>
      </w:r>
    </w:p>
    <w:p>
      <w:pPr>
        <w:pStyle w:val="54"/>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en-US" w:bidi="en-US"/>
        </w:rPr>
      </w:pPr>
      <w:r>
        <w:rPr>
          <w:rFonts w:hint="eastAsia" w:ascii="宋体" w:hAnsi="宋体" w:eastAsia="宋体" w:cs="宋体"/>
          <w:b/>
          <w:bCs/>
          <w:sz w:val="24"/>
          <w:szCs w:val="24"/>
          <w:highlight w:val="none"/>
          <w:lang w:val="en-US" w:eastAsia="zh-CN" w:bidi="en-US"/>
        </w:rPr>
        <w:t>7.2</w:t>
      </w:r>
      <w:r>
        <w:rPr>
          <w:rFonts w:hint="eastAsia" w:ascii="宋体" w:hAnsi="宋体" w:eastAsia="宋体" w:cs="宋体"/>
          <w:b/>
          <w:bCs/>
          <w:sz w:val="24"/>
          <w:szCs w:val="24"/>
          <w:highlight w:val="none"/>
          <w:lang w:val="en-US" w:eastAsia="en-US" w:bidi="en-US"/>
        </w:rPr>
        <w:t>成交通知</w:t>
      </w:r>
    </w:p>
    <w:p>
      <w:pPr>
        <w:pStyle w:val="54"/>
        <w:spacing w:line="360" w:lineRule="auto"/>
        <w:ind w:left="140"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在本章第</w:t>
      </w:r>
      <w:r>
        <w:rPr>
          <w:rFonts w:hint="eastAsia" w:ascii="宋体" w:hAnsi="宋体" w:eastAsia="宋体" w:cs="宋体"/>
          <w:sz w:val="24"/>
          <w:szCs w:val="24"/>
          <w:highlight w:val="none"/>
          <w:lang w:val="en-US" w:eastAsia="zh-CN" w:bidi="en-US"/>
        </w:rPr>
        <w:t>3.3</w:t>
      </w:r>
      <w:r>
        <w:rPr>
          <w:rFonts w:hint="eastAsia" w:ascii="宋体" w:hAnsi="宋体" w:eastAsia="宋体" w:cs="宋体"/>
          <w:sz w:val="24"/>
          <w:szCs w:val="24"/>
          <w:highlight w:val="none"/>
        </w:rPr>
        <w:t>款规定的磋商有效期内，采购人以书面形式向成交人发出成交通知书，同时 将成交结果通知未成交的供应商。</w:t>
      </w:r>
    </w:p>
    <w:p>
      <w:pPr>
        <w:pStyle w:val="54"/>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zh-CN" w:bidi="en-US"/>
        </w:rPr>
      </w:pPr>
      <w:r>
        <w:rPr>
          <w:rFonts w:hint="eastAsia" w:ascii="宋体" w:hAnsi="宋体" w:eastAsia="宋体" w:cs="宋体"/>
          <w:b/>
          <w:bCs/>
          <w:sz w:val="24"/>
          <w:szCs w:val="24"/>
          <w:highlight w:val="none"/>
          <w:lang w:val="en-US" w:eastAsia="zh-CN" w:bidi="en-US"/>
        </w:rPr>
        <w:t>7.3签订合同</w:t>
      </w:r>
    </w:p>
    <w:p>
      <w:pPr>
        <w:pStyle w:val="54"/>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en-US"/>
        </w:rPr>
        <w:t>7.3.1</w:t>
      </w:r>
      <w:r>
        <w:rPr>
          <w:rFonts w:hint="eastAsia" w:ascii="宋体" w:hAnsi="宋体" w:eastAsia="宋体" w:cs="宋体"/>
          <w:sz w:val="24"/>
          <w:szCs w:val="24"/>
          <w:highlight w:val="none"/>
        </w:rPr>
        <w:t>采购人和成交人应当自成交通知书发出之日起30天内，根据磋商文件和成交人的响应文件订立书面合同。成交人无正当理由拒签合同的，采购人取消其成交资格；给采购人造成 的损失的，成交人还应当予以赔偿。</w:t>
      </w:r>
    </w:p>
    <w:p>
      <w:pPr>
        <w:pStyle w:val="54"/>
        <w:keepNext w:val="0"/>
        <w:keepLines w:val="0"/>
        <w:pageBreakBefore w:val="0"/>
        <w:widowControl w:val="0"/>
        <w:numPr>
          <w:ilvl w:val="0"/>
          <w:numId w:val="2"/>
        </w:numPr>
        <w:tabs>
          <w:tab w:val="left" w:pos="484"/>
        </w:tabs>
        <w:kinsoku/>
        <w:wordWrap/>
        <w:overflowPunct/>
        <w:topLinePunct w:val="0"/>
        <w:autoSpaceDE/>
        <w:autoSpaceDN/>
        <w:bidi w:val="0"/>
        <w:adjustRightInd/>
        <w:snapToGrid/>
        <w:spacing w:line="360" w:lineRule="auto"/>
        <w:ind w:firstLine="142"/>
        <w:textAlignment w:val="auto"/>
        <w:outlineLvl w:val="1"/>
        <w:rPr>
          <w:rFonts w:hint="eastAsia" w:ascii="宋体" w:hAnsi="宋体" w:eastAsia="宋体" w:cs="宋体"/>
          <w:sz w:val="24"/>
          <w:szCs w:val="24"/>
          <w:highlight w:val="none"/>
        </w:rPr>
      </w:pPr>
      <w:bookmarkStart w:id="43" w:name="bookmark97"/>
      <w:bookmarkEnd w:id="43"/>
      <w:r>
        <w:rPr>
          <w:rFonts w:hint="eastAsia" w:ascii="宋体" w:hAnsi="宋体" w:eastAsia="宋体" w:cs="宋体"/>
          <w:b/>
          <w:bCs/>
          <w:sz w:val="24"/>
          <w:szCs w:val="24"/>
          <w:highlight w:val="none"/>
        </w:rPr>
        <w:t>重新招标和不再招标</w:t>
      </w:r>
    </w:p>
    <w:p>
      <w:pPr>
        <w:pStyle w:val="54"/>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en-US" w:bidi="en-US"/>
        </w:rPr>
        <w:t>8.1</w:t>
      </w:r>
      <w:r>
        <w:rPr>
          <w:rFonts w:hint="eastAsia" w:ascii="宋体" w:hAnsi="宋体" w:eastAsia="宋体" w:cs="宋体"/>
          <w:b/>
          <w:bCs/>
          <w:sz w:val="24"/>
          <w:szCs w:val="24"/>
          <w:highlight w:val="none"/>
        </w:rPr>
        <w:t>重新招标</w:t>
      </w:r>
    </w:p>
    <w:p>
      <w:pPr>
        <w:pStyle w:val="54"/>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有下列情形之一的，采购人将重新招标：</w:t>
      </w:r>
    </w:p>
    <w:p>
      <w:pPr>
        <w:pStyle w:val="54"/>
        <w:spacing w:line="360" w:lineRule="auto"/>
        <w:ind w:firstLine="460"/>
        <w:rPr>
          <w:rFonts w:hint="eastAsia" w:ascii="宋体" w:hAnsi="宋体" w:eastAsia="宋体" w:cs="宋体"/>
          <w:sz w:val="24"/>
          <w:szCs w:val="24"/>
          <w:highlight w:val="none"/>
        </w:rPr>
      </w:pPr>
      <w:r>
        <w:rPr>
          <w:rFonts w:hint="eastAsia" w:ascii="宋体" w:hAnsi="宋体" w:eastAsia="宋体" w:cs="宋体"/>
          <w:sz w:val="24"/>
          <w:szCs w:val="24"/>
          <w:highlight w:val="none"/>
        </w:rPr>
        <w:t>（1）提交响应文件截止时间止，供应商少于3个的；</w:t>
      </w:r>
    </w:p>
    <w:p>
      <w:pPr>
        <w:pStyle w:val="54"/>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（2）符合专业条件的供应商或者对磋商文件作实质响应的供应商不足3家的。</w:t>
      </w:r>
    </w:p>
    <w:p>
      <w:pPr>
        <w:pStyle w:val="54"/>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en-US" w:bidi="en-US"/>
        </w:rPr>
      </w:pPr>
      <w:r>
        <w:rPr>
          <w:rFonts w:hint="eastAsia" w:ascii="宋体" w:hAnsi="宋体" w:eastAsia="宋体" w:cs="宋体"/>
          <w:b/>
          <w:bCs/>
          <w:sz w:val="24"/>
          <w:szCs w:val="24"/>
          <w:highlight w:val="none"/>
          <w:lang w:val="en-US" w:eastAsia="zh-CN" w:bidi="en-US"/>
        </w:rPr>
        <w:t>8.2</w:t>
      </w:r>
      <w:r>
        <w:rPr>
          <w:rFonts w:hint="eastAsia" w:ascii="宋体" w:hAnsi="宋体" w:eastAsia="宋体" w:cs="宋体"/>
          <w:b/>
          <w:bCs/>
          <w:sz w:val="24"/>
          <w:szCs w:val="24"/>
          <w:highlight w:val="none"/>
          <w:lang w:val="en-US" w:eastAsia="en-US" w:bidi="en-US"/>
        </w:rPr>
        <w:t>不再招标</w:t>
      </w:r>
    </w:p>
    <w:p>
      <w:pPr>
        <w:pStyle w:val="54"/>
        <w:spacing w:line="360" w:lineRule="auto"/>
        <w:ind w:left="140"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重新招标后供应商仍少于3个或者所有投标被否决的，属于必须审批或核准的工程建设项 目，经原审批或核准部门批准后不再进行招标。</w:t>
      </w:r>
    </w:p>
    <w:p>
      <w:pPr>
        <w:pStyle w:val="54"/>
        <w:keepNext w:val="0"/>
        <w:keepLines w:val="0"/>
        <w:pageBreakBefore w:val="0"/>
        <w:widowControl w:val="0"/>
        <w:numPr>
          <w:ilvl w:val="0"/>
          <w:numId w:val="2"/>
        </w:numPr>
        <w:tabs>
          <w:tab w:val="left" w:pos="484"/>
        </w:tabs>
        <w:kinsoku/>
        <w:wordWrap/>
        <w:overflowPunct/>
        <w:topLinePunct w:val="0"/>
        <w:autoSpaceDE/>
        <w:autoSpaceDN/>
        <w:bidi w:val="0"/>
        <w:adjustRightInd/>
        <w:snapToGrid/>
        <w:spacing w:line="360" w:lineRule="auto"/>
        <w:ind w:firstLine="142"/>
        <w:textAlignment w:val="auto"/>
        <w:outlineLvl w:val="1"/>
        <w:rPr>
          <w:rFonts w:hint="eastAsia" w:ascii="宋体" w:hAnsi="宋体" w:eastAsia="宋体" w:cs="宋体"/>
          <w:sz w:val="24"/>
          <w:szCs w:val="24"/>
          <w:highlight w:val="none"/>
        </w:rPr>
      </w:pPr>
      <w:bookmarkStart w:id="44" w:name="bookmark98"/>
      <w:bookmarkEnd w:id="44"/>
      <w:r>
        <w:rPr>
          <w:rFonts w:hint="eastAsia" w:ascii="宋体" w:hAnsi="宋体" w:eastAsia="宋体" w:cs="宋体"/>
          <w:b/>
          <w:bCs/>
          <w:sz w:val="24"/>
          <w:szCs w:val="24"/>
          <w:highlight w:val="none"/>
        </w:rPr>
        <w:t>纪律和监督</w:t>
      </w:r>
    </w:p>
    <w:p>
      <w:pPr>
        <w:pStyle w:val="54"/>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en-US" w:bidi="en-US"/>
        </w:rPr>
        <w:t>9.1</w:t>
      </w:r>
      <w:r>
        <w:rPr>
          <w:rFonts w:hint="eastAsia" w:ascii="宋体" w:hAnsi="宋体" w:eastAsia="宋体" w:cs="宋体"/>
          <w:b/>
          <w:bCs/>
          <w:sz w:val="24"/>
          <w:szCs w:val="24"/>
          <w:highlight w:val="none"/>
        </w:rPr>
        <w:t>对釆购人的纪律要求</w:t>
      </w:r>
    </w:p>
    <w:p>
      <w:pPr>
        <w:pStyle w:val="54"/>
        <w:spacing w:line="360" w:lineRule="auto"/>
        <w:ind w:left="140"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采购人不得泄漏磋商活动中应当保密的情况和资料，不得与供应商串通损害国家利益、社会公共利益或者他人合法权益。</w:t>
      </w:r>
    </w:p>
    <w:p>
      <w:pPr>
        <w:pStyle w:val="54"/>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en-US" w:bidi="en-US"/>
        </w:rPr>
      </w:pPr>
      <w:r>
        <w:rPr>
          <w:rFonts w:hint="eastAsia" w:ascii="宋体" w:hAnsi="宋体" w:eastAsia="宋体" w:cs="宋体"/>
          <w:b/>
          <w:bCs/>
          <w:sz w:val="24"/>
          <w:szCs w:val="24"/>
          <w:highlight w:val="none"/>
          <w:lang w:val="en-US" w:eastAsia="zh-CN" w:bidi="en-US"/>
        </w:rPr>
        <w:t>9.2</w:t>
      </w:r>
      <w:r>
        <w:rPr>
          <w:rFonts w:hint="eastAsia" w:ascii="宋体" w:hAnsi="宋体" w:eastAsia="宋体" w:cs="宋体"/>
          <w:b/>
          <w:bCs/>
          <w:sz w:val="24"/>
          <w:szCs w:val="24"/>
          <w:highlight w:val="none"/>
          <w:lang w:val="en-US" w:eastAsia="en-US" w:bidi="en-US"/>
        </w:rPr>
        <w:t>对供应商的纪律要求</w:t>
      </w:r>
    </w:p>
    <w:p>
      <w:pPr>
        <w:pStyle w:val="54"/>
        <w:spacing w:line="360" w:lineRule="auto"/>
        <w:ind w:left="140"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供应商不得相互串通或者与采购人串通，不得向采购人或者磋商小组行贿谋取中标，不得 以他人名义投标或者以其他方式弄虚作假骗取中标；供应商不得以任何方式干扰、影响评标工作。</w:t>
      </w:r>
    </w:p>
    <w:p>
      <w:pPr>
        <w:pStyle w:val="54"/>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zh-CN" w:bidi="en-US"/>
        </w:rPr>
      </w:pPr>
      <w:r>
        <w:rPr>
          <w:rFonts w:hint="eastAsia" w:ascii="宋体" w:hAnsi="宋体" w:eastAsia="宋体" w:cs="宋体"/>
          <w:b/>
          <w:bCs/>
          <w:sz w:val="24"/>
          <w:szCs w:val="24"/>
          <w:highlight w:val="none"/>
          <w:lang w:val="en-US" w:eastAsia="zh-CN" w:bidi="en-US"/>
        </w:rPr>
        <w:t>9.3对磋商小组成员的纪律要求</w:t>
      </w:r>
    </w:p>
    <w:p>
      <w:pPr>
        <w:pStyle w:val="54"/>
        <w:spacing w:line="360" w:lineRule="auto"/>
        <w:ind w:left="140"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磋商小组成员不得收受他人的财物或者其他好处，不得向他人透漏对响应文件的评审和比 较、成交候选人的推荐情况以及评标有关的其他情况。在磋商活动中，磋商小组成员不得擅离 职守，影响评标程序正常进行，不得使用第三章“评标办法</w:t>
      </w:r>
      <w:r>
        <w:rPr>
          <w:rFonts w:hint="eastAsia" w:ascii="宋体" w:hAnsi="宋体" w:eastAsia="宋体" w:cs="宋体"/>
          <w:sz w:val="24"/>
          <w:szCs w:val="24"/>
          <w:highlight w:val="none"/>
          <w:lang w:val="en-US" w:eastAsia="zh-CN" w:bidi="en-US"/>
        </w:rPr>
        <w:t>''</w:t>
      </w:r>
      <w:r>
        <w:rPr>
          <w:rFonts w:hint="eastAsia" w:ascii="宋体" w:hAnsi="宋体" w:eastAsia="宋体" w:cs="宋体"/>
          <w:sz w:val="24"/>
          <w:szCs w:val="24"/>
          <w:highlight w:val="none"/>
        </w:rPr>
        <w:t>没有规定的评审因素和标准进行评标。</w:t>
      </w:r>
    </w:p>
    <w:p>
      <w:pPr>
        <w:pStyle w:val="54"/>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zh-CN" w:bidi="en-US"/>
        </w:rPr>
      </w:pPr>
      <w:r>
        <w:rPr>
          <w:rFonts w:hint="eastAsia" w:ascii="宋体" w:hAnsi="宋体" w:eastAsia="宋体" w:cs="宋体"/>
          <w:b/>
          <w:bCs/>
          <w:sz w:val="24"/>
          <w:szCs w:val="24"/>
          <w:highlight w:val="none"/>
          <w:lang w:val="en-US" w:eastAsia="zh-CN" w:bidi="en-US"/>
        </w:rPr>
        <w:t>9.4对与评标活动有关的工作人员的纪律要求</w:t>
      </w:r>
    </w:p>
    <w:p>
      <w:pPr>
        <w:pStyle w:val="54"/>
        <w:spacing w:line="360" w:lineRule="auto"/>
        <w:ind w:left="140"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与评标活动有关的工作人员不得收受他人的财物或者其他好处，不得向他人透漏对响应文 件的评审和比较、成交候选人的推荐情况以及评标有关的其他情况。在评标活动中，与评标活 动有关的工作人员不得擅离职守，影响评标程序正常进行。</w:t>
      </w:r>
    </w:p>
    <w:p>
      <w:pPr>
        <w:pStyle w:val="54"/>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2"/>
        <w:rPr>
          <w:rFonts w:hint="eastAsia" w:ascii="宋体" w:hAnsi="宋体" w:eastAsia="宋体" w:cs="宋体"/>
          <w:b/>
          <w:bCs/>
          <w:sz w:val="24"/>
          <w:szCs w:val="24"/>
          <w:highlight w:val="none"/>
          <w:lang w:val="en-US" w:eastAsia="zh-CN" w:bidi="en-US"/>
        </w:rPr>
      </w:pPr>
      <w:r>
        <w:rPr>
          <w:rFonts w:hint="eastAsia" w:ascii="宋体" w:hAnsi="宋体" w:eastAsia="宋体" w:cs="宋体"/>
          <w:b/>
          <w:bCs/>
          <w:sz w:val="24"/>
          <w:szCs w:val="24"/>
          <w:highlight w:val="none"/>
          <w:lang w:val="en-US" w:eastAsia="zh-CN" w:bidi="en-US"/>
        </w:rPr>
        <w:t>9.5投诉</w:t>
      </w:r>
    </w:p>
    <w:p>
      <w:pPr>
        <w:pStyle w:val="54"/>
        <w:spacing w:line="360" w:lineRule="auto"/>
        <w:ind w:firstLine="56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供应商和其他利害关系人认为本次磋商活动违反法律、法规和规章规定的，有权向有关行政监督部门投诉。</w:t>
      </w:r>
    </w:p>
    <w:p>
      <w:pPr>
        <w:pStyle w:val="54"/>
        <w:keepNext w:val="0"/>
        <w:keepLines w:val="0"/>
        <w:pageBreakBefore w:val="0"/>
        <w:widowControl w:val="0"/>
        <w:kinsoku/>
        <w:wordWrap/>
        <w:overflowPunct/>
        <w:topLinePunct w:val="0"/>
        <w:autoSpaceDE/>
        <w:autoSpaceDN/>
        <w:bidi w:val="0"/>
        <w:adjustRightInd/>
        <w:snapToGrid/>
        <w:spacing w:line="360" w:lineRule="auto"/>
        <w:ind w:firstLine="142"/>
        <w:textAlignment w:val="auto"/>
        <w:outlineLvl w:val="1"/>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bidi="en-US"/>
        </w:rPr>
        <w:t>10.</w:t>
      </w:r>
      <w:r>
        <w:rPr>
          <w:rFonts w:hint="eastAsia" w:ascii="宋体" w:hAnsi="宋体" w:eastAsia="宋体" w:cs="宋体"/>
          <w:b/>
          <w:bCs/>
          <w:sz w:val="24"/>
          <w:szCs w:val="24"/>
          <w:highlight w:val="none"/>
        </w:rPr>
        <w:t>需要补充的其他内容</w:t>
      </w:r>
    </w:p>
    <w:p>
      <w:pPr>
        <w:pStyle w:val="54"/>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需要补充的其他内容：见供应商须知前附表</w:t>
      </w:r>
    </w:p>
    <w:p>
      <w:pPr>
        <w:ind w:firstLine="560"/>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br w:type="page"/>
      </w:r>
    </w:p>
    <w:p>
      <w:pPr>
        <w:pStyle w:val="40"/>
        <w:keepNext/>
        <w:keepLines/>
        <w:spacing w:after="300" w:line="240" w:lineRule="auto"/>
        <w:rPr>
          <w:sz w:val="32"/>
          <w:szCs w:val="32"/>
          <w:highlight w:val="none"/>
        </w:rPr>
      </w:pPr>
      <w:bookmarkStart w:id="45" w:name="bookmark116"/>
      <w:bookmarkStart w:id="46" w:name="bookmark115"/>
      <w:bookmarkStart w:id="47" w:name="_Toc29902"/>
      <w:bookmarkStart w:id="48" w:name="_Toc15448"/>
      <w:bookmarkStart w:id="49" w:name="_Toc2057"/>
      <w:bookmarkStart w:id="50" w:name="_Toc12951"/>
      <w:bookmarkStart w:id="51" w:name="bookmark118"/>
      <w:bookmarkStart w:id="52" w:name="_Toc26900"/>
      <w:bookmarkStart w:id="53" w:name="_Toc6622"/>
      <w:r>
        <w:rPr>
          <w:sz w:val="32"/>
          <w:szCs w:val="32"/>
          <w:highlight w:val="none"/>
        </w:rPr>
        <w:t>第三章</w:t>
      </w:r>
      <w:r>
        <w:rPr>
          <w:rFonts w:hint="eastAsia"/>
          <w:sz w:val="32"/>
          <w:szCs w:val="32"/>
          <w:highlight w:val="none"/>
          <w:lang w:val="en-US" w:eastAsia="zh-CN"/>
        </w:rPr>
        <w:t xml:space="preserve"> </w:t>
      </w:r>
      <w:r>
        <w:rPr>
          <w:sz w:val="32"/>
          <w:szCs w:val="32"/>
          <w:highlight w:val="none"/>
        </w:rPr>
        <w:t>评标办法（综合评分法）</w:t>
      </w:r>
      <w:bookmarkEnd w:id="45"/>
      <w:bookmarkEnd w:id="46"/>
      <w:bookmarkEnd w:id="47"/>
      <w:bookmarkEnd w:id="48"/>
      <w:bookmarkEnd w:id="49"/>
      <w:bookmarkEnd w:id="50"/>
      <w:bookmarkEnd w:id="51"/>
      <w:bookmarkEnd w:id="52"/>
      <w:bookmarkEnd w:id="53"/>
    </w:p>
    <w:p>
      <w:pPr>
        <w:pStyle w:val="44"/>
        <w:keepNext w:val="0"/>
        <w:keepLines w:val="0"/>
        <w:pageBreakBefore w:val="0"/>
        <w:widowControl w:val="0"/>
        <w:kinsoku/>
        <w:wordWrap/>
        <w:overflowPunct/>
        <w:topLinePunct w:val="0"/>
        <w:autoSpaceDE/>
        <w:autoSpaceDN/>
        <w:bidi w:val="0"/>
        <w:adjustRightInd/>
        <w:snapToGrid/>
        <w:spacing w:after="140" w:line="240" w:lineRule="auto"/>
        <w:ind w:left="0"/>
        <w:jc w:val="center"/>
        <w:textAlignment w:val="auto"/>
        <w:outlineLvl w:val="1"/>
        <w:rPr>
          <w:sz w:val="28"/>
          <w:szCs w:val="28"/>
          <w:highlight w:val="none"/>
        </w:rPr>
      </w:pPr>
      <w:r>
        <w:rPr>
          <w:sz w:val="28"/>
          <w:szCs w:val="28"/>
          <w:highlight w:val="none"/>
        </w:rPr>
        <w:t>评标办法前附表</w:t>
      </w:r>
    </w:p>
    <w:tbl>
      <w:tblPr>
        <w:tblStyle w:val="20"/>
        <w:tblW w:w="9124" w:type="dxa"/>
        <w:jc w:val="center"/>
        <w:tblLayout w:type="fixed"/>
        <w:tblCellMar>
          <w:top w:w="0" w:type="dxa"/>
          <w:left w:w="10" w:type="dxa"/>
          <w:bottom w:w="0" w:type="dxa"/>
          <w:right w:w="10" w:type="dxa"/>
        </w:tblCellMar>
      </w:tblPr>
      <w:tblGrid>
        <w:gridCol w:w="1154"/>
        <w:gridCol w:w="1551"/>
        <w:gridCol w:w="2251"/>
        <w:gridCol w:w="4168"/>
      </w:tblGrid>
      <w:tr>
        <w:tblPrEx>
          <w:tblCellMar>
            <w:top w:w="0" w:type="dxa"/>
            <w:left w:w="10" w:type="dxa"/>
            <w:bottom w:w="0" w:type="dxa"/>
            <w:right w:w="10" w:type="dxa"/>
          </w:tblCellMar>
        </w:tblPrEx>
        <w:trPr>
          <w:trHeight w:val="396" w:hRule="atLeast"/>
          <w:jc w:val="center"/>
        </w:trPr>
        <w:tc>
          <w:tcPr>
            <w:tcW w:w="27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0"/>
              <w:spacing w:line="240" w:lineRule="auto"/>
              <w:ind w:firstLine="0"/>
              <w:jc w:val="center"/>
              <w:rPr>
                <w:sz w:val="24"/>
                <w:szCs w:val="24"/>
                <w:highlight w:val="none"/>
              </w:rPr>
            </w:pPr>
            <w:r>
              <w:rPr>
                <w:rFonts w:hint="eastAsia"/>
                <w:b/>
                <w:bCs/>
                <w:sz w:val="24"/>
                <w:szCs w:val="24"/>
                <w:highlight w:val="none"/>
              </w:rPr>
              <w:t>条款号</w:t>
            </w: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0"/>
              <w:spacing w:line="240" w:lineRule="auto"/>
              <w:ind w:firstLine="0"/>
              <w:jc w:val="center"/>
              <w:rPr>
                <w:sz w:val="24"/>
                <w:szCs w:val="24"/>
                <w:highlight w:val="none"/>
              </w:rPr>
            </w:pPr>
            <w:r>
              <w:rPr>
                <w:rFonts w:hint="eastAsia"/>
                <w:b/>
                <w:bCs/>
                <w:sz w:val="24"/>
                <w:szCs w:val="24"/>
                <w:highlight w:val="none"/>
              </w:rPr>
              <w:t>评审因素</w:t>
            </w:r>
          </w:p>
        </w:tc>
        <w:tc>
          <w:tcPr>
            <w:tcW w:w="41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0"/>
              <w:spacing w:line="240" w:lineRule="auto"/>
              <w:ind w:firstLine="0"/>
              <w:jc w:val="center"/>
              <w:rPr>
                <w:sz w:val="24"/>
                <w:szCs w:val="24"/>
                <w:highlight w:val="none"/>
              </w:rPr>
            </w:pPr>
            <w:r>
              <w:rPr>
                <w:rFonts w:hint="eastAsia"/>
                <w:b/>
                <w:bCs/>
                <w:sz w:val="24"/>
                <w:szCs w:val="24"/>
                <w:highlight w:val="none"/>
              </w:rPr>
              <w:t>评审标准</w:t>
            </w:r>
          </w:p>
        </w:tc>
      </w:tr>
      <w:tr>
        <w:tblPrEx>
          <w:tblCellMar>
            <w:top w:w="0" w:type="dxa"/>
            <w:left w:w="10" w:type="dxa"/>
            <w:bottom w:w="0" w:type="dxa"/>
            <w:right w:w="10" w:type="dxa"/>
          </w:tblCellMar>
        </w:tblPrEx>
        <w:trPr>
          <w:trHeight w:val="396" w:hRule="atLeast"/>
          <w:jc w:val="center"/>
        </w:trPr>
        <w:tc>
          <w:tcPr>
            <w:tcW w:w="115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60"/>
              <w:spacing w:line="240" w:lineRule="auto"/>
              <w:ind w:firstLine="0"/>
              <w:jc w:val="center"/>
              <w:rPr>
                <w:sz w:val="24"/>
                <w:szCs w:val="24"/>
                <w:highlight w:val="none"/>
              </w:rPr>
            </w:pPr>
            <w:r>
              <w:rPr>
                <w:rFonts w:hint="eastAsia"/>
                <w:sz w:val="24"/>
                <w:szCs w:val="24"/>
                <w:highlight w:val="none"/>
                <w:lang w:val="en-US" w:eastAsia="en-US" w:bidi="en-US"/>
              </w:rPr>
              <w:t>2.1.1</w:t>
            </w:r>
          </w:p>
        </w:tc>
        <w:tc>
          <w:tcPr>
            <w:tcW w:w="155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60"/>
              <w:spacing w:line="240" w:lineRule="auto"/>
              <w:ind w:firstLine="0"/>
              <w:jc w:val="center"/>
              <w:rPr>
                <w:sz w:val="24"/>
                <w:szCs w:val="24"/>
                <w:highlight w:val="none"/>
              </w:rPr>
            </w:pPr>
            <w:r>
              <w:rPr>
                <w:rFonts w:hint="eastAsia"/>
                <w:sz w:val="24"/>
                <w:szCs w:val="24"/>
                <w:highlight w:val="none"/>
              </w:rPr>
              <w:t>形式评审标准</w:t>
            </w: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0"/>
              <w:spacing w:line="240" w:lineRule="auto"/>
              <w:ind w:firstLine="0"/>
              <w:jc w:val="center"/>
              <w:rPr>
                <w:sz w:val="24"/>
                <w:szCs w:val="24"/>
                <w:highlight w:val="none"/>
              </w:rPr>
            </w:pPr>
            <w:r>
              <w:rPr>
                <w:rFonts w:hint="eastAsia"/>
                <w:sz w:val="24"/>
                <w:szCs w:val="24"/>
                <w:highlight w:val="none"/>
              </w:rPr>
              <w:t>供应商名称</w:t>
            </w:r>
          </w:p>
        </w:tc>
        <w:tc>
          <w:tcPr>
            <w:tcW w:w="41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0"/>
              <w:spacing w:line="240" w:lineRule="auto"/>
              <w:ind w:firstLine="0"/>
              <w:rPr>
                <w:sz w:val="24"/>
                <w:szCs w:val="24"/>
                <w:highlight w:val="none"/>
              </w:rPr>
            </w:pPr>
            <w:r>
              <w:rPr>
                <w:rFonts w:hint="eastAsia"/>
                <w:sz w:val="24"/>
                <w:szCs w:val="24"/>
                <w:highlight w:val="none"/>
              </w:rPr>
              <w:t>与营业执照、资质证书一致</w:t>
            </w:r>
          </w:p>
        </w:tc>
      </w:tr>
      <w:tr>
        <w:tblPrEx>
          <w:tblCellMar>
            <w:top w:w="0" w:type="dxa"/>
            <w:left w:w="10" w:type="dxa"/>
            <w:bottom w:w="0" w:type="dxa"/>
            <w:right w:w="10" w:type="dxa"/>
          </w:tblCellMar>
        </w:tblPrEx>
        <w:trPr>
          <w:trHeight w:val="1012" w:hRule="atLeast"/>
          <w:jc w:val="center"/>
        </w:trPr>
        <w:tc>
          <w:tcPr>
            <w:tcW w:w="115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eastAsia="宋体" w:cs="宋体"/>
                <w:highlight w:val="none"/>
                <w:lang w:eastAsia="zh-CN"/>
              </w:rPr>
            </w:pPr>
          </w:p>
        </w:tc>
        <w:tc>
          <w:tcPr>
            <w:tcW w:w="155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eastAsia="宋体" w:cs="宋体"/>
                <w:highlight w:val="none"/>
                <w:lang w:eastAsia="zh-CN"/>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0"/>
              <w:spacing w:line="240" w:lineRule="auto"/>
              <w:ind w:firstLine="0"/>
              <w:jc w:val="center"/>
              <w:rPr>
                <w:sz w:val="24"/>
                <w:szCs w:val="24"/>
                <w:highlight w:val="none"/>
              </w:rPr>
            </w:pPr>
            <w:r>
              <w:rPr>
                <w:rFonts w:hint="eastAsia"/>
                <w:sz w:val="24"/>
                <w:szCs w:val="24"/>
                <w:highlight w:val="none"/>
              </w:rPr>
              <w:t>磋商函签字盖章</w:t>
            </w:r>
          </w:p>
        </w:tc>
        <w:tc>
          <w:tcPr>
            <w:tcW w:w="41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0"/>
              <w:spacing w:line="360" w:lineRule="exact"/>
              <w:ind w:firstLine="0"/>
              <w:rPr>
                <w:sz w:val="24"/>
                <w:szCs w:val="24"/>
                <w:highlight w:val="none"/>
              </w:rPr>
            </w:pPr>
            <w:r>
              <w:rPr>
                <w:rFonts w:hint="eastAsia"/>
                <w:sz w:val="24"/>
                <w:szCs w:val="24"/>
                <w:highlight w:val="none"/>
              </w:rPr>
              <w:t>有法定代表人或其委托代理人签字或盖章并加盖单位章</w:t>
            </w:r>
          </w:p>
        </w:tc>
      </w:tr>
      <w:tr>
        <w:tblPrEx>
          <w:tblCellMar>
            <w:top w:w="0" w:type="dxa"/>
            <w:left w:w="10" w:type="dxa"/>
            <w:bottom w:w="0" w:type="dxa"/>
            <w:right w:w="10" w:type="dxa"/>
          </w:tblCellMar>
        </w:tblPrEx>
        <w:trPr>
          <w:trHeight w:val="498" w:hRule="atLeast"/>
          <w:jc w:val="center"/>
        </w:trPr>
        <w:tc>
          <w:tcPr>
            <w:tcW w:w="115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eastAsia="宋体" w:cs="宋体"/>
                <w:highlight w:val="none"/>
                <w:lang w:eastAsia="zh-CN"/>
              </w:rPr>
            </w:pPr>
          </w:p>
        </w:tc>
        <w:tc>
          <w:tcPr>
            <w:tcW w:w="155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eastAsia="宋体" w:cs="宋体"/>
                <w:highlight w:val="none"/>
                <w:lang w:eastAsia="zh-CN"/>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0"/>
              <w:spacing w:line="240" w:lineRule="auto"/>
              <w:ind w:firstLine="0"/>
              <w:jc w:val="center"/>
              <w:rPr>
                <w:sz w:val="24"/>
                <w:szCs w:val="24"/>
                <w:highlight w:val="none"/>
              </w:rPr>
            </w:pPr>
            <w:r>
              <w:rPr>
                <w:rFonts w:hint="eastAsia"/>
                <w:sz w:val="24"/>
                <w:szCs w:val="24"/>
                <w:highlight w:val="none"/>
              </w:rPr>
              <w:t>响应文件格式</w:t>
            </w:r>
          </w:p>
        </w:tc>
        <w:tc>
          <w:tcPr>
            <w:tcW w:w="41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0"/>
              <w:spacing w:line="240" w:lineRule="auto"/>
              <w:ind w:firstLine="0"/>
              <w:rPr>
                <w:sz w:val="24"/>
                <w:szCs w:val="24"/>
                <w:highlight w:val="none"/>
              </w:rPr>
            </w:pPr>
            <w:r>
              <w:rPr>
                <w:rFonts w:hint="eastAsia"/>
                <w:sz w:val="24"/>
                <w:szCs w:val="24"/>
                <w:highlight w:val="none"/>
              </w:rPr>
              <w:t>符合第</w:t>
            </w:r>
            <w:r>
              <w:rPr>
                <w:rFonts w:hint="eastAsia"/>
                <w:sz w:val="24"/>
                <w:szCs w:val="24"/>
                <w:highlight w:val="none"/>
                <w:lang w:val="en-US" w:eastAsia="zh-CN"/>
              </w:rPr>
              <w:t>六</w:t>
            </w:r>
            <w:r>
              <w:rPr>
                <w:rFonts w:hint="eastAsia"/>
                <w:sz w:val="24"/>
                <w:szCs w:val="24"/>
                <w:highlight w:val="none"/>
              </w:rPr>
              <w:t>章</w:t>
            </w:r>
            <w:r>
              <w:rPr>
                <w:rFonts w:hint="eastAsia"/>
                <w:sz w:val="24"/>
                <w:szCs w:val="24"/>
                <w:highlight w:val="none"/>
                <w:lang w:val="zh-CN" w:eastAsia="zh-CN" w:bidi="zh-CN"/>
              </w:rPr>
              <w:t>“竞</w:t>
            </w:r>
            <w:r>
              <w:rPr>
                <w:rFonts w:hint="eastAsia"/>
                <w:sz w:val="24"/>
                <w:szCs w:val="24"/>
                <w:highlight w:val="none"/>
              </w:rPr>
              <w:t>争性磋商响应文件格式”的要求</w:t>
            </w:r>
          </w:p>
        </w:tc>
      </w:tr>
      <w:tr>
        <w:tblPrEx>
          <w:tblCellMar>
            <w:top w:w="0" w:type="dxa"/>
            <w:left w:w="10" w:type="dxa"/>
            <w:bottom w:w="0" w:type="dxa"/>
            <w:right w:w="10" w:type="dxa"/>
          </w:tblCellMar>
        </w:tblPrEx>
        <w:trPr>
          <w:trHeight w:val="913" w:hRule="atLeast"/>
          <w:jc w:val="center"/>
        </w:trPr>
        <w:tc>
          <w:tcPr>
            <w:tcW w:w="115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60"/>
              <w:spacing w:line="240" w:lineRule="auto"/>
              <w:ind w:firstLine="0"/>
              <w:jc w:val="center"/>
              <w:rPr>
                <w:sz w:val="24"/>
                <w:szCs w:val="24"/>
                <w:highlight w:val="none"/>
              </w:rPr>
            </w:pPr>
            <w:r>
              <w:rPr>
                <w:rFonts w:hint="eastAsia"/>
                <w:sz w:val="24"/>
                <w:szCs w:val="24"/>
                <w:highlight w:val="none"/>
                <w:lang w:val="en-US" w:eastAsia="en-US" w:bidi="en-US"/>
              </w:rPr>
              <w:t>2.1.2</w:t>
            </w:r>
          </w:p>
        </w:tc>
        <w:tc>
          <w:tcPr>
            <w:tcW w:w="155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60"/>
              <w:spacing w:line="240" w:lineRule="auto"/>
              <w:ind w:firstLine="0"/>
              <w:jc w:val="center"/>
              <w:rPr>
                <w:sz w:val="24"/>
                <w:szCs w:val="24"/>
                <w:highlight w:val="none"/>
              </w:rPr>
            </w:pPr>
            <w:r>
              <w:rPr>
                <w:rFonts w:hint="eastAsia"/>
                <w:sz w:val="24"/>
                <w:szCs w:val="24"/>
                <w:highlight w:val="none"/>
              </w:rPr>
              <w:t>资格评审标准</w:t>
            </w: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0"/>
              <w:spacing w:line="240" w:lineRule="auto"/>
              <w:ind w:firstLine="0"/>
              <w:jc w:val="center"/>
              <w:rPr>
                <w:sz w:val="24"/>
                <w:szCs w:val="24"/>
                <w:highlight w:val="none"/>
              </w:rPr>
            </w:pPr>
            <w:r>
              <w:rPr>
                <w:rFonts w:hint="eastAsia"/>
                <w:sz w:val="24"/>
                <w:szCs w:val="24"/>
                <w:highlight w:val="none"/>
              </w:rPr>
              <w:t>具有独立承担民事责任的能力</w:t>
            </w:r>
          </w:p>
        </w:tc>
        <w:tc>
          <w:tcPr>
            <w:tcW w:w="41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0"/>
              <w:spacing w:line="360" w:lineRule="exact"/>
              <w:ind w:firstLine="0"/>
              <w:rPr>
                <w:sz w:val="24"/>
                <w:szCs w:val="24"/>
                <w:highlight w:val="none"/>
              </w:rPr>
            </w:pPr>
            <w:r>
              <w:rPr>
                <w:rFonts w:hint="eastAsia"/>
                <w:sz w:val="24"/>
                <w:szCs w:val="24"/>
                <w:highlight w:val="none"/>
              </w:rPr>
              <w:t>具有有效的企业营业执照</w:t>
            </w:r>
          </w:p>
        </w:tc>
      </w:tr>
      <w:tr>
        <w:tblPrEx>
          <w:tblCellMar>
            <w:top w:w="0" w:type="dxa"/>
            <w:left w:w="10" w:type="dxa"/>
            <w:bottom w:w="0" w:type="dxa"/>
            <w:right w:w="10" w:type="dxa"/>
          </w:tblCellMar>
        </w:tblPrEx>
        <w:trPr>
          <w:trHeight w:val="913" w:hRule="atLeast"/>
          <w:jc w:val="center"/>
        </w:trPr>
        <w:tc>
          <w:tcPr>
            <w:tcW w:w="1154" w:type="dxa"/>
            <w:vMerge w:val="continue"/>
            <w:tcBorders>
              <w:left w:val="single" w:color="auto" w:sz="4" w:space="0"/>
              <w:right w:val="single" w:color="auto" w:sz="4" w:space="0"/>
            </w:tcBorders>
            <w:shd w:val="clear" w:color="auto" w:fill="FFFFFF"/>
            <w:vAlign w:val="center"/>
          </w:tcPr>
          <w:p>
            <w:pPr>
              <w:pStyle w:val="60"/>
              <w:spacing w:line="240" w:lineRule="auto"/>
              <w:ind w:firstLine="0"/>
              <w:jc w:val="center"/>
              <w:rPr>
                <w:sz w:val="24"/>
                <w:szCs w:val="24"/>
                <w:highlight w:val="none"/>
                <w:lang w:val="en-US" w:eastAsia="zh-CN" w:bidi="en-US"/>
              </w:rPr>
            </w:pPr>
          </w:p>
        </w:tc>
        <w:tc>
          <w:tcPr>
            <w:tcW w:w="1551" w:type="dxa"/>
            <w:vMerge w:val="continue"/>
            <w:tcBorders>
              <w:left w:val="single" w:color="auto" w:sz="4" w:space="0"/>
              <w:right w:val="single" w:color="auto" w:sz="4" w:space="0"/>
            </w:tcBorders>
            <w:shd w:val="clear" w:color="auto" w:fill="FFFFFF"/>
            <w:vAlign w:val="center"/>
          </w:tcPr>
          <w:p>
            <w:pPr>
              <w:pStyle w:val="60"/>
              <w:spacing w:line="240" w:lineRule="auto"/>
              <w:ind w:firstLine="0"/>
              <w:jc w:val="center"/>
              <w:rPr>
                <w:sz w:val="24"/>
                <w:szCs w:val="24"/>
                <w:highlight w:val="none"/>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0"/>
              <w:spacing w:line="240" w:lineRule="auto"/>
              <w:ind w:firstLine="0"/>
              <w:jc w:val="center"/>
              <w:rPr>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资质要求</w:t>
            </w:r>
          </w:p>
        </w:tc>
        <w:tc>
          <w:tcPr>
            <w:tcW w:w="41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0"/>
              <w:spacing w:line="360" w:lineRule="exact"/>
              <w:ind w:firstLine="0"/>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供应商须具备行政主管部门核发的城乡规划编制</w:t>
            </w:r>
            <w:r>
              <w:rPr>
                <w:rFonts w:hint="eastAsia"/>
                <w:color w:val="000000" w:themeColor="text1"/>
                <w:sz w:val="24"/>
                <w:szCs w:val="24"/>
                <w:highlight w:val="none"/>
                <w:lang w:val="en-US" w:eastAsia="zh-CN"/>
                <w14:textFill>
                  <w14:solidFill>
                    <w14:schemeClr w14:val="tx1"/>
                  </w14:solidFill>
                </w14:textFill>
              </w:rPr>
              <w:t>乙</w:t>
            </w:r>
            <w:r>
              <w:rPr>
                <w:rFonts w:hint="eastAsia"/>
                <w:color w:val="000000" w:themeColor="text1"/>
                <w:sz w:val="24"/>
                <w:szCs w:val="24"/>
                <w:highlight w:val="none"/>
                <w:lang w:eastAsia="zh-CN"/>
                <w14:textFill>
                  <w14:solidFill>
                    <w14:schemeClr w14:val="tx1"/>
                  </w14:solidFill>
                </w14:textFill>
              </w:rPr>
              <w:t>级资质证书</w:t>
            </w:r>
          </w:p>
        </w:tc>
      </w:tr>
      <w:tr>
        <w:tblPrEx>
          <w:tblCellMar>
            <w:top w:w="0" w:type="dxa"/>
            <w:left w:w="10" w:type="dxa"/>
            <w:bottom w:w="0" w:type="dxa"/>
            <w:right w:w="10" w:type="dxa"/>
          </w:tblCellMar>
        </w:tblPrEx>
        <w:trPr>
          <w:trHeight w:val="128" w:hRule="atLeast"/>
          <w:jc w:val="center"/>
        </w:trPr>
        <w:tc>
          <w:tcPr>
            <w:tcW w:w="1154" w:type="dxa"/>
            <w:vMerge w:val="continue"/>
            <w:tcBorders>
              <w:left w:val="single" w:color="auto" w:sz="4" w:space="0"/>
              <w:right w:val="single" w:color="auto" w:sz="4" w:space="0"/>
            </w:tcBorders>
            <w:shd w:val="clear" w:color="auto" w:fill="FFFFFF"/>
            <w:vAlign w:val="center"/>
          </w:tcPr>
          <w:p>
            <w:pPr>
              <w:pStyle w:val="60"/>
              <w:spacing w:line="240" w:lineRule="auto"/>
              <w:ind w:firstLine="0"/>
              <w:jc w:val="center"/>
              <w:rPr>
                <w:sz w:val="24"/>
                <w:szCs w:val="24"/>
                <w:highlight w:val="none"/>
                <w:lang w:val="en-US" w:eastAsia="zh-CN" w:bidi="en-US"/>
              </w:rPr>
            </w:pPr>
          </w:p>
        </w:tc>
        <w:tc>
          <w:tcPr>
            <w:tcW w:w="1551" w:type="dxa"/>
            <w:vMerge w:val="continue"/>
            <w:tcBorders>
              <w:left w:val="single" w:color="auto" w:sz="4" w:space="0"/>
              <w:right w:val="single" w:color="auto" w:sz="4" w:space="0"/>
            </w:tcBorders>
            <w:shd w:val="clear" w:color="auto" w:fill="FFFFFF"/>
            <w:vAlign w:val="center"/>
          </w:tcPr>
          <w:p>
            <w:pPr>
              <w:pStyle w:val="60"/>
              <w:spacing w:line="240" w:lineRule="auto"/>
              <w:ind w:firstLine="0"/>
              <w:jc w:val="center"/>
              <w:rPr>
                <w:sz w:val="24"/>
                <w:szCs w:val="24"/>
                <w:highlight w:val="none"/>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0"/>
              <w:spacing w:line="240" w:lineRule="auto"/>
              <w:ind w:firstLine="0"/>
              <w:jc w:val="center"/>
              <w:rPr>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项目负责人要求</w:t>
            </w:r>
          </w:p>
        </w:tc>
        <w:tc>
          <w:tcPr>
            <w:tcW w:w="41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0"/>
              <w:spacing w:line="360" w:lineRule="exact"/>
              <w:ind w:firstLine="0"/>
              <w:rPr>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项目负责人具有国家注册城市（乡）规划师注册证书及</w:t>
            </w:r>
            <w:r>
              <w:rPr>
                <w:rFonts w:hint="eastAsia"/>
                <w:color w:val="000000" w:themeColor="text1"/>
                <w:sz w:val="24"/>
                <w:szCs w:val="24"/>
                <w:highlight w:val="none"/>
                <w:lang w:val="en-US" w:eastAsia="zh-CN"/>
                <w14:textFill>
                  <w14:solidFill>
                    <w14:schemeClr w14:val="tx1"/>
                  </w14:solidFill>
                </w14:textFill>
              </w:rPr>
              <w:t>中</w:t>
            </w:r>
            <w:r>
              <w:rPr>
                <w:rFonts w:hint="eastAsia"/>
                <w:color w:val="000000" w:themeColor="text1"/>
                <w:sz w:val="24"/>
                <w:szCs w:val="24"/>
                <w:highlight w:val="none"/>
                <w:lang w:eastAsia="zh-CN"/>
                <w14:textFill>
                  <w14:solidFill>
                    <w14:schemeClr w14:val="tx1"/>
                  </w14:solidFill>
                </w14:textFill>
              </w:rPr>
              <w:t>级工程师及以上职称</w:t>
            </w:r>
          </w:p>
        </w:tc>
      </w:tr>
      <w:tr>
        <w:tblPrEx>
          <w:tblCellMar>
            <w:top w:w="0" w:type="dxa"/>
            <w:left w:w="10" w:type="dxa"/>
            <w:bottom w:w="0" w:type="dxa"/>
            <w:right w:w="10" w:type="dxa"/>
          </w:tblCellMar>
        </w:tblPrEx>
        <w:trPr>
          <w:trHeight w:val="771" w:hRule="atLeast"/>
          <w:jc w:val="center"/>
        </w:trPr>
        <w:tc>
          <w:tcPr>
            <w:tcW w:w="115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highlight w:val="none"/>
                <w:lang w:eastAsia="zh-CN"/>
              </w:rPr>
            </w:pPr>
          </w:p>
        </w:tc>
        <w:tc>
          <w:tcPr>
            <w:tcW w:w="155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highlight w:val="none"/>
                <w:lang w:eastAsia="zh-CN"/>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0"/>
              <w:spacing w:line="240" w:lineRule="auto"/>
              <w:ind w:firstLine="0"/>
              <w:jc w:val="center"/>
              <w:rPr>
                <w:sz w:val="24"/>
                <w:szCs w:val="24"/>
                <w:highlight w:val="none"/>
              </w:rPr>
            </w:pPr>
            <w:r>
              <w:rPr>
                <w:rFonts w:hint="eastAsia"/>
                <w:sz w:val="24"/>
                <w:szCs w:val="24"/>
                <w:highlight w:val="none"/>
              </w:rPr>
              <w:t>具有良好的商业信誉和健全的财务会计制度</w:t>
            </w:r>
          </w:p>
        </w:tc>
        <w:tc>
          <w:tcPr>
            <w:tcW w:w="41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0"/>
              <w:spacing w:line="355" w:lineRule="exact"/>
              <w:ind w:firstLine="0"/>
              <w:rPr>
                <w:sz w:val="24"/>
                <w:szCs w:val="24"/>
                <w:highlight w:val="none"/>
                <w:lang w:val="en-US" w:eastAsia="zh-CN"/>
              </w:rPr>
            </w:pPr>
            <w:r>
              <w:rPr>
                <w:rFonts w:hint="eastAsia"/>
                <w:sz w:val="24"/>
                <w:szCs w:val="24"/>
                <w:highlight w:val="none"/>
                <w:lang w:val="en-US" w:eastAsia="zh-CN"/>
              </w:rPr>
              <w:t>提供完整的2021年或2022年度经审计的财务审计报告，新成立企业提供银行出具的资信证明</w:t>
            </w:r>
          </w:p>
        </w:tc>
      </w:tr>
      <w:tr>
        <w:tblPrEx>
          <w:tblCellMar>
            <w:top w:w="0" w:type="dxa"/>
            <w:left w:w="10" w:type="dxa"/>
            <w:bottom w:w="0" w:type="dxa"/>
            <w:right w:w="10" w:type="dxa"/>
          </w:tblCellMar>
        </w:tblPrEx>
        <w:trPr>
          <w:trHeight w:val="771" w:hRule="atLeast"/>
          <w:jc w:val="center"/>
        </w:trPr>
        <w:tc>
          <w:tcPr>
            <w:tcW w:w="115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highlight w:val="none"/>
                <w:lang w:eastAsia="zh-CN"/>
              </w:rPr>
            </w:pPr>
          </w:p>
        </w:tc>
        <w:tc>
          <w:tcPr>
            <w:tcW w:w="155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highlight w:val="none"/>
                <w:lang w:eastAsia="zh-CN"/>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0"/>
              <w:spacing w:line="240" w:lineRule="auto"/>
              <w:ind w:firstLine="0"/>
              <w:jc w:val="center"/>
              <w:rPr>
                <w:sz w:val="24"/>
                <w:szCs w:val="24"/>
                <w:highlight w:val="none"/>
              </w:rPr>
            </w:pPr>
            <w:r>
              <w:rPr>
                <w:rFonts w:hint="eastAsia"/>
                <w:sz w:val="24"/>
                <w:szCs w:val="24"/>
                <w:highlight w:val="none"/>
              </w:rPr>
              <w:t>具有履行合同所必需的设备和专业技术能力</w:t>
            </w:r>
          </w:p>
        </w:tc>
        <w:tc>
          <w:tcPr>
            <w:tcW w:w="41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0"/>
              <w:spacing w:line="367" w:lineRule="exact"/>
              <w:ind w:firstLine="0"/>
              <w:rPr>
                <w:sz w:val="24"/>
                <w:szCs w:val="24"/>
                <w:highlight w:val="none"/>
              </w:rPr>
            </w:pPr>
            <w:r>
              <w:rPr>
                <w:rFonts w:hint="eastAsia"/>
                <w:sz w:val="24"/>
                <w:szCs w:val="24"/>
                <w:highlight w:val="none"/>
              </w:rPr>
              <w:t>提供承诺函，格式自拟</w:t>
            </w:r>
          </w:p>
        </w:tc>
      </w:tr>
      <w:tr>
        <w:trPr>
          <w:trHeight w:val="838" w:hRule="atLeast"/>
          <w:jc w:val="center"/>
        </w:trPr>
        <w:tc>
          <w:tcPr>
            <w:tcW w:w="115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highlight w:val="none"/>
                <w:lang w:eastAsia="zh-CN"/>
              </w:rPr>
            </w:pPr>
          </w:p>
        </w:tc>
        <w:tc>
          <w:tcPr>
            <w:tcW w:w="155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highlight w:val="none"/>
                <w:lang w:eastAsia="zh-CN"/>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0"/>
              <w:spacing w:line="379" w:lineRule="exact"/>
              <w:ind w:firstLine="0"/>
              <w:jc w:val="center"/>
              <w:rPr>
                <w:sz w:val="24"/>
                <w:szCs w:val="24"/>
                <w:highlight w:val="none"/>
              </w:rPr>
            </w:pPr>
            <w:r>
              <w:rPr>
                <w:rFonts w:hint="eastAsia"/>
                <w:sz w:val="24"/>
                <w:szCs w:val="24"/>
                <w:highlight w:val="none"/>
              </w:rPr>
              <w:t>具有依法缴纳税收和社会保障资金的良好记录</w:t>
            </w:r>
          </w:p>
        </w:tc>
        <w:tc>
          <w:tcPr>
            <w:tcW w:w="41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0"/>
              <w:spacing w:line="360" w:lineRule="exact"/>
              <w:ind w:firstLine="0"/>
              <w:rPr>
                <w:sz w:val="24"/>
                <w:szCs w:val="24"/>
                <w:highlight w:val="none"/>
              </w:rPr>
            </w:pPr>
            <w:r>
              <w:rPr>
                <w:rFonts w:hint="eastAsia"/>
                <w:sz w:val="24"/>
                <w:szCs w:val="24"/>
                <w:highlight w:val="none"/>
              </w:rPr>
              <w:t>提供202</w:t>
            </w:r>
            <w:r>
              <w:rPr>
                <w:rFonts w:hint="eastAsia"/>
                <w:sz w:val="24"/>
                <w:szCs w:val="24"/>
                <w:highlight w:val="none"/>
                <w:lang w:val="en-US" w:eastAsia="zh-CN"/>
              </w:rPr>
              <w:t>3</w:t>
            </w:r>
            <w:r>
              <w:rPr>
                <w:rFonts w:hint="eastAsia"/>
                <w:sz w:val="24"/>
                <w:szCs w:val="24"/>
                <w:highlight w:val="none"/>
              </w:rPr>
              <w:t>年</w:t>
            </w:r>
            <w:r>
              <w:rPr>
                <w:rFonts w:hint="eastAsia"/>
                <w:sz w:val="24"/>
                <w:szCs w:val="24"/>
                <w:highlight w:val="none"/>
                <w:lang w:val="en-US" w:eastAsia="zh-CN"/>
              </w:rPr>
              <w:t>1</w:t>
            </w:r>
            <w:r>
              <w:rPr>
                <w:rFonts w:hint="eastAsia"/>
                <w:sz w:val="24"/>
                <w:szCs w:val="24"/>
                <w:highlight w:val="none"/>
              </w:rPr>
              <w:t>月以来任意 1 个月的社会保障资金及税收缴纳证明材料</w:t>
            </w:r>
            <w:r>
              <w:rPr>
                <w:rFonts w:hint="eastAsia"/>
                <w:sz w:val="24"/>
                <w:szCs w:val="24"/>
                <w:highlight w:val="none"/>
                <w:lang w:eastAsia="zh-CN"/>
              </w:rPr>
              <w:t>。新成立企业从成立之日起计算，</w:t>
            </w:r>
            <w:r>
              <w:rPr>
                <w:rFonts w:hint="eastAsia"/>
                <w:sz w:val="24"/>
                <w:szCs w:val="24"/>
                <w:highlight w:val="none"/>
              </w:rPr>
              <w:t>依法免税或不需要缴纳社会保障资金的供应商，应提供相应文件证明其依法免税或不需要缴纳社会保障资金</w:t>
            </w:r>
          </w:p>
        </w:tc>
      </w:tr>
      <w:tr>
        <w:tblPrEx>
          <w:tblCellMar>
            <w:top w:w="0" w:type="dxa"/>
            <w:left w:w="10" w:type="dxa"/>
            <w:bottom w:w="0" w:type="dxa"/>
            <w:right w:w="10" w:type="dxa"/>
          </w:tblCellMar>
        </w:tblPrEx>
        <w:trPr>
          <w:trHeight w:val="1205" w:hRule="atLeast"/>
          <w:jc w:val="center"/>
        </w:trPr>
        <w:tc>
          <w:tcPr>
            <w:tcW w:w="115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highlight w:val="none"/>
                <w:lang w:eastAsia="zh-CN"/>
              </w:rPr>
            </w:pPr>
          </w:p>
        </w:tc>
        <w:tc>
          <w:tcPr>
            <w:tcW w:w="155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highlight w:val="none"/>
                <w:lang w:eastAsia="zh-CN"/>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0"/>
              <w:spacing w:line="379" w:lineRule="exact"/>
              <w:ind w:firstLine="0"/>
              <w:jc w:val="center"/>
              <w:rPr>
                <w:sz w:val="24"/>
                <w:szCs w:val="24"/>
                <w:highlight w:val="none"/>
              </w:rPr>
            </w:pPr>
            <w:r>
              <w:rPr>
                <w:rFonts w:hint="eastAsia"/>
                <w:sz w:val="24"/>
                <w:szCs w:val="24"/>
                <w:highlight w:val="none"/>
              </w:rPr>
              <w:t>供应商在参加政府采购活动前三年内，在经营活动中没有重大违法记录</w:t>
            </w:r>
          </w:p>
        </w:tc>
        <w:tc>
          <w:tcPr>
            <w:tcW w:w="41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0"/>
              <w:spacing w:line="365" w:lineRule="exact"/>
              <w:ind w:firstLine="0"/>
              <w:rPr>
                <w:sz w:val="24"/>
                <w:szCs w:val="24"/>
                <w:highlight w:val="none"/>
              </w:rPr>
            </w:pPr>
            <w:r>
              <w:rPr>
                <w:rFonts w:hint="eastAsia"/>
                <w:sz w:val="24"/>
                <w:szCs w:val="24"/>
                <w:highlight w:val="none"/>
              </w:rPr>
              <w:t>供应商出具承诺书，格式自拟</w:t>
            </w:r>
          </w:p>
        </w:tc>
      </w:tr>
      <w:tr>
        <w:tblPrEx>
          <w:tblCellMar>
            <w:top w:w="0" w:type="dxa"/>
            <w:left w:w="10" w:type="dxa"/>
            <w:bottom w:w="0" w:type="dxa"/>
            <w:right w:w="10" w:type="dxa"/>
          </w:tblCellMar>
        </w:tblPrEx>
        <w:trPr>
          <w:trHeight w:val="518" w:hRule="atLeast"/>
          <w:jc w:val="center"/>
        </w:trPr>
        <w:tc>
          <w:tcPr>
            <w:tcW w:w="115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highlight w:val="none"/>
                <w:lang w:eastAsia="zh-CN"/>
              </w:rPr>
            </w:pPr>
          </w:p>
        </w:tc>
        <w:tc>
          <w:tcPr>
            <w:tcW w:w="155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highlight w:val="none"/>
                <w:lang w:eastAsia="zh-CN"/>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0"/>
              <w:spacing w:line="240" w:lineRule="auto"/>
              <w:ind w:firstLine="0"/>
              <w:jc w:val="center"/>
              <w:rPr>
                <w:sz w:val="24"/>
                <w:szCs w:val="24"/>
                <w:highlight w:val="none"/>
                <w:lang w:val="en-US" w:eastAsia="zh-CN"/>
              </w:rPr>
            </w:pPr>
            <w:r>
              <w:rPr>
                <w:rFonts w:hint="eastAsia"/>
                <w:sz w:val="24"/>
                <w:szCs w:val="24"/>
                <w:highlight w:val="none"/>
                <w:lang w:val="en-US" w:eastAsia="zh-CN"/>
              </w:rPr>
              <w:t>信誉要求</w:t>
            </w:r>
          </w:p>
        </w:tc>
        <w:tc>
          <w:tcPr>
            <w:tcW w:w="41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0"/>
              <w:spacing w:line="360" w:lineRule="exact"/>
              <w:ind w:firstLine="0"/>
              <w:rPr>
                <w:sz w:val="24"/>
                <w:szCs w:val="24"/>
                <w:highlight w:val="none"/>
              </w:rPr>
            </w:pPr>
            <w:r>
              <w:rPr>
                <w:rFonts w:hint="eastAsia"/>
                <w:sz w:val="24"/>
                <w:szCs w:val="24"/>
                <w:highlight w:val="none"/>
              </w:rPr>
              <w:t>根据财政部《关于在政府采购活动中查询及使用信用记录有关问题的通知》(财库[2016]125号) 和豫财购[2016]15号的规定，对列入失信被执行人、重大税收违法失信主体、政府采购严重违法失信行为记录名单的</w:t>
            </w:r>
            <w:r>
              <w:rPr>
                <w:rFonts w:hint="eastAsia"/>
                <w:sz w:val="24"/>
                <w:szCs w:val="24"/>
                <w:highlight w:val="none"/>
                <w:lang w:eastAsia="zh-CN"/>
              </w:rPr>
              <w:t>供应商</w:t>
            </w:r>
            <w:r>
              <w:rPr>
                <w:rFonts w:hint="eastAsia"/>
                <w:sz w:val="24"/>
                <w:szCs w:val="24"/>
                <w:highlight w:val="none"/>
              </w:rPr>
              <w:t>，视为无效投标。查询渠道：“信用中国”网站（www.creditchina.gov.cn ）</w:t>
            </w:r>
            <w:r>
              <w:rPr>
                <w:rFonts w:hint="eastAsia"/>
                <w:sz w:val="24"/>
                <w:szCs w:val="24"/>
                <w:highlight w:val="none"/>
                <w:lang w:val="en-US" w:eastAsia="zh-CN"/>
              </w:rPr>
              <w:t>或通过信用中国转至中国执行信息公开网</w:t>
            </w:r>
            <w:r>
              <w:rPr>
                <w:rFonts w:hint="eastAsia"/>
                <w:sz w:val="24"/>
                <w:szCs w:val="24"/>
                <w:highlight w:val="none"/>
              </w:rPr>
              <w:t>、中国政府采购网（www.ccgp.gov.cn ），查询截止时点为：从</w:t>
            </w:r>
            <w:r>
              <w:rPr>
                <w:rFonts w:hint="eastAsia"/>
                <w:sz w:val="24"/>
                <w:szCs w:val="24"/>
                <w:highlight w:val="none"/>
                <w:lang w:val="en-US" w:eastAsia="zh-CN"/>
              </w:rPr>
              <w:t>磋商</w:t>
            </w:r>
            <w:r>
              <w:rPr>
                <w:rFonts w:hint="eastAsia"/>
                <w:sz w:val="24"/>
                <w:szCs w:val="24"/>
                <w:highlight w:val="none"/>
              </w:rPr>
              <w:t>公告发布之日起至投标截止之日止</w:t>
            </w:r>
          </w:p>
        </w:tc>
      </w:tr>
      <w:tr>
        <w:tblPrEx>
          <w:tblCellMar>
            <w:top w:w="0" w:type="dxa"/>
            <w:left w:w="10" w:type="dxa"/>
            <w:bottom w:w="0" w:type="dxa"/>
            <w:right w:w="10" w:type="dxa"/>
          </w:tblCellMar>
        </w:tblPrEx>
        <w:trPr>
          <w:trHeight w:val="518" w:hRule="atLeast"/>
          <w:jc w:val="center"/>
        </w:trPr>
        <w:tc>
          <w:tcPr>
            <w:tcW w:w="115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highlight w:val="none"/>
                <w:lang w:eastAsia="zh-CN"/>
              </w:rPr>
            </w:pPr>
          </w:p>
        </w:tc>
        <w:tc>
          <w:tcPr>
            <w:tcW w:w="155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highlight w:val="none"/>
                <w:lang w:eastAsia="zh-CN"/>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0"/>
              <w:spacing w:line="240" w:lineRule="auto"/>
              <w:ind w:firstLine="0"/>
              <w:jc w:val="center"/>
              <w:rPr>
                <w:sz w:val="24"/>
                <w:szCs w:val="24"/>
                <w:highlight w:val="none"/>
              </w:rPr>
            </w:pPr>
            <w:r>
              <w:rPr>
                <w:sz w:val="24"/>
                <w:szCs w:val="24"/>
                <w:highlight w:val="none"/>
              </w:rPr>
              <w:t>其他要求</w:t>
            </w:r>
          </w:p>
        </w:tc>
        <w:tc>
          <w:tcPr>
            <w:tcW w:w="41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0"/>
              <w:spacing w:line="360" w:lineRule="exact"/>
              <w:ind w:firstLine="0"/>
              <w:rPr>
                <w:sz w:val="24"/>
                <w:szCs w:val="24"/>
                <w:highlight w:val="none"/>
              </w:rPr>
            </w:pPr>
            <w:r>
              <w:rPr>
                <w:rFonts w:hint="eastAsia"/>
                <w:sz w:val="24"/>
                <w:szCs w:val="24"/>
                <w:highlight w:val="none"/>
              </w:rPr>
              <w:t>单位负责人为同一人或者存在控股、管理关系的不同单位，不得同时参加本项目投标；提供投标企业在“国家企业信用信息公示系统”中公示的公司基本信息、股东或投资人信息（提供“国家企业信用信息公示系统”中查询的相关材料并加盖公章，查询信息需包含公司基本信息、股东信息及股权变更信息等相关信息，查询日期为本项目</w:t>
            </w:r>
            <w:r>
              <w:rPr>
                <w:rFonts w:hint="eastAsia"/>
                <w:sz w:val="24"/>
                <w:szCs w:val="24"/>
                <w:highlight w:val="none"/>
                <w:lang w:val="en-US" w:eastAsia="zh-CN"/>
              </w:rPr>
              <w:t>磋商</w:t>
            </w:r>
            <w:r>
              <w:rPr>
                <w:rFonts w:hint="eastAsia"/>
                <w:sz w:val="24"/>
                <w:szCs w:val="24"/>
                <w:highlight w:val="none"/>
              </w:rPr>
              <w:t>公告发布之后）</w:t>
            </w:r>
          </w:p>
        </w:tc>
      </w:tr>
      <w:tr>
        <w:tblPrEx>
          <w:tblCellMar>
            <w:top w:w="0" w:type="dxa"/>
            <w:left w:w="10" w:type="dxa"/>
            <w:bottom w:w="0" w:type="dxa"/>
            <w:right w:w="10" w:type="dxa"/>
          </w:tblCellMar>
        </w:tblPrEx>
        <w:trPr>
          <w:trHeight w:val="1012" w:hRule="atLeast"/>
          <w:jc w:val="center"/>
        </w:trPr>
        <w:tc>
          <w:tcPr>
            <w:tcW w:w="115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highlight w:val="none"/>
                <w:lang w:eastAsia="zh-CN"/>
              </w:rPr>
            </w:pPr>
            <w:r>
              <w:rPr>
                <w:rFonts w:hint="eastAsia" w:ascii="宋体" w:hAnsi="宋体" w:eastAsia="宋体" w:cs="宋体"/>
                <w:highlight w:val="none"/>
                <w:lang w:eastAsia="zh-CN"/>
              </w:rPr>
              <w:t>2.1.3</w:t>
            </w:r>
          </w:p>
        </w:tc>
        <w:tc>
          <w:tcPr>
            <w:tcW w:w="155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511"/>
              </w:tabs>
              <w:rPr>
                <w:rFonts w:ascii="宋体" w:hAnsi="宋体" w:eastAsia="宋体" w:cs="宋体"/>
                <w:highlight w:val="none"/>
                <w:lang w:eastAsia="zh-CN"/>
              </w:rPr>
            </w:pPr>
            <w:r>
              <w:rPr>
                <w:rFonts w:hint="eastAsia" w:ascii="宋体" w:hAnsi="宋体" w:eastAsia="宋体" w:cs="宋体"/>
                <w:highlight w:val="none"/>
                <w:lang w:eastAsia="zh-CN"/>
              </w:rPr>
              <w:t>响应性评审标 准</w:t>
            </w: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0"/>
              <w:spacing w:line="240" w:lineRule="auto"/>
              <w:ind w:firstLine="0"/>
              <w:jc w:val="center"/>
              <w:rPr>
                <w:sz w:val="24"/>
                <w:szCs w:val="24"/>
                <w:highlight w:val="none"/>
              </w:rPr>
            </w:pPr>
            <w:r>
              <w:rPr>
                <w:sz w:val="24"/>
                <w:szCs w:val="24"/>
                <w:highlight w:val="none"/>
              </w:rPr>
              <w:t>磋商报价</w:t>
            </w:r>
          </w:p>
        </w:tc>
        <w:tc>
          <w:tcPr>
            <w:tcW w:w="41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0"/>
              <w:spacing w:line="360" w:lineRule="exact"/>
              <w:ind w:firstLine="0"/>
              <w:jc w:val="both"/>
              <w:rPr>
                <w:sz w:val="24"/>
                <w:szCs w:val="24"/>
                <w:highlight w:val="none"/>
              </w:rPr>
            </w:pPr>
            <w:r>
              <w:rPr>
                <w:sz w:val="24"/>
                <w:szCs w:val="24"/>
                <w:highlight w:val="none"/>
              </w:rPr>
              <w:t>磋商报价在规定的报价要求范围之内，未超出控制价，每轮只能有一个有效报价</w:t>
            </w:r>
          </w:p>
        </w:tc>
      </w:tr>
      <w:tr>
        <w:tblPrEx>
          <w:tblCellMar>
            <w:top w:w="0" w:type="dxa"/>
            <w:left w:w="10" w:type="dxa"/>
            <w:bottom w:w="0" w:type="dxa"/>
            <w:right w:w="10" w:type="dxa"/>
          </w:tblCellMar>
        </w:tblPrEx>
        <w:trPr>
          <w:trHeight w:val="379" w:hRule="atLeast"/>
          <w:jc w:val="center"/>
        </w:trPr>
        <w:tc>
          <w:tcPr>
            <w:tcW w:w="115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highlight w:val="none"/>
                <w:lang w:eastAsia="zh-CN"/>
              </w:rPr>
            </w:pPr>
          </w:p>
        </w:tc>
        <w:tc>
          <w:tcPr>
            <w:tcW w:w="155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highlight w:val="none"/>
                <w:lang w:eastAsia="zh-CN"/>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0"/>
              <w:spacing w:line="240" w:lineRule="auto"/>
              <w:ind w:firstLine="0"/>
              <w:jc w:val="center"/>
              <w:rPr>
                <w:sz w:val="24"/>
                <w:szCs w:val="24"/>
                <w:highlight w:val="none"/>
              </w:rPr>
            </w:pPr>
            <w:r>
              <w:rPr>
                <w:sz w:val="24"/>
                <w:szCs w:val="24"/>
                <w:highlight w:val="none"/>
              </w:rPr>
              <w:t>投标范围</w:t>
            </w:r>
          </w:p>
        </w:tc>
        <w:tc>
          <w:tcPr>
            <w:tcW w:w="41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0"/>
              <w:spacing w:line="240" w:lineRule="auto"/>
              <w:ind w:firstLine="0"/>
              <w:rPr>
                <w:sz w:val="24"/>
                <w:szCs w:val="24"/>
                <w:highlight w:val="none"/>
              </w:rPr>
            </w:pPr>
            <w:r>
              <w:rPr>
                <w:sz w:val="24"/>
                <w:szCs w:val="24"/>
                <w:highlight w:val="none"/>
              </w:rPr>
              <w:t>符合第二章</w:t>
            </w:r>
            <w:r>
              <w:rPr>
                <w:rFonts w:ascii="Times New Roman" w:hAnsi="Times New Roman" w:eastAsia="Times New Roman" w:cs="Times New Roman"/>
                <w:sz w:val="24"/>
                <w:szCs w:val="24"/>
                <w:highlight w:val="none"/>
                <w:lang w:val="zh-CN" w:eastAsia="zh-CN" w:bidi="zh-CN"/>
              </w:rPr>
              <w:t>“</w:t>
            </w:r>
            <w:r>
              <w:rPr>
                <w:sz w:val="24"/>
                <w:szCs w:val="24"/>
                <w:highlight w:val="none"/>
                <w:lang w:val="zh-CN" w:eastAsia="zh-CN" w:bidi="zh-CN"/>
              </w:rPr>
              <w:t>供应</w:t>
            </w:r>
            <w:r>
              <w:rPr>
                <w:sz w:val="24"/>
                <w:szCs w:val="24"/>
                <w:highlight w:val="none"/>
              </w:rPr>
              <w:t>商须知前附表</w:t>
            </w:r>
            <w:r>
              <w:rPr>
                <w:rFonts w:ascii="Times New Roman" w:hAnsi="Times New Roman" w:eastAsia="Times New Roman" w:cs="Times New Roman"/>
                <w:sz w:val="24"/>
                <w:szCs w:val="24"/>
                <w:highlight w:val="none"/>
                <w:lang w:val="zh-CN" w:eastAsia="zh-CN" w:bidi="zh-CN"/>
              </w:rPr>
              <w:t>”</w:t>
            </w:r>
            <w:r>
              <w:rPr>
                <w:sz w:val="24"/>
                <w:szCs w:val="24"/>
                <w:highlight w:val="none"/>
                <w:lang w:val="zh-CN" w:eastAsia="zh-CN" w:bidi="zh-CN"/>
              </w:rPr>
              <w:t>第</w:t>
            </w:r>
            <w:r>
              <w:rPr>
                <w:rFonts w:ascii="Times New Roman" w:hAnsi="Times New Roman" w:eastAsia="Times New Roman" w:cs="Times New Roman"/>
                <w:sz w:val="24"/>
                <w:szCs w:val="24"/>
                <w:highlight w:val="none"/>
                <w:lang w:val="en-US" w:eastAsia="zh-CN" w:bidi="en-US"/>
              </w:rPr>
              <w:t>1.3.1</w:t>
            </w:r>
            <w:r>
              <w:rPr>
                <w:sz w:val="24"/>
                <w:szCs w:val="24"/>
                <w:highlight w:val="none"/>
              </w:rPr>
              <w:t>项规定</w:t>
            </w:r>
          </w:p>
        </w:tc>
      </w:tr>
      <w:tr>
        <w:tblPrEx>
          <w:tblCellMar>
            <w:top w:w="0" w:type="dxa"/>
            <w:left w:w="10" w:type="dxa"/>
            <w:bottom w:w="0" w:type="dxa"/>
            <w:right w:w="10" w:type="dxa"/>
          </w:tblCellMar>
        </w:tblPrEx>
        <w:trPr>
          <w:trHeight w:val="379" w:hRule="atLeast"/>
          <w:jc w:val="center"/>
        </w:trPr>
        <w:tc>
          <w:tcPr>
            <w:tcW w:w="115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highlight w:val="none"/>
                <w:lang w:eastAsia="zh-CN"/>
              </w:rPr>
            </w:pPr>
          </w:p>
        </w:tc>
        <w:tc>
          <w:tcPr>
            <w:tcW w:w="155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highlight w:val="none"/>
                <w:lang w:eastAsia="zh-CN"/>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0"/>
              <w:spacing w:line="240" w:lineRule="auto"/>
              <w:ind w:firstLine="0"/>
              <w:jc w:val="center"/>
              <w:rPr>
                <w:sz w:val="24"/>
                <w:szCs w:val="24"/>
                <w:highlight w:val="none"/>
                <w:lang w:val="en-US" w:eastAsia="zh-CN"/>
              </w:rPr>
            </w:pPr>
            <w:r>
              <w:rPr>
                <w:rFonts w:hint="eastAsia"/>
                <w:sz w:val="24"/>
                <w:szCs w:val="24"/>
                <w:highlight w:val="none"/>
                <w:lang w:val="en-US" w:eastAsia="zh-CN"/>
              </w:rPr>
              <w:t>服务期限</w:t>
            </w:r>
          </w:p>
        </w:tc>
        <w:tc>
          <w:tcPr>
            <w:tcW w:w="41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0"/>
              <w:spacing w:line="240" w:lineRule="auto"/>
              <w:ind w:firstLine="0"/>
              <w:rPr>
                <w:sz w:val="24"/>
                <w:szCs w:val="24"/>
                <w:highlight w:val="none"/>
              </w:rPr>
            </w:pPr>
            <w:r>
              <w:rPr>
                <w:sz w:val="24"/>
                <w:szCs w:val="24"/>
                <w:highlight w:val="none"/>
              </w:rPr>
              <w:t>符合第二章</w:t>
            </w:r>
            <w:r>
              <w:rPr>
                <w:rFonts w:ascii="Times New Roman" w:hAnsi="Times New Roman" w:eastAsia="Times New Roman" w:cs="Times New Roman"/>
                <w:sz w:val="24"/>
                <w:szCs w:val="24"/>
                <w:highlight w:val="none"/>
                <w:lang w:val="zh-CN" w:eastAsia="zh-CN" w:bidi="zh-CN"/>
              </w:rPr>
              <w:t>“</w:t>
            </w:r>
            <w:r>
              <w:rPr>
                <w:sz w:val="24"/>
                <w:szCs w:val="24"/>
                <w:highlight w:val="none"/>
                <w:lang w:val="zh-CN" w:eastAsia="zh-CN" w:bidi="zh-CN"/>
              </w:rPr>
              <w:t>供应</w:t>
            </w:r>
            <w:r>
              <w:rPr>
                <w:sz w:val="24"/>
                <w:szCs w:val="24"/>
                <w:highlight w:val="none"/>
              </w:rPr>
              <w:t>商须知前附表</w:t>
            </w:r>
            <w:r>
              <w:rPr>
                <w:rFonts w:ascii="Times New Roman" w:hAnsi="Times New Roman" w:eastAsia="Times New Roman" w:cs="Times New Roman"/>
                <w:sz w:val="24"/>
                <w:szCs w:val="24"/>
                <w:highlight w:val="none"/>
                <w:lang w:val="zh-CN" w:eastAsia="zh-CN" w:bidi="zh-CN"/>
              </w:rPr>
              <w:t>”</w:t>
            </w:r>
            <w:r>
              <w:rPr>
                <w:sz w:val="24"/>
                <w:szCs w:val="24"/>
                <w:highlight w:val="none"/>
                <w:lang w:val="zh-CN" w:eastAsia="zh-CN" w:bidi="zh-CN"/>
              </w:rPr>
              <w:t>第</w:t>
            </w:r>
            <w:r>
              <w:rPr>
                <w:rFonts w:ascii="Times New Roman" w:hAnsi="Times New Roman" w:eastAsia="Times New Roman" w:cs="Times New Roman"/>
                <w:sz w:val="24"/>
                <w:szCs w:val="24"/>
                <w:highlight w:val="none"/>
                <w:lang w:val="en-US" w:eastAsia="zh-CN" w:bidi="en-US"/>
              </w:rPr>
              <w:t>1.3.2</w:t>
            </w:r>
            <w:r>
              <w:rPr>
                <w:sz w:val="24"/>
                <w:szCs w:val="24"/>
                <w:highlight w:val="none"/>
              </w:rPr>
              <w:t>项规定</w:t>
            </w:r>
          </w:p>
        </w:tc>
      </w:tr>
      <w:tr>
        <w:tblPrEx>
          <w:tblCellMar>
            <w:top w:w="0" w:type="dxa"/>
            <w:left w:w="10" w:type="dxa"/>
            <w:bottom w:w="0" w:type="dxa"/>
            <w:right w:w="10" w:type="dxa"/>
          </w:tblCellMar>
        </w:tblPrEx>
        <w:trPr>
          <w:trHeight w:val="379" w:hRule="atLeast"/>
          <w:jc w:val="center"/>
        </w:trPr>
        <w:tc>
          <w:tcPr>
            <w:tcW w:w="115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highlight w:val="none"/>
                <w:lang w:eastAsia="zh-CN"/>
              </w:rPr>
            </w:pPr>
          </w:p>
        </w:tc>
        <w:tc>
          <w:tcPr>
            <w:tcW w:w="155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highlight w:val="none"/>
                <w:lang w:eastAsia="zh-CN"/>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0"/>
              <w:spacing w:line="240" w:lineRule="auto"/>
              <w:ind w:firstLine="0"/>
              <w:jc w:val="center"/>
              <w:rPr>
                <w:sz w:val="24"/>
                <w:szCs w:val="24"/>
                <w:highlight w:val="none"/>
              </w:rPr>
            </w:pPr>
            <w:r>
              <w:rPr>
                <w:rFonts w:hint="eastAsia"/>
                <w:sz w:val="24"/>
                <w:szCs w:val="24"/>
                <w:highlight w:val="none"/>
                <w:lang w:val="en-US" w:eastAsia="zh-CN"/>
              </w:rPr>
              <w:t>服务</w:t>
            </w:r>
            <w:r>
              <w:rPr>
                <w:sz w:val="24"/>
                <w:szCs w:val="24"/>
                <w:highlight w:val="none"/>
              </w:rPr>
              <w:t>质量</w:t>
            </w:r>
          </w:p>
        </w:tc>
        <w:tc>
          <w:tcPr>
            <w:tcW w:w="41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0"/>
              <w:spacing w:line="240" w:lineRule="auto"/>
              <w:ind w:firstLine="0"/>
              <w:rPr>
                <w:sz w:val="24"/>
                <w:szCs w:val="24"/>
                <w:highlight w:val="none"/>
              </w:rPr>
            </w:pPr>
            <w:r>
              <w:rPr>
                <w:sz w:val="24"/>
                <w:szCs w:val="24"/>
                <w:highlight w:val="none"/>
              </w:rPr>
              <w:t>符合第二章</w:t>
            </w:r>
            <w:r>
              <w:rPr>
                <w:rFonts w:ascii="Times New Roman" w:hAnsi="Times New Roman" w:eastAsia="Times New Roman" w:cs="Times New Roman"/>
                <w:sz w:val="24"/>
                <w:szCs w:val="24"/>
                <w:highlight w:val="none"/>
                <w:lang w:val="zh-CN" w:eastAsia="zh-CN" w:bidi="zh-CN"/>
              </w:rPr>
              <w:t>“</w:t>
            </w:r>
            <w:r>
              <w:rPr>
                <w:sz w:val="24"/>
                <w:szCs w:val="24"/>
                <w:highlight w:val="none"/>
                <w:lang w:val="zh-CN" w:eastAsia="zh-CN" w:bidi="zh-CN"/>
              </w:rPr>
              <w:t>供应</w:t>
            </w:r>
            <w:r>
              <w:rPr>
                <w:sz w:val="24"/>
                <w:szCs w:val="24"/>
                <w:highlight w:val="none"/>
              </w:rPr>
              <w:t>商须知前附表</w:t>
            </w:r>
            <w:r>
              <w:rPr>
                <w:rFonts w:ascii="Times New Roman" w:hAnsi="Times New Roman" w:eastAsia="Times New Roman" w:cs="Times New Roman"/>
                <w:sz w:val="24"/>
                <w:szCs w:val="24"/>
                <w:highlight w:val="none"/>
                <w:lang w:val="zh-CN" w:eastAsia="zh-CN" w:bidi="zh-CN"/>
              </w:rPr>
              <w:t>”</w:t>
            </w:r>
            <w:r>
              <w:rPr>
                <w:sz w:val="24"/>
                <w:szCs w:val="24"/>
                <w:highlight w:val="none"/>
                <w:lang w:val="zh-CN" w:eastAsia="zh-CN" w:bidi="zh-CN"/>
              </w:rPr>
              <w:t>第</w:t>
            </w:r>
            <w:r>
              <w:rPr>
                <w:rFonts w:ascii="Times New Roman" w:hAnsi="Times New Roman" w:eastAsia="Times New Roman" w:cs="Times New Roman"/>
                <w:sz w:val="24"/>
                <w:szCs w:val="24"/>
                <w:highlight w:val="none"/>
                <w:lang w:val="en-US" w:eastAsia="zh-CN" w:bidi="en-US"/>
              </w:rPr>
              <w:t>1.3.3</w:t>
            </w:r>
            <w:r>
              <w:rPr>
                <w:sz w:val="24"/>
                <w:szCs w:val="24"/>
                <w:highlight w:val="none"/>
              </w:rPr>
              <w:t>项规定</w:t>
            </w:r>
          </w:p>
        </w:tc>
      </w:tr>
      <w:tr>
        <w:tblPrEx>
          <w:tblCellMar>
            <w:top w:w="0" w:type="dxa"/>
            <w:left w:w="10" w:type="dxa"/>
            <w:bottom w:w="0" w:type="dxa"/>
            <w:right w:w="10" w:type="dxa"/>
          </w:tblCellMar>
        </w:tblPrEx>
        <w:trPr>
          <w:trHeight w:val="379" w:hRule="atLeast"/>
          <w:jc w:val="center"/>
        </w:trPr>
        <w:tc>
          <w:tcPr>
            <w:tcW w:w="115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highlight w:val="none"/>
                <w:lang w:eastAsia="zh-CN"/>
              </w:rPr>
            </w:pPr>
          </w:p>
        </w:tc>
        <w:tc>
          <w:tcPr>
            <w:tcW w:w="155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highlight w:val="none"/>
                <w:lang w:eastAsia="zh-CN"/>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0"/>
              <w:spacing w:line="240" w:lineRule="auto"/>
              <w:ind w:firstLine="0"/>
              <w:jc w:val="center"/>
              <w:rPr>
                <w:sz w:val="24"/>
                <w:szCs w:val="24"/>
                <w:highlight w:val="none"/>
              </w:rPr>
            </w:pPr>
            <w:r>
              <w:rPr>
                <w:sz w:val="24"/>
                <w:szCs w:val="24"/>
                <w:highlight w:val="none"/>
              </w:rPr>
              <w:t>磋商有效期</w:t>
            </w:r>
          </w:p>
        </w:tc>
        <w:tc>
          <w:tcPr>
            <w:tcW w:w="416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0"/>
              <w:spacing w:line="240" w:lineRule="auto"/>
              <w:ind w:firstLine="0"/>
              <w:rPr>
                <w:sz w:val="24"/>
                <w:szCs w:val="24"/>
                <w:highlight w:val="none"/>
              </w:rPr>
            </w:pPr>
            <w:r>
              <w:rPr>
                <w:rFonts w:hint="eastAsia"/>
                <w:sz w:val="24"/>
                <w:szCs w:val="24"/>
                <w:highlight w:val="none"/>
                <w:lang w:val="en-US" w:eastAsia="zh-CN"/>
              </w:rPr>
              <w:t>60</w:t>
            </w:r>
            <w:r>
              <w:rPr>
                <w:rFonts w:hint="eastAsia"/>
                <w:sz w:val="24"/>
                <w:szCs w:val="24"/>
                <w:highlight w:val="none"/>
                <w:lang w:eastAsia="zh-CN"/>
              </w:rPr>
              <w:t>日历天（</w:t>
            </w:r>
            <w:r>
              <w:rPr>
                <w:rFonts w:hint="eastAsia"/>
                <w:sz w:val="24"/>
                <w:szCs w:val="24"/>
                <w:highlight w:val="none"/>
                <w:lang w:val="en-US" w:eastAsia="zh-CN"/>
              </w:rPr>
              <w:t>自提交</w:t>
            </w:r>
            <w:r>
              <w:rPr>
                <w:rFonts w:hint="eastAsia"/>
                <w:sz w:val="24"/>
                <w:szCs w:val="24"/>
                <w:highlight w:val="none"/>
                <w:lang w:eastAsia="zh-CN"/>
              </w:rPr>
              <w:t>响应文件截止之日起</w:t>
            </w:r>
            <w:r>
              <w:rPr>
                <w:rFonts w:hint="eastAsia"/>
                <w:sz w:val="24"/>
                <w:szCs w:val="24"/>
                <w:highlight w:val="none"/>
                <w:lang w:val="en-US" w:eastAsia="zh-CN"/>
              </w:rPr>
              <w:t>计算</w:t>
            </w:r>
            <w:r>
              <w:rPr>
                <w:rFonts w:hint="eastAsia"/>
                <w:sz w:val="24"/>
                <w:szCs w:val="24"/>
                <w:highlight w:val="none"/>
                <w:lang w:eastAsia="zh-CN"/>
              </w:rPr>
              <w:t>）</w:t>
            </w:r>
          </w:p>
        </w:tc>
      </w:tr>
    </w:tbl>
    <w:p>
      <w:pPr>
        <w:jc w:val="both"/>
        <w:rPr>
          <w:sz w:val="2"/>
          <w:szCs w:val="2"/>
          <w:highlight w:val="none"/>
          <w:lang w:eastAsia="zh-CN"/>
        </w:rPr>
      </w:pPr>
      <w:r>
        <w:rPr>
          <w:highlight w:val="none"/>
          <w:lang w:eastAsia="zh-CN"/>
        </w:rPr>
        <w:br w:type="page"/>
      </w:r>
    </w:p>
    <w:p>
      <w:pPr>
        <w:pStyle w:val="54"/>
        <w:keepNext w:val="0"/>
        <w:keepLines w:val="0"/>
        <w:pageBreakBefore w:val="0"/>
        <w:widowControl w:val="0"/>
        <w:kinsoku/>
        <w:wordWrap/>
        <w:overflowPunct/>
        <w:topLinePunct w:val="0"/>
        <w:autoSpaceDE/>
        <w:autoSpaceDN/>
        <w:bidi w:val="0"/>
        <w:adjustRightInd/>
        <w:snapToGrid/>
        <w:spacing w:after="80" w:line="240" w:lineRule="auto"/>
        <w:ind w:firstLine="0"/>
        <w:jc w:val="center"/>
        <w:textAlignment w:val="auto"/>
        <w:outlineLvl w:val="1"/>
        <w:rPr>
          <w:b/>
          <w:bCs/>
          <w:sz w:val="24"/>
          <w:szCs w:val="24"/>
          <w:highlight w:val="none"/>
        </w:rPr>
      </w:pPr>
      <w:r>
        <w:rPr>
          <w:rFonts w:hint="eastAsia"/>
          <w:b/>
          <w:bCs/>
          <w:sz w:val="24"/>
          <w:szCs w:val="24"/>
          <w:highlight w:val="none"/>
          <w:lang w:val="en-US" w:eastAsia="en-US" w:bidi="en-US"/>
        </w:rPr>
        <w:t>2.2</w:t>
      </w:r>
      <w:r>
        <w:rPr>
          <w:rFonts w:hint="eastAsia"/>
          <w:b/>
          <w:bCs/>
          <w:sz w:val="24"/>
          <w:szCs w:val="24"/>
          <w:highlight w:val="none"/>
        </w:rPr>
        <w:t>评分细则</w:t>
      </w:r>
    </w:p>
    <w:tbl>
      <w:tblPr>
        <w:tblStyle w:val="20"/>
        <w:tblW w:w="9254"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240"/>
        <w:gridCol w:w="2250"/>
        <w:gridCol w:w="4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75" w:type="dxa"/>
            <w:gridSpan w:val="2"/>
            <w:shd w:val="clear" w:color="auto" w:fill="FFFFFF"/>
            <w:vAlign w:val="center"/>
          </w:tcPr>
          <w:p>
            <w:pPr>
              <w:widowControl/>
              <w:spacing w:line="360" w:lineRule="auto"/>
              <w:jc w:val="center"/>
              <w:textAlignment w:val="center"/>
              <w:rPr>
                <w:rFonts w:ascii="宋体" w:hAnsi="宋体" w:eastAsia="宋体" w:cs="宋体"/>
                <w:b/>
                <w:bCs/>
                <w:highlight w:val="none"/>
              </w:rPr>
            </w:pPr>
            <w:r>
              <w:rPr>
                <w:rFonts w:hint="eastAsia" w:ascii="宋体" w:hAnsi="宋体" w:eastAsia="宋体" w:cs="宋体"/>
                <w:b/>
                <w:bCs/>
                <w:highlight w:val="none"/>
                <w:lang w:eastAsia="zh-CN" w:bidi="ar"/>
              </w:rPr>
              <w:t>条款号</w:t>
            </w:r>
          </w:p>
        </w:tc>
        <w:tc>
          <w:tcPr>
            <w:tcW w:w="2250" w:type="dxa"/>
            <w:shd w:val="clear" w:color="auto" w:fill="FFFFFF"/>
            <w:vAlign w:val="center"/>
          </w:tcPr>
          <w:p>
            <w:pPr>
              <w:widowControl/>
              <w:spacing w:line="360" w:lineRule="auto"/>
              <w:jc w:val="center"/>
              <w:textAlignment w:val="center"/>
              <w:rPr>
                <w:rFonts w:ascii="宋体" w:hAnsi="宋体" w:eastAsia="宋体" w:cs="宋体"/>
                <w:b/>
                <w:bCs/>
                <w:highlight w:val="none"/>
              </w:rPr>
            </w:pPr>
            <w:r>
              <w:rPr>
                <w:rFonts w:hint="eastAsia" w:ascii="宋体" w:hAnsi="宋体" w:eastAsia="宋体" w:cs="宋体"/>
                <w:b/>
                <w:bCs/>
                <w:highlight w:val="none"/>
                <w:lang w:eastAsia="zh-CN" w:bidi="ar"/>
              </w:rPr>
              <w:t>条款内容</w:t>
            </w:r>
          </w:p>
        </w:tc>
        <w:tc>
          <w:tcPr>
            <w:tcW w:w="4929" w:type="dxa"/>
            <w:shd w:val="clear" w:color="auto" w:fill="FFFFFF"/>
            <w:vAlign w:val="center"/>
          </w:tcPr>
          <w:p>
            <w:pPr>
              <w:widowControl/>
              <w:spacing w:line="360" w:lineRule="auto"/>
              <w:jc w:val="center"/>
              <w:textAlignment w:val="center"/>
              <w:rPr>
                <w:rFonts w:ascii="宋体" w:hAnsi="宋体" w:eastAsia="宋体" w:cs="宋体"/>
                <w:b/>
                <w:bCs/>
                <w:highlight w:val="none"/>
              </w:rPr>
            </w:pPr>
            <w:r>
              <w:rPr>
                <w:rFonts w:hint="eastAsia" w:ascii="宋体" w:hAnsi="宋体" w:eastAsia="宋体" w:cs="宋体"/>
                <w:b/>
                <w:bCs/>
                <w:highlight w:val="none"/>
                <w:lang w:eastAsia="zh-CN" w:bidi="ar"/>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75" w:type="dxa"/>
            <w:gridSpan w:val="2"/>
            <w:shd w:val="clear" w:color="auto" w:fill="FFFFFF"/>
            <w:vAlign w:val="center"/>
          </w:tcPr>
          <w:p>
            <w:pPr>
              <w:widowControl/>
              <w:spacing w:line="360" w:lineRule="auto"/>
              <w:jc w:val="center"/>
              <w:textAlignment w:val="center"/>
              <w:rPr>
                <w:rFonts w:ascii="宋体" w:hAnsi="宋体" w:eastAsia="宋体" w:cs="宋体"/>
                <w:highlight w:val="none"/>
              </w:rPr>
            </w:pPr>
            <w:r>
              <w:rPr>
                <w:rFonts w:hint="eastAsia" w:ascii="宋体" w:hAnsi="宋体" w:eastAsia="宋体" w:cs="宋体"/>
                <w:highlight w:val="none"/>
                <w:lang w:eastAsia="zh-CN" w:bidi="ar"/>
              </w:rPr>
              <w:t>2.2.</w:t>
            </w:r>
            <w:r>
              <w:rPr>
                <w:rFonts w:hint="eastAsia" w:ascii="宋体" w:hAnsi="宋体" w:eastAsia="宋体" w:cs="宋体"/>
                <w:highlight w:val="none"/>
              </w:rPr>
              <w:t>1</w:t>
            </w:r>
          </w:p>
        </w:tc>
        <w:tc>
          <w:tcPr>
            <w:tcW w:w="2250" w:type="dxa"/>
            <w:shd w:val="clear" w:color="auto" w:fill="FFFFFF"/>
            <w:vAlign w:val="center"/>
          </w:tcPr>
          <w:p>
            <w:pPr>
              <w:widowControl/>
              <w:spacing w:line="360" w:lineRule="auto"/>
              <w:jc w:val="center"/>
              <w:textAlignment w:val="center"/>
              <w:rPr>
                <w:rFonts w:ascii="宋体" w:hAnsi="宋体" w:eastAsia="宋体" w:cs="宋体"/>
                <w:highlight w:val="none"/>
                <w:lang w:eastAsia="zh-CN" w:bidi="ar"/>
              </w:rPr>
            </w:pPr>
            <w:r>
              <w:rPr>
                <w:rFonts w:hint="eastAsia" w:ascii="宋体" w:hAnsi="宋体" w:eastAsia="宋体" w:cs="宋体"/>
                <w:highlight w:val="none"/>
                <w:lang w:eastAsia="zh-CN" w:bidi="ar"/>
              </w:rPr>
              <w:t>分值构成</w:t>
            </w:r>
          </w:p>
          <w:p>
            <w:pPr>
              <w:widowControl/>
              <w:spacing w:line="360" w:lineRule="auto"/>
              <w:jc w:val="center"/>
              <w:textAlignment w:val="center"/>
              <w:rPr>
                <w:rFonts w:ascii="宋体" w:hAnsi="宋体" w:eastAsia="宋体" w:cs="宋体"/>
                <w:highlight w:val="none"/>
              </w:rPr>
            </w:pPr>
            <w:r>
              <w:rPr>
                <w:rFonts w:hint="eastAsia" w:ascii="宋体" w:hAnsi="宋体" w:eastAsia="宋体" w:cs="宋体"/>
                <w:highlight w:val="none"/>
                <w:lang w:eastAsia="zh-CN" w:bidi="ar"/>
              </w:rPr>
              <w:t>（总分100分）</w:t>
            </w:r>
          </w:p>
        </w:tc>
        <w:tc>
          <w:tcPr>
            <w:tcW w:w="4929" w:type="dxa"/>
            <w:shd w:val="clear" w:color="auto" w:fill="FFFFFF"/>
            <w:vAlign w:val="bottom"/>
          </w:tcPr>
          <w:p>
            <w:pPr>
              <w:widowControl/>
              <w:spacing w:line="360" w:lineRule="auto"/>
              <w:textAlignment w:val="bottom"/>
              <w:rPr>
                <w:rFonts w:ascii="宋体" w:hAnsi="宋体" w:eastAsia="宋体" w:cs="宋体"/>
                <w:highlight w:val="none"/>
                <w:lang w:eastAsia="zh-CN" w:bidi="ar"/>
              </w:rPr>
            </w:pPr>
            <w:r>
              <w:rPr>
                <w:rFonts w:hint="eastAsia" w:ascii="宋体" w:hAnsi="宋体" w:eastAsia="宋体" w:cs="宋体"/>
                <w:highlight w:val="none"/>
                <w:lang w:eastAsia="zh-CN" w:bidi="ar"/>
              </w:rPr>
              <w:t>商务标：10分</w:t>
            </w:r>
          </w:p>
          <w:p>
            <w:pPr>
              <w:widowControl/>
              <w:spacing w:line="360" w:lineRule="auto"/>
              <w:textAlignment w:val="bottom"/>
              <w:rPr>
                <w:rFonts w:ascii="宋体" w:hAnsi="宋体" w:eastAsia="宋体" w:cs="宋体"/>
                <w:highlight w:val="none"/>
                <w:lang w:eastAsia="zh-CN" w:bidi="ar"/>
              </w:rPr>
            </w:pPr>
            <w:r>
              <w:rPr>
                <w:rFonts w:hint="eastAsia" w:ascii="宋体" w:hAnsi="宋体" w:eastAsia="宋体" w:cs="宋体"/>
                <w:highlight w:val="none"/>
                <w:lang w:eastAsia="zh-CN" w:bidi="ar"/>
              </w:rPr>
              <w:t>技术标：</w:t>
            </w:r>
            <w:r>
              <w:rPr>
                <w:rFonts w:hint="default" w:ascii="宋体" w:hAnsi="宋体" w:eastAsia="宋体" w:cs="宋体"/>
                <w:highlight w:val="none"/>
                <w:lang w:val="en-US" w:eastAsia="zh-CN" w:bidi="ar"/>
              </w:rPr>
              <w:t>5</w:t>
            </w:r>
            <w:r>
              <w:rPr>
                <w:rFonts w:hint="eastAsia" w:ascii="宋体" w:hAnsi="宋体" w:eastAsia="宋体" w:cs="宋体"/>
                <w:highlight w:val="none"/>
                <w:lang w:eastAsia="zh-CN" w:bidi="ar"/>
              </w:rPr>
              <w:t>5分</w:t>
            </w:r>
          </w:p>
          <w:p>
            <w:pPr>
              <w:widowControl/>
              <w:spacing w:line="360" w:lineRule="auto"/>
              <w:textAlignment w:val="bottom"/>
              <w:rPr>
                <w:rFonts w:ascii="宋体" w:hAnsi="宋体" w:eastAsia="宋体" w:cs="宋体"/>
                <w:highlight w:val="none"/>
                <w:lang w:eastAsia="zh-CN" w:bidi="ar"/>
              </w:rPr>
            </w:pPr>
            <w:r>
              <w:rPr>
                <w:rFonts w:hint="eastAsia" w:ascii="宋体" w:hAnsi="宋体" w:eastAsia="宋体" w:cs="宋体"/>
                <w:highlight w:val="none"/>
                <w:lang w:eastAsia="zh-CN" w:bidi="ar"/>
              </w:rPr>
              <w:t>综合标：</w:t>
            </w:r>
            <w:r>
              <w:rPr>
                <w:rFonts w:hint="default" w:ascii="宋体" w:hAnsi="宋体" w:eastAsia="宋体" w:cs="宋体"/>
                <w:highlight w:val="none"/>
                <w:lang w:val="en-US" w:eastAsia="zh-CN" w:bidi="ar"/>
              </w:rPr>
              <w:t>3</w:t>
            </w:r>
            <w:r>
              <w:rPr>
                <w:rFonts w:hint="eastAsia" w:ascii="宋体" w:hAnsi="宋体" w:eastAsia="宋体" w:cs="宋体"/>
                <w:highlight w:val="none"/>
                <w:lang w:eastAsia="zh-CN" w:bidi="ar"/>
              </w:rPr>
              <w:t>5分</w:t>
            </w:r>
          </w:p>
          <w:p>
            <w:pPr>
              <w:widowControl/>
              <w:spacing w:line="360" w:lineRule="auto"/>
              <w:textAlignment w:val="bottom"/>
              <w:rPr>
                <w:rFonts w:ascii="宋体" w:hAnsi="宋体" w:eastAsia="宋体" w:cs="宋体"/>
                <w:highlight w:val="none"/>
                <w:lang w:eastAsia="zh-CN"/>
              </w:rPr>
            </w:pPr>
            <w:r>
              <w:rPr>
                <w:rFonts w:hint="eastAsia" w:ascii="宋体" w:hAnsi="宋体" w:eastAsia="宋体" w:cs="宋体"/>
                <w:highlight w:val="none"/>
                <w:lang w:eastAsia="zh-CN" w:bidi="ar"/>
              </w:rPr>
              <w:t>评委集体评议分别打分后的算术平均值，即为该单位最终得分。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325" w:type="dxa"/>
            <w:gridSpan w:val="3"/>
            <w:shd w:val="clear" w:color="auto" w:fill="FFFFFF"/>
            <w:vAlign w:val="center"/>
          </w:tcPr>
          <w:p>
            <w:pPr>
              <w:widowControl/>
              <w:spacing w:line="360" w:lineRule="auto"/>
              <w:jc w:val="center"/>
              <w:textAlignment w:val="center"/>
              <w:rPr>
                <w:rFonts w:ascii="宋体" w:hAnsi="宋体" w:eastAsia="宋体" w:cs="宋体"/>
                <w:highlight w:val="none"/>
                <w:lang w:eastAsia="zh-CN" w:bidi="ar"/>
              </w:rPr>
            </w:pPr>
            <w:r>
              <w:rPr>
                <w:rFonts w:hint="eastAsia" w:ascii="宋体" w:hAnsi="宋体" w:eastAsia="宋体" w:cs="宋体"/>
                <w:highlight w:val="none"/>
                <w:lang w:eastAsia="zh-CN" w:bidi="ar"/>
              </w:rPr>
              <w:t>评标基准价计算方法</w:t>
            </w:r>
          </w:p>
        </w:tc>
        <w:tc>
          <w:tcPr>
            <w:tcW w:w="4929" w:type="dxa"/>
            <w:shd w:val="clear" w:color="auto" w:fill="FFFFFF"/>
            <w:vAlign w:val="center"/>
          </w:tcPr>
          <w:p>
            <w:pPr>
              <w:widowControl/>
              <w:spacing w:line="360" w:lineRule="auto"/>
              <w:textAlignment w:val="bottom"/>
              <w:rPr>
                <w:rFonts w:ascii="宋体" w:hAnsi="宋体" w:eastAsia="宋体" w:cs="宋体"/>
                <w:highlight w:val="none"/>
                <w:lang w:eastAsia="zh-CN" w:bidi="ar"/>
              </w:rPr>
            </w:pPr>
            <w:r>
              <w:rPr>
                <w:rFonts w:hint="eastAsia" w:ascii="宋体" w:hAnsi="宋体" w:eastAsia="宋体" w:cs="宋体"/>
                <w:highlight w:val="none"/>
                <w:lang w:eastAsia="zh-CN" w:bidi="ar"/>
              </w:rPr>
              <w:t xml:space="preserve">有效投标报价：指响应文件通过资格、形式、响应性评审且不存在废标情形的投标报价。 </w:t>
            </w:r>
          </w:p>
          <w:p>
            <w:pPr>
              <w:widowControl/>
              <w:spacing w:line="360" w:lineRule="auto"/>
              <w:textAlignment w:val="bottom"/>
              <w:rPr>
                <w:rFonts w:ascii="宋体" w:hAnsi="宋体" w:eastAsia="宋体" w:cs="宋体"/>
                <w:highlight w:val="none"/>
                <w:lang w:eastAsia="zh-CN" w:bidi="ar"/>
              </w:rPr>
            </w:pPr>
            <w:r>
              <w:rPr>
                <w:rFonts w:hint="eastAsia" w:ascii="宋体" w:hAnsi="宋体" w:eastAsia="宋体" w:cs="宋体"/>
                <w:highlight w:val="none"/>
                <w:lang w:eastAsia="zh-CN" w:bidi="ar"/>
              </w:rPr>
              <w:t>评标基准价=满足磋商文件要求的最低有效报价为基准价（给予小型或者微型企业20%的价格扣除，用扣除后的价格参与评审，政策详见本章第3.5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75" w:type="dxa"/>
            <w:gridSpan w:val="2"/>
            <w:shd w:val="clear" w:color="auto" w:fill="FFFFFF"/>
            <w:vAlign w:val="center"/>
          </w:tcPr>
          <w:p>
            <w:pPr>
              <w:widowControl/>
              <w:spacing w:line="360" w:lineRule="auto"/>
              <w:jc w:val="center"/>
              <w:textAlignment w:val="center"/>
              <w:rPr>
                <w:rFonts w:ascii="宋体" w:hAnsi="宋体" w:eastAsia="宋体" w:cs="宋体"/>
                <w:b/>
                <w:bCs/>
                <w:highlight w:val="none"/>
              </w:rPr>
            </w:pPr>
            <w:r>
              <w:rPr>
                <w:rFonts w:hint="eastAsia" w:ascii="宋体" w:hAnsi="宋体" w:eastAsia="宋体" w:cs="宋体"/>
                <w:b/>
                <w:bCs/>
                <w:highlight w:val="none"/>
                <w:lang w:eastAsia="zh-CN" w:bidi="ar"/>
              </w:rPr>
              <w:t>条款号</w:t>
            </w:r>
          </w:p>
        </w:tc>
        <w:tc>
          <w:tcPr>
            <w:tcW w:w="2250" w:type="dxa"/>
            <w:shd w:val="clear" w:color="auto" w:fill="FFFFFF"/>
            <w:vAlign w:val="center"/>
          </w:tcPr>
          <w:p>
            <w:pPr>
              <w:widowControl/>
              <w:spacing w:line="360" w:lineRule="auto"/>
              <w:jc w:val="center"/>
              <w:textAlignment w:val="center"/>
              <w:rPr>
                <w:rFonts w:ascii="宋体" w:hAnsi="宋体" w:eastAsia="宋体" w:cs="宋体"/>
                <w:b/>
                <w:bCs/>
                <w:highlight w:val="none"/>
              </w:rPr>
            </w:pPr>
            <w:r>
              <w:rPr>
                <w:rFonts w:hint="eastAsia" w:ascii="宋体" w:hAnsi="宋体" w:eastAsia="宋体" w:cs="宋体"/>
                <w:b/>
                <w:bCs/>
                <w:highlight w:val="none"/>
                <w:lang w:eastAsia="zh-CN" w:bidi="ar"/>
              </w:rPr>
              <w:t>评分因素</w:t>
            </w:r>
          </w:p>
        </w:tc>
        <w:tc>
          <w:tcPr>
            <w:tcW w:w="4929" w:type="dxa"/>
            <w:shd w:val="clear" w:color="auto" w:fill="FFFFFF"/>
            <w:vAlign w:val="center"/>
          </w:tcPr>
          <w:p>
            <w:pPr>
              <w:widowControl/>
              <w:spacing w:line="360" w:lineRule="auto"/>
              <w:jc w:val="center"/>
              <w:textAlignment w:val="center"/>
              <w:rPr>
                <w:rFonts w:ascii="宋体" w:hAnsi="宋体" w:eastAsia="宋体" w:cs="宋体"/>
                <w:b/>
                <w:bCs/>
                <w:highlight w:val="none"/>
              </w:rPr>
            </w:pPr>
            <w:r>
              <w:rPr>
                <w:rFonts w:hint="eastAsia" w:ascii="宋体" w:hAnsi="宋体" w:eastAsia="宋体" w:cs="宋体"/>
                <w:b/>
                <w:bCs/>
                <w:highlight w:val="none"/>
                <w:lang w:eastAsia="zh-CN"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trPr>
        <w:tc>
          <w:tcPr>
            <w:tcW w:w="835" w:type="dxa"/>
            <w:shd w:val="clear" w:color="auto" w:fill="FFFFFF"/>
            <w:vAlign w:val="center"/>
          </w:tcPr>
          <w:p>
            <w:pPr>
              <w:widowControl/>
              <w:spacing w:line="360" w:lineRule="auto"/>
              <w:jc w:val="center"/>
              <w:textAlignment w:val="center"/>
              <w:rPr>
                <w:rFonts w:ascii="宋体" w:hAnsi="宋体" w:eastAsia="宋体" w:cs="宋体"/>
                <w:highlight w:val="none"/>
                <w:lang w:eastAsia="zh-CN" w:bidi="ar"/>
              </w:rPr>
            </w:pPr>
            <w:r>
              <w:rPr>
                <w:rFonts w:hint="eastAsia" w:ascii="宋体" w:hAnsi="宋体" w:eastAsia="宋体" w:cs="宋体"/>
                <w:highlight w:val="none"/>
                <w:lang w:eastAsia="zh-CN" w:bidi="ar"/>
              </w:rPr>
              <w:t>2.2.2</w:t>
            </w:r>
          </w:p>
          <w:p>
            <w:pPr>
              <w:widowControl/>
              <w:spacing w:line="360" w:lineRule="auto"/>
              <w:jc w:val="center"/>
              <w:textAlignment w:val="center"/>
              <w:rPr>
                <w:rFonts w:ascii="宋体" w:hAnsi="宋体" w:eastAsia="宋体" w:cs="宋体"/>
                <w:highlight w:val="none"/>
              </w:rPr>
            </w:pPr>
            <w:r>
              <w:rPr>
                <w:rFonts w:hint="eastAsia" w:ascii="宋体" w:hAnsi="宋体" w:eastAsia="宋体" w:cs="宋体"/>
                <w:highlight w:val="none"/>
                <w:lang w:eastAsia="zh-CN" w:bidi="ar"/>
              </w:rPr>
              <w:t>（1）</w:t>
            </w:r>
          </w:p>
        </w:tc>
        <w:tc>
          <w:tcPr>
            <w:tcW w:w="1240" w:type="dxa"/>
            <w:shd w:val="clear" w:color="auto" w:fill="FFFFFF"/>
            <w:vAlign w:val="center"/>
          </w:tcPr>
          <w:p>
            <w:pPr>
              <w:widowControl/>
              <w:spacing w:line="360" w:lineRule="auto"/>
              <w:jc w:val="center"/>
              <w:textAlignment w:val="center"/>
              <w:rPr>
                <w:rFonts w:ascii="宋体" w:hAnsi="宋体" w:eastAsia="宋体" w:cs="宋体"/>
                <w:highlight w:val="none"/>
                <w:lang w:eastAsia="zh-CN" w:bidi="ar"/>
              </w:rPr>
            </w:pPr>
            <w:r>
              <w:rPr>
                <w:rFonts w:hint="eastAsia" w:ascii="宋体" w:hAnsi="宋体" w:eastAsia="宋体" w:cs="宋体"/>
                <w:highlight w:val="none"/>
                <w:lang w:eastAsia="zh-CN" w:bidi="ar"/>
              </w:rPr>
              <w:t>商务标评分标准</w:t>
            </w:r>
          </w:p>
          <w:p>
            <w:pPr>
              <w:widowControl/>
              <w:spacing w:line="360" w:lineRule="auto"/>
              <w:jc w:val="center"/>
              <w:textAlignment w:val="center"/>
              <w:rPr>
                <w:rFonts w:ascii="宋体" w:hAnsi="宋体" w:eastAsia="宋体" w:cs="宋体"/>
                <w:highlight w:val="none"/>
                <w:lang w:eastAsia="zh-CN"/>
              </w:rPr>
            </w:pPr>
            <w:r>
              <w:rPr>
                <w:rFonts w:hint="eastAsia" w:ascii="宋体" w:hAnsi="宋体" w:eastAsia="宋体" w:cs="宋体"/>
                <w:highlight w:val="none"/>
                <w:lang w:eastAsia="zh-CN" w:bidi="ar"/>
              </w:rPr>
              <w:t>（10分）</w:t>
            </w:r>
          </w:p>
        </w:tc>
        <w:tc>
          <w:tcPr>
            <w:tcW w:w="2250" w:type="dxa"/>
            <w:shd w:val="clear" w:color="auto" w:fill="FFFFFF"/>
            <w:vAlign w:val="center"/>
          </w:tcPr>
          <w:p>
            <w:pPr>
              <w:widowControl/>
              <w:spacing w:line="360" w:lineRule="auto"/>
              <w:jc w:val="center"/>
              <w:textAlignment w:val="center"/>
              <w:rPr>
                <w:rFonts w:ascii="宋体" w:hAnsi="宋体" w:eastAsia="宋体" w:cs="宋体"/>
                <w:highlight w:val="none"/>
                <w:lang w:eastAsia="zh-CN" w:bidi="ar"/>
              </w:rPr>
            </w:pPr>
            <w:r>
              <w:rPr>
                <w:rFonts w:hint="eastAsia" w:ascii="宋体" w:hAnsi="宋体" w:eastAsia="宋体" w:cs="宋体"/>
                <w:highlight w:val="none"/>
                <w:lang w:eastAsia="zh-CN" w:bidi="ar"/>
              </w:rPr>
              <w:t>报价得分</w:t>
            </w:r>
          </w:p>
          <w:p>
            <w:pPr>
              <w:widowControl/>
              <w:spacing w:line="360" w:lineRule="auto"/>
              <w:jc w:val="center"/>
              <w:textAlignment w:val="center"/>
              <w:rPr>
                <w:rFonts w:ascii="宋体" w:hAnsi="宋体" w:eastAsia="宋体" w:cs="宋体"/>
                <w:highlight w:val="none"/>
              </w:rPr>
            </w:pPr>
            <w:r>
              <w:rPr>
                <w:rFonts w:hint="eastAsia" w:ascii="宋体" w:hAnsi="宋体" w:eastAsia="宋体" w:cs="宋体"/>
                <w:highlight w:val="none"/>
                <w:lang w:eastAsia="zh-CN" w:bidi="ar"/>
              </w:rPr>
              <w:t>（10分）</w:t>
            </w:r>
          </w:p>
        </w:tc>
        <w:tc>
          <w:tcPr>
            <w:tcW w:w="4929" w:type="dxa"/>
            <w:shd w:val="clear" w:color="auto" w:fill="FFFFFF"/>
            <w:vAlign w:val="center"/>
          </w:tcPr>
          <w:p>
            <w:pPr>
              <w:pStyle w:val="8"/>
              <w:rPr>
                <w:rFonts w:asciiTheme="minorEastAsia" w:hAnsiTheme="minorEastAsia" w:eastAsiaTheme="minorEastAsia" w:cstheme="minorEastAsia"/>
                <w:sz w:val="24"/>
                <w:szCs w:val="24"/>
                <w:highlight w:val="none"/>
                <w:lang w:val="en-US" w:bidi="en-US"/>
              </w:rPr>
            </w:pPr>
            <w:r>
              <w:rPr>
                <w:rFonts w:hint="eastAsia" w:asciiTheme="minorEastAsia" w:hAnsiTheme="minorEastAsia" w:eastAsiaTheme="minorEastAsia" w:cstheme="minorEastAsia"/>
                <w:sz w:val="24"/>
                <w:szCs w:val="24"/>
                <w:highlight w:val="none"/>
                <w:lang w:val="en-US" w:bidi="en-US"/>
              </w:rPr>
              <w:t>计算方法如下：</w:t>
            </w:r>
          </w:p>
          <w:p>
            <w:pPr>
              <w:pStyle w:val="8"/>
              <w:rPr>
                <w:rFonts w:asciiTheme="minorEastAsia" w:hAnsiTheme="minorEastAsia" w:eastAsiaTheme="minorEastAsia" w:cstheme="minorEastAsia"/>
                <w:sz w:val="24"/>
                <w:szCs w:val="24"/>
                <w:highlight w:val="none"/>
                <w:lang w:val="en-US" w:bidi="en-US"/>
              </w:rPr>
            </w:pPr>
            <w:r>
              <w:rPr>
                <w:rFonts w:hint="eastAsia" w:asciiTheme="minorEastAsia" w:hAnsiTheme="minorEastAsia" w:eastAsiaTheme="minorEastAsia" w:cstheme="minorEastAsia"/>
                <w:sz w:val="24"/>
                <w:szCs w:val="24"/>
                <w:highlight w:val="none"/>
                <w:lang w:val="en-US" w:bidi="en-US"/>
              </w:rPr>
              <w:t>1、磋商基准值=有效供应商价格最低的最终磋商报价</w:t>
            </w:r>
          </w:p>
          <w:p>
            <w:pPr>
              <w:pStyle w:val="8"/>
              <w:rPr>
                <w:rFonts w:asciiTheme="minorEastAsia" w:hAnsiTheme="minorEastAsia" w:eastAsiaTheme="minorEastAsia" w:cstheme="minorEastAsia"/>
                <w:sz w:val="24"/>
                <w:szCs w:val="24"/>
                <w:highlight w:val="none"/>
                <w:lang w:val="en-US" w:bidi="en-US"/>
              </w:rPr>
            </w:pPr>
            <w:r>
              <w:rPr>
                <w:rFonts w:hint="eastAsia" w:asciiTheme="minorEastAsia" w:hAnsiTheme="minorEastAsia" w:eastAsiaTheme="minorEastAsia" w:cstheme="minorEastAsia"/>
                <w:sz w:val="24"/>
                <w:szCs w:val="24"/>
                <w:highlight w:val="none"/>
                <w:lang w:val="en-US" w:bidi="en-US"/>
              </w:rPr>
              <w:t>2、最后磋商报价得分=磋商基准值/最终磋商报价×10分</w:t>
            </w:r>
          </w:p>
          <w:p>
            <w:pPr>
              <w:pStyle w:val="8"/>
              <w:rPr>
                <w:highlight w:val="none"/>
              </w:rPr>
            </w:pPr>
            <w:r>
              <w:rPr>
                <w:rFonts w:hint="eastAsia" w:asciiTheme="minorEastAsia" w:hAnsiTheme="minorEastAsia" w:eastAsiaTheme="minorEastAsia" w:cstheme="minorEastAsia"/>
                <w:sz w:val="24"/>
                <w:szCs w:val="24"/>
                <w:highlight w:val="none"/>
                <w:lang w:val="en-US" w:bidi="en-US"/>
              </w:rPr>
              <w:t>备注：计算按四舍五入法则，保留小数点后两位。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835" w:type="dxa"/>
            <w:vMerge w:val="restart"/>
            <w:shd w:val="clear" w:color="auto" w:fill="FFFFFF"/>
            <w:vAlign w:val="center"/>
          </w:tcPr>
          <w:p>
            <w:pPr>
              <w:widowControl/>
              <w:spacing w:line="360" w:lineRule="auto"/>
              <w:jc w:val="center"/>
              <w:textAlignment w:val="center"/>
              <w:rPr>
                <w:rFonts w:ascii="宋体" w:hAnsi="宋体" w:eastAsia="宋体" w:cs="宋体"/>
                <w:highlight w:val="none"/>
              </w:rPr>
            </w:pPr>
            <w:r>
              <w:rPr>
                <w:rFonts w:hint="eastAsia" w:ascii="宋体" w:hAnsi="宋体" w:eastAsia="宋体" w:cs="宋体"/>
                <w:highlight w:val="none"/>
                <w:lang w:eastAsia="zh-CN" w:bidi="ar"/>
              </w:rPr>
              <w:t>2.2.2(2)</w:t>
            </w:r>
          </w:p>
        </w:tc>
        <w:tc>
          <w:tcPr>
            <w:tcW w:w="1240" w:type="dxa"/>
            <w:vMerge w:val="restart"/>
            <w:shd w:val="clear" w:color="auto" w:fill="FFFFFF"/>
            <w:vAlign w:val="center"/>
          </w:tcPr>
          <w:p>
            <w:pPr>
              <w:widowControl/>
              <w:spacing w:line="360" w:lineRule="auto"/>
              <w:jc w:val="center"/>
              <w:textAlignment w:val="center"/>
              <w:rPr>
                <w:rFonts w:ascii="宋体" w:hAnsi="宋体" w:eastAsia="宋体" w:cs="宋体"/>
                <w:highlight w:val="none"/>
                <w:lang w:eastAsia="zh-CN" w:bidi="ar"/>
              </w:rPr>
            </w:pPr>
            <w:r>
              <w:rPr>
                <w:rFonts w:hint="eastAsia" w:ascii="宋体" w:hAnsi="宋体" w:eastAsia="宋体" w:cs="宋体"/>
                <w:highlight w:val="none"/>
                <w:lang w:eastAsia="zh-CN"/>
              </w:rPr>
              <w:t>技术标</w:t>
            </w:r>
            <w:r>
              <w:rPr>
                <w:rFonts w:hint="eastAsia" w:ascii="宋体" w:hAnsi="宋体" w:eastAsia="宋体" w:cs="宋体"/>
                <w:highlight w:val="none"/>
                <w:lang w:eastAsia="zh-CN" w:bidi="ar"/>
              </w:rPr>
              <w:t>评分标准</w:t>
            </w:r>
          </w:p>
          <w:p>
            <w:pPr>
              <w:widowControl/>
              <w:spacing w:line="360" w:lineRule="auto"/>
              <w:jc w:val="center"/>
              <w:textAlignment w:val="center"/>
              <w:rPr>
                <w:rFonts w:ascii="宋体" w:hAnsi="宋体" w:eastAsia="宋体" w:cs="宋体"/>
                <w:highlight w:val="none"/>
                <w:lang w:eastAsia="zh-CN"/>
              </w:rPr>
            </w:pPr>
            <w:r>
              <w:rPr>
                <w:rFonts w:hint="eastAsia" w:ascii="宋体" w:hAnsi="宋体" w:eastAsia="宋体" w:cs="宋体"/>
                <w:highlight w:val="none"/>
                <w:lang w:eastAsia="zh-CN"/>
              </w:rPr>
              <w:t>（</w:t>
            </w:r>
            <w:r>
              <w:rPr>
                <w:rFonts w:hint="default" w:ascii="宋体" w:hAnsi="宋体" w:eastAsia="宋体" w:cs="宋体"/>
                <w:highlight w:val="none"/>
                <w:lang w:val="en-US" w:eastAsia="zh-CN"/>
              </w:rPr>
              <w:t>55</w:t>
            </w:r>
            <w:r>
              <w:rPr>
                <w:rFonts w:hint="eastAsia" w:ascii="宋体" w:hAnsi="宋体" w:eastAsia="宋体" w:cs="宋体"/>
                <w:highlight w:val="none"/>
                <w:lang w:eastAsia="zh-CN"/>
              </w:rPr>
              <w:t>分）</w:t>
            </w:r>
          </w:p>
        </w:tc>
        <w:tc>
          <w:tcPr>
            <w:tcW w:w="2250" w:type="dxa"/>
            <w:shd w:val="clear" w:color="auto" w:fill="FFFFFF"/>
            <w:vAlign w:val="center"/>
          </w:tcPr>
          <w:p>
            <w:pPr>
              <w:spacing w:line="360" w:lineRule="auto"/>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城市更新专项规划</w:t>
            </w:r>
            <w:r>
              <w:rPr>
                <w:rFonts w:hint="eastAsia" w:asciiTheme="minorEastAsia" w:hAnsiTheme="minorEastAsia" w:eastAsiaTheme="minorEastAsia" w:cstheme="minorEastAsia"/>
                <w:highlight w:val="none"/>
                <w:lang w:eastAsia="zh-CN"/>
              </w:rPr>
              <w:t>等任务编制的</w:t>
            </w:r>
            <w:r>
              <w:rPr>
                <w:rFonts w:hint="eastAsia" w:asciiTheme="minorEastAsia" w:hAnsiTheme="minorEastAsia" w:eastAsiaTheme="minorEastAsia" w:cstheme="minorEastAsia"/>
                <w:highlight w:val="none"/>
                <w:lang w:val="en-US" w:eastAsia="zh-CN"/>
              </w:rPr>
              <w:t>方法和流程</w:t>
            </w:r>
            <w:r>
              <w:rPr>
                <w:rFonts w:hint="eastAsia" w:asciiTheme="minorEastAsia" w:hAnsiTheme="minorEastAsia" w:eastAsiaTheme="minorEastAsia" w:cstheme="minorEastAsia"/>
                <w:highlight w:val="none"/>
                <w:lang w:eastAsia="zh-CN"/>
              </w:rPr>
              <w:t>（</w:t>
            </w:r>
            <w:r>
              <w:rPr>
                <w:rFonts w:hint="default" w:asciiTheme="minorEastAsia" w:hAnsiTheme="minorEastAsia" w:eastAsiaTheme="minorEastAsia" w:cstheme="minorEastAsia"/>
                <w:highlight w:val="none"/>
                <w:lang w:val="en-US" w:eastAsia="zh-CN"/>
              </w:rPr>
              <w:t>15</w:t>
            </w:r>
            <w:r>
              <w:rPr>
                <w:rFonts w:hint="eastAsia" w:asciiTheme="minorEastAsia" w:hAnsiTheme="minorEastAsia" w:eastAsiaTheme="minorEastAsia" w:cstheme="minorEastAsia"/>
                <w:highlight w:val="none"/>
                <w:lang w:eastAsia="zh-CN"/>
              </w:rPr>
              <w:t>分）</w:t>
            </w:r>
          </w:p>
        </w:tc>
        <w:tc>
          <w:tcPr>
            <w:tcW w:w="4929" w:type="dxa"/>
            <w:shd w:val="clear" w:color="auto" w:fill="FFFFFF"/>
            <w:vAlign w:val="center"/>
          </w:tcPr>
          <w:p>
            <w:pPr>
              <w:spacing w:line="360" w:lineRule="auto"/>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方法较好，流程清晰的得</w:t>
            </w:r>
            <w:r>
              <w:rPr>
                <w:rFonts w:hint="default" w:asciiTheme="minorEastAsia" w:hAnsiTheme="minorEastAsia" w:eastAsiaTheme="minorEastAsia" w:cstheme="minorEastAsia"/>
                <w:highlight w:val="none"/>
                <w:lang w:val="en-US" w:eastAsia="zh-CN"/>
              </w:rPr>
              <w:t>11</w:t>
            </w:r>
            <w:r>
              <w:rPr>
                <w:rFonts w:hint="eastAsia" w:asciiTheme="minorEastAsia" w:hAnsiTheme="minorEastAsia" w:eastAsiaTheme="minorEastAsia" w:cstheme="minorEastAsia"/>
                <w:highlight w:val="none"/>
                <w:lang w:eastAsia="zh-CN"/>
              </w:rPr>
              <w:t>-</w:t>
            </w:r>
            <w:r>
              <w:rPr>
                <w:rFonts w:hint="default" w:asciiTheme="minorEastAsia" w:hAnsiTheme="minorEastAsia" w:eastAsiaTheme="minorEastAsia" w:cstheme="minorEastAsia"/>
                <w:highlight w:val="none"/>
                <w:lang w:val="en-US" w:eastAsia="zh-CN"/>
              </w:rPr>
              <w:t>15</w:t>
            </w:r>
            <w:r>
              <w:rPr>
                <w:rFonts w:hint="eastAsia" w:asciiTheme="minorEastAsia" w:hAnsiTheme="minorEastAsia" w:eastAsiaTheme="minorEastAsia" w:cstheme="minorEastAsia"/>
                <w:highlight w:val="none"/>
                <w:lang w:eastAsia="zh-CN"/>
              </w:rPr>
              <w:t>分；</w:t>
            </w:r>
          </w:p>
          <w:p>
            <w:pPr>
              <w:spacing w:line="360" w:lineRule="auto"/>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方法明确，流程清晰的得</w:t>
            </w:r>
            <w:r>
              <w:rPr>
                <w:rFonts w:hint="default" w:asciiTheme="minorEastAsia" w:hAnsiTheme="minorEastAsia" w:eastAsiaTheme="minorEastAsia" w:cstheme="minorEastAsia"/>
                <w:highlight w:val="none"/>
                <w:lang w:val="en-US" w:eastAsia="zh-CN"/>
              </w:rPr>
              <w:t>5</w:t>
            </w:r>
            <w:r>
              <w:rPr>
                <w:rFonts w:hint="eastAsia" w:asciiTheme="minorEastAsia" w:hAnsiTheme="minorEastAsia" w:eastAsiaTheme="minorEastAsia" w:cstheme="minorEastAsia"/>
                <w:highlight w:val="none"/>
                <w:lang w:eastAsia="zh-CN"/>
              </w:rPr>
              <w:t>-</w:t>
            </w:r>
            <w:r>
              <w:rPr>
                <w:rFonts w:hint="default" w:asciiTheme="minorEastAsia" w:hAnsiTheme="minorEastAsia" w:eastAsiaTheme="minorEastAsia" w:cstheme="minorEastAsia"/>
                <w:highlight w:val="none"/>
                <w:lang w:val="en-US" w:eastAsia="zh-CN"/>
              </w:rPr>
              <w:t>10</w:t>
            </w:r>
            <w:r>
              <w:rPr>
                <w:rFonts w:hint="eastAsia" w:asciiTheme="minorEastAsia" w:hAnsiTheme="minorEastAsia" w:eastAsiaTheme="minorEastAsia" w:cstheme="minorEastAsia"/>
                <w:highlight w:val="none"/>
                <w:lang w:eastAsia="zh-CN"/>
              </w:rPr>
              <w:t>分；</w:t>
            </w:r>
          </w:p>
          <w:p>
            <w:pPr>
              <w:spacing w:line="360" w:lineRule="auto"/>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方法一般，流程一般清晰的得0-</w:t>
            </w:r>
            <w:r>
              <w:rPr>
                <w:rFonts w:hint="default" w:asciiTheme="minorEastAsia" w:hAnsiTheme="minorEastAsia" w:eastAsiaTheme="minorEastAsia" w:cstheme="minorEastAsia"/>
                <w:highlight w:val="none"/>
                <w:lang w:val="en-US" w:eastAsia="zh-CN"/>
              </w:rPr>
              <w:t>4</w:t>
            </w:r>
            <w:r>
              <w:rPr>
                <w:rFonts w:hint="eastAsia" w:asciiTheme="minorEastAsia" w:hAnsiTheme="minorEastAsia" w:eastAsiaTheme="minorEastAsia" w:cstheme="minor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5" w:type="dxa"/>
            <w:vMerge w:val="continue"/>
            <w:shd w:val="clear" w:color="auto" w:fill="FFFFFF"/>
            <w:vAlign w:val="center"/>
          </w:tcPr>
          <w:p>
            <w:pPr>
              <w:spacing w:line="360" w:lineRule="auto"/>
              <w:jc w:val="center"/>
              <w:rPr>
                <w:rFonts w:ascii="宋体" w:hAnsi="宋体" w:eastAsia="宋体" w:cs="宋体"/>
                <w:highlight w:val="none"/>
                <w:lang w:eastAsia="zh-CN"/>
              </w:rPr>
            </w:pPr>
          </w:p>
        </w:tc>
        <w:tc>
          <w:tcPr>
            <w:tcW w:w="1240" w:type="dxa"/>
            <w:vMerge w:val="continue"/>
            <w:shd w:val="clear" w:color="auto" w:fill="FFFFFF"/>
            <w:vAlign w:val="center"/>
          </w:tcPr>
          <w:p>
            <w:pPr>
              <w:spacing w:line="360" w:lineRule="auto"/>
              <w:jc w:val="center"/>
              <w:rPr>
                <w:rFonts w:ascii="宋体" w:hAnsi="宋体" w:eastAsia="宋体" w:cs="宋体"/>
                <w:highlight w:val="none"/>
                <w:lang w:eastAsia="zh-CN"/>
              </w:rPr>
            </w:pPr>
          </w:p>
        </w:tc>
        <w:tc>
          <w:tcPr>
            <w:tcW w:w="2250" w:type="dxa"/>
            <w:shd w:val="clear" w:color="auto" w:fill="FFFFFF"/>
            <w:vAlign w:val="center"/>
          </w:tcPr>
          <w:p>
            <w:pPr>
              <w:spacing w:line="360" w:lineRule="auto"/>
              <w:jc w:val="center"/>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规划思路、理念符合规划编制要求，适应中牟县经济及社会发展新需求（</w:t>
            </w:r>
            <w:r>
              <w:rPr>
                <w:rFonts w:hint="eastAsia" w:asciiTheme="minorEastAsia" w:hAnsiTheme="minorEastAsia" w:eastAsiaTheme="minorEastAsia" w:cstheme="minorEastAsia"/>
                <w:highlight w:val="none"/>
                <w:lang w:val="en-US" w:eastAsia="zh-CN"/>
              </w:rPr>
              <w:t>15</w:t>
            </w:r>
            <w:r>
              <w:rPr>
                <w:rFonts w:hint="eastAsia" w:asciiTheme="minorEastAsia" w:hAnsiTheme="minorEastAsia" w:eastAsiaTheme="minorEastAsia" w:cstheme="minorEastAsia"/>
                <w:highlight w:val="none"/>
                <w:lang w:eastAsia="zh-CN"/>
              </w:rPr>
              <w:t>分）</w:t>
            </w:r>
          </w:p>
        </w:tc>
        <w:tc>
          <w:tcPr>
            <w:tcW w:w="4929" w:type="dxa"/>
            <w:shd w:val="clear" w:color="auto" w:fill="FFFFFF"/>
            <w:vAlign w:val="center"/>
          </w:tcPr>
          <w:p>
            <w:pPr>
              <w:spacing w:line="360" w:lineRule="auto"/>
              <w:jc w:val="center"/>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思路理念较好，适应发展的得</w:t>
            </w:r>
            <w:r>
              <w:rPr>
                <w:rFonts w:hint="eastAsia" w:asciiTheme="minorEastAsia" w:hAnsiTheme="minorEastAsia" w:eastAsiaTheme="minorEastAsia" w:cstheme="minorEastAsia"/>
                <w:highlight w:val="none"/>
                <w:lang w:val="en-US" w:eastAsia="zh-CN"/>
              </w:rPr>
              <w:t>11</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15</w:t>
            </w:r>
            <w:r>
              <w:rPr>
                <w:rFonts w:hint="eastAsia" w:asciiTheme="minorEastAsia" w:hAnsiTheme="minorEastAsia" w:eastAsiaTheme="minorEastAsia" w:cstheme="minorEastAsia"/>
                <w:highlight w:val="none"/>
                <w:lang w:eastAsia="zh-CN"/>
              </w:rPr>
              <w:t>分；</w:t>
            </w:r>
          </w:p>
          <w:p>
            <w:pPr>
              <w:spacing w:line="360" w:lineRule="auto"/>
              <w:jc w:val="center"/>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思路理念明确，基本适应发展的得</w:t>
            </w:r>
            <w:r>
              <w:rPr>
                <w:rFonts w:hint="eastAsia" w:asciiTheme="minorEastAsia" w:hAnsiTheme="minorEastAsia" w:eastAsiaTheme="minorEastAsia" w:cstheme="minorEastAsia"/>
                <w:highlight w:val="none"/>
                <w:lang w:val="en-US" w:eastAsia="zh-CN"/>
              </w:rPr>
              <w:t>5</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10</w:t>
            </w:r>
            <w:r>
              <w:rPr>
                <w:rFonts w:hint="eastAsia" w:asciiTheme="minorEastAsia" w:hAnsiTheme="minorEastAsia" w:eastAsiaTheme="minorEastAsia" w:cstheme="minorEastAsia"/>
                <w:highlight w:val="none"/>
                <w:lang w:eastAsia="zh-CN"/>
              </w:rPr>
              <w:t>分；</w:t>
            </w:r>
          </w:p>
          <w:p>
            <w:pPr>
              <w:spacing w:line="360" w:lineRule="auto"/>
              <w:jc w:val="center"/>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思路理念一般，基本适应发展的得0-</w:t>
            </w:r>
            <w:r>
              <w:rPr>
                <w:rFonts w:hint="eastAsia" w:asciiTheme="minorEastAsia" w:hAnsiTheme="minorEastAsia" w:eastAsiaTheme="minorEastAsia" w:cstheme="minorEastAsia"/>
                <w:highlight w:val="none"/>
                <w:lang w:val="en-US" w:eastAsia="zh-CN"/>
              </w:rPr>
              <w:t>4</w:t>
            </w:r>
            <w:r>
              <w:rPr>
                <w:rFonts w:hint="eastAsia" w:asciiTheme="minorEastAsia" w:hAnsiTheme="minorEastAsia" w:eastAsiaTheme="minorEastAsia" w:cstheme="minorEastAsia"/>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5" w:type="dxa"/>
            <w:vMerge w:val="continue"/>
            <w:shd w:val="clear" w:color="auto" w:fill="FFFFFF"/>
            <w:vAlign w:val="center"/>
          </w:tcPr>
          <w:p>
            <w:pPr>
              <w:spacing w:line="360" w:lineRule="auto"/>
              <w:jc w:val="center"/>
              <w:rPr>
                <w:rFonts w:ascii="宋体" w:hAnsi="宋体" w:eastAsia="宋体" w:cs="宋体"/>
                <w:highlight w:val="none"/>
                <w:lang w:eastAsia="zh-CN"/>
              </w:rPr>
            </w:pPr>
          </w:p>
        </w:tc>
        <w:tc>
          <w:tcPr>
            <w:tcW w:w="1240" w:type="dxa"/>
            <w:vMerge w:val="continue"/>
            <w:shd w:val="clear" w:color="auto" w:fill="FFFFFF"/>
            <w:vAlign w:val="center"/>
          </w:tcPr>
          <w:p>
            <w:pPr>
              <w:spacing w:line="360" w:lineRule="auto"/>
              <w:jc w:val="center"/>
              <w:rPr>
                <w:rFonts w:ascii="宋体" w:hAnsi="宋体" w:eastAsia="宋体" w:cs="宋体"/>
                <w:highlight w:val="none"/>
                <w:lang w:eastAsia="zh-CN"/>
              </w:rPr>
            </w:pPr>
          </w:p>
        </w:tc>
        <w:tc>
          <w:tcPr>
            <w:tcW w:w="2250" w:type="dxa"/>
            <w:shd w:val="clear" w:color="auto" w:fill="FFFFFF"/>
            <w:vAlign w:val="center"/>
          </w:tcPr>
          <w:p>
            <w:pPr>
              <w:spacing w:line="360" w:lineRule="auto"/>
              <w:jc w:val="center"/>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val="en-US" w:eastAsia="zh-CN"/>
              </w:rPr>
              <w:t>城市更新初步规划意向（15分）</w:t>
            </w:r>
          </w:p>
        </w:tc>
        <w:tc>
          <w:tcPr>
            <w:tcW w:w="4929" w:type="dxa"/>
            <w:shd w:val="clear" w:color="auto" w:fill="FFFFFF"/>
            <w:vAlign w:val="center"/>
          </w:tcPr>
          <w:p>
            <w:pPr>
              <w:spacing w:line="360" w:lineRule="auto"/>
              <w:jc w:val="center"/>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 xml:space="preserve">提供本项目初步方案，包括规划用地图、道路系统、高度强度等内容，项目实施方案全面详细、科学合理。能完全满足招标文件要求的酌情赋 </w:t>
            </w:r>
            <w:r>
              <w:rPr>
                <w:rFonts w:hint="eastAsia" w:asciiTheme="minorEastAsia" w:hAnsiTheme="minorEastAsia" w:eastAsiaTheme="minorEastAsia" w:cstheme="minorEastAsia"/>
                <w:highlight w:val="none"/>
                <w:lang w:val="en-US" w:eastAsia="zh-CN"/>
              </w:rPr>
              <w:t>11</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15</w:t>
            </w:r>
            <w:r>
              <w:rPr>
                <w:rFonts w:hint="eastAsia" w:asciiTheme="minorEastAsia" w:hAnsiTheme="minorEastAsia" w:eastAsiaTheme="minorEastAsia" w:cstheme="minorEastAsia"/>
                <w:highlight w:val="none"/>
                <w:lang w:eastAsia="zh-CN"/>
              </w:rPr>
              <w:t xml:space="preserve"> 分；能满足招标文件基本要求的酌情赋 </w:t>
            </w:r>
            <w:r>
              <w:rPr>
                <w:rFonts w:hint="eastAsia" w:asciiTheme="minorEastAsia" w:hAnsiTheme="minorEastAsia" w:eastAsiaTheme="minorEastAsia" w:cstheme="minorEastAsia"/>
                <w:highlight w:val="none"/>
                <w:lang w:val="en-US" w:eastAsia="zh-CN"/>
              </w:rPr>
              <w:t>5-10</w:t>
            </w:r>
            <w:r>
              <w:rPr>
                <w:rFonts w:hint="eastAsia" w:asciiTheme="minorEastAsia" w:hAnsiTheme="minorEastAsia" w:eastAsiaTheme="minorEastAsia" w:cstheme="minorEastAsia"/>
                <w:highlight w:val="none"/>
                <w:lang w:eastAsia="zh-CN"/>
              </w:rPr>
              <w:t xml:space="preserve"> 分；不能完整满足招标文件要求的酌情得 </w:t>
            </w:r>
            <w:r>
              <w:rPr>
                <w:rFonts w:hint="eastAsia" w:asciiTheme="minorEastAsia" w:hAnsiTheme="minorEastAsia" w:eastAsiaTheme="minorEastAsia" w:cstheme="minorEastAsia"/>
                <w:highlight w:val="none"/>
                <w:lang w:val="en-US" w:eastAsia="zh-CN"/>
              </w:rPr>
              <w:t>0</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4</w:t>
            </w:r>
            <w:r>
              <w:rPr>
                <w:rFonts w:hint="eastAsia" w:asciiTheme="minorEastAsia" w:hAnsiTheme="minorEastAsia" w:eastAsiaTheme="minorEastAsia" w:cstheme="minorEastAsia"/>
                <w:highlight w:val="none"/>
                <w:lang w:eastAsia="zh-CN"/>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5" w:type="dxa"/>
            <w:vMerge w:val="continue"/>
            <w:shd w:val="clear" w:color="auto" w:fill="FFFFFF"/>
            <w:vAlign w:val="center"/>
          </w:tcPr>
          <w:p>
            <w:pPr>
              <w:spacing w:line="360" w:lineRule="auto"/>
              <w:jc w:val="center"/>
              <w:rPr>
                <w:rFonts w:ascii="宋体" w:hAnsi="宋体" w:eastAsia="宋体" w:cs="宋体"/>
                <w:highlight w:val="none"/>
                <w:lang w:eastAsia="zh-CN"/>
              </w:rPr>
            </w:pPr>
          </w:p>
        </w:tc>
        <w:tc>
          <w:tcPr>
            <w:tcW w:w="1240" w:type="dxa"/>
            <w:vMerge w:val="continue"/>
            <w:shd w:val="clear" w:color="auto" w:fill="FFFFFF"/>
            <w:vAlign w:val="center"/>
          </w:tcPr>
          <w:p>
            <w:pPr>
              <w:spacing w:line="360" w:lineRule="auto"/>
              <w:jc w:val="center"/>
              <w:rPr>
                <w:rFonts w:ascii="宋体" w:hAnsi="宋体" w:eastAsia="宋体" w:cs="宋体"/>
                <w:highlight w:val="none"/>
                <w:lang w:eastAsia="zh-CN"/>
              </w:rPr>
            </w:pPr>
          </w:p>
        </w:tc>
        <w:tc>
          <w:tcPr>
            <w:tcW w:w="2250" w:type="dxa"/>
            <w:shd w:val="clear" w:color="auto" w:fill="FFFFFF"/>
            <w:vAlign w:val="center"/>
          </w:tcPr>
          <w:p>
            <w:pPr>
              <w:spacing w:line="360" w:lineRule="auto"/>
              <w:jc w:val="cente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编制时间的保证措施</w:t>
            </w:r>
          </w:p>
          <w:p>
            <w:pPr>
              <w:spacing w:line="360" w:lineRule="auto"/>
              <w:jc w:val="cente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w:t>
            </w:r>
            <w:r>
              <w:rPr>
                <w:rFonts w:hint="default" w:asciiTheme="minorEastAsia" w:hAnsiTheme="minorEastAsia" w:eastAsiaTheme="minorEastAsia" w:cstheme="minorEastAsia"/>
                <w:highlight w:val="none"/>
                <w:lang w:val="en-US" w:eastAsia="zh-CN"/>
              </w:rPr>
              <w:t>10</w:t>
            </w:r>
            <w:r>
              <w:rPr>
                <w:rFonts w:hint="eastAsia" w:asciiTheme="minorEastAsia" w:hAnsiTheme="minorEastAsia" w:eastAsiaTheme="minorEastAsia" w:cstheme="minorEastAsia"/>
                <w:highlight w:val="none"/>
                <w:lang w:val="en-US" w:eastAsia="zh-CN"/>
              </w:rPr>
              <w:t>分）</w:t>
            </w:r>
          </w:p>
        </w:tc>
        <w:tc>
          <w:tcPr>
            <w:tcW w:w="4929" w:type="dxa"/>
            <w:shd w:val="clear" w:color="auto" w:fill="FFFFFF"/>
            <w:vAlign w:val="center"/>
          </w:tcPr>
          <w:p>
            <w:pPr>
              <w:spacing w:line="360" w:lineRule="auto"/>
              <w:jc w:val="cente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项目整体工作阶段及任务划分、进度控制合理、关键时间节点把握科学准确的得</w:t>
            </w:r>
            <w:r>
              <w:rPr>
                <w:rFonts w:hint="default" w:asciiTheme="minorEastAsia" w:hAnsiTheme="minorEastAsia" w:eastAsiaTheme="minorEastAsia" w:cstheme="minorEastAsia"/>
                <w:highlight w:val="none"/>
                <w:lang w:val="en-US" w:eastAsia="zh-CN"/>
              </w:rPr>
              <w:t>8</w:t>
            </w:r>
            <w:r>
              <w:rPr>
                <w:rFonts w:hint="eastAsia" w:asciiTheme="minorEastAsia" w:hAnsiTheme="minorEastAsia" w:eastAsiaTheme="minorEastAsia" w:cstheme="minorEastAsia"/>
                <w:highlight w:val="none"/>
                <w:lang w:val="en-US" w:eastAsia="zh-CN"/>
              </w:rPr>
              <w:t>-</w:t>
            </w:r>
            <w:r>
              <w:rPr>
                <w:rFonts w:hint="default" w:asciiTheme="minorEastAsia" w:hAnsiTheme="minorEastAsia" w:eastAsiaTheme="minorEastAsia" w:cstheme="minorEastAsia"/>
                <w:highlight w:val="none"/>
                <w:lang w:val="en-US" w:eastAsia="zh-CN"/>
              </w:rPr>
              <w:t>10</w:t>
            </w:r>
            <w:r>
              <w:rPr>
                <w:rFonts w:hint="eastAsia" w:asciiTheme="minorEastAsia" w:hAnsiTheme="minorEastAsia" w:eastAsiaTheme="minorEastAsia" w:cstheme="minorEastAsia"/>
                <w:highlight w:val="none"/>
                <w:lang w:val="en-US" w:eastAsia="zh-CN"/>
              </w:rPr>
              <w:t>分；</w:t>
            </w:r>
          </w:p>
          <w:p>
            <w:pPr>
              <w:spacing w:line="360" w:lineRule="auto"/>
              <w:jc w:val="cente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项目整体工作阶段及任务划分、进度控制较合理、关键时间节点把握较准确的得</w:t>
            </w:r>
            <w:r>
              <w:rPr>
                <w:rFonts w:hint="default" w:asciiTheme="minorEastAsia" w:hAnsiTheme="minorEastAsia" w:eastAsiaTheme="minorEastAsia" w:cstheme="minorEastAsia"/>
                <w:highlight w:val="none"/>
                <w:lang w:val="en-US" w:eastAsia="zh-CN"/>
              </w:rPr>
              <w:t>4</w:t>
            </w:r>
            <w:r>
              <w:rPr>
                <w:rFonts w:hint="eastAsia" w:asciiTheme="minorEastAsia" w:hAnsiTheme="minorEastAsia" w:eastAsiaTheme="minorEastAsia" w:cstheme="minorEastAsia"/>
                <w:highlight w:val="none"/>
                <w:lang w:val="en-US" w:eastAsia="zh-CN"/>
              </w:rPr>
              <w:t>-</w:t>
            </w:r>
            <w:r>
              <w:rPr>
                <w:rFonts w:hint="default"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lang w:val="en-US" w:eastAsia="zh-CN"/>
              </w:rPr>
              <w:t>分；</w:t>
            </w:r>
          </w:p>
          <w:p>
            <w:pPr>
              <w:spacing w:line="360" w:lineRule="auto"/>
              <w:jc w:val="cente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项目整体工作阶段及任务划分、进度控制、关键时间节点把握一般的得0-</w:t>
            </w:r>
            <w:r>
              <w:rPr>
                <w:rFonts w:hint="default" w:asciiTheme="minorEastAsia" w:hAnsiTheme="minorEastAsia" w:eastAsiaTheme="minorEastAsia" w:cstheme="minorEastAsia"/>
                <w:highlight w:val="none"/>
                <w:lang w:val="en-US" w:eastAsia="zh-CN"/>
              </w:rPr>
              <w:t>3</w:t>
            </w:r>
            <w:r>
              <w:rPr>
                <w:rFonts w:hint="eastAsia" w:asciiTheme="minorEastAsia" w:hAnsiTheme="minorEastAsia" w:eastAsiaTheme="minorEastAsia" w:cstheme="minorEastAsia"/>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7" w:hRule="atLeast"/>
        </w:trPr>
        <w:tc>
          <w:tcPr>
            <w:tcW w:w="835" w:type="dxa"/>
            <w:vMerge w:val="restart"/>
            <w:shd w:val="clear" w:color="auto" w:fill="FFFFFF"/>
            <w:vAlign w:val="center"/>
          </w:tcPr>
          <w:p>
            <w:pPr>
              <w:widowControl/>
              <w:spacing w:line="360" w:lineRule="auto"/>
              <w:jc w:val="center"/>
              <w:textAlignment w:val="center"/>
              <w:rPr>
                <w:rFonts w:ascii="宋体" w:hAnsi="宋体" w:eastAsia="宋体" w:cs="宋体"/>
                <w:highlight w:val="none"/>
              </w:rPr>
            </w:pPr>
            <w:r>
              <w:rPr>
                <w:rFonts w:hint="eastAsia" w:ascii="宋体" w:hAnsi="宋体" w:eastAsia="宋体" w:cs="宋体"/>
                <w:highlight w:val="none"/>
                <w:lang w:eastAsia="zh-CN" w:bidi="ar"/>
              </w:rPr>
              <w:t>2.2.2(3)</w:t>
            </w:r>
          </w:p>
        </w:tc>
        <w:tc>
          <w:tcPr>
            <w:tcW w:w="1240" w:type="dxa"/>
            <w:vMerge w:val="restart"/>
            <w:shd w:val="clear" w:color="auto" w:fill="FFFFFF"/>
            <w:vAlign w:val="center"/>
          </w:tcPr>
          <w:p>
            <w:pPr>
              <w:spacing w:line="360" w:lineRule="auto"/>
              <w:jc w:val="center"/>
              <w:rPr>
                <w:rFonts w:ascii="宋体" w:hAnsi="宋体" w:eastAsia="宋体" w:cs="宋体"/>
                <w:highlight w:val="none"/>
                <w:lang w:eastAsia="zh-CN"/>
              </w:rPr>
            </w:pPr>
            <w:r>
              <w:rPr>
                <w:rFonts w:hint="eastAsia" w:ascii="宋体" w:hAnsi="宋体" w:eastAsia="宋体" w:cs="宋体"/>
                <w:highlight w:val="none"/>
                <w:lang w:eastAsia="zh-CN"/>
              </w:rPr>
              <w:t>综合标评分标准</w:t>
            </w:r>
          </w:p>
          <w:p>
            <w:pPr>
              <w:spacing w:line="360" w:lineRule="auto"/>
              <w:jc w:val="center"/>
              <w:rPr>
                <w:rFonts w:ascii="宋体" w:hAnsi="宋体" w:eastAsia="宋体" w:cs="宋体"/>
                <w:highlight w:val="none"/>
                <w:lang w:eastAsia="zh-CN"/>
              </w:rPr>
            </w:pPr>
            <w:r>
              <w:rPr>
                <w:rFonts w:hint="eastAsia" w:ascii="宋体" w:hAnsi="宋体" w:eastAsia="宋体" w:cs="宋体"/>
                <w:highlight w:val="none"/>
                <w:lang w:eastAsia="zh-CN"/>
              </w:rPr>
              <w:t>（</w:t>
            </w:r>
            <w:r>
              <w:rPr>
                <w:rFonts w:hint="default" w:ascii="宋体" w:hAnsi="宋体" w:eastAsia="宋体" w:cs="宋体"/>
                <w:highlight w:val="none"/>
                <w:lang w:val="en-US" w:eastAsia="zh-CN"/>
              </w:rPr>
              <w:t>35</w:t>
            </w:r>
            <w:r>
              <w:rPr>
                <w:rFonts w:hint="eastAsia" w:ascii="宋体" w:hAnsi="宋体" w:eastAsia="宋体" w:cs="宋体"/>
                <w:highlight w:val="none"/>
                <w:lang w:eastAsia="zh-CN"/>
              </w:rPr>
              <w:t>分）</w:t>
            </w:r>
          </w:p>
        </w:tc>
        <w:tc>
          <w:tcPr>
            <w:tcW w:w="2250" w:type="dxa"/>
            <w:shd w:val="clear" w:color="auto" w:fill="FFFFFF"/>
            <w:vAlign w:val="center"/>
          </w:tcPr>
          <w:p>
            <w:pPr>
              <w:spacing w:line="360" w:lineRule="auto"/>
              <w:jc w:val="center"/>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企业业绩</w:t>
            </w:r>
          </w:p>
          <w:p>
            <w:pPr>
              <w:spacing w:line="360" w:lineRule="auto"/>
              <w:jc w:val="center"/>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w:t>
            </w:r>
            <w:r>
              <w:rPr>
                <w:rFonts w:hint="default" w:asciiTheme="minorEastAsia" w:hAnsiTheme="minorEastAsia" w:eastAsiaTheme="minorEastAsia" w:cstheme="minorEastAsia"/>
                <w:highlight w:val="none"/>
                <w:lang w:val="en-US" w:eastAsia="zh-CN"/>
              </w:rPr>
              <w:t>8</w:t>
            </w:r>
            <w:r>
              <w:rPr>
                <w:rFonts w:hint="eastAsia" w:asciiTheme="minorEastAsia" w:hAnsiTheme="minorEastAsia" w:eastAsiaTheme="minorEastAsia" w:cstheme="minorEastAsia"/>
                <w:highlight w:val="none"/>
                <w:lang w:eastAsia="zh-CN"/>
              </w:rPr>
              <w:t>分）</w:t>
            </w:r>
          </w:p>
        </w:tc>
        <w:tc>
          <w:tcPr>
            <w:tcW w:w="4929" w:type="dxa"/>
            <w:shd w:val="clear" w:color="auto" w:fill="FFFFFF"/>
            <w:vAlign w:val="center"/>
          </w:tcPr>
          <w:p>
            <w:pPr>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供应商自2020年1月1日以来（以合同签订时间为准），承担过类似控规类项目的，每项得2分，最高得</w:t>
            </w:r>
            <w:r>
              <w:rPr>
                <w:rFonts w:hint="default" w:asciiTheme="minorEastAsia" w:hAnsiTheme="minorEastAsia" w:eastAsiaTheme="minorEastAsia" w:cstheme="minorEastAsia"/>
                <w:highlight w:val="none"/>
                <w:lang w:val="en-US" w:eastAsia="zh-CN"/>
              </w:rPr>
              <w:t>4</w:t>
            </w:r>
            <w:r>
              <w:rPr>
                <w:rFonts w:hint="eastAsia" w:asciiTheme="minorEastAsia" w:hAnsiTheme="minorEastAsia" w:eastAsiaTheme="minorEastAsia" w:cstheme="minorEastAsia"/>
                <w:highlight w:val="none"/>
                <w:lang w:eastAsia="zh-CN"/>
              </w:rPr>
              <w:t>分；</w:t>
            </w:r>
          </w:p>
          <w:p>
            <w:pP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eastAsia="zh-CN"/>
              </w:rPr>
              <w:t>供应商自2020年1月1日以来（以合同签订时间为准），</w:t>
            </w:r>
            <w:r>
              <w:rPr>
                <w:rFonts w:hint="eastAsia" w:asciiTheme="minorEastAsia" w:hAnsiTheme="minorEastAsia" w:eastAsiaTheme="minorEastAsia" w:cstheme="minorEastAsia"/>
                <w:highlight w:val="none"/>
                <w:lang w:val="en-US" w:eastAsia="zh-CN"/>
              </w:rPr>
              <w:t>承担过城市更新设计项目的，每项得2分，最高得4分。</w:t>
            </w:r>
          </w:p>
          <w:p>
            <w:pPr>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注：评标时</w:t>
            </w:r>
            <w:r>
              <w:rPr>
                <w:rFonts w:hint="eastAsia" w:asciiTheme="minorEastAsia" w:hAnsiTheme="minorEastAsia" w:eastAsiaTheme="minorEastAsia" w:cstheme="minorEastAsia"/>
                <w:b/>
                <w:bCs/>
                <w:color w:val="000000" w:themeColor="text1"/>
                <w:highlight w:val="none"/>
                <w:lang w:eastAsia="zh-CN"/>
                <w14:textFill>
                  <w14:solidFill>
                    <w14:schemeClr w14:val="tx1"/>
                  </w14:solidFill>
                </w14:textFill>
              </w:rPr>
              <w:t>响应文件</w:t>
            </w: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内附合同或中标通知书盖公章的复印件，以正式签订的合同或中标通知书日期为准</w:t>
            </w:r>
            <w:r>
              <w:rPr>
                <w:rFonts w:hint="eastAsia" w:asciiTheme="minorEastAsia" w:hAnsiTheme="minorEastAsia" w:eastAsiaTheme="minorEastAsia" w:cstheme="minor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trPr>
        <w:tc>
          <w:tcPr>
            <w:tcW w:w="835" w:type="dxa"/>
            <w:vMerge w:val="continue"/>
            <w:shd w:val="clear" w:color="auto" w:fill="FFFFFF"/>
            <w:vAlign w:val="center"/>
          </w:tcPr>
          <w:p>
            <w:pPr>
              <w:widowControl/>
              <w:spacing w:line="360" w:lineRule="auto"/>
              <w:jc w:val="center"/>
              <w:textAlignment w:val="center"/>
              <w:rPr>
                <w:rFonts w:hint="eastAsia" w:ascii="宋体" w:hAnsi="宋体" w:eastAsia="宋体" w:cs="宋体"/>
                <w:highlight w:val="none"/>
                <w:lang w:eastAsia="zh-CN" w:bidi="ar"/>
              </w:rPr>
            </w:pPr>
          </w:p>
        </w:tc>
        <w:tc>
          <w:tcPr>
            <w:tcW w:w="1240" w:type="dxa"/>
            <w:vMerge w:val="continue"/>
            <w:shd w:val="clear" w:color="auto" w:fill="FFFFFF"/>
            <w:vAlign w:val="center"/>
          </w:tcPr>
          <w:p>
            <w:pPr>
              <w:spacing w:line="360" w:lineRule="auto"/>
              <w:jc w:val="center"/>
              <w:rPr>
                <w:rFonts w:hint="eastAsia" w:ascii="宋体" w:hAnsi="宋体" w:eastAsia="宋体" w:cs="宋体"/>
                <w:highlight w:val="none"/>
                <w:lang w:eastAsia="zh-CN"/>
              </w:rPr>
            </w:pPr>
          </w:p>
        </w:tc>
        <w:tc>
          <w:tcPr>
            <w:tcW w:w="2250" w:type="dxa"/>
            <w:shd w:val="clear" w:color="auto" w:fill="FFFFFF"/>
            <w:vAlign w:val="center"/>
          </w:tcPr>
          <w:p>
            <w:pPr>
              <w:spacing w:line="360" w:lineRule="auto"/>
              <w:jc w:val="center"/>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企业实力（</w:t>
            </w:r>
            <w:r>
              <w:rPr>
                <w:rFonts w:hint="default"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lang w:val="en-US" w:eastAsia="zh-CN"/>
              </w:rPr>
              <w:t>分）</w:t>
            </w:r>
          </w:p>
        </w:tc>
        <w:tc>
          <w:tcPr>
            <w:tcW w:w="4929" w:type="dxa"/>
            <w:shd w:val="clear" w:color="auto" w:fill="FFFFFF"/>
            <w:vAlign w:val="center"/>
          </w:tcPr>
          <w:p>
            <w:pPr>
              <w:rPr>
                <w:rFonts w:hint="eastAsia" w:asciiTheme="minorEastAsia" w:hAnsiTheme="minorEastAsia" w:eastAsiaTheme="minorEastAsia" w:cstheme="minorEastAsia"/>
                <w:highlight w:val="none"/>
                <w:lang w:val="en-US" w:eastAsia="zh-CN"/>
              </w:rPr>
            </w:pPr>
            <w:r>
              <w:rPr>
                <w:rFonts w:hint="default" w:asciiTheme="minorEastAsia" w:hAnsiTheme="minorEastAsia" w:eastAsiaTheme="minorEastAsia" w:cstheme="minorEastAsia"/>
                <w:highlight w:val="none"/>
                <w:lang w:val="en-US" w:eastAsia="zh-CN"/>
              </w:rPr>
              <w:t>1</w:t>
            </w:r>
            <w:r>
              <w:rPr>
                <w:rFonts w:hint="eastAsia" w:asciiTheme="minorEastAsia" w:hAnsiTheme="minorEastAsia" w:eastAsiaTheme="minorEastAsia" w:cstheme="minorEastAsia"/>
                <w:highlight w:val="none"/>
                <w:lang w:val="en-US" w:eastAsia="zh-CN"/>
              </w:rPr>
              <w:t>、同时具有质量管理体系认证证书、职业健康安全管理体系认证证书、环境管理体系认证证书的得</w:t>
            </w:r>
            <w:r>
              <w:rPr>
                <w:rFonts w:hint="default" w:asciiTheme="minorEastAsia" w:hAnsiTheme="minorEastAsia" w:eastAsiaTheme="minorEastAsia" w:cstheme="minorEastAsia"/>
                <w:highlight w:val="none"/>
                <w:lang w:val="en-US" w:eastAsia="zh-CN"/>
              </w:rPr>
              <w:t>3</w:t>
            </w:r>
            <w:r>
              <w:rPr>
                <w:rFonts w:hint="eastAsia" w:asciiTheme="minorEastAsia" w:hAnsiTheme="minorEastAsia" w:eastAsiaTheme="minorEastAsia" w:cstheme="minorEastAsia"/>
                <w:highlight w:val="none"/>
                <w:lang w:val="en-US" w:eastAsia="zh-CN"/>
              </w:rPr>
              <w:t>分。</w:t>
            </w:r>
            <w:r>
              <w:rPr>
                <w:rFonts w:hint="eastAsia" w:asciiTheme="minorEastAsia" w:hAnsiTheme="minorEastAsia" w:eastAsiaTheme="minorEastAsia" w:cstheme="minorEastAsia"/>
                <w:highlight w:val="none"/>
                <w:lang w:eastAsia="zh-CN"/>
              </w:rPr>
              <w:t>否则不得分。</w:t>
            </w:r>
          </w:p>
          <w:p>
            <w:pPr>
              <w:rPr>
                <w:rFonts w:hint="eastAsia" w:asciiTheme="minorEastAsia" w:hAnsiTheme="minorEastAsia" w:eastAsiaTheme="minorEastAsia" w:cstheme="minorEastAsia"/>
                <w:highlight w:val="none"/>
                <w:lang w:eastAsia="zh-CN"/>
              </w:rPr>
            </w:pPr>
            <w:r>
              <w:rPr>
                <w:rFonts w:hint="default" w:asciiTheme="minorEastAsia" w:hAnsiTheme="minorEastAsia" w:eastAsiaTheme="minorEastAsia" w:cstheme="minorEastAsia"/>
                <w:highlight w:val="none"/>
                <w:lang w:val="en-US" w:eastAsia="zh-CN"/>
              </w:rPr>
              <w:t>2</w:t>
            </w:r>
            <w:r>
              <w:rPr>
                <w:rFonts w:hint="eastAsia" w:asciiTheme="minorEastAsia" w:hAnsiTheme="minorEastAsia" w:eastAsiaTheme="minorEastAsia" w:cstheme="minorEastAsia"/>
                <w:highlight w:val="none"/>
                <w:lang w:val="en-US" w:eastAsia="zh-CN"/>
              </w:rPr>
              <w:t>、供应商获得过国家级守合同重信用企业的得2分</w:t>
            </w:r>
            <w:r>
              <w:rPr>
                <w:rFonts w:hint="eastAsia" w:asciiTheme="minorEastAsia" w:hAnsiTheme="minorEastAsia" w:eastAsiaTheme="minorEastAsia" w:cstheme="minorEastAsia"/>
                <w:highlight w:val="none"/>
                <w:lang w:eastAsia="zh-CN"/>
              </w:rPr>
              <w:t>，否则不得分。</w:t>
            </w:r>
          </w:p>
          <w:p>
            <w:pPr>
              <w:rPr>
                <w:rFonts w:hint="default" w:asciiTheme="minorEastAsia" w:hAnsiTheme="minorEastAsia" w:eastAsiaTheme="minorEastAsia" w:cstheme="minorEastAsia"/>
                <w:highlight w:val="none"/>
                <w:lang w:val="en-US" w:eastAsia="zh-CN"/>
              </w:rPr>
            </w:pPr>
            <w:r>
              <w:rPr>
                <w:rFonts w:hint="default" w:asciiTheme="minorEastAsia" w:hAnsiTheme="minorEastAsia" w:eastAsiaTheme="minorEastAsia" w:cstheme="minorEastAsia"/>
                <w:highlight w:val="none"/>
                <w:lang w:val="en-US" w:eastAsia="zh-CN"/>
              </w:rPr>
              <w:t>3</w:t>
            </w:r>
            <w:r>
              <w:rPr>
                <w:rFonts w:hint="eastAsia" w:asciiTheme="minorEastAsia" w:hAnsiTheme="minorEastAsia" w:eastAsiaTheme="minorEastAsia" w:cstheme="minorEastAsia"/>
                <w:highlight w:val="none"/>
                <w:lang w:val="en-US" w:eastAsia="zh-CN"/>
              </w:rPr>
              <w:t>、具有AAA等级信用等级证书的，得</w:t>
            </w:r>
            <w:r>
              <w:rPr>
                <w:rFonts w:hint="default" w:asciiTheme="minorEastAsia" w:hAnsiTheme="minorEastAsia" w:eastAsiaTheme="minorEastAsia" w:cstheme="minorEastAsia"/>
                <w:highlight w:val="none"/>
                <w:lang w:val="en-US" w:eastAsia="zh-CN"/>
              </w:rPr>
              <w:t>2</w:t>
            </w:r>
            <w:r>
              <w:rPr>
                <w:rFonts w:hint="eastAsia" w:asciiTheme="minorEastAsia" w:hAnsiTheme="minorEastAsia" w:eastAsiaTheme="minorEastAsia" w:cstheme="minorEastAsia"/>
                <w:highlight w:val="none"/>
                <w:lang w:val="en-US" w:eastAsia="zh-CN"/>
              </w:rPr>
              <w:t>分。</w:t>
            </w:r>
            <w:r>
              <w:rPr>
                <w:rFonts w:hint="eastAsia" w:asciiTheme="minorEastAsia" w:hAnsiTheme="minorEastAsia" w:eastAsiaTheme="minorEastAsia" w:cstheme="minorEastAsia"/>
                <w:highlight w:val="none"/>
                <w:lang w:eastAsia="zh-CN"/>
              </w:rPr>
              <w:t>否则不得分。</w:t>
            </w:r>
          </w:p>
          <w:p>
            <w:pPr>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highlight w:val="none"/>
                <w:lang w:val="en-US" w:eastAsia="zh-CN"/>
              </w:rPr>
              <w:t>注：需在有效期内，提供认证证书复印件或扫描件，否则不得分。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5" w:type="dxa"/>
            <w:vMerge w:val="continue"/>
            <w:shd w:val="clear" w:color="auto" w:fill="FFFFFF"/>
            <w:vAlign w:val="center"/>
          </w:tcPr>
          <w:p>
            <w:pPr>
              <w:spacing w:line="360" w:lineRule="auto"/>
              <w:jc w:val="center"/>
              <w:rPr>
                <w:rFonts w:ascii="宋体" w:hAnsi="宋体" w:eastAsia="宋体" w:cs="宋体"/>
                <w:highlight w:val="none"/>
                <w:lang w:eastAsia="zh-CN"/>
              </w:rPr>
            </w:pPr>
          </w:p>
        </w:tc>
        <w:tc>
          <w:tcPr>
            <w:tcW w:w="1240" w:type="dxa"/>
            <w:vMerge w:val="continue"/>
            <w:shd w:val="clear" w:color="auto" w:fill="FFFFFF"/>
            <w:vAlign w:val="center"/>
          </w:tcPr>
          <w:p>
            <w:pPr>
              <w:spacing w:line="360" w:lineRule="auto"/>
              <w:jc w:val="center"/>
              <w:rPr>
                <w:rFonts w:ascii="宋体" w:hAnsi="宋体" w:eastAsia="宋体" w:cs="宋体"/>
                <w:highlight w:val="none"/>
                <w:lang w:eastAsia="zh-CN"/>
              </w:rPr>
            </w:pPr>
          </w:p>
        </w:tc>
        <w:tc>
          <w:tcPr>
            <w:tcW w:w="2250" w:type="dxa"/>
            <w:vMerge w:val="restart"/>
            <w:shd w:val="clear" w:color="auto" w:fill="FFFFFF"/>
            <w:vAlign w:val="center"/>
          </w:tcPr>
          <w:p>
            <w:pPr>
              <w:spacing w:line="360" w:lineRule="auto"/>
              <w:jc w:val="center"/>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人员配备（</w:t>
            </w:r>
            <w:r>
              <w:rPr>
                <w:rFonts w:asciiTheme="minorEastAsia" w:hAnsiTheme="minorEastAsia" w:eastAsiaTheme="minorEastAsia" w:cstheme="minorEastAsia"/>
                <w:highlight w:val="none"/>
                <w:lang w:eastAsia="zh-CN"/>
              </w:rPr>
              <w:t>10</w:t>
            </w:r>
            <w:r>
              <w:rPr>
                <w:rFonts w:hint="eastAsia" w:asciiTheme="minorEastAsia" w:hAnsiTheme="minorEastAsia" w:eastAsiaTheme="minorEastAsia" w:cstheme="minorEastAsia"/>
                <w:highlight w:val="none"/>
                <w:lang w:eastAsia="zh-CN"/>
              </w:rPr>
              <w:t>）</w:t>
            </w:r>
          </w:p>
        </w:tc>
        <w:tc>
          <w:tcPr>
            <w:tcW w:w="4929" w:type="dxa"/>
            <w:shd w:val="clear" w:color="auto" w:fill="FFFFFF"/>
            <w:vAlign w:val="center"/>
          </w:tcPr>
          <w:p>
            <w:pP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eastAsia="zh-CN"/>
              </w:rPr>
              <w:t>项目负责人具有高级工程师</w:t>
            </w:r>
            <w:r>
              <w:rPr>
                <w:rFonts w:hint="eastAsia" w:asciiTheme="minorEastAsia" w:hAnsiTheme="minorEastAsia" w:eastAsiaTheme="minorEastAsia" w:cstheme="minorEastAsia"/>
                <w:highlight w:val="none"/>
                <w:lang w:val="en-US" w:eastAsia="zh-CN"/>
              </w:rPr>
              <w:t>职称的且同时具有注册城市规划师</w:t>
            </w:r>
            <w:r>
              <w:rPr>
                <w:rFonts w:hint="eastAsia" w:asciiTheme="minorEastAsia" w:hAnsiTheme="minorEastAsia" w:eastAsiaTheme="minorEastAsia" w:cstheme="minorEastAsia"/>
                <w:highlight w:val="none"/>
                <w:lang w:eastAsia="zh-CN"/>
              </w:rPr>
              <w:t>的，得</w:t>
            </w:r>
            <w:r>
              <w:rPr>
                <w:rFonts w:hint="default" w:asciiTheme="minorEastAsia" w:hAnsiTheme="minorEastAsia" w:eastAsiaTheme="minorEastAsia" w:cstheme="minorEastAsia"/>
                <w:highlight w:val="none"/>
                <w:lang w:val="en-US" w:eastAsia="zh-CN"/>
              </w:rPr>
              <w:t>2</w:t>
            </w:r>
            <w:r>
              <w:rPr>
                <w:rFonts w:hint="eastAsia" w:asciiTheme="minorEastAsia" w:hAnsiTheme="minorEastAsia" w:eastAsiaTheme="minorEastAsia" w:cstheme="minorEastAsia"/>
                <w:highlight w:val="none"/>
                <w:lang w:val="en-US" w:eastAsia="zh-CN"/>
              </w:rPr>
              <w:t>分。</w:t>
            </w:r>
          </w:p>
          <w:p>
            <w:pPr>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注：评标时</w:t>
            </w:r>
            <w:r>
              <w:rPr>
                <w:rFonts w:hint="eastAsia" w:asciiTheme="minorEastAsia" w:hAnsiTheme="minorEastAsia" w:eastAsiaTheme="minorEastAsia" w:cstheme="minorEastAsia"/>
                <w:highlight w:val="none"/>
                <w:lang w:val="en-US" w:eastAsia="zh-CN"/>
              </w:rPr>
              <w:t>响应</w:t>
            </w:r>
            <w:r>
              <w:rPr>
                <w:rFonts w:hint="eastAsia" w:asciiTheme="minorEastAsia" w:hAnsiTheme="minorEastAsia" w:eastAsiaTheme="minorEastAsia" w:cstheme="minorEastAsia"/>
                <w:highlight w:val="none"/>
                <w:lang w:eastAsia="zh-CN"/>
              </w:rPr>
              <w:t>文件内附以上人员证书的盖公章的复印件。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2" w:hRule="atLeast"/>
        </w:trPr>
        <w:tc>
          <w:tcPr>
            <w:tcW w:w="835" w:type="dxa"/>
            <w:vMerge w:val="continue"/>
            <w:shd w:val="clear" w:color="auto" w:fill="FFFFFF"/>
            <w:vAlign w:val="center"/>
          </w:tcPr>
          <w:p>
            <w:pPr>
              <w:spacing w:line="360" w:lineRule="auto"/>
              <w:jc w:val="center"/>
              <w:rPr>
                <w:rFonts w:ascii="宋体" w:hAnsi="宋体" w:eastAsia="宋体" w:cs="宋体"/>
                <w:highlight w:val="none"/>
                <w:lang w:eastAsia="zh-CN"/>
              </w:rPr>
            </w:pPr>
          </w:p>
        </w:tc>
        <w:tc>
          <w:tcPr>
            <w:tcW w:w="1240" w:type="dxa"/>
            <w:vMerge w:val="continue"/>
            <w:shd w:val="clear" w:color="auto" w:fill="FFFFFF"/>
            <w:vAlign w:val="center"/>
          </w:tcPr>
          <w:p>
            <w:pPr>
              <w:spacing w:line="360" w:lineRule="auto"/>
              <w:jc w:val="center"/>
              <w:rPr>
                <w:rFonts w:ascii="宋体" w:hAnsi="宋体" w:eastAsia="宋体" w:cs="宋体"/>
                <w:highlight w:val="none"/>
                <w:lang w:eastAsia="zh-CN"/>
              </w:rPr>
            </w:pPr>
          </w:p>
        </w:tc>
        <w:tc>
          <w:tcPr>
            <w:tcW w:w="2250" w:type="dxa"/>
            <w:vMerge w:val="continue"/>
            <w:shd w:val="clear" w:color="auto" w:fill="FFFFFF"/>
            <w:vAlign w:val="center"/>
          </w:tcPr>
          <w:p>
            <w:pPr>
              <w:spacing w:line="360" w:lineRule="auto"/>
              <w:jc w:val="center"/>
              <w:rPr>
                <w:rFonts w:asciiTheme="minorEastAsia" w:hAnsiTheme="minorEastAsia" w:eastAsiaTheme="minorEastAsia" w:cstheme="minorEastAsia"/>
                <w:highlight w:val="none"/>
                <w:lang w:eastAsia="zh-CN"/>
              </w:rPr>
            </w:pPr>
          </w:p>
        </w:tc>
        <w:tc>
          <w:tcPr>
            <w:tcW w:w="4929" w:type="dxa"/>
            <w:shd w:val="clear" w:color="auto" w:fill="FFFFFF"/>
            <w:vAlign w:val="center"/>
          </w:tcPr>
          <w:p>
            <w:pPr>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各专业设计人员配备齐全，满足招标范围内各类规划编制要求，在道路交通、建筑、景观园林、给排水、暖通、电气、</w:t>
            </w:r>
            <w:r>
              <w:rPr>
                <w:rFonts w:hint="eastAsia" w:asciiTheme="minorEastAsia" w:hAnsiTheme="minorEastAsia" w:eastAsiaTheme="minorEastAsia" w:cstheme="minorEastAsia"/>
                <w:highlight w:val="none"/>
                <w:lang w:val="en-US" w:eastAsia="zh-CN"/>
              </w:rPr>
              <w:t>经济</w:t>
            </w:r>
            <w:r>
              <w:rPr>
                <w:rFonts w:hint="eastAsia" w:asciiTheme="minorEastAsia" w:hAnsiTheme="minorEastAsia" w:eastAsiaTheme="minorEastAsia" w:cstheme="minorEastAsia"/>
                <w:highlight w:val="none"/>
                <w:lang w:eastAsia="zh-CN"/>
              </w:rPr>
              <w:t>专业中，每增加一个专业且具备</w:t>
            </w:r>
            <w:r>
              <w:rPr>
                <w:rFonts w:hint="eastAsia" w:asciiTheme="minorEastAsia" w:hAnsiTheme="minorEastAsia" w:eastAsiaTheme="minorEastAsia" w:cstheme="minorEastAsia"/>
                <w:highlight w:val="none"/>
                <w:lang w:val="en-US" w:eastAsia="zh-CN"/>
              </w:rPr>
              <w:t>中</w:t>
            </w:r>
            <w:r>
              <w:rPr>
                <w:rFonts w:hint="eastAsia" w:asciiTheme="minorEastAsia" w:hAnsiTheme="minorEastAsia" w:eastAsiaTheme="minorEastAsia" w:cstheme="minorEastAsia"/>
                <w:highlight w:val="none"/>
                <w:lang w:eastAsia="zh-CN"/>
              </w:rPr>
              <w:t>级工程师及以上职称的得</w:t>
            </w:r>
            <w:r>
              <w:rPr>
                <w:rFonts w:hint="default" w:asciiTheme="minorEastAsia" w:hAnsiTheme="minorEastAsia" w:eastAsiaTheme="minorEastAsia" w:cstheme="minorEastAsia"/>
                <w:highlight w:val="none"/>
                <w:lang w:val="en-US" w:eastAsia="zh-CN"/>
              </w:rPr>
              <w:t>2</w:t>
            </w:r>
            <w:r>
              <w:rPr>
                <w:rFonts w:hint="eastAsia" w:asciiTheme="minorEastAsia" w:hAnsiTheme="minorEastAsia" w:eastAsiaTheme="minorEastAsia" w:cstheme="minorEastAsia"/>
                <w:highlight w:val="none"/>
                <w:lang w:eastAsia="zh-CN"/>
              </w:rPr>
              <w:t>分，最高得</w:t>
            </w:r>
            <w:r>
              <w:rPr>
                <w:rFonts w:hint="default" w:asciiTheme="minorEastAsia" w:hAnsiTheme="minorEastAsia" w:eastAsiaTheme="minorEastAsia" w:cstheme="minorEastAsia"/>
                <w:highlight w:val="none"/>
                <w:lang w:val="en-US" w:eastAsia="zh-CN"/>
              </w:rPr>
              <w:t>8</w:t>
            </w:r>
            <w:r>
              <w:rPr>
                <w:rFonts w:hint="eastAsia" w:asciiTheme="minorEastAsia" w:hAnsiTheme="minorEastAsia" w:eastAsiaTheme="minorEastAsia" w:cstheme="minorEastAsia"/>
                <w:highlight w:val="none"/>
                <w:lang w:eastAsia="zh-CN"/>
              </w:rPr>
              <w:t>分。</w:t>
            </w:r>
          </w:p>
          <w:p>
            <w:pPr>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注：上述人员不得重复计分，评标时</w:t>
            </w:r>
            <w:r>
              <w:rPr>
                <w:rFonts w:hint="eastAsia" w:asciiTheme="minorEastAsia" w:hAnsiTheme="minorEastAsia" w:eastAsiaTheme="minorEastAsia" w:cstheme="minorEastAsia"/>
                <w:highlight w:val="none"/>
                <w:lang w:val="en-US" w:eastAsia="zh-CN"/>
              </w:rPr>
              <w:t>响应</w:t>
            </w:r>
            <w:r>
              <w:rPr>
                <w:rFonts w:hint="eastAsia" w:asciiTheme="minorEastAsia" w:hAnsiTheme="minorEastAsia" w:eastAsiaTheme="minorEastAsia" w:cstheme="minorEastAsia"/>
                <w:highlight w:val="none"/>
                <w:lang w:eastAsia="zh-CN"/>
              </w:rPr>
              <w:t>文件内附复印件或扫描件。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5" w:type="dxa"/>
            <w:vMerge w:val="continue"/>
            <w:shd w:val="clear" w:color="auto" w:fill="FFFFFF"/>
            <w:vAlign w:val="center"/>
          </w:tcPr>
          <w:p>
            <w:pPr>
              <w:spacing w:line="360" w:lineRule="auto"/>
              <w:jc w:val="center"/>
              <w:rPr>
                <w:rFonts w:ascii="宋体" w:hAnsi="宋体" w:eastAsia="宋体" w:cs="宋体"/>
                <w:highlight w:val="none"/>
                <w:lang w:eastAsia="zh-CN"/>
              </w:rPr>
            </w:pPr>
          </w:p>
        </w:tc>
        <w:tc>
          <w:tcPr>
            <w:tcW w:w="1240" w:type="dxa"/>
            <w:vMerge w:val="continue"/>
            <w:shd w:val="clear" w:color="auto" w:fill="FFFFFF"/>
            <w:vAlign w:val="center"/>
          </w:tcPr>
          <w:p>
            <w:pPr>
              <w:spacing w:line="360" w:lineRule="auto"/>
              <w:jc w:val="center"/>
              <w:rPr>
                <w:rFonts w:ascii="宋体" w:hAnsi="宋体" w:eastAsia="宋体" w:cs="宋体"/>
                <w:highlight w:val="none"/>
                <w:lang w:eastAsia="zh-CN"/>
              </w:rPr>
            </w:pPr>
          </w:p>
        </w:tc>
        <w:tc>
          <w:tcPr>
            <w:tcW w:w="2250" w:type="dxa"/>
            <w:vMerge w:val="restart"/>
            <w:shd w:val="clear" w:color="auto" w:fill="FFFFFF"/>
            <w:vAlign w:val="center"/>
          </w:tcPr>
          <w:p>
            <w:pPr>
              <w:spacing w:line="360" w:lineRule="auto"/>
              <w:rPr>
                <w:rFonts w:hint="eastAsia" w:asciiTheme="minorEastAsia" w:hAnsiTheme="minorEastAsia" w:eastAsiaTheme="minorEastAsia" w:cstheme="minorEastAsia"/>
                <w:highlight w:val="none"/>
                <w:lang w:eastAsia="zh-CN"/>
              </w:rPr>
            </w:pPr>
          </w:p>
          <w:p>
            <w:pPr>
              <w:spacing w:line="360" w:lineRule="auto"/>
              <w:rPr>
                <w:rFonts w:hint="eastAsia" w:asciiTheme="minorEastAsia" w:hAnsiTheme="minorEastAsia" w:eastAsiaTheme="minorEastAsia" w:cstheme="minorEastAsia"/>
                <w:highlight w:val="none"/>
                <w:lang w:eastAsia="zh-CN"/>
              </w:rPr>
            </w:pPr>
          </w:p>
          <w:p>
            <w:pPr>
              <w:spacing w:line="360" w:lineRule="auto"/>
              <w:rPr>
                <w:rFonts w:hint="eastAsia" w:asciiTheme="minorEastAsia" w:hAnsiTheme="minorEastAsia" w:eastAsiaTheme="minorEastAsia" w:cstheme="minorEastAsia"/>
                <w:highlight w:val="none"/>
                <w:lang w:eastAsia="zh-CN"/>
              </w:rPr>
            </w:pPr>
          </w:p>
          <w:p>
            <w:pPr>
              <w:spacing w:line="360" w:lineRule="auto"/>
              <w:rPr>
                <w:rFonts w:hint="eastAsia" w:asciiTheme="minorEastAsia" w:hAnsiTheme="minorEastAsia" w:eastAsiaTheme="minorEastAsia" w:cstheme="minorEastAsia"/>
                <w:highlight w:val="none"/>
                <w:lang w:eastAsia="zh-CN"/>
              </w:rPr>
            </w:pPr>
          </w:p>
          <w:p>
            <w:pPr>
              <w:spacing w:line="360" w:lineRule="auto"/>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服务承诺（10分）</w:t>
            </w:r>
          </w:p>
        </w:tc>
        <w:tc>
          <w:tcPr>
            <w:tcW w:w="4929" w:type="dxa"/>
            <w:shd w:val="clear" w:color="auto" w:fill="FFFFFF"/>
            <w:vAlign w:val="center"/>
          </w:tcPr>
          <w:p>
            <w:pPr>
              <w:spacing w:line="360" w:lineRule="auto"/>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配合招标人进行方案汇报、评审的具体措施和合理化建议：</w:t>
            </w:r>
          </w:p>
          <w:p>
            <w:pPr>
              <w:spacing w:line="360" w:lineRule="auto"/>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方案较好，措施得力的得4-5分；</w:t>
            </w:r>
          </w:p>
          <w:p>
            <w:pPr>
              <w:spacing w:line="360" w:lineRule="auto"/>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方案明确，措施基本得力的得2-3分；</w:t>
            </w:r>
          </w:p>
          <w:p>
            <w:pPr>
              <w:spacing w:line="360" w:lineRule="auto"/>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方案一般，措施基本得力的得0-1分。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5" w:type="dxa"/>
            <w:vMerge w:val="continue"/>
            <w:shd w:val="clear" w:color="auto" w:fill="FFFFFF"/>
            <w:vAlign w:val="center"/>
          </w:tcPr>
          <w:p>
            <w:pPr>
              <w:spacing w:line="360" w:lineRule="auto"/>
              <w:jc w:val="center"/>
              <w:rPr>
                <w:rFonts w:ascii="宋体" w:hAnsi="宋体" w:eastAsia="宋体" w:cs="宋体"/>
                <w:highlight w:val="none"/>
                <w:lang w:eastAsia="zh-CN"/>
              </w:rPr>
            </w:pPr>
          </w:p>
        </w:tc>
        <w:tc>
          <w:tcPr>
            <w:tcW w:w="1240" w:type="dxa"/>
            <w:vMerge w:val="continue"/>
            <w:shd w:val="clear" w:color="auto" w:fill="FFFFFF"/>
            <w:vAlign w:val="center"/>
          </w:tcPr>
          <w:p>
            <w:pPr>
              <w:spacing w:line="360" w:lineRule="auto"/>
              <w:jc w:val="center"/>
              <w:rPr>
                <w:rFonts w:ascii="宋体" w:hAnsi="宋体" w:eastAsia="宋体" w:cs="宋体"/>
                <w:highlight w:val="none"/>
                <w:lang w:eastAsia="zh-CN"/>
              </w:rPr>
            </w:pPr>
          </w:p>
        </w:tc>
        <w:tc>
          <w:tcPr>
            <w:tcW w:w="2250" w:type="dxa"/>
            <w:vMerge w:val="continue"/>
            <w:shd w:val="clear" w:color="auto" w:fill="FFFFFF"/>
            <w:vAlign w:val="center"/>
          </w:tcPr>
          <w:p>
            <w:pPr>
              <w:spacing w:line="360" w:lineRule="auto"/>
              <w:rPr>
                <w:rFonts w:hint="eastAsia" w:asciiTheme="minorEastAsia" w:hAnsiTheme="minorEastAsia" w:eastAsiaTheme="minorEastAsia" w:cstheme="minorEastAsia"/>
                <w:highlight w:val="none"/>
                <w:lang w:eastAsia="zh-CN"/>
              </w:rPr>
            </w:pPr>
          </w:p>
        </w:tc>
        <w:tc>
          <w:tcPr>
            <w:tcW w:w="4929" w:type="dxa"/>
            <w:shd w:val="clear" w:color="auto" w:fill="FFFFFF"/>
            <w:vAlign w:val="center"/>
          </w:tcPr>
          <w:p>
            <w:pPr>
              <w:spacing w:line="360" w:lineRule="auto"/>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在服务承诺中至少包含质量、服务期、对业主的响应时间及技术人员应在现场办公等方面的承诺：</w:t>
            </w:r>
          </w:p>
          <w:p>
            <w:pPr>
              <w:spacing w:line="360" w:lineRule="auto"/>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服务承诺较好，服务计划合理的得4-5分；</w:t>
            </w:r>
          </w:p>
          <w:p>
            <w:pPr>
              <w:spacing w:line="360" w:lineRule="auto"/>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服务内容明确，服务计划基本合理的得2-3分；</w:t>
            </w:r>
          </w:p>
          <w:p>
            <w:pPr>
              <w:spacing w:line="360" w:lineRule="auto"/>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服务内容一般，服务计划基本合理的得0-1分。</w:t>
            </w:r>
          </w:p>
        </w:tc>
      </w:tr>
    </w:tbl>
    <w:p>
      <w:pPr>
        <w:pStyle w:val="54"/>
        <w:spacing w:after="80" w:line="240" w:lineRule="auto"/>
        <w:ind w:firstLine="0"/>
        <w:jc w:val="both"/>
        <w:rPr>
          <w:b/>
          <w:bCs/>
          <w:sz w:val="24"/>
          <w:szCs w:val="24"/>
          <w:highlight w:val="none"/>
        </w:rPr>
      </w:pPr>
    </w:p>
    <w:p>
      <w:pPr>
        <w:spacing w:line="1" w:lineRule="exact"/>
        <w:rPr>
          <w:rFonts w:ascii="Times New Roman" w:hAnsi="Times New Roman" w:eastAsia="Times New Roman" w:cs="Times New Roman"/>
          <w:color w:val="000000"/>
          <w:sz w:val="24"/>
          <w:szCs w:val="24"/>
          <w:highlight w:val="none"/>
          <w:lang w:val="en-US" w:eastAsia="zh-CN" w:bidi="en-US"/>
        </w:rPr>
      </w:pPr>
    </w:p>
    <w:p>
      <w:pPr>
        <w:spacing w:line="1" w:lineRule="exact"/>
        <w:rPr>
          <w:rFonts w:ascii="宋体" w:hAnsi="宋体" w:eastAsia="宋体" w:cs="宋体"/>
          <w:highlight w:val="none"/>
          <w:lang w:eastAsia="zh-CN"/>
        </w:rPr>
      </w:pPr>
    </w:p>
    <w:p>
      <w:pPr>
        <w:pStyle w:val="54"/>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b/>
          <w:bCs/>
          <w:sz w:val="24"/>
          <w:szCs w:val="24"/>
          <w:highlight w:val="none"/>
        </w:rPr>
      </w:pPr>
      <w:bookmarkStart w:id="54" w:name="bookmark119"/>
      <w:bookmarkEnd w:id="54"/>
      <w:r>
        <w:rPr>
          <w:rFonts w:hint="eastAsia"/>
          <w:b/>
          <w:bCs/>
          <w:sz w:val="24"/>
          <w:szCs w:val="24"/>
          <w:highlight w:val="none"/>
          <w:lang w:val="en-US" w:eastAsia="zh-CN"/>
        </w:rPr>
        <w:t>1.</w:t>
      </w:r>
      <w:r>
        <w:rPr>
          <w:rFonts w:hint="eastAsia"/>
          <w:b/>
          <w:bCs/>
          <w:sz w:val="24"/>
          <w:szCs w:val="24"/>
          <w:highlight w:val="none"/>
        </w:rPr>
        <w:t>评标方法</w:t>
      </w:r>
    </w:p>
    <w:p>
      <w:pPr>
        <w:pStyle w:val="54"/>
        <w:spacing w:line="360" w:lineRule="auto"/>
        <w:ind w:firstLine="480" w:firstLineChars="200"/>
        <w:rPr>
          <w:sz w:val="24"/>
          <w:szCs w:val="24"/>
          <w:highlight w:val="none"/>
        </w:rPr>
      </w:pPr>
      <w:r>
        <w:rPr>
          <w:rFonts w:hint="eastAsia"/>
          <w:sz w:val="24"/>
          <w:szCs w:val="24"/>
          <w:highlight w:val="none"/>
        </w:rPr>
        <w:t>本次评标采用综合评分法。磋商小组对满足磋商文件实质性要求的响应文件，按照本章规 定的评分标准进行打分，并按得分由高到低顺序推荐成交候选人，综合评分相等时，以报价得 分高的优先；报价得分也相等的，由采购人自行确定。</w:t>
      </w:r>
      <w:bookmarkStart w:id="55" w:name="bookmark120"/>
      <w:bookmarkEnd w:id="55"/>
    </w:p>
    <w:p>
      <w:pPr>
        <w:pStyle w:val="54"/>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2.评审标准</w:t>
      </w:r>
    </w:p>
    <w:p>
      <w:pPr>
        <w:pStyle w:val="54"/>
        <w:spacing w:line="360" w:lineRule="auto"/>
        <w:ind w:firstLine="480" w:firstLineChars="200"/>
        <w:jc w:val="both"/>
        <w:rPr>
          <w:sz w:val="24"/>
          <w:szCs w:val="24"/>
          <w:highlight w:val="none"/>
        </w:rPr>
      </w:pPr>
      <w:r>
        <w:rPr>
          <w:rFonts w:hint="eastAsia"/>
          <w:sz w:val="24"/>
          <w:szCs w:val="24"/>
          <w:highlight w:val="none"/>
          <w:lang w:val="en-US" w:eastAsia="zh-CN" w:bidi="en-US"/>
        </w:rPr>
        <w:t>2.1</w:t>
      </w:r>
      <w:r>
        <w:rPr>
          <w:rFonts w:hint="eastAsia"/>
          <w:sz w:val="24"/>
          <w:szCs w:val="24"/>
          <w:highlight w:val="none"/>
        </w:rPr>
        <w:t>初步评审标准</w:t>
      </w:r>
    </w:p>
    <w:p>
      <w:pPr>
        <w:pStyle w:val="54"/>
        <w:spacing w:line="360" w:lineRule="auto"/>
        <w:ind w:firstLine="480" w:firstLineChars="200"/>
        <w:rPr>
          <w:sz w:val="24"/>
          <w:szCs w:val="24"/>
          <w:highlight w:val="none"/>
        </w:rPr>
      </w:pPr>
      <w:r>
        <w:rPr>
          <w:rFonts w:hint="eastAsia"/>
          <w:sz w:val="24"/>
          <w:szCs w:val="24"/>
          <w:highlight w:val="none"/>
          <w:lang w:val="en-US" w:eastAsia="zh-CN" w:bidi="en-US"/>
        </w:rPr>
        <w:t>2.1.1</w:t>
      </w:r>
      <w:r>
        <w:rPr>
          <w:rFonts w:hint="eastAsia"/>
          <w:sz w:val="24"/>
          <w:szCs w:val="24"/>
          <w:highlight w:val="none"/>
        </w:rPr>
        <w:t>形式评审标准：见评标办法前附表。</w:t>
      </w:r>
    </w:p>
    <w:p>
      <w:pPr>
        <w:pStyle w:val="54"/>
        <w:spacing w:line="360" w:lineRule="auto"/>
        <w:ind w:firstLine="480" w:firstLineChars="200"/>
        <w:rPr>
          <w:sz w:val="24"/>
          <w:szCs w:val="24"/>
          <w:highlight w:val="none"/>
        </w:rPr>
      </w:pPr>
      <w:r>
        <w:rPr>
          <w:rFonts w:hint="eastAsia"/>
          <w:sz w:val="24"/>
          <w:szCs w:val="24"/>
          <w:highlight w:val="none"/>
          <w:lang w:val="en-US" w:eastAsia="zh-CN" w:bidi="en-US"/>
        </w:rPr>
        <w:t>2.1.2</w:t>
      </w:r>
      <w:r>
        <w:rPr>
          <w:rFonts w:hint="eastAsia"/>
          <w:sz w:val="24"/>
          <w:szCs w:val="24"/>
          <w:highlight w:val="none"/>
        </w:rPr>
        <w:t>资格评审标准：见评标办法前附表。</w:t>
      </w:r>
    </w:p>
    <w:p>
      <w:pPr>
        <w:pStyle w:val="54"/>
        <w:spacing w:line="360" w:lineRule="auto"/>
        <w:ind w:firstLine="480" w:firstLineChars="200"/>
        <w:rPr>
          <w:sz w:val="24"/>
          <w:szCs w:val="24"/>
          <w:highlight w:val="none"/>
        </w:rPr>
      </w:pPr>
      <w:r>
        <w:rPr>
          <w:rFonts w:hint="eastAsia"/>
          <w:sz w:val="24"/>
          <w:szCs w:val="24"/>
          <w:highlight w:val="none"/>
          <w:lang w:val="en-US" w:eastAsia="zh-CN" w:bidi="en-US"/>
        </w:rPr>
        <w:t>2.1.3</w:t>
      </w:r>
      <w:r>
        <w:rPr>
          <w:rFonts w:hint="eastAsia"/>
          <w:sz w:val="24"/>
          <w:szCs w:val="24"/>
          <w:highlight w:val="none"/>
        </w:rPr>
        <w:t>响应性评审标准：见评标办法前附表。</w:t>
      </w:r>
    </w:p>
    <w:p>
      <w:pPr>
        <w:pStyle w:val="54"/>
        <w:spacing w:line="360" w:lineRule="auto"/>
        <w:ind w:firstLine="480" w:firstLineChars="200"/>
        <w:jc w:val="both"/>
        <w:rPr>
          <w:sz w:val="24"/>
          <w:szCs w:val="24"/>
          <w:highlight w:val="none"/>
        </w:rPr>
      </w:pPr>
      <w:r>
        <w:rPr>
          <w:rFonts w:hint="eastAsia"/>
          <w:sz w:val="24"/>
          <w:szCs w:val="24"/>
          <w:highlight w:val="none"/>
          <w:lang w:val="en-US" w:eastAsia="zh-CN" w:bidi="en-US"/>
        </w:rPr>
        <w:t>2.2</w:t>
      </w:r>
      <w:r>
        <w:rPr>
          <w:rFonts w:hint="eastAsia"/>
          <w:sz w:val="24"/>
          <w:szCs w:val="24"/>
          <w:highlight w:val="none"/>
        </w:rPr>
        <w:t>分值构成与评分标准</w:t>
      </w:r>
    </w:p>
    <w:p>
      <w:pPr>
        <w:pStyle w:val="54"/>
        <w:spacing w:line="360" w:lineRule="auto"/>
        <w:ind w:firstLine="480" w:firstLineChars="200"/>
        <w:rPr>
          <w:sz w:val="24"/>
          <w:szCs w:val="24"/>
          <w:highlight w:val="none"/>
        </w:rPr>
      </w:pPr>
      <w:r>
        <w:rPr>
          <w:rFonts w:hint="eastAsia"/>
          <w:sz w:val="24"/>
          <w:szCs w:val="24"/>
          <w:highlight w:val="none"/>
          <w:lang w:val="en-US" w:eastAsia="zh-CN" w:bidi="en-US"/>
        </w:rPr>
        <w:t>（1）</w:t>
      </w:r>
      <w:r>
        <w:rPr>
          <w:rFonts w:hint="eastAsia"/>
          <w:sz w:val="24"/>
          <w:szCs w:val="24"/>
          <w:highlight w:val="none"/>
          <w:lang w:val="en-US" w:eastAsia="zh-CN"/>
        </w:rPr>
        <w:t>商务标</w:t>
      </w:r>
      <w:r>
        <w:rPr>
          <w:rFonts w:hint="eastAsia"/>
          <w:sz w:val="24"/>
          <w:szCs w:val="24"/>
          <w:highlight w:val="none"/>
        </w:rPr>
        <w:t>：见评标办法前附表；</w:t>
      </w:r>
    </w:p>
    <w:p>
      <w:pPr>
        <w:pStyle w:val="54"/>
        <w:spacing w:line="360" w:lineRule="auto"/>
        <w:ind w:firstLine="480" w:firstLineChars="200"/>
        <w:rPr>
          <w:sz w:val="24"/>
          <w:szCs w:val="24"/>
          <w:highlight w:val="none"/>
        </w:rPr>
      </w:pPr>
      <w:r>
        <w:rPr>
          <w:rFonts w:hint="eastAsia"/>
          <w:sz w:val="24"/>
          <w:szCs w:val="24"/>
          <w:highlight w:val="none"/>
          <w:lang w:eastAsia="zh-CN"/>
        </w:rPr>
        <w:t>（</w:t>
      </w:r>
      <w:r>
        <w:rPr>
          <w:rFonts w:hint="eastAsia"/>
          <w:sz w:val="24"/>
          <w:szCs w:val="24"/>
          <w:highlight w:val="none"/>
          <w:lang w:val="en-US" w:eastAsia="zh-CN"/>
        </w:rPr>
        <w:t>2）技术标</w:t>
      </w:r>
      <w:r>
        <w:rPr>
          <w:rFonts w:hint="eastAsia"/>
          <w:sz w:val="24"/>
          <w:szCs w:val="24"/>
          <w:highlight w:val="none"/>
        </w:rPr>
        <w:t>：见评标办法前附表；</w:t>
      </w:r>
    </w:p>
    <w:p>
      <w:pPr>
        <w:pStyle w:val="54"/>
        <w:spacing w:line="360" w:lineRule="auto"/>
        <w:ind w:firstLine="480" w:firstLineChars="200"/>
        <w:rPr>
          <w:sz w:val="24"/>
          <w:szCs w:val="24"/>
          <w:highlight w:val="none"/>
        </w:rPr>
      </w:pPr>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w:t>
      </w:r>
      <w:r>
        <w:rPr>
          <w:rFonts w:hint="eastAsia"/>
          <w:sz w:val="24"/>
          <w:szCs w:val="24"/>
          <w:highlight w:val="none"/>
          <w:lang w:val="en-US" w:eastAsia="zh-CN"/>
        </w:rPr>
        <w:t>综合标</w:t>
      </w:r>
      <w:r>
        <w:rPr>
          <w:rFonts w:hint="eastAsia"/>
          <w:sz w:val="24"/>
          <w:szCs w:val="24"/>
          <w:highlight w:val="none"/>
        </w:rPr>
        <w:t>：见评标办法前附表；</w:t>
      </w:r>
    </w:p>
    <w:p>
      <w:pPr>
        <w:pStyle w:val="54"/>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bCs/>
          <w:sz w:val="24"/>
          <w:szCs w:val="24"/>
          <w:highlight w:val="none"/>
          <w:lang w:val="en-US" w:eastAsia="zh-CN"/>
        </w:rPr>
      </w:pPr>
      <w:bookmarkStart w:id="56" w:name="bookmark121"/>
      <w:bookmarkEnd w:id="56"/>
      <w:r>
        <w:rPr>
          <w:rFonts w:hint="eastAsia" w:ascii="宋体" w:hAnsi="宋体" w:eastAsia="宋体" w:cs="宋体"/>
          <w:b/>
          <w:bCs/>
          <w:sz w:val="24"/>
          <w:szCs w:val="24"/>
          <w:highlight w:val="none"/>
          <w:lang w:val="en-US" w:eastAsia="zh-CN"/>
        </w:rPr>
        <w:t>3.评审程序</w:t>
      </w:r>
    </w:p>
    <w:p>
      <w:pPr>
        <w:pStyle w:val="54"/>
        <w:spacing w:line="360" w:lineRule="auto"/>
        <w:ind w:firstLine="480" w:firstLineChars="200"/>
        <w:jc w:val="both"/>
        <w:rPr>
          <w:sz w:val="24"/>
          <w:szCs w:val="24"/>
          <w:highlight w:val="none"/>
        </w:rPr>
      </w:pPr>
      <w:r>
        <w:rPr>
          <w:rFonts w:hint="eastAsia"/>
          <w:sz w:val="24"/>
          <w:szCs w:val="24"/>
          <w:highlight w:val="none"/>
        </w:rPr>
        <w:t>3.1 初步评审</w:t>
      </w:r>
    </w:p>
    <w:p>
      <w:pPr>
        <w:pStyle w:val="54"/>
        <w:spacing w:line="360" w:lineRule="auto"/>
        <w:ind w:firstLine="480" w:firstLineChars="200"/>
        <w:jc w:val="both"/>
        <w:rPr>
          <w:sz w:val="24"/>
          <w:szCs w:val="24"/>
          <w:highlight w:val="none"/>
        </w:rPr>
      </w:pPr>
      <w:r>
        <w:rPr>
          <w:rFonts w:hint="eastAsia"/>
          <w:sz w:val="24"/>
          <w:szCs w:val="24"/>
          <w:highlight w:val="none"/>
          <w:lang w:val="en-US" w:eastAsia="zh-CN" w:bidi="en-US"/>
        </w:rPr>
        <w:t>3.1.1</w:t>
      </w:r>
      <w:r>
        <w:rPr>
          <w:rFonts w:hint="eastAsia"/>
          <w:sz w:val="24"/>
          <w:szCs w:val="24"/>
          <w:highlight w:val="none"/>
        </w:rPr>
        <w:t>磋商小组依据本章第</w:t>
      </w:r>
      <w:r>
        <w:rPr>
          <w:rFonts w:hint="eastAsia"/>
          <w:sz w:val="24"/>
          <w:szCs w:val="24"/>
          <w:highlight w:val="none"/>
          <w:lang w:val="en-US" w:eastAsia="zh-CN" w:bidi="en-US"/>
        </w:rPr>
        <w:t>2.1</w:t>
      </w:r>
      <w:r>
        <w:rPr>
          <w:rFonts w:hint="eastAsia"/>
          <w:sz w:val="24"/>
          <w:szCs w:val="24"/>
          <w:highlight w:val="none"/>
        </w:rPr>
        <w:t>款规定的标准对响应文件进行初步评审。有一项不符合评审标准的，作废标处理。</w:t>
      </w:r>
    </w:p>
    <w:p>
      <w:pPr>
        <w:pStyle w:val="54"/>
        <w:spacing w:line="360" w:lineRule="auto"/>
        <w:ind w:firstLine="480" w:firstLineChars="200"/>
        <w:jc w:val="both"/>
        <w:rPr>
          <w:sz w:val="24"/>
          <w:szCs w:val="24"/>
          <w:highlight w:val="none"/>
        </w:rPr>
      </w:pPr>
      <w:r>
        <w:rPr>
          <w:rFonts w:hint="eastAsia"/>
          <w:sz w:val="24"/>
          <w:szCs w:val="24"/>
          <w:highlight w:val="none"/>
          <w:lang w:val="en-US" w:eastAsia="zh-CN"/>
        </w:rPr>
        <w:t>3.1.2</w:t>
      </w:r>
      <w:r>
        <w:rPr>
          <w:rFonts w:hint="eastAsia"/>
          <w:sz w:val="24"/>
          <w:szCs w:val="24"/>
          <w:highlight w:val="none"/>
        </w:rPr>
        <w:t>供应商有以下情形之一的，其投标作废标处理：</w:t>
      </w:r>
    </w:p>
    <w:p>
      <w:pPr>
        <w:pStyle w:val="54"/>
        <w:spacing w:line="360" w:lineRule="auto"/>
        <w:ind w:firstLine="480" w:firstLineChars="200"/>
        <w:jc w:val="both"/>
        <w:rPr>
          <w:sz w:val="24"/>
          <w:szCs w:val="24"/>
          <w:highlight w:val="none"/>
        </w:rPr>
      </w:pPr>
      <w:bookmarkStart w:id="57" w:name="bookmark122"/>
      <w:r>
        <w:rPr>
          <w:rFonts w:hint="eastAsia"/>
          <w:sz w:val="24"/>
          <w:szCs w:val="24"/>
          <w:highlight w:val="none"/>
        </w:rPr>
        <w:t>（</w:t>
      </w:r>
      <w:bookmarkEnd w:id="57"/>
      <w:r>
        <w:rPr>
          <w:rFonts w:hint="eastAsia"/>
          <w:sz w:val="24"/>
          <w:szCs w:val="24"/>
          <w:highlight w:val="none"/>
        </w:rPr>
        <w:t>1）串通响应或弄虚作假或有其他违法行为的；</w:t>
      </w:r>
    </w:p>
    <w:p>
      <w:pPr>
        <w:pStyle w:val="54"/>
        <w:spacing w:line="360" w:lineRule="auto"/>
        <w:ind w:firstLine="480" w:firstLineChars="200"/>
        <w:jc w:val="both"/>
        <w:rPr>
          <w:sz w:val="24"/>
          <w:szCs w:val="24"/>
          <w:highlight w:val="none"/>
        </w:rPr>
      </w:pPr>
      <w:bookmarkStart w:id="58" w:name="bookmark123"/>
      <w:r>
        <w:rPr>
          <w:rFonts w:hint="eastAsia"/>
          <w:sz w:val="24"/>
          <w:szCs w:val="24"/>
          <w:highlight w:val="none"/>
        </w:rPr>
        <w:t>（</w:t>
      </w:r>
      <w:bookmarkEnd w:id="58"/>
      <w:r>
        <w:rPr>
          <w:rFonts w:hint="eastAsia"/>
          <w:sz w:val="24"/>
          <w:szCs w:val="24"/>
          <w:highlight w:val="none"/>
        </w:rPr>
        <w:t>2）不按磋商小组要求澄清、说明或补正的；</w:t>
      </w:r>
    </w:p>
    <w:p>
      <w:pPr>
        <w:pStyle w:val="54"/>
        <w:spacing w:line="360" w:lineRule="auto"/>
        <w:ind w:firstLine="480" w:firstLineChars="200"/>
        <w:jc w:val="both"/>
        <w:rPr>
          <w:sz w:val="24"/>
          <w:szCs w:val="24"/>
          <w:highlight w:val="none"/>
        </w:rPr>
      </w:pPr>
      <w:bookmarkStart w:id="59" w:name="bookmark124"/>
      <w:r>
        <w:rPr>
          <w:rFonts w:hint="eastAsia"/>
          <w:sz w:val="24"/>
          <w:szCs w:val="24"/>
          <w:highlight w:val="none"/>
        </w:rPr>
        <w:t>（</w:t>
      </w:r>
      <w:bookmarkEnd w:id="59"/>
      <w:r>
        <w:rPr>
          <w:rFonts w:hint="eastAsia"/>
          <w:sz w:val="24"/>
          <w:szCs w:val="24"/>
          <w:highlight w:val="none"/>
        </w:rPr>
        <w:t>3）未按规定格式填写、内容不全或关键字迹模糊、无法辨认的；</w:t>
      </w:r>
    </w:p>
    <w:p>
      <w:pPr>
        <w:pStyle w:val="54"/>
        <w:spacing w:line="360" w:lineRule="auto"/>
        <w:ind w:firstLine="480" w:firstLineChars="200"/>
        <w:jc w:val="both"/>
        <w:rPr>
          <w:sz w:val="24"/>
          <w:szCs w:val="24"/>
          <w:highlight w:val="none"/>
        </w:rPr>
      </w:pPr>
      <w:bookmarkStart w:id="60" w:name="bookmark125"/>
      <w:r>
        <w:rPr>
          <w:rFonts w:hint="eastAsia"/>
          <w:sz w:val="24"/>
          <w:szCs w:val="24"/>
          <w:highlight w:val="none"/>
        </w:rPr>
        <w:t>（</w:t>
      </w:r>
      <w:bookmarkEnd w:id="60"/>
      <w:r>
        <w:rPr>
          <w:rFonts w:hint="eastAsia"/>
          <w:sz w:val="24"/>
          <w:szCs w:val="24"/>
          <w:highlight w:val="none"/>
        </w:rPr>
        <w:t>4）响应文件附有采购人不能接受的条件；</w:t>
      </w:r>
    </w:p>
    <w:p>
      <w:pPr>
        <w:pStyle w:val="54"/>
        <w:spacing w:line="360" w:lineRule="auto"/>
        <w:ind w:firstLine="480" w:firstLineChars="200"/>
        <w:jc w:val="both"/>
        <w:rPr>
          <w:sz w:val="24"/>
          <w:szCs w:val="24"/>
          <w:highlight w:val="none"/>
        </w:rPr>
      </w:pPr>
      <w:bookmarkStart w:id="61" w:name="bookmark126"/>
      <w:r>
        <w:rPr>
          <w:rFonts w:hint="eastAsia"/>
          <w:sz w:val="24"/>
          <w:szCs w:val="24"/>
          <w:highlight w:val="none"/>
        </w:rPr>
        <w:t>（</w:t>
      </w:r>
      <w:bookmarkEnd w:id="61"/>
      <w:r>
        <w:rPr>
          <w:rFonts w:hint="eastAsia"/>
          <w:sz w:val="24"/>
          <w:szCs w:val="24"/>
          <w:highlight w:val="none"/>
        </w:rPr>
        <w:t>5）不符合磋商文件规定的其他实质性要求。</w:t>
      </w:r>
    </w:p>
    <w:p>
      <w:pPr>
        <w:pStyle w:val="54"/>
        <w:spacing w:line="360" w:lineRule="auto"/>
        <w:ind w:firstLine="480" w:firstLineChars="200"/>
        <w:jc w:val="both"/>
        <w:rPr>
          <w:sz w:val="24"/>
          <w:szCs w:val="24"/>
          <w:highlight w:val="none"/>
        </w:rPr>
      </w:pPr>
      <w:r>
        <w:rPr>
          <w:rFonts w:hint="eastAsia"/>
          <w:sz w:val="24"/>
          <w:szCs w:val="24"/>
          <w:highlight w:val="none"/>
          <w:lang w:val="en-US" w:eastAsia="zh-CN" w:bidi="en-US"/>
        </w:rPr>
        <w:t>3.2</w:t>
      </w:r>
      <w:r>
        <w:rPr>
          <w:rFonts w:hint="eastAsia"/>
          <w:sz w:val="24"/>
          <w:szCs w:val="24"/>
          <w:highlight w:val="none"/>
        </w:rPr>
        <w:t>详细评审</w:t>
      </w:r>
    </w:p>
    <w:p>
      <w:pPr>
        <w:pStyle w:val="54"/>
        <w:spacing w:line="360" w:lineRule="auto"/>
        <w:ind w:firstLine="480" w:firstLineChars="200"/>
        <w:rPr>
          <w:sz w:val="24"/>
          <w:szCs w:val="24"/>
          <w:highlight w:val="none"/>
        </w:rPr>
      </w:pPr>
      <w:r>
        <w:rPr>
          <w:rFonts w:hint="eastAsia"/>
          <w:sz w:val="24"/>
          <w:szCs w:val="24"/>
          <w:highlight w:val="none"/>
          <w:lang w:val="en-US" w:eastAsia="zh-CN" w:bidi="en-US"/>
        </w:rPr>
        <w:t>3.2.1</w:t>
      </w:r>
      <w:r>
        <w:rPr>
          <w:rFonts w:hint="eastAsia"/>
          <w:sz w:val="24"/>
          <w:szCs w:val="24"/>
          <w:highlight w:val="none"/>
        </w:rPr>
        <w:t>磋商小组按本章第</w:t>
      </w:r>
      <w:r>
        <w:rPr>
          <w:rFonts w:hint="eastAsia"/>
          <w:sz w:val="24"/>
          <w:szCs w:val="24"/>
          <w:highlight w:val="none"/>
          <w:lang w:val="en-US" w:eastAsia="zh-CN" w:bidi="en-US"/>
        </w:rPr>
        <w:t>2.2</w:t>
      </w:r>
      <w:r>
        <w:rPr>
          <w:rFonts w:hint="eastAsia"/>
          <w:sz w:val="24"/>
          <w:szCs w:val="24"/>
          <w:highlight w:val="none"/>
        </w:rPr>
        <w:t>款规定的量化因素和分值进行打分，并计算出综合评分得分。</w:t>
      </w:r>
    </w:p>
    <w:p>
      <w:pPr>
        <w:pStyle w:val="54"/>
        <w:spacing w:line="360" w:lineRule="auto"/>
        <w:ind w:firstLine="480" w:firstLineChars="200"/>
        <w:rPr>
          <w:sz w:val="24"/>
          <w:szCs w:val="24"/>
          <w:highlight w:val="none"/>
        </w:rPr>
      </w:pPr>
      <w:r>
        <w:rPr>
          <w:rFonts w:hint="eastAsia"/>
          <w:sz w:val="24"/>
          <w:szCs w:val="24"/>
          <w:highlight w:val="none"/>
          <w:lang w:val="en-US" w:eastAsia="zh-CN" w:bidi="en-US"/>
        </w:rPr>
        <w:t>3.2.2</w:t>
      </w:r>
      <w:r>
        <w:rPr>
          <w:rFonts w:hint="eastAsia"/>
          <w:sz w:val="24"/>
          <w:szCs w:val="24"/>
          <w:highlight w:val="none"/>
        </w:rPr>
        <w:t>评分分值计算保留小数点后两位，小数点后第三位“四舍五入</w:t>
      </w:r>
    </w:p>
    <w:p>
      <w:pPr>
        <w:pStyle w:val="54"/>
        <w:spacing w:line="360" w:lineRule="auto"/>
        <w:ind w:firstLine="480" w:firstLineChars="200"/>
        <w:jc w:val="both"/>
        <w:rPr>
          <w:sz w:val="24"/>
          <w:szCs w:val="24"/>
          <w:highlight w:val="none"/>
        </w:rPr>
      </w:pPr>
      <w:r>
        <w:rPr>
          <w:rFonts w:hint="eastAsia"/>
          <w:sz w:val="24"/>
          <w:szCs w:val="24"/>
          <w:highlight w:val="none"/>
          <w:lang w:val="en-US" w:eastAsia="zh-CN" w:bidi="en-US"/>
        </w:rPr>
        <w:t>3.2.3</w:t>
      </w:r>
      <w:r>
        <w:rPr>
          <w:rFonts w:hint="eastAsia"/>
          <w:sz w:val="24"/>
          <w:szCs w:val="24"/>
          <w:highlight w:val="none"/>
        </w:rPr>
        <w:t>供应商的最终得分以全部小组成员打分的算术平均值为准，作为该供应商的最终得分。</w:t>
      </w:r>
    </w:p>
    <w:p>
      <w:pPr>
        <w:pStyle w:val="54"/>
        <w:spacing w:line="360" w:lineRule="auto"/>
        <w:ind w:firstLine="480" w:firstLineChars="200"/>
        <w:jc w:val="both"/>
        <w:rPr>
          <w:sz w:val="24"/>
          <w:szCs w:val="24"/>
          <w:highlight w:val="none"/>
        </w:rPr>
      </w:pPr>
      <w:r>
        <w:rPr>
          <w:rFonts w:hint="eastAsia"/>
          <w:sz w:val="24"/>
          <w:szCs w:val="24"/>
          <w:highlight w:val="none"/>
          <w:lang w:val="en-US" w:eastAsia="zh-CN" w:bidi="en-US"/>
        </w:rPr>
        <w:t>3.2.4</w:t>
      </w:r>
      <w:r>
        <w:rPr>
          <w:rFonts w:hint="eastAsia"/>
          <w:sz w:val="24"/>
          <w:szCs w:val="24"/>
          <w:highlight w:val="none"/>
        </w:rPr>
        <w:t>在磋商过程中，凡遇到磋商文件中无界定或界定不清、前后不一致使磋商小组意见有分歧且又难以协商一致的问题，均由磋商小组予以表决，获半数以上同意的即为通过，未获半数同意的即为否决。</w:t>
      </w:r>
    </w:p>
    <w:p>
      <w:pPr>
        <w:pStyle w:val="54"/>
        <w:spacing w:line="360" w:lineRule="auto"/>
        <w:ind w:firstLine="480" w:firstLineChars="200"/>
        <w:jc w:val="both"/>
        <w:rPr>
          <w:sz w:val="24"/>
          <w:szCs w:val="24"/>
          <w:highlight w:val="none"/>
        </w:rPr>
      </w:pPr>
      <w:r>
        <w:rPr>
          <w:rFonts w:hint="eastAsia"/>
          <w:sz w:val="24"/>
          <w:szCs w:val="24"/>
          <w:highlight w:val="none"/>
          <w:lang w:val="en-US" w:eastAsia="zh-CN" w:bidi="en-US"/>
        </w:rPr>
        <w:t>3.3</w:t>
      </w:r>
      <w:r>
        <w:rPr>
          <w:rFonts w:hint="eastAsia"/>
          <w:sz w:val="24"/>
          <w:szCs w:val="24"/>
          <w:highlight w:val="none"/>
        </w:rPr>
        <w:t>响应文件的澄清和补正</w:t>
      </w:r>
    </w:p>
    <w:p>
      <w:pPr>
        <w:pStyle w:val="54"/>
        <w:spacing w:line="360" w:lineRule="auto"/>
        <w:ind w:firstLine="480" w:firstLineChars="200"/>
        <w:jc w:val="both"/>
        <w:rPr>
          <w:sz w:val="24"/>
          <w:szCs w:val="24"/>
          <w:highlight w:val="none"/>
        </w:rPr>
      </w:pPr>
      <w:r>
        <w:rPr>
          <w:rFonts w:hint="eastAsia"/>
          <w:sz w:val="24"/>
          <w:szCs w:val="24"/>
          <w:highlight w:val="none"/>
          <w:lang w:val="en-US" w:eastAsia="zh-CN" w:bidi="en-US"/>
        </w:rPr>
        <w:t>3.3.1</w:t>
      </w:r>
      <w:r>
        <w:rPr>
          <w:rFonts w:hint="eastAsia"/>
          <w:sz w:val="24"/>
          <w:szCs w:val="24"/>
          <w:highlight w:val="none"/>
        </w:rPr>
        <w:t>在磋商过程中，磋商小组可以书面形式要求供应商对所提交的响应文件中不明确的内容进行书面澄清或说明，或者对细微偏离进行补正。磋商小组不接受供应商主动提出的澄清、说明或补正。</w:t>
      </w:r>
    </w:p>
    <w:p>
      <w:pPr>
        <w:pStyle w:val="54"/>
        <w:spacing w:line="360" w:lineRule="auto"/>
        <w:ind w:firstLine="480" w:firstLineChars="200"/>
        <w:jc w:val="both"/>
        <w:rPr>
          <w:sz w:val="24"/>
          <w:szCs w:val="24"/>
          <w:highlight w:val="none"/>
        </w:rPr>
      </w:pPr>
      <w:r>
        <w:rPr>
          <w:rFonts w:hint="eastAsia"/>
          <w:sz w:val="24"/>
          <w:szCs w:val="24"/>
          <w:highlight w:val="none"/>
          <w:lang w:val="en-US" w:eastAsia="zh-CN" w:bidi="en-US"/>
        </w:rPr>
        <w:t>3.3.2</w:t>
      </w:r>
      <w:r>
        <w:rPr>
          <w:rFonts w:hint="eastAsia"/>
          <w:sz w:val="24"/>
          <w:szCs w:val="24"/>
          <w:highlight w:val="none"/>
        </w:rPr>
        <w:t>澄清、说明和补正不得超出响应文件的范围或者改变响应文件的实质性内容（算术性错误修正的除外）。供应商的书面澄清、说明和补正属于响应文件的组成部分。</w:t>
      </w:r>
    </w:p>
    <w:p>
      <w:pPr>
        <w:pStyle w:val="54"/>
        <w:spacing w:line="360" w:lineRule="auto"/>
        <w:ind w:firstLine="480" w:firstLineChars="200"/>
        <w:jc w:val="both"/>
        <w:rPr>
          <w:sz w:val="24"/>
          <w:szCs w:val="24"/>
          <w:highlight w:val="none"/>
        </w:rPr>
      </w:pPr>
      <w:r>
        <w:rPr>
          <w:rFonts w:hint="eastAsia"/>
          <w:sz w:val="24"/>
          <w:szCs w:val="24"/>
          <w:highlight w:val="none"/>
          <w:lang w:val="en-US" w:eastAsia="zh-CN" w:bidi="en-US"/>
        </w:rPr>
        <w:t>3.3.3</w:t>
      </w:r>
      <w:r>
        <w:rPr>
          <w:rFonts w:hint="eastAsia"/>
          <w:sz w:val="24"/>
          <w:szCs w:val="24"/>
          <w:highlight w:val="none"/>
        </w:rPr>
        <w:t>磋商小组对供应商提交的澄清、说明或补正有疑问的，可以要求供应商进一步澄清、说明或补正，直至满足磋商小组的要求。</w:t>
      </w:r>
    </w:p>
    <w:p>
      <w:pPr>
        <w:pStyle w:val="54"/>
        <w:spacing w:line="360" w:lineRule="auto"/>
        <w:ind w:firstLine="480" w:firstLineChars="200"/>
        <w:jc w:val="both"/>
        <w:rPr>
          <w:sz w:val="24"/>
          <w:szCs w:val="24"/>
          <w:highlight w:val="none"/>
        </w:rPr>
      </w:pPr>
      <w:r>
        <w:rPr>
          <w:rFonts w:hint="eastAsia"/>
          <w:sz w:val="24"/>
          <w:szCs w:val="24"/>
          <w:highlight w:val="none"/>
          <w:lang w:val="en-US" w:eastAsia="zh-CN" w:bidi="en-US"/>
        </w:rPr>
        <w:t>3.4</w:t>
      </w:r>
      <w:r>
        <w:rPr>
          <w:rFonts w:hint="eastAsia"/>
          <w:sz w:val="24"/>
          <w:szCs w:val="24"/>
          <w:highlight w:val="none"/>
        </w:rPr>
        <w:t>评标结果</w:t>
      </w:r>
    </w:p>
    <w:p>
      <w:pPr>
        <w:pStyle w:val="54"/>
        <w:spacing w:line="360" w:lineRule="auto"/>
        <w:ind w:firstLine="480" w:firstLineChars="200"/>
        <w:jc w:val="both"/>
        <w:rPr>
          <w:sz w:val="24"/>
          <w:szCs w:val="24"/>
          <w:highlight w:val="none"/>
        </w:rPr>
      </w:pPr>
      <w:r>
        <w:rPr>
          <w:rFonts w:hint="eastAsia"/>
          <w:sz w:val="24"/>
          <w:szCs w:val="24"/>
          <w:highlight w:val="none"/>
          <w:lang w:val="en-US" w:eastAsia="zh-CN" w:bidi="en-US"/>
        </w:rPr>
        <w:t>3.4.1</w:t>
      </w:r>
      <w:r>
        <w:rPr>
          <w:rFonts w:hint="eastAsia"/>
          <w:sz w:val="24"/>
          <w:szCs w:val="24"/>
          <w:highlight w:val="none"/>
        </w:rPr>
        <w:t>除第二章</w:t>
      </w:r>
      <w:r>
        <w:rPr>
          <w:rFonts w:hint="eastAsia"/>
          <w:sz w:val="24"/>
          <w:szCs w:val="24"/>
          <w:highlight w:val="none"/>
          <w:lang w:val="zh-CN" w:eastAsia="zh-CN" w:bidi="zh-CN"/>
        </w:rPr>
        <w:t>“供应</w:t>
      </w:r>
      <w:r>
        <w:rPr>
          <w:rFonts w:hint="eastAsia"/>
          <w:sz w:val="24"/>
          <w:szCs w:val="24"/>
          <w:highlight w:val="none"/>
        </w:rPr>
        <w:t>商须知</w:t>
      </w:r>
      <w:r>
        <w:rPr>
          <w:rFonts w:hint="eastAsia"/>
          <w:sz w:val="24"/>
          <w:szCs w:val="24"/>
          <w:highlight w:val="none"/>
          <w:lang w:val="en-US" w:eastAsia="zh-CN" w:bidi="en-US"/>
        </w:rPr>
        <w:t>”</w:t>
      </w:r>
      <w:r>
        <w:rPr>
          <w:rFonts w:hint="eastAsia"/>
          <w:sz w:val="24"/>
          <w:szCs w:val="24"/>
          <w:highlight w:val="none"/>
        </w:rPr>
        <w:t>前附表授权直接确定成交人外，磋商小组按照得分由高到低的顺序推荐成交候选人。</w:t>
      </w:r>
    </w:p>
    <w:p>
      <w:pPr>
        <w:pStyle w:val="54"/>
        <w:spacing w:line="360" w:lineRule="auto"/>
        <w:ind w:firstLine="480" w:firstLineChars="200"/>
        <w:jc w:val="both"/>
        <w:rPr>
          <w:sz w:val="24"/>
          <w:szCs w:val="24"/>
          <w:highlight w:val="none"/>
        </w:rPr>
      </w:pPr>
      <w:r>
        <w:rPr>
          <w:rFonts w:hint="eastAsia"/>
          <w:sz w:val="24"/>
          <w:szCs w:val="24"/>
          <w:highlight w:val="none"/>
          <w:lang w:val="en-US" w:eastAsia="zh-CN"/>
        </w:rPr>
        <w:t>3.4.2</w:t>
      </w:r>
      <w:r>
        <w:rPr>
          <w:rFonts w:hint="eastAsia"/>
          <w:sz w:val="24"/>
          <w:szCs w:val="24"/>
          <w:highlight w:val="none"/>
        </w:rPr>
        <w:t>磋商小组完成评标后，应当向采购人提交书面评审报告。</w:t>
      </w:r>
    </w:p>
    <w:p>
      <w:pPr>
        <w:pStyle w:val="54"/>
        <w:spacing w:line="360" w:lineRule="auto"/>
        <w:ind w:firstLine="480" w:firstLineChars="200"/>
        <w:jc w:val="both"/>
        <w:rPr>
          <w:sz w:val="24"/>
          <w:szCs w:val="24"/>
          <w:highlight w:val="none"/>
          <w:lang w:val="en-US" w:eastAsia="zh-CN" w:bidi="en-US"/>
        </w:rPr>
      </w:pPr>
      <w:r>
        <w:rPr>
          <w:rFonts w:hint="eastAsia"/>
          <w:sz w:val="24"/>
          <w:szCs w:val="24"/>
          <w:highlight w:val="none"/>
          <w:lang w:val="en-US" w:eastAsia="zh-CN" w:bidi="en-US"/>
        </w:rPr>
        <w:t>3.5政府采购政策</w:t>
      </w:r>
    </w:p>
    <w:p>
      <w:pPr>
        <w:pStyle w:val="54"/>
        <w:spacing w:line="360" w:lineRule="auto"/>
        <w:ind w:firstLine="480" w:firstLineChars="200"/>
        <w:jc w:val="both"/>
        <w:rPr>
          <w:sz w:val="24"/>
          <w:szCs w:val="24"/>
          <w:highlight w:val="none"/>
          <w:lang w:val="en-US" w:eastAsia="zh-CN" w:bidi="en-US"/>
        </w:rPr>
      </w:pPr>
      <w:r>
        <w:rPr>
          <w:rFonts w:hint="eastAsia"/>
          <w:sz w:val="24"/>
          <w:szCs w:val="24"/>
          <w:highlight w:val="none"/>
          <w:lang w:val="en-US" w:eastAsia="zh-CN" w:bidi="en-US"/>
        </w:rPr>
        <w:t xml:space="preserve">3.5.1.本项目非专门面向中小企业、监狱企业及残疾人福利性单位采购项目。政府采购政策：本项目执行节约能源、保护环境、扶持不发达及少数民族地区，促进中小企业发展等政府采购政策。 </w:t>
      </w:r>
    </w:p>
    <w:p>
      <w:pPr>
        <w:pStyle w:val="54"/>
        <w:spacing w:line="360" w:lineRule="auto"/>
        <w:ind w:firstLine="480" w:firstLineChars="200"/>
        <w:jc w:val="both"/>
        <w:rPr>
          <w:sz w:val="24"/>
          <w:szCs w:val="24"/>
          <w:highlight w:val="none"/>
          <w:lang w:val="en-US" w:eastAsia="zh-CN" w:bidi="en-US"/>
        </w:rPr>
      </w:pPr>
      <w:r>
        <w:rPr>
          <w:rFonts w:hint="eastAsia"/>
          <w:sz w:val="24"/>
          <w:szCs w:val="24"/>
          <w:highlight w:val="none"/>
          <w:lang w:val="en-US" w:eastAsia="zh-CN" w:bidi="en-US"/>
        </w:rPr>
        <w:t>3.5.2.中小微型企业有关政策：</w:t>
      </w:r>
    </w:p>
    <w:p>
      <w:pPr>
        <w:pStyle w:val="78"/>
        <w:spacing w:line="360" w:lineRule="auto"/>
        <w:ind w:firstLine="480" w:firstLineChars="200"/>
        <w:jc w:val="both"/>
        <w:rPr>
          <w:rFonts w:hAnsi="宋体"/>
          <w:color w:val="auto"/>
          <w:highlight w:val="none"/>
        </w:rPr>
      </w:pPr>
      <w:r>
        <w:rPr>
          <w:rFonts w:hint="eastAsia" w:hAnsi="宋体"/>
          <w:color w:val="auto"/>
          <w:highlight w:val="none"/>
        </w:rPr>
        <w:t xml:space="preserve">对于供应商为监狱企业、小型和微型企业及其投标产品为小型和微型企业生产的，将以扣除优惠比率后的报价参与价格评议，但不作为中标价和合同签约价。中标价和合同签约价仍以其响应文件中的报价为准。小型和微型企业价格给予扣除标准：根据《政府采购促进中小企业发展管理办法》(财库[2020]46 号)及《关于进一步加大政府采购支持中小企业力度的通知》（财库〔2022〕19 号）的规定，对于非专门面向中小企业的项目，对小型和微型企业的价格给予20%的扣除，用扣除后的报价参与评审。对于中型企业的价格不予扣除。供应商应当在响应文件中提供中小企业声明函（见附件），否则不予认可。根据《财政部、司法部关于政府采购支持监狱企业发展有关问题的通知》(财库〔2014〕68 号)的规定，提供由省级以上监狱管理局、戒毒管理局（含新疆生产建设兵团）出具的属于监狱企业的证明文件，监狱企业视同小型、微型企业，价格给予 20%的扣除，用扣除后的报价参与评审。根据《财政部、民政部、中国残疾人联合会关于促进残疾人就业政府采购政策的通知》（财库[2017]141 号）的规定，提供《残疾人福利性单位声明函》（见附件），并对声明的真实性负责。中标人为残疾人福利性单位的，采购人或者其委托的采购代理机构应当随中标结果同时公告其《残疾人福利性单位声明函》，接受社会监督。提供的《残疾人福利性单位声明函》与事实不符的，依照《中华人民共和国政府采购法》第七十七条第一款的规定追究法律责任。在政府采购活动中，残疾人福利性单位视同小型、微型企业，价格给予20%的扣除，用扣除后的报价参与评审。 </w:t>
      </w:r>
    </w:p>
    <w:p>
      <w:pPr>
        <w:pStyle w:val="78"/>
        <w:spacing w:line="360" w:lineRule="auto"/>
        <w:ind w:firstLine="480" w:firstLineChars="200"/>
        <w:jc w:val="both"/>
        <w:rPr>
          <w:rFonts w:hAnsi="宋体"/>
          <w:color w:val="auto"/>
          <w:highlight w:val="none"/>
        </w:rPr>
      </w:pPr>
      <w:r>
        <w:rPr>
          <w:rFonts w:hint="eastAsia" w:hAnsi="宋体"/>
          <w:color w:val="auto"/>
          <w:highlight w:val="none"/>
        </w:rPr>
        <w:t>备注：监狱企业和残疾人福利性单位属于小型、微型企业的，不重复享受政策。</w:t>
      </w:r>
    </w:p>
    <w:p>
      <w:pPr>
        <w:pStyle w:val="78"/>
        <w:spacing w:line="360" w:lineRule="auto"/>
        <w:ind w:firstLine="480" w:firstLineChars="200"/>
        <w:jc w:val="both"/>
        <w:rPr>
          <w:rFonts w:hAnsi="宋体"/>
          <w:color w:val="auto"/>
          <w:highlight w:val="none"/>
        </w:rPr>
      </w:pPr>
      <w:r>
        <w:rPr>
          <w:rFonts w:hint="eastAsia" w:hAnsi="宋体"/>
          <w:color w:val="auto"/>
          <w:highlight w:val="none"/>
        </w:rPr>
        <w:t>3.5.3.优先采购的节能产品、环境标志产品要求：</w:t>
      </w:r>
    </w:p>
    <w:p>
      <w:pPr>
        <w:pStyle w:val="78"/>
        <w:spacing w:line="360" w:lineRule="auto"/>
        <w:ind w:firstLine="480" w:firstLineChars="200"/>
        <w:jc w:val="both"/>
        <w:rPr>
          <w:rFonts w:hAnsi="宋体"/>
          <w:color w:val="auto"/>
          <w:highlight w:val="none"/>
        </w:rPr>
      </w:pPr>
      <w:r>
        <w:rPr>
          <w:rFonts w:hint="eastAsia" w:hAnsi="宋体"/>
          <w:color w:val="auto"/>
          <w:highlight w:val="none"/>
        </w:rPr>
        <w:t xml:space="preserve">如果所投产品是国家规定的节能产品及环境标志产品的（强制采购节能产品的除外），给予优先采购的权利，须提供以下材料：投标产品中属于政府优先采购节能产品、环境标志产品，应提供对应型号的国家确定的认证机构出具的处于有效期之内的节能产品、环境标志产品认证证书等证明材料，否则视为主动放弃被优先采购的权利。优先采购节能产品和环境标志产品在同等条件下属于优先采购范围（优先采购指最终得分相等时，投标报价也相同时，按技术指标优劣顺序排序，技术指标优劣情况相同的，优先采购节能产品和环境标志产品合计金额占自身投标报价比例大的）。 </w:t>
      </w:r>
    </w:p>
    <w:p>
      <w:pPr>
        <w:pStyle w:val="78"/>
        <w:spacing w:line="360" w:lineRule="auto"/>
        <w:ind w:firstLine="480" w:firstLineChars="200"/>
        <w:jc w:val="both"/>
        <w:rPr>
          <w:rFonts w:hAnsi="宋体"/>
          <w:color w:val="auto"/>
          <w:highlight w:val="none"/>
        </w:rPr>
      </w:pPr>
      <w:r>
        <w:rPr>
          <w:rFonts w:hint="eastAsia" w:hAnsi="宋体"/>
          <w:color w:val="auto"/>
          <w:highlight w:val="none"/>
        </w:rPr>
        <w:t>3.5.4.根据《财政部工业和信息化部国家质检总局国家认监委关于信息安全产品实施政府采购的通知》财库〔2010〕48 号文件要求，各潜在供应商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必须提供由中国信息安全认证中心颁发的有效认证证书。</w:t>
      </w:r>
    </w:p>
    <w:p>
      <w:pPr>
        <w:pStyle w:val="54"/>
        <w:spacing w:line="360" w:lineRule="auto"/>
        <w:ind w:firstLine="480" w:firstLineChars="200"/>
        <w:rPr>
          <w:color w:val="auto"/>
          <w:sz w:val="24"/>
          <w:szCs w:val="24"/>
          <w:highlight w:val="none"/>
        </w:rPr>
      </w:pPr>
      <w:r>
        <w:rPr>
          <w:rFonts w:hint="eastAsia"/>
          <w:color w:val="auto"/>
          <w:sz w:val="24"/>
          <w:szCs w:val="24"/>
          <w:highlight w:val="none"/>
          <w:lang w:val="en-US" w:eastAsia="zh-CN"/>
        </w:rPr>
        <w:t>3.5.5</w:t>
      </w:r>
      <w:r>
        <w:rPr>
          <w:rFonts w:hint="eastAsia"/>
          <w:color w:val="auto"/>
          <w:sz w:val="24"/>
          <w:szCs w:val="24"/>
          <w:highlight w:val="none"/>
        </w:rPr>
        <w:t>.所投产品已列入国家强制性产品认证或生产许可的产品，必须提供通过认证或生产许可的有关证明材料。</w:t>
      </w:r>
    </w:p>
    <w:p>
      <w:pPr>
        <w:spacing w:line="480" w:lineRule="exact"/>
        <w:ind w:left="720" w:firstLine="420"/>
        <w:jc w:val="both"/>
        <w:rPr>
          <w:rFonts w:ascii="宋体" w:hAnsi="宋体" w:eastAsia="宋体" w:cs="宋体"/>
          <w:sz w:val="21"/>
          <w:szCs w:val="21"/>
          <w:highlight w:val="none"/>
          <w:lang w:eastAsia="zh-CN"/>
        </w:rPr>
      </w:pPr>
    </w:p>
    <w:p>
      <w:pPr>
        <w:rPr>
          <w:sz w:val="32"/>
          <w:szCs w:val="32"/>
          <w:highlight w:val="none"/>
        </w:rPr>
      </w:pPr>
      <w:bookmarkStart w:id="62" w:name="_Toc13787"/>
      <w:bookmarkStart w:id="63" w:name="bookmark130"/>
      <w:bookmarkStart w:id="64" w:name="_Toc18422"/>
      <w:bookmarkStart w:id="65" w:name="bookmark127"/>
      <w:bookmarkStart w:id="66" w:name="bookmark128"/>
      <w:bookmarkStart w:id="67" w:name="_Toc11376"/>
      <w:bookmarkStart w:id="68" w:name="_Toc12123"/>
      <w:bookmarkStart w:id="69" w:name="_Toc22745"/>
      <w:r>
        <w:rPr>
          <w:sz w:val="32"/>
          <w:szCs w:val="32"/>
          <w:highlight w:val="none"/>
        </w:rPr>
        <w:br w:type="page"/>
      </w:r>
    </w:p>
    <w:p>
      <w:pPr>
        <w:pStyle w:val="40"/>
        <w:keepNext/>
        <w:keepLines/>
        <w:spacing w:after="300" w:line="240" w:lineRule="auto"/>
        <w:rPr>
          <w:sz w:val="32"/>
          <w:szCs w:val="32"/>
          <w:highlight w:val="none"/>
          <w:lang w:eastAsia="zh-CN"/>
        </w:rPr>
      </w:pPr>
      <w:bookmarkStart w:id="70" w:name="_Toc29860"/>
      <w:r>
        <w:rPr>
          <w:sz w:val="32"/>
          <w:szCs w:val="32"/>
          <w:highlight w:val="none"/>
        </w:rPr>
        <w:t>第四章</w:t>
      </w:r>
      <w:r>
        <w:rPr>
          <w:rFonts w:hint="eastAsia"/>
          <w:sz w:val="32"/>
          <w:szCs w:val="32"/>
          <w:highlight w:val="none"/>
          <w:lang w:val="en-US" w:eastAsia="zh-CN"/>
        </w:rPr>
        <w:t xml:space="preserve"> </w:t>
      </w:r>
      <w:r>
        <w:rPr>
          <w:sz w:val="32"/>
          <w:szCs w:val="32"/>
          <w:highlight w:val="none"/>
        </w:rPr>
        <w:t>合同文本</w:t>
      </w:r>
      <w:bookmarkEnd w:id="62"/>
      <w:bookmarkEnd w:id="63"/>
      <w:bookmarkEnd w:id="64"/>
      <w:bookmarkEnd w:id="65"/>
      <w:bookmarkEnd w:id="66"/>
      <w:bookmarkEnd w:id="67"/>
      <w:bookmarkEnd w:id="68"/>
      <w:bookmarkEnd w:id="69"/>
      <w:bookmarkEnd w:id="70"/>
    </w:p>
    <w:p>
      <w:pPr>
        <w:pStyle w:val="54"/>
        <w:spacing w:line="240" w:lineRule="auto"/>
        <w:ind w:firstLine="0"/>
        <w:jc w:val="center"/>
        <w:rPr>
          <w:sz w:val="20"/>
          <w:szCs w:val="20"/>
          <w:highlight w:val="none"/>
        </w:rPr>
      </w:pPr>
      <w:r>
        <w:rPr>
          <w:sz w:val="20"/>
          <w:szCs w:val="20"/>
          <w:highlight w:val="none"/>
        </w:rPr>
        <w:t>（仅做参考，具体内容在签订合同后双方协商）</w:t>
      </w:r>
    </w:p>
    <w:p>
      <w:pPr>
        <w:rPr>
          <w:rFonts w:hint="eastAsia"/>
          <w:b/>
          <w:sz w:val="32"/>
          <w:highlight w:val="none"/>
        </w:rPr>
      </w:pPr>
      <w:bookmarkStart w:id="71" w:name="_Toc5811"/>
      <w:bookmarkStart w:id="72" w:name="_Toc10517"/>
      <w:bookmarkStart w:id="73" w:name="_Toc1692"/>
      <w:bookmarkStart w:id="74" w:name="_Toc6952"/>
      <w:bookmarkStart w:id="75" w:name="bookmark423"/>
      <w:bookmarkStart w:id="76" w:name="bookmark426"/>
      <w:bookmarkStart w:id="77" w:name="_Toc27449"/>
      <w:bookmarkStart w:id="78" w:name="bookmark424"/>
    </w:p>
    <w:p>
      <w:pPr>
        <w:rPr>
          <w:rFonts w:ascii="黑体" w:hAnsi="黑体" w:eastAsia="黑体"/>
          <w:color w:val="000000"/>
          <w:sz w:val="22"/>
        </w:rPr>
      </w:pPr>
      <w:r>
        <w:rPr>
          <w:rFonts w:ascii="黑体" w:hAnsi="黑体" w:eastAsia="黑体"/>
          <w:color w:val="000000"/>
          <w:sz w:val="16"/>
        </w:rPr>
        <mc:AlternateContent>
          <mc:Choice Requires="wps">
            <w:drawing>
              <wp:anchor distT="0" distB="0" distL="114300" distR="114300" simplePos="0" relativeHeight="251661312" behindDoc="0" locked="0" layoutInCell="0" allowOverlap="1">
                <wp:simplePos x="0" y="0"/>
                <wp:positionH relativeFrom="column">
                  <wp:posOffset>1600200</wp:posOffset>
                </wp:positionH>
                <wp:positionV relativeFrom="paragraph">
                  <wp:posOffset>99060</wp:posOffset>
                </wp:positionV>
                <wp:extent cx="228600" cy="198120"/>
                <wp:effectExtent l="4445" t="4445" r="14605" b="6985"/>
                <wp:wrapNone/>
                <wp:docPr id="5" name="矩形 5"/>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26pt;margin-top:7.8pt;height:15.6pt;width:18pt;z-index:251661312;mso-width-relative:page;mso-height-relative:page;" fillcolor="#FFFFFF" filled="t" stroked="t" coordsize="21600,21600" o:allowincell="f" o:gfxdata="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A7jeF1wAAAAkBAAAPAAAAAAAAAAEAIAAAACIAAABkcnMvZG93bnJldi54&#10;bWxQSwECFAAUAAAACACHTuJAvrnOCfsBAAAdBAAADgAAAAAAAAABACAAAAAmAQAAZHJzL2Uyb0Rv&#10;Yy54bWxQSwUGAAAAAAYABgBZAQAAkwUAAAAA&#10;">
                <v:fill on="t" focussize="0,0"/>
                <v:stroke color="#000000" joinstyle="miter"/>
                <v:imagedata o:title=""/>
                <o:lock v:ext="edit" aspectratio="f"/>
              </v:rect>
            </w:pict>
          </mc:Fallback>
        </mc:AlternateContent>
      </w:r>
      <w:r>
        <w:rPr>
          <w:rFonts w:ascii="黑体" w:hAnsi="黑体" w:eastAsia="黑体"/>
          <w:color w:val="000000"/>
          <w:sz w:val="16"/>
        </w:rPr>
        <mc:AlternateContent>
          <mc:Choice Requires="wps">
            <w:drawing>
              <wp:anchor distT="0" distB="0" distL="114300" distR="114300" simplePos="0" relativeHeight="251660288" behindDoc="0" locked="0" layoutInCell="0" allowOverlap="1">
                <wp:simplePos x="0" y="0"/>
                <wp:positionH relativeFrom="column">
                  <wp:posOffset>1828800</wp:posOffset>
                </wp:positionH>
                <wp:positionV relativeFrom="paragraph">
                  <wp:posOffset>99060</wp:posOffset>
                </wp:positionV>
                <wp:extent cx="228600" cy="198120"/>
                <wp:effectExtent l="4445" t="4445" r="14605" b="6985"/>
                <wp:wrapNone/>
                <wp:docPr id="6" name="矩形 6"/>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44pt;margin-top:7.8pt;height:15.6pt;width:18pt;z-index:251660288;mso-width-relative:page;mso-height-relative:page;" fillcolor="#FFFFFF" filled="t" stroked="t" coordsize="21600,21600" o:allowincell="f" o:gfxdata="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EJ3SdcAAAAJAQAADwAAAAAAAAABACAAAAAiAAAAZHJzL2Rvd25yZXYu&#10;eG1sUEsBAhQAFAAAAAgAh07iQMplbgv8AQAAHQQAAA4AAAAAAAAAAQAgAAAAJgEAAGRycy9lMm9E&#10;b2MueG1sUEsFBgAAAAAGAAYAWQEAAJQFAAAAAA==&#10;">
                <v:fill on="t" focussize="0,0"/>
                <v:stroke color="#000000" joinstyle="miter"/>
                <v:imagedata o:title=""/>
                <o:lock v:ext="edit" aspectratio="f"/>
              </v:rect>
            </w:pict>
          </mc:Fallback>
        </mc:AlternateContent>
      </w:r>
      <w:r>
        <w:rPr>
          <w:rFonts w:ascii="黑体" w:hAnsi="黑体" w:eastAsia="黑体"/>
          <w:color w:val="000000"/>
          <w:sz w:val="16"/>
        </w:rPr>
        <mc:AlternateContent>
          <mc:Choice Requires="wps">
            <w:drawing>
              <wp:anchor distT="0" distB="0" distL="114300" distR="114300" simplePos="0" relativeHeight="251673600" behindDoc="0" locked="0" layoutInCell="0" allowOverlap="1">
                <wp:simplePos x="0" y="0"/>
                <wp:positionH relativeFrom="column">
                  <wp:posOffset>4914900</wp:posOffset>
                </wp:positionH>
                <wp:positionV relativeFrom="paragraph">
                  <wp:posOffset>99060</wp:posOffset>
                </wp:positionV>
                <wp:extent cx="228600" cy="198120"/>
                <wp:effectExtent l="4445" t="4445" r="14605" b="6985"/>
                <wp:wrapNone/>
                <wp:docPr id="18" name="矩形 18"/>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87pt;margin-top:7.8pt;height:15.6pt;width:18pt;z-index:251673600;mso-width-relative:page;mso-height-relative:page;" fillcolor="#FFFFFF" filled="t" stroked="t" coordsize="21600,21600" o:allowincell="f" o:gfxdata="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DKB2S2AAAAAkBAAAPAAAAAAAAAAEAIAAAACIAAABkcnMvZG93bnJl&#10;di54bWxQSwECFAAUAAAACACHTuJA3bb8+f0BAAAfBAAADgAAAAAAAAABACAAAAAnAQAAZHJzL2Uy&#10;b0RvYy54bWxQSwUGAAAAAAYABgBZAQAAlgUAAAAA&#10;">
                <v:fill on="t" focussize="0,0"/>
                <v:stroke color="#000000" joinstyle="miter"/>
                <v:imagedata o:title=""/>
                <o:lock v:ext="edit" aspectratio="f"/>
              </v:rect>
            </w:pict>
          </mc:Fallback>
        </mc:AlternateContent>
      </w:r>
      <w:r>
        <w:rPr>
          <w:rFonts w:ascii="黑体" w:hAnsi="黑体" w:eastAsia="黑体"/>
          <w:color w:val="000000"/>
          <w:sz w:val="16"/>
        </w:rPr>
        <mc:AlternateContent>
          <mc:Choice Requires="wps">
            <w:drawing>
              <wp:anchor distT="0" distB="0" distL="114300" distR="114300" simplePos="0" relativeHeight="251672576" behindDoc="0" locked="0" layoutInCell="0" allowOverlap="1">
                <wp:simplePos x="0" y="0"/>
                <wp:positionH relativeFrom="column">
                  <wp:posOffset>4686300</wp:posOffset>
                </wp:positionH>
                <wp:positionV relativeFrom="paragraph">
                  <wp:posOffset>99060</wp:posOffset>
                </wp:positionV>
                <wp:extent cx="228600" cy="198120"/>
                <wp:effectExtent l="4445" t="4445" r="14605" b="6985"/>
                <wp:wrapNone/>
                <wp:docPr id="15" name="矩形 15"/>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69pt;margin-top:7.8pt;height:15.6pt;width:18pt;z-index:251672576;mso-width-relative:page;mso-height-relative:page;" fillcolor="#FFFFFF" filled="t" stroked="t" coordsize="21600,21600" o:allowincell="f" o:gfxdata="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OKYVT2AAAAAkBAAAPAAAAAAAAAAEAIAAAACIAAABkcnMvZG93bnJl&#10;di54bWxQSwECFAAUAAAACACHTuJAHV0S+/0BAAAfBAAADgAAAAAAAAABACAAAAAnAQAAZHJzL2Uy&#10;b0RvYy54bWxQSwUGAAAAAAYABgBZAQAAlgUAAAAA&#10;">
                <v:fill on="t" focussize="0,0"/>
                <v:stroke color="#000000" joinstyle="miter"/>
                <v:imagedata o:title=""/>
                <o:lock v:ext="edit" aspectratio="f"/>
              </v:rect>
            </w:pict>
          </mc:Fallback>
        </mc:AlternateContent>
      </w:r>
      <w:r>
        <w:rPr>
          <w:rFonts w:ascii="黑体" w:hAnsi="黑体" w:eastAsia="黑体"/>
          <w:color w:val="000000"/>
          <w:sz w:val="16"/>
        </w:rPr>
        <mc:AlternateContent>
          <mc:Choice Requires="wps">
            <w:drawing>
              <wp:anchor distT="0" distB="0" distL="114300" distR="114300" simplePos="0" relativeHeight="251671552" behindDoc="0" locked="0" layoutInCell="0" allowOverlap="1">
                <wp:simplePos x="0" y="0"/>
                <wp:positionH relativeFrom="column">
                  <wp:posOffset>4457700</wp:posOffset>
                </wp:positionH>
                <wp:positionV relativeFrom="paragraph">
                  <wp:posOffset>99060</wp:posOffset>
                </wp:positionV>
                <wp:extent cx="228600" cy="198120"/>
                <wp:effectExtent l="4445" t="4445" r="14605" b="6985"/>
                <wp:wrapNone/>
                <wp:docPr id="7" name="矩形 7"/>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51pt;margin-top:7.8pt;height:15.6pt;width:18pt;z-index:251671552;mso-width-relative:page;mso-height-relative:page;" fillcolor="#FFFFFF" filled="t" stroked="t" coordsize="21600,21600" o:allowincell="f" o:gfxdata="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I/HIP2AAAAAkBAAAPAAAAAAAAAAEAIAAAACIAAABkcnMvZG93bnJl&#10;di54bWxQSwECFAAUAAAACACHTuJA5tHxCv0BAAAdBAAADgAAAAAAAAABACAAAAAnAQAAZHJzL2Uy&#10;b0RvYy54bWxQSwUGAAAAAAYABgBZAQAAlgUAAAAA&#10;">
                <v:fill on="t" focussize="0,0"/>
                <v:stroke color="#000000" joinstyle="miter"/>
                <v:imagedata o:title=""/>
                <o:lock v:ext="edit" aspectratio="f"/>
              </v:rect>
            </w:pict>
          </mc:Fallback>
        </mc:AlternateContent>
      </w:r>
      <w:r>
        <w:rPr>
          <w:rFonts w:ascii="黑体" w:hAnsi="黑体" w:eastAsia="黑体"/>
          <w:color w:val="000000"/>
          <w:sz w:val="16"/>
        </w:rPr>
        <mc:AlternateContent>
          <mc:Choice Requires="wps">
            <w:drawing>
              <wp:anchor distT="0" distB="0" distL="114300" distR="114300" simplePos="0" relativeHeight="251670528" behindDoc="0" locked="0" layoutInCell="0" allowOverlap="1">
                <wp:simplePos x="0" y="0"/>
                <wp:positionH relativeFrom="column">
                  <wp:posOffset>4229100</wp:posOffset>
                </wp:positionH>
                <wp:positionV relativeFrom="paragraph">
                  <wp:posOffset>99060</wp:posOffset>
                </wp:positionV>
                <wp:extent cx="228600" cy="198120"/>
                <wp:effectExtent l="4445" t="4445" r="14605" b="6985"/>
                <wp:wrapNone/>
                <wp:docPr id="16" name="矩形 16"/>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33pt;margin-top:7.8pt;height:15.6pt;width:18pt;z-index:251670528;mso-width-relative:page;mso-height-relative:page;" fillcolor="#FFFFFF" filled="t" stroked="t" coordsize="21600,21600" o:allowincell="f" o:gfxdata="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t6yPXXAAAACQEAAA8AAAAAAAAAAQAgAAAAIgAAAGRycy9kb3ducmV2&#10;LnhtbFBLAQIUABQAAAAIAIdO4kBOYRso/QEAAB8EAAAOAAAAAAAAAAEAIAAAACYBAABkcnMvZTJv&#10;RG9jLnhtbFBLBQYAAAAABgAGAFkBAACVBQAAAAA=&#10;">
                <v:fill on="t" focussize="0,0"/>
                <v:stroke color="#000000" joinstyle="miter"/>
                <v:imagedata o:title=""/>
                <o:lock v:ext="edit" aspectratio="f"/>
              </v:rect>
            </w:pict>
          </mc:Fallback>
        </mc:AlternateContent>
      </w:r>
      <w:r>
        <w:rPr>
          <w:rFonts w:ascii="黑体" w:hAnsi="黑体" w:eastAsia="黑体"/>
          <w:color w:val="000000"/>
          <w:sz w:val="16"/>
        </w:rPr>
        <mc:AlternateContent>
          <mc:Choice Requires="wps">
            <w:drawing>
              <wp:anchor distT="0" distB="0" distL="114300" distR="114300" simplePos="0" relativeHeight="251669504" behindDoc="0" locked="0" layoutInCell="0" allowOverlap="1">
                <wp:simplePos x="0" y="0"/>
                <wp:positionH relativeFrom="column">
                  <wp:posOffset>3886200</wp:posOffset>
                </wp:positionH>
                <wp:positionV relativeFrom="paragraph">
                  <wp:posOffset>99060</wp:posOffset>
                </wp:positionV>
                <wp:extent cx="228600" cy="198120"/>
                <wp:effectExtent l="4445" t="4445" r="14605" b="6985"/>
                <wp:wrapNone/>
                <wp:docPr id="10" name="矩形 10"/>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06pt;margin-top:7.8pt;height:15.6pt;width:18pt;z-index:251669504;mso-width-relative:page;mso-height-relative:page;" fillcolor="#FFFFFF" filled="t" stroked="t" coordsize="21600,21600" o:allowincell="f" o:gfxdata="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4bE19cAAAAJAQAADwAAAAAAAAABACAAAAAiAAAAZHJzL2Rvd25yZXYu&#10;eG1sUEsBAhQAFAAAAAgAh07iQKkfeFX8AQAAHwQAAA4AAAAAAAAAAQAgAAAAJgEAAGRycy9lMm9E&#10;b2MueG1sUEsFBgAAAAAGAAYAWQEAAJQFAAAAAA==&#10;">
                <v:fill on="t" focussize="0,0"/>
                <v:stroke color="#000000" joinstyle="miter"/>
                <v:imagedata o:title=""/>
                <o:lock v:ext="edit" aspectratio="f"/>
              </v:rect>
            </w:pict>
          </mc:Fallback>
        </mc:AlternateContent>
      </w:r>
      <w:r>
        <w:rPr>
          <w:rFonts w:ascii="黑体" w:hAnsi="黑体" w:eastAsia="黑体"/>
          <w:color w:val="000000"/>
          <w:sz w:val="16"/>
        </w:rPr>
        <mc:AlternateContent>
          <mc:Choice Requires="wps">
            <w:drawing>
              <wp:anchor distT="0" distB="0" distL="114300" distR="114300" simplePos="0" relativeHeight="251668480" behindDoc="0" locked="0" layoutInCell="0" allowOverlap="1">
                <wp:simplePos x="0" y="0"/>
                <wp:positionH relativeFrom="column">
                  <wp:posOffset>3657600</wp:posOffset>
                </wp:positionH>
                <wp:positionV relativeFrom="paragraph">
                  <wp:posOffset>99060</wp:posOffset>
                </wp:positionV>
                <wp:extent cx="228600" cy="198120"/>
                <wp:effectExtent l="4445" t="4445" r="14605" b="6985"/>
                <wp:wrapNone/>
                <wp:docPr id="17" name="矩形 17"/>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88pt;margin-top:7.8pt;height:15.6pt;width:18pt;z-index:251668480;mso-width-relative:page;mso-height-relative:page;" fillcolor="#FFFFFF" filled="t" stroked="t" coordsize="21600,21600" o:allowincell="f" o:gfxdata="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xu1u1wAAAAkBAAAPAAAAAAAAAAEAIAAAACIAAABkcnMvZG93bnJl&#10;di54bWxQSwECFAAUAAAACACHTuJAQHcz0P4BAAAfBAAADgAAAAAAAAABACAAAAAmAQAAZHJzL2Uy&#10;b0RvYy54bWxQSwUGAAAAAAYABgBZAQAAlgUAAAAA&#10;">
                <v:fill on="t" focussize="0,0"/>
                <v:stroke color="#000000" joinstyle="miter"/>
                <v:imagedata o:title=""/>
                <o:lock v:ext="edit" aspectratio="f"/>
              </v:rect>
            </w:pict>
          </mc:Fallback>
        </mc:AlternateContent>
      </w:r>
      <w:r>
        <w:rPr>
          <w:rFonts w:ascii="黑体" w:hAnsi="黑体" w:eastAsia="黑体"/>
          <w:color w:val="000000"/>
          <w:sz w:val="16"/>
        </w:rPr>
        <mc:AlternateContent>
          <mc:Choice Requires="wps">
            <w:drawing>
              <wp:anchor distT="0" distB="0" distL="114300" distR="114300" simplePos="0" relativeHeight="251667456" behindDoc="0" locked="0" layoutInCell="0" allowOverlap="1">
                <wp:simplePos x="0" y="0"/>
                <wp:positionH relativeFrom="column">
                  <wp:posOffset>3314700</wp:posOffset>
                </wp:positionH>
                <wp:positionV relativeFrom="paragraph">
                  <wp:posOffset>99060</wp:posOffset>
                </wp:positionV>
                <wp:extent cx="228600" cy="198120"/>
                <wp:effectExtent l="4445" t="4445" r="14605" b="6985"/>
                <wp:wrapNone/>
                <wp:docPr id="11" name="矩形 11"/>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61pt;margin-top:7.8pt;height:15.6pt;width:18pt;z-index:251667456;mso-width-relative:page;mso-height-relative:page;" fillcolor="#FFFFFF" filled="t" stroked="t" coordsize="21600,21600" o:allowincell="f" o:gfxdata="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cuzy9cAAAAJAQAADwAAAAAAAAABACAAAAAiAAAAZHJzL2Rvd25yZXYu&#10;eG1sUEsBAhQAFAAAAAgAh07iQKcJUK38AQAAHwQAAA4AAAAAAAAAAQAgAAAAJgEAAGRycy9lMm9E&#10;b2MueG1sUEsFBgAAAAAGAAYAWQEAAJQFAAAAAA==&#10;">
                <v:fill on="t" focussize="0,0"/>
                <v:stroke color="#000000" joinstyle="miter"/>
                <v:imagedata o:title=""/>
                <o:lock v:ext="edit" aspectratio="f"/>
              </v:rect>
            </w:pict>
          </mc:Fallback>
        </mc:AlternateContent>
      </w:r>
      <w:r>
        <w:rPr>
          <w:rFonts w:ascii="黑体" w:hAnsi="黑体" w:eastAsia="黑体"/>
          <w:color w:val="000000"/>
          <w:sz w:val="16"/>
        </w:rPr>
        <mc:AlternateContent>
          <mc:Choice Requires="wps">
            <w:drawing>
              <wp:anchor distT="0" distB="0" distL="114300" distR="114300" simplePos="0" relativeHeight="251666432" behindDoc="0" locked="0" layoutInCell="0" allowOverlap="1">
                <wp:simplePos x="0" y="0"/>
                <wp:positionH relativeFrom="column">
                  <wp:posOffset>3086100</wp:posOffset>
                </wp:positionH>
                <wp:positionV relativeFrom="paragraph">
                  <wp:posOffset>99060</wp:posOffset>
                </wp:positionV>
                <wp:extent cx="228600" cy="198120"/>
                <wp:effectExtent l="4445" t="4445" r="14605" b="6985"/>
                <wp:wrapNone/>
                <wp:docPr id="8" name="矩形 8"/>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43pt;margin-top:7.8pt;height:15.6pt;width:18pt;z-index:251666432;mso-width-relative:page;mso-height-relative:page;" fillcolor="#FFFFFF" filled="t" stroked="t" coordsize="21600,21600" o:allowincell="f" o:gfxdata="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ol54K1gAAAAkBAAAPAAAAAAAAAAEAIAAAACIAAABkcnMvZG93bnJldi54&#10;bWxQSwECFAAUAAAACACHTuJAQnzSAvwBAAAdBAAADgAAAAAAAAABACAAAAAlAQAAZHJzL2Uyb0Rv&#10;Yy54bWxQSwUGAAAAAAYABgBZAQAAkwUAAAAA&#10;">
                <v:fill on="t" focussize="0,0"/>
                <v:stroke color="#000000" joinstyle="miter"/>
                <v:imagedata o:title=""/>
                <o:lock v:ext="edit" aspectratio="f"/>
              </v:rect>
            </w:pict>
          </mc:Fallback>
        </mc:AlternateContent>
      </w:r>
      <w:r>
        <w:rPr>
          <w:rFonts w:ascii="黑体" w:hAnsi="黑体" w:eastAsia="黑体"/>
          <w:color w:val="000000"/>
          <w:sz w:val="16"/>
        </w:rPr>
        <mc:AlternateContent>
          <mc:Choice Requires="wps">
            <w:drawing>
              <wp:anchor distT="0" distB="0" distL="114300" distR="114300" simplePos="0" relativeHeight="251665408" behindDoc="0" locked="0" layoutInCell="0" allowOverlap="1">
                <wp:simplePos x="0" y="0"/>
                <wp:positionH relativeFrom="column">
                  <wp:posOffset>2857500</wp:posOffset>
                </wp:positionH>
                <wp:positionV relativeFrom="paragraph">
                  <wp:posOffset>99060</wp:posOffset>
                </wp:positionV>
                <wp:extent cx="228600" cy="198120"/>
                <wp:effectExtent l="4445" t="4445" r="14605" b="6985"/>
                <wp:wrapNone/>
                <wp:docPr id="9" name="矩形 9"/>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25pt;margin-top:7.8pt;height:15.6pt;width:18pt;z-index:251665408;mso-width-relative:page;mso-height-relative:page;" fillcolor="#FFFFFF" filled="t" stroked="t" coordsize="21600,21600" o:allowincell="f" o:gfxdata="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QKVw01wAAAAkBAAAPAAAAAAAAAAEAIAAAACIAAABkcnMvZG93bnJldi54&#10;bWxQSwECFAAUAAAACACHTuJAbshNA/sBAAAdBAAADgAAAAAAAAABACAAAAAmAQAAZHJzL2Uyb0Rv&#10;Yy54bWxQSwUGAAAAAAYABgBZAQAAkwUAAAAA&#10;">
                <v:fill on="t" focussize="0,0"/>
                <v:stroke color="#000000" joinstyle="miter"/>
                <v:imagedata o:title=""/>
                <o:lock v:ext="edit" aspectratio="f"/>
              </v:rect>
            </w:pict>
          </mc:Fallback>
        </mc:AlternateContent>
      </w:r>
      <w:r>
        <w:rPr>
          <w:rFonts w:ascii="黑体" w:hAnsi="黑体" w:eastAsia="黑体"/>
          <w:color w:val="000000"/>
          <w:sz w:val="16"/>
        </w:rPr>
        <mc:AlternateContent>
          <mc:Choice Requires="wps">
            <w:drawing>
              <wp:anchor distT="0" distB="0" distL="114300" distR="114300" simplePos="0" relativeHeight="251664384" behindDoc="0" locked="0" layoutInCell="0" allowOverlap="1">
                <wp:simplePos x="0" y="0"/>
                <wp:positionH relativeFrom="column">
                  <wp:posOffset>2628900</wp:posOffset>
                </wp:positionH>
                <wp:positionV relativeFrom="paragraph">
                  <wp:posOffset>99060</wp:posOffset>
                </wp:positionV>
                <wp:extent cx="228600" cy="198120"/>
                <wp:effectExtent l="4445" t="4445" r="14605" b="6985"/>
                <wp:wrapNone/>
                <wp:docPr id="12" name="矩形 12"/>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07pt;margin-top:7.8pt;height:15.6pt;width:18pt;z-index:251664384;mso-width-relative:page;mso-height-relative:page;" fillcolor="#FFFFFF" filled="t" stroked="t" coordsize="21600,21600" o:allowincell="f" o:gfxdata="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eayWzXAAAACQEAAA8AAAAAAAAAAQAgAAAAIgAAAGRycy9kb3ducmV2&#10;LnhtbFBLAQIUABQAAAAIAIdO4kD0NVl+/QEAAB8EAAAOAAAAAAAAAAEAIAAAACYBAABkcnMvZTJv&#10;RG9jLnhtbFBLBQYAAAAABgAGAFkBAACVBQAAAAA=&#10;">
                <v:fill on="t" focussize="0,0"/>
                <v:stroke color="#000000" joinstyle="miter"/>
                <v:imagedata o:title=""/>
                <o:lock v:ext="edit" aspectratio="f"/>
              </v:rect>
            </w:pict>
          </mc:Fallback>
        </mc:AlternateContent>
      </w:r>
      <w:r>
        <w:rPr>
          <w:rFonts w:ascii="黑体" w:hAnsi="黑体" w:eastAsia="黑体"/>
          <w:color w:val="000000"/>
          <w:sz w:val="16"/>
        </w:rPr>
        <mc:AlternateContent>
          <mc:Choice Requires="wps">
            <w:drawing>
              <wp:anchor distT="0" distB="0" distL="114300" distR="114300" simplePos="0" relativeHeight="251663360" behindDoc="0" locked="0" layoutInCell="0" allowOverlap="1">
                <wp:simplePos x="0" y="0"/>
                <wp:positionH relativeFrom="column">
                  <wp:posOffset>2400300</wp:posOffset>
                </wp:positionH>
                <wp:positionV relativeFrom="paragraph">
                  <wp:posOffset>99060</wp:posOffset>
                </wp:positionV>
                <wp:extent cx="228600" cy="198120"/>
                <wp:effectExtent l="4445" t="4445" r="14605" b="6985"/>
                <wp:wrapNone/>
                <wp:docPr id="13" name="矩形 13"/>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89pt;margin-top:7.8pt;height:15.6pt;width:18pt;z-index:251663360;mso-width-relative:page;mso-height-relative:page;" fillcolor="#FFFFFF" filled="t" stroked="t" coordsize="21600,21600" o:allowincell="f" o:gfxdata="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15+H3NgAAAAJAQAADwAAAAAAAAABACAAAAAiAAAAZHJzL2Rvd25y&#10;ZXYueG1sUEsBAhQAFAAAAAgAh07iQPojcYb+AQAAHwQAAA4AAAAAAAAAAQAgAAAAJwEAAGRycy9l&#10;Mm9Eb2MueG1sUEsFBgAAAAAGAAYAWQEAAJcFAAAAAA==&#10;">
                <v:fill on="t" focussize="0,0"/>
                <v:stroke color="#000000" joinstyle="miter"/>
                <v:imagedata o:title=""/>
                <o:lock v:ext="edit" aspectratio="f"/>
              </v:rect>
            </w:pict>
          </mc:Fallback>
        </mc:AlternateContent>
      </w:r>
      <w:r>
        <w:rPr>
          <w:rFonts w:ascii="黑体" w:hAnsi="黑体" w:eastAsia="黑体"/>
          <w:color w:val="000000"/>
          <w:sz w:val="16"/>
        </w:rPr>
        <mc:AlternateContent>
          <mc:Choice Requires="wps">
            <w:drawing>
              <wp:anchor distT="0" distB="0" distL="114300" distR="114300" simplePos="0" relativeHeight="251662336" behindDoc="0" locked="0" layoutInCell="0" allowOverlap="1">
                <wp:simplePos x="0" y="0"/>
                <wp:positionH relativeFrom="column">
                  <wp:posOffset>2171700</wp:posOffset>
                </wp:positionH>
                <wp:positionV relativeFrom="paragraph">
                  <wp:posOffset>99060</wp:posOffset>
                </wp:positionV>
                <wp:extent cx="228600" cy="198120"/>
                <wp:effectExtent l="4445" t="4445" r="14605" b="6985"/>
                <wp:wrapNone/>
                <wp:docPr id="14" name="矩形 14"/>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71pt;margin-top:7.8pt;height:15.6pt;width:18pt;z-index:251662336;mso-width-relative:page;mso-height-relative:page;" fillcolor="#FFFFFF" filled="t" stroked="t" coordsize="21600,21600" o:allowincell="f" o:gfxdata="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hUV3z1wAAAAkBAAAPAAAAAAAAAAEAIAAAACIAAABkcnMvZG93bnJl&#10;di54bWxQSwECFAAUAAAACACHTuJAE0s6A/4BAAAfBAAADgAAAAAAAAABACAAAAAmAQAAZHJzL2Uy&#10;b0RvYy54bWxQSwUGAAAAAAYABgBZAQAAlgUAAAAA&#10;">
                <v:fill on="t" focussize="0,0"/>
                <v:stroke color="#000000" joinstyle="miter"/>
                <v:imagedata o:title=""/>
                <o:lock v:ext="edit" aspectratio="f"/>
              </v:rect>
            </w:pict>
          </mc:Fallback>
        </mc:AlternateContent>
      </w:r>
      <w:r>
        <w:rPr>
          <w:rFonts w:hint="eastAsia" w:ascii="黑体" w:hAnsi="黑体" w:eastAsia="黑体"/>
          <w:color w:val="000000"/>
          <w:sz w:val="22"/>
        </w:rPr>
        <w:t>合同编号：</w:t>
      </w:r>
    </w:p>
    <w:p>
      <w:pPr>
        <w:jc w:val="both"/>
        <w:rPr>
          <w:color w:val="000000"/>
          <w:sz w:val="18"/>
        </w:rPr>
      </w:pPr>
    </w:p>
    <w:p>
      <w:pPr>
        <w:rPr>
          <w:color w:val="000000"/>
          <w:sz w:val="18"/>
        </w:rPr>
      </w:pPr>
    </w:p>
    <w:p>
      <w:pPr>
        <w:rPr>
          <w:color w:val="000000"/>
          <w:sz w:val="18"/>
        </w:rPr>
      </w:pPr>
    </w:p>
    <w:p>
      <w:pPr>
        <w:jc w:val="center"/>
        <w:rPr>
          <w:b/>
          <w:color w:val="000000"/>
          <w:sz w:val="18"/>
        </w:rPr>
      </w:pPr>
      <w:r>
        <w:rPr>
          <w:rFonts w:hint="eastAsia"/>
          <w:b/>
          <w:color w:val="000000"/>
          <w:sz w:val="52"/>
        </w:rPr>
        <w:t>规 划 设 计 合 同</w:t>
      </w:r>
    </w:p>
    <w:p>
      <w:pPr>
        <w:rPr>
          <w:rFonts w:hint="eastAsia"/>
          <w:color w:val="000000"/>
          <w:sz w:val="18"/>
        </w:rPr>
      </w:pPr>
      <w:r>
        <w:rPr>
          <w:rFonts w:hint="eastAsia"/>
          <w:color w:val="000000"/>
          <w:sz w:val="18"/>
        </w:rPr>
        <w:t xml:space="preserve">  </w:t>
      </w:r>
    </w:p>
    <w:p>
      <w:pPr>
        <w:jc w:val="center"/>
        <w:rPr>
          <w:color w:val="000000"/>
          <w:sz w:val="18"/>
          <w:szCs w:val="21"/>
        </w:rPr>
      </w:pPr>
      <w:r>
        <w:rPr>
          <w:rFonts w:hint="eastAsia" w:ascii="宋体" w:hAnsi="宋体"/>
          <w:b/>
          <w:color w:val="000000"/>
          <w:sz w:val="18"/>
          <w:szCs w:val="21"/>
        </w:rPr>
        <w:t>（本合同书格式为示范文本，仅作为中标人与招标人签定正式合同时的参考）</w:t>
      </w:r>
    </w:p>
    <w:p>
      <w:pPr>
        <w:rPr>
          <w:rFonts w:hint="eastAsia"/>
          <w:color w:val="000000"/>
          <w:sz w:val="18"/>
        </w:rPr>
      </w:pPr>
    </w:p>
    <w:p>
      <w:pPr>
        <w:rPr>
          <w:rFonts w:hint="eastAsia"/>
          <w:color w:val="000000"/>
          <w:sz w:val="18"/>
        </w:rPr>
      </w:pPr>
    </w:p>
    <w:p>
      <w:pPr>
        <w:rPr>
          <w:color w:val="000000"/>
          <w:sz w:val="18"/>
        </w:rPr>
      </w:pPr>
    </w:p>
    <w:p>
      <w:pPr>
        <w:spacing w:line="440" w:lineRule="exact"/>
        <w:jc w:val="center"/>
        <w:rPr>
          <w:rFonts w:hint="eastAsia" w:ascii="宋体" w:hAnsi="宋体" w:eastAsia="宋体" w:cs="宋体"/>
          <w:color w:val="000000"/>
          <w:sz w:val="24"/>
          <w:szCs w:val="24"/>
          <w:u w:val="single"/>
        </w:rPr>
      </w:pPr>
      <w:r>
        <w:rPr>
          <w:rFonts w:hint="eastAsia" w:ascii="宋体" w:hAnsi="宋体" w:eastAsia="宋体" w:cs="宋体"/>
          <w:color w:val="000000"/>
          <w:sz w:val="24"/>
          <w:szCs w:val="24"/>
        </w:rPr>
        <w:t>项 目 名 称：</w:t>
      </w:r>
      <w:r>
        <w:rPr>
          <w:rFonts w:hint="eastAsia" w:ascii="宋体" w:hAnsi="宋体" w:eastAsia="宋体" w:cs="宋体"/>
          <w:b/>
          <w:color w:val="444444"/>
          <w:kern w:val="0"/>
          <w:sz w:val="24"/>
          <w:szCs w:val="24"/>
          <w:lang w:bidi="ar"/>
        </w:rPr>
        <w:t xml:space="preserve"> </w:t>
      </w:r>
      <w:r>
        <w:rPr>
          <w:rFonts w:hint="eastAsia" w:ascii="宋体" w:hAnsi="宋体" w:eastAsia="宋体" w:cs="宋体"/>
          <w:color w:val="000000"/>
          <w:sz w:val="24"/>
          <w:szCs w:val="24"/>
          <w:u w:val="single"/>
          <w:lang w:bidi="ar"/>
        </w:rPr>
        <w:t>中牟县自然资源和规划局中牟县老火车站片区城市更新专项规划项目</w:t>
      </w:r>
    </w:p>
    <w:p>
      <w:pPr>
        <w:pStyle w:val="78"/>
        <w:ind w:firstLine="600"/>
        <w:rPr>
          <w:rFonts w:hint="eastAsia" w:ascii="宋体" w:hAnsi="宋体" w:eastAsia="宋体" w:cs="宋体"/>
          <w:sz w:val="24"/>
          <w:szCs w:val="24"/>
          <w:u w:val="single"/>
        </w:rPr>
      </w:pPr>
    </w:p>
    <w:p>
      <w:pPr>
        <w:rPr>
          <w:rFonts w:hint="eastAsia" w:ascii="宋体" w:hAnsi="宋体" w:eastAsia="宋体" w:cs="宋体"/>
          <w:color w:val="000000"/>
          <w:sz w:val="24"/>
          <w:szCs w:val="24"/>
        </w:rPr>
      </w:pPr>
    </w:p>
    <w:p>
      <w:pP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甲       方： </w:t>
      </w:r>
      <w:r>
        <w:rPr>
          <w:rFonts w:hint="eastAsia" w:ascii="宋体" w:hAnsi="宋体" w:eastAsia="宋体" w:cs="宋体"/>
          <w:color w:val="000000"/>
          <w:sz w:val="24"/>
          <w:szCs w:val="24"/>
          <w:u w:val="single"/>
        </w:rPr>
        <w:t xml:space="preserve">                            </w:t>
      </w:r>
    </w:p>
    <w:p>
      <w:pPr>
        <w:ind w:firstLine="1440" w:firstLineChars="600"/>
        <w:rPr>
          <w:rFonts w:hint="eastAsia" w:ascii="宋体" w:hAnsi="宋体" w:eastAsia="宋体" w:cs="宋体"/>
          <w:color w:val="000000"/>
          <w:sz w:val="24"/>
          <w:szCs w:val="24"/>
        </w:rPr>
      </w:pPr>
    </w:p>
    <w:p>
      <w:pPr>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乙       方： </w:t>
      </w:r>
      <w:r>
        <w:rPr>
          <w:rFonts w:hint="eastAsia" w:ascii="宋体" w:hAnsi="宋体" w:eastAsia="宋体" w:cs="宋体"/>
          <w:color w:val="000000"/>
          <w:sz w:val="24"/>
          <w:szCs w:val="24"/>
          <w:u w:val="single"/>
        </w:rPr>
        <w:t xml:space="preserve">                             </w:t>
      </w:r>
    </w:p>
    <w:p>
      <w:pPr>
        <w:rPr>
          <w:rFonts w:hint="eastAsia" w:ascii="宋体" w:hAnsi="宋体" w:eastAsia="宋体" w:cs="宋体"/>
          <w:color w:val="000000"/>
          <w:sz w:val="24"/>
          <w:szCs w:val="24"/>
        </w:rPr>
      </w:pPr>
    </w:p>
    <w:p>
      <w:pPr>
        <w:rPr>
          <w:rFonts w:hint="eastAsia" w:ascii="宋体" w:hAnsi="宋体" w:eastAsia="宋体" w:cs="宋体"/>
          <w:color w:val="000000"/>
          <w:sz w:val="24"/>
          <w:szCs w:val="24"/>
        </w:rPr>
      </w:pPr>
    </w:p>
    <w:p>
      <w:pPr>
        <w:rPr>
          <w:rFonts w:hint="eastAsia" w:ascii="宋体" w:hAnsi="宋体" w:eastAsia="宋体" w:cs="宋体"/>
          <w:color w:val="000000"/>
          <w:sz w:val="24"/>
          <w:szCs w:val="24"/>
        </w:rPr>
      </w:pPr>
    </w:p>
    <w:p>
      <w:pPr>
        <w:rPr>
          <w:rFonts w:hint="eastAsia" w:ascii="宋体" w:hAnsi="宋体" w:eastAsia="宋体" w:cs="宋体"/>
          <w:color w:val="000000"/>
          <w:sz w:val="24"/>
          <w:szCs w:val="24"/>
        </w:rPr>
      </w:pPr>
    </w:p>
    <w:p>
      <w:pPr>
        <w:rPr>
          <w:rFonts w:hint="eastAsia" w:ascii="宋体" w:hAnsi="宋体" w:eastAsia="宋体" w:cs="宋体"/>
          <w:color w:val="000000"/>
          <w:sz w:val="24"/>
          <w:szCs w:val="24"/>
        </w:rPr>
      </w:pPr>
    </w:p>
    <w:p>
      <w:pPr>
        <w:rPr>
          <w:rFonts w:hint="eastAsia" w:ascii="宋体" w:hAnsi="宋体" w:eastAsia="宋体" w:cs="宋体"/>
          <w:color w:val="000000"/>
          <w:sz w:val="24"/>
          <w:szCs w:val="24"/>
        </w:rPr>
        <w:sectPr>
          <w:footerReference r:id="rId3" w:type="default"/>
          <w:pgSz w:w="11906" w:h="16838"/>
          <w:pgMar w:top="1440" w:right="1800" w:bottom="1440" w:left="1800" w:header="851" w:footer="992" w:gutter="0"/>
          <w:pgNumType w:fmt="numberInDash"/>
          <w:cols w:space="720" w:num="1"/>
          <w:docGrid w:type="lines" w:linePitch="312" w:charSpace="0"/>
        </w:sectPr>
      </w:pPr>
      <w:r>
        <w:rPr>
          <w:rFonts w:hint="eastAsia" w:ascii="宋体" w:hAnsi="宋体" w:eastAsia="宋体" w:cs="宋体"/>
          <w:color w:val="000000"/>
          <w:sz w:val="24"/>
          <w:szCs w:val="24"/>
        </w:rPr>
        <w:t>签 订 日 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签 订 地 点：</w:t>
      </w:r>
      <w:r>
        <w:rPr>
          <w:rFonts w:hint="eastAsia" w:ascii="宋体" w:hAnsi="宋体" w:eastAsia="宋体" w:cs="宋体"/>
          <w:color w:val="000000"/>
          <w:sz w:val="24"/>
          <w:szCs w:val="24"/>
          <w:u w:val="single"/>
        </w:rPr>
        <w:t xml:space="preserve">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（以下简称甲方）拟委托（以下简称乙方）对</w:t>
      </w:r>
      <w:r>
        <w:rPr>
          <w:rFonts w:hint="eastAsia" w:ascii="宋体" w:hAnsi="宋体" w:eastAsia="宋体" w:cs="宋体"/>
          <w:color w:val="000000"/>
          <w:sz w:val="24"/>
          <w:szCs w:val="24"/>
          <w:u w:val="single"/>
          <w:lang w:bidi="ar"/>
        </w:rPr>
        <w:t>中牟县自然资源和规划局中牟县老火车站片区城市更新专项规划项目</w:t>
      </w:r>
      <w:r>
        <w:rPr>
          <w:rFonts w:hint="eastAsia" w:ascii="宋体" w:hAnsi="宋体" w:eastAsia="宋体" w:cs="宋体"/>
          <w:color w:val="000000"/>
          <w:sz w:val="24"/>
          <w:szCs w:val="24"/>
        </w:rPr>
        <w:t>。为明确双方的权利、义务，推动项目顺利实施，双方依照《中华人民共和国合同法》、《中华人民共和国城乡规划法》及相关法律、法规，本着诚实、诚信、公平，自愿的原则，共同协商签订本合同。</w:t>
      </w:r>
    </w:p>
    <w:p>
      <w:pPr>
        <w:spacing w:line="360" w:lineRule="auto"/>
        <w:rPr>
          <w:rFonts w:hint="eastAsia" w:ascii="宋体" w:hAnsi="宋体" w:eastAsia="宋体" w:cs="宋体"/>
          <w:color w:val="000000"/>
          <w:sz w:val="24"/>
          <w:szCs w:val="24"/>
        </w:rPr>
      </w:pPr>
    </w:p>
    <w:p>
      <w:pPr>
        <w:widowControl w:val="0"/>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一、规划</w:t>
      </w:r>
      <w:r>
        <w:rPr>
          <w:rFonts w:hint="eastAsia" w:ascii="宋体" w:hAnsi="宋体" w:eastAsia="宋体" w:cs="宋体"/>
          <w:bCs/>
          <w:kern w:val="0"/>
          <w:sz w:val="24"/>
          <w:szCs w:val="24"/>
        </w:rPr>
        <w:t>编制</w:t>
      </w:r>
      <w:r>
        <w:rPr>
          <w:rFonts w:hint="eastAsia" w:ascii="宋体" w:hAnsi="宋体" w:eastAsia="宋体" w:cs="宋体"/>
          <w:b/>
          <w:color w:val="000000"/>
          <w:sz w:val="24"/>
          <w:szCs w:val="24"/>
        </w:rPr>
        <w:t>内容、形式及要求</w:t>
      </w:r>
    </w:p>
    <w:p>
      <w:pPr>
        <w:widowControl w:val="0"/>
        <w:numPr>
          <w:ilvl w:val="0"/>
          <w:numId w:val="3"/>
        </w:numPr>
        <w:spacing w:line="360" w:lineRule="auto"/>
        <w:ind w:left="0" w:firstLine="0"/>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设计项目地点: </w:t>
      </w:r>
    </w:p>
    <w:p>
      <w:pPr>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 xml:space="preserve">               河南省郑州市中牟县                     </w:t>
      </w:r>
    </w:p>
    <w:p>
      <w:pPr>
        <w:widowControl w:val="0"/>
        <w:numPr>
          <w:ilvl w:val="0"/>
          <w:numId w:val="3"/>
        </w:numPr>
        <w:spacing w:line="360" w:lineRule="auto"/>
        <w:ind w:left="0" w:firstLine="0"/>
        <w:rPr>
          <w:rFonts w:hint="eastAsia" w:ascii="宋体" w:hAnsi="宋体" w:eastAsia="宋体" w:cs="宋体"/>
          <w:b/>
          <w:color w:val="000000"/>
          <w:sz w:val="24"/>
          <w:szCs w:val="24"/>
        </w:rPr>
      </w:pPr>
      <w:r>
        <w:rPr>
          <w:rFonts w:hint="eastAsia" w:ascii="宋体" w:hAnsi="宋体" w:eastAsia="宋体" w:cs="宋体"/>
          <w:b/>
          <w:color w:val="000000"/>
          <w:sz w:val="24"/>
          <w:szCs w:val="24"/>
        </w:rPr>
        <w:t>设计项目范围与规模：</w:t>
      </w:r>
    </w:p>
    <w:p>
      <w:pPr>
        <w:spacing w:line="360" w:lineRule="auto"/>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p>
    <w:p>
      <w:pPr>
        <w:widowControl w:val="0"/>
        <w:numPr>
          <w:ilvl w:val="0"/>
          <w:numId w:val="3"/>
        </w:numPr>
        <w:spacing w:line="360" w:lineRule="auto"/>
        <w:ind w:left="0" w:firstLine="0"/>
        <w:rPr>
          <w:rFonts w:hint="eastAsia" w:ascii="宋体" w:hAnsi="宋体" w:eastAsia="宋体" w:cs="宋体"/>
          <w:color w:val="000000"/>
          <w:sz w:val="24"/>
          <w:szCs w:val="24"/>
        </w:rPr>
      </w:pPr>
      <w:r>
        <w:rPr>
          <w:rFonts w:hint="eastAsia" w:ascii="宋体" w:hAnsi="宋体" w:eastAsia="宋体" w:cs="宋体"/>
          <w:color w:val="000000"/>
          <w:sz w:val="24"/>
          <w:szCs w:val="24"/>
        </w:rPr>
        <w:t>设计依据：</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1、甲方提交的基础资料</w:t>
      </w:r>
    </w:p>
    <w:p>
      <w:pPr>
        <w:spacing w:line="360" w:lineRule="auto"/>
        <w:ind w:firstLine="550"/>
        <w:rPr>
          <w:rFonts w:hint="eastAsia" w:ascii="宋体" w:hAnsi="宋体" w:eastAsia="宋体" w:cs="宋体"/>
          <w:color w:val="000000"/>
          <w:sz w:val="24"/>
          <w:szCs w:val="24"/>
        </w:rPr>
      </w:pPr>
      <w:r>
        <w:rPr>
          <w:rFonts w:hint="eastAsia" w:ascii="宋体" w:hAnsi="宋体" w:eastAsia="宋体" w:cs="宋体"/>
          <w:color w:val="000000"/>
          <w:sz w:val="24"/>
          <w:szCs w:val="24"/>
        </w:rPr>
        <w:t>2、国家、省、市有关法律法规规定</w:t>
      </w:r>
    </w:p>
    <w:p>
      <w:pPr>
        <w:spacing w:line="360" w:lineRule="auto"/>
        <w:ind w:firstLine="550"/>
        <w:rPr>
          <w:rFonts w:hint="eastAsia" w:ascii="宋体" w:hAnsi="宋体" w:eastAsia="宋体" w:cs="宋体"/>
          <w:color w:val="000000"/>
          <w:sz w:val="24"/>
          <w:szCs w:val="24"/>
        </w:rPr>
      </w:pPr>
      <w:r>
        <w:rPr>
          <w:rFonts w:hint="eastAsia" w:ascii="宋体" w:hAnsi="宋体" w:eastAsia="宋体" w:cs="宋体"/>
          <w:color w:val="000000"/>
          <w:sz w:val="24"/>
          <w:szCs w:val="24"/>
        </w:rPr>
        <w:t>3、城乡规划</w:t>
      </w:r>
      <w:r>
        <w:rPr>
          <w:rFonts w:hint="eastAsia" w:ascii="宋体" w:hAnsi="宋体" w:eastAsia="宋体" w:cs="宋体"/>
          <w:bCs/>
          <w:kern w:val="0"/>
          <w:sz w:val="24"/>
          <w:szCs w:val="24"/>
        </w:rPr>
        <w:t>编制</w:t>
      </w:r>
      <w:r>
        <w:rPr>
          <w:rFonts w:hint="eastAsia" w:ascii="宋体" w:hAnsi="宋体" w:eastAsia="宋体" w:cs="宋体"/>
          <w:color w:val="000000"/>
          <w:sz w:val="24"/>
          <w:szCs w:val="24"/>
        </w:rPr>
        <w:t>标准、规范</w:t>
      </w:r>
    </w:p>
    <w:p>
      <w:pPr>
        <w:widowControl w:val="0"/>
        <w:numPr>
          <w:ilvl w:val="0"/>
          <w:numId w:val="3"/>
        </w:numPr>
        <w:spacing w:line="360" w:lineRule="auto"/>
        <w:ind w:left="0" w:firstLine="0"/>
        <w:rPr>
          <w:rFonts w:hint="eastAsia" w:ascii="宋体" w:hAnsi="宋体" w:eastAsia="宋体" w:cs="宋体"/>
          <w:color w:val="000000"/>
          <w:sz w:val="24"/>
          <w:szCs w:val="24"/>
        </w:rPr>
      </w:pPr>
      <w:r>
        <w:rPr>
          <w:rFonts w:hint="eastAsia" w:ascii="宋体" w:hAnsi="宋体" w:eastAsia="宋体" w:cs="宋体"/>
          <w:color w:val="000000"/>
          <w:sz w:val="24"/>
          <w:szCs w:val="24"/>
        </w:rPr>
        <w:t>成果深度及内容：</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1、深度要求</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2、内容要求：</w:t>
      </w:r>
    </w:p>
    <w:p>
      <w:pPr>
        <w:widowControl w:val="0"/>
        <w:numPr>
          <w:ilvl w:val="0"/>
          <w:numId w:val="3"/>
        </w:numPr>
        <w:spacing w:line="360" w:lineRule="auto"/>
        <w:ind w:left="0" w:firstLine="0"/>
        <w:rPr>
          <w:rFonts w:hint="eastAsia" w:ascii="宋体" w:hAnsi="宋体" w:eastAsia="宋体" w:cs="宋体"/>
          <w:color w:val="000000"/>
          <w:sz w:val="24"/>
          <w:szCs w:val="24"/>
        </w:rPr>
      </w:pPr>
      <w:r>
        <w:rPr>
          <w:rFonts w:hint="eastAsia" w:ascii="宋体" w:hAnsi="宋体" w:eastAsia="宋体" w:cs="宋体"/>
          <w:color w:val="000000"/>
          <w:sz w:val="24"/>
          <w:szCs w:val="24"/>
        </w:rPr>
        <w:t>成果形式:</w:t>
      </w:r>
    </w:p>
    <w:p>
      <w:pPr>
        <w:widowControl w:val="0"/>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二、进度安排与验收</w:t>
      </w:r>
    </w:p>
    <w:p>
      <w:pPr>
        <w:widowControl w:val="0"/>
        <w:numPr>
          <w:ilvl w:val="0"/>
          <w:numId w:val="3"/>
        </w:numPr>
        <w:spacing w:line="360" w:lineRule="auto"/>
        <w:ind w:left="0" w:firstLine="0"/>
        <w:rPr>
          <w:rFonts w:hint="eastAsia" w:ascii="宋体" w:hAnsi="宋体" w:eastAsia="宋体" w:cs="宋体"/>
          <w:color w:val="000000"/>
          <w:sz w:val="24"/>
          <w:szCs w:val="24"/>
        </w:rPr>
      </w:pPr>
      <w:r>
        <w:rPr>
          <w:rFonts w:hint="eastAsia" w:ascii="宋体" w:hAnsi="宋体" w:eastAsia="宋体" w:cs="宋体"/>
          <w:b/>
          <w:bCs/>
          <w:color w:val="000000"/>
          <w:sz w:val="24"/>
          <w:szCs w:val="24"/>
        </w:rPr>
        <w:t>设计进度安排</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第一阶段：合同生效后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个工作日内，完成规划</w:t>
      </w:r>
      <w:r>
        <w:rPr>
          <w:rFonts w:hint="eastAsia" w:ascii="宋体" w:hAnsi="宋体" w:eastAsia="宋体" w:cs="宋体"/>
          <w:bCs/>
          <w:kern w:val="0"/>
          <w:sz w:val="24"/>
          <w:szCs w:val="24"/>
        </w:rPr>
        <w:t>编制</w:t>
      </w:r>
      <w:r>
        <w:rPr>
          <w:rFonts w:hint="eastAsia" w:ascii="宋体" w:hAnsi="宋体" w:eastAsia="宋体" w:cs="宋体"/>
          <w:color w:val="000000"/>
          <w:sz w:val="24"/>
          <w:szCs w:val="24"/>
        </w:rPr>
        <w:t>初步成果，进行方案汇报。</w:t>
      </w:r>
    </w:p>
    <w:p>
      <w:pPr>
        <w:spacing w:line="360" w:lineRule="auto"/>
        <w:ind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第二阶段：结合甲方修改意见，乙方于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个工作日内完成设计修改成果并提交甲方。</w:t>
      </w:r>
    </w:p>
    <w:p>
      <w:pPr>
        <w:spacing w:line="360" w:lineRule="auto"/>
        <w:ind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第三阶段：根据甲方最终意见，乙方于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个工作日内完成规划</w:t>
      </w:r>
      <w:r>
        <w:rPr>
          <w:rFonts w:hint="eastAsia" w:ascii="宋体" w:hAnsi="宋体" w:eastAsia="宋体" w:cs="宋体"/>
          <w:bCs/>
          <w:kern w:val="0"/>
          <w:sz w:val="24"/>
          <w:szCs w:val="24"/>
        </w:rPr>
        <w:t>编制</w:t>
      </w:r>
      <w:r>
        <w:rPr>
          <w:rFonts w:hint="eastAsia" w:ascii="宋体" w:hAnsi="宋体" w:eastAsia="宋体" w:cs="宋体"/>
          <w:color w:val="000000"/>
          <w:sz w:val="24"/>
          <w:szCs w:val="24"/>
        </w:rPr>
        <w:t>最终成果并提交甲方。</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以上时间安排不包括双方方案的讨论、评议、等待甲方回复意见以及合同履行所需的时间。 </w:t>
      </w:r>
    </w:p>
    <w:p>
      <w:pPr>
        <w:widowControl w:val="0"/>
        <w:numPr>
          <w:ilvl w:val="0"/>
          <w:numId w:val="3"/>
        </w:numPr>
        <w:spacing w:line="360" w:lineRule="auto"/>
        <w:ind w:left="0" w:firstLine="0"/>
        <w:rPr>
          <w:rFonts w:hint="eastAsia" w:ascii="宋体" w:hAnsi="宋体" w:eastAsia="宋体" w:cs="宋体"/>
          <w:color w:val="000000"/>
          <w:sz w:val="24"/>
          <w:szCs w:val="24"/>
        </w:rPr>
        <w:sectPr>
          <w:footerReference r:id="rId4" w:type="default"/>
          <w:pgSz w:w="11900" w:h="16840"/>
          <w:pgMar w:top="1529" w:right="1591" w:bottom="1297" w:left="1756" w:header="1101" w:footer="737" w:gutter="0"/>
          <w:pgNumType w:fmt="numberInDash" w:start="1"/>
          <w:cols w:space="720" w:num="1"/>
          <w:docGrid w:linePitch="360" w:charSpace="0"/>
        </w:sectPr>
      </w:pPr>
    </w:p>
    <w:p>
      <w:pPr>
        <w:widowControl w:val="0"/>
        <w:numPr>
          <w:ilvl w:val="0"/>
          <w:numId w:val="3"/>
        </w:numPr>
        <w:spacing w:line="360" w:lineRule="auto"/>
        <w:ind w:left="0" w:firstLine="0"/>
        <w:rPr>
          <w:rFonts w:hint="eastAsia" w:ascii="宋体" w:hAnsi="宋体" w:eastAsia="宋体" w:cs="宋体"/>
          <w:color w:val="000000"/>
          <w:sz w:val="24"/>
          <w:szCs w:val="24"/>
        </w:rPr>
      </w:pPr>
      <w:r>
        <w:rPr>
          <w:rFonts w:hint="eastAsia" w:ascii="宋体" w:hAnsi="宋体" w:eastAsia="宋体" w:cs="宋体"/>
          <w:b/>
          <w:bCs/>
          <w:color w:val="000000"/>
          <w:sz w:val="24"/>
          <w:szCs w:val="24"/>
        </w:rPr>
        <w:t>成果验收</w:t>
      </w:r>
    </w:p>
    <w:p>
      <w:pPr>
        <w:widowControl w:val="0"/>
        <w:spacing w:line="360" w:lineRule="auto"/>
        <w:rPr>
          <w:rFonts w:hint="eastAsia" w:ascii="宋体" w:hAnsi="宋体" w:eastAsia="宋体" w:cs="宋体"/>
          <w:b/>
          <w:color w:val="000000"/>
          <w:sz w:val="24"/>
          <w:szCs w:val="24"/>
        </w:rPr>
      </w:pPr>
    </w:p>
    <w:p>
      <w:pPr>
        <w:widowControl w:val="0"/>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三、设计经费与支付进程</w:t>
      </w:r>
    </w:p>
    <w:p>
      <w:pPr>
        <w:widowControl w:val="0"/>
        <w:numPr>
          <w:ilvl w:val="0"/>
          <w:numId w:val="3"/>
        </w:numPr>
        <w:spacing w:line="360" w:lineRule="auto"/>
        <w:ind w:left="0" w:firstLine="0"/>
        <w:rPr>
          <w:rFonts w:hint="eastAsia" w:ascii="宋体" w:hAnsi="宋体" w:eastAsia="宋体" w:cs="宋体"/>
          <w:b/>
          <w:color w:val="000000"/>
          <w:sz w:val="24"/>
          <w:szCs w:val="24"/>
        </w:rPr>
      </w:pPr>
      <w:r>
        <w:rPr>
          <w:rFonts w:hint="eastAsia" w:ascii="宋体" w:hAnsi="宋体" w:eastAsia="宋体" w:cs="宋体"/>
          <w:b/>
          <w:color w:val="000000"/>
          <w:sz w:val="24"/>
          <w:szCs w:val="24"/>
        </w:rPr>
        <w:t>设计经费</w:t>
      </w:r>
    </w:p>
    <w:p>
      <w:pPr>
        <w:spacing w:line="360" w:lineRule="auto"/>
        <w:ind w:firstLine="480" w:firstLineChars="200"/>
        <w:rPr>
          <w:rFonts w:hint="eastAsia" w:ascii="宋体" w:hAnsi="宋体" w:eastAsia="宋体" w:cs="宋体"/>
          <w:b/>
          <w:color w:val="000000"/>
          <w:sz w:val="24"/>
          <w:szCs w:val="24"/>
        </w:rPr>
      </w:pPr>
      <w:r>
        <w:rPr>
          <w:rFonts w:hint="eastAsia" w:ascii="宋体" w:hAnsi="宋体" w:eastAsia="宋体" w:cs="宋体"/>
          <w:color w:val="000000"/>
          <w:sz w:val="24"/>
          <w:szCs w:val="24"/>
        </w:rPr>
        <w:t>本项目设计费总额人民币（大写）</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元整（￥元）。</w:t>
      </w:r>
    </w:p>
    <w:p>
      <w:pPr>
        <w:widowControl w:val="0"/>
        <w:numPr>
          <w:ilvl w:val="0"/>
          <w:numId w:val="3"/>
        </w:numPr>
        <w:spacing w:line="360" w:lineRule="auto"/>
        <w:ind w:left="0" w:firstLine="0"/>
        <w:rPr>
          <w:rFonts w:hint="eastAsia" w:ascii="宋体" w:hAnsi="宋体" w:eastAsia="宋体" w:cs="宋体"/>
          <w:b/>
          <w:color w:val="000000"/>
          <w:sz w:val="24"/>
          <w:szCs w:val="24"/>
        </w:rPr>
      </w:pPr>
      <w:r>
        <w:rPr>
          <w:rFonts w:hint="eastAsia" w:ascii="宋体" w:hAnsi="宋体" w:eastAsia="宋体" w:cs="宋体"/>
          <w:b/>
          <w:color w:val="000000"/>
          <w:sz w:val="24"/>
          <w:szCs w:val="24"/>
        </w:rPr>
        <w:t>支付进程：</w:t>
      </w:r>
    </w:p>
    <w:p>
      <w:pPr>
        <w:spacing w:line="360" w:lineRule="auto"/>
        <w:ind w:left="322" w:leftChars="134" w:firstLine="360" w:firstLineChars="150"/>
        <w:rPr>
          <w:rFonts w:hint="eastAsia" w:ascii="宋体" w:hAnsi="宋体" w:eastAsia="宋体" w:cs="宋体"/>
          <w:b/>
          <w:sz w:val="24"/>
          <w:szCs w:val="24"/>
        </w:rPr>
      </w:pPr>
      <w:r>
        <w:rPr>
          <w:rFonts w:hint="eastAsia" w:ascii="宋体" w:hAnsi="宋体" w:eastAsia="宋体" w:cs="宋体"/>
          <w:bCs/>
          <w:sz w:val="24"/>
          <w:szCs w:val="24"/>
        </w:rPr>
        <w:t>第一期：合同签订后七个工作日内，甲方支付给乙方人民币（大写）</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元整</w:t>
      </w:r>
      <w:r>
        <w:rPr>
          <w:rFonts w:hint="eastAsia" w:ascii="宋体" w:hAnsi="宋体" w:eastAsia="宋体" w:cs="宋体"/>
          <w:bCs/>
          <w:sz w:val="24"/>
          <w:szCs w:val="24"/>
          <w:u w:val="single"/>
        </w:rPr>
        <w:t xml:space="preserve"> (         </w:t>
      </w:r>
      <w:r>
        <w:rPr>
          <w:rFonts w:hint="eastAsia" w:ascii="宋体" w:hAnsi="宋体" w:eastAsia="宋体" w:cs="宋体"/>
          <w:b/>
          <w:sz w:val="24"/>
          <w:szCs w:val="24"/>
          <w:u w:val="single"/>
        </w:rPr>
        <w:t>￥元</w:t>
      </w:r>
      <w:r>
        <w:rPr>
          <w:rFonts w:hint="eastAsia" w:ascii="宋体" w:hAnsi="宋体" w:eastAsia="宋体" w:cs="宋体"/>
          <w:bCs/>
          <w:sz w:val="24"/>
          <w:szCs w:val="24"/>
          <w:u w:val="single"/>
        </w:rPr>
        <w:t>，</w:t>
      </w:r>
      <w:r>
        <w:rPr>
          <w:rFonts w:hint="eastAsia" w:ascii="宋体" w:hAnsi="宋体" w:eastAsia="宋体" w:cs="宋体"/>
          <w:sz w:val="24"/>
          <w:szCs w:val="24"/>
          <w:u w:val="single"/>
        </w:rPr>
        <w:t xml:space="preserve"> </w:t>
      </w:r>
      <w:r>
        <w:rPr>
          <w:rFonts w:hint="eastAsia" w:ascii="宋体" w:hAnsi="宋体" w:eastAsia="宋体" w:cs="宋体"/>
          <w:bCs/>
          <w:sz w:val="24"/>
          <w:szCs w:val="24"/>
          <w:u w:val="single"/>
        </w:rPr>
        <w:t>为合同总价款的30%）。</w:t>
      </w:r>
    </w:p>
    <w:p>
      <w:pPr>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第二期：乙方提交初步成果并经过认可后七个工作日内，甲方支付给乙方人民币（大写）</w:t>
      </w:r>
      <w:r>
        <w:rPr>
          <w:rFonts w:hint="eastAsia" w:ascii="宋体" w:hAnsi="宋体" w:eastAsia="宋体" w:cs="宋体"/>
          <w:bCs/>
          <w:sz w:val="24"/>
          <w:szCs w:val="24"/>
          <w:u w:val="single"/>
        </w:rPr>
        <w:t>元整(</w:t>
      </w:r>
      <w:r>
        <w:rPr>
          <w:rFonts w:hint="eastAsia" w:ascii="宋体" w:hAnsi="宋体" w:eastAsia="宋体" w:cs="宋体"/>
          <w:b/>
          <w:sz w:val="24"/>
          <w:szCs w:val="24"/>
          <w:u w:val="single"/>
        </w:rPr>
        <w:t>￥元</w:t>
      </w:r>
      <w:r>
        <w:rPr>
          <w:rFonts w:hint="eastAsia" w:ascii="宋体" w:hAnsi="宋体" w:eastAsia="宋体" w:cs="宋体"/>
          <w:bCs/>
          <w:sz w:val="24"/>
          <w:szCs w:val="24"/>
          <w:u w:val="single"/>
        </w:rPr>
        <w:t>，</w:t>
      </w:r>
      <w:r>
        <w:rPr>
          <w:rFonts w:hint="eastAsia" w:ascii="宋体" w:hAnsi="宋体" w:eastAsia="宋体" w:cs="宋体"/>
          <w:sz w:val="24"/>
          <w:szCs w:val="24"/>
          <w:u w:val="single"/>
        </w:rPr>
        <w:t xml:space="preserve"> </w:t>
      </w:r>
      <w:r>
        <w:rPr>
          <w:rFonts w:hint="eastAsia" w:ascii="宋体" w:hAnsi="宋体" w:eastAsia="宋体" w:cs="宋体"/>
          <w:bCs/>
          <w:sz w:val="24"/>
          <w:szCs w:val="24"/>
          <w:u w:val="single"/>
        </w:rPr>
        <w:t>为合同总价款的30%）。</w:t>
      </w:r>
    </w:p>
    <w:p>
      <w:pPr>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第三期：乙方提交评审或评议成果，并通过相关部门组织的专家评审后七个工作日内，甲方支付给乙方 人民币（大写）</w:t>
      </w:r>
      <w:r>
        <w:rPr>
          <w:rFonts w:hint="eastAsia" w:ascii="宋体" w:hAnsi="宋体" w:eastAsia="宋体" w:cs="宋体"/>
          <w:bCs/>
          <w:sz w:val="24"/>
          <w:szCs w:val="24"/>
          <w:u w:val="single"/>
        </w:rPr>
        <w:t>元整(</w:t>
      </w:r>
      <w:r>
        <w:rPr>
          <w:rFonts w:hint="eastAsia" w:ascii="宋体" w:hAnsi="宋体" w:eastAsia="宋体" w:cs="宋体"/>
          <w:b/>
          <w:sz w:val="24"/>
          <w:szCs w:val="24"/>
          <w:u w:val="single"/>
        </w:rPr>
        <w:t>￥ 元</w:t>
      </w:r>
      <w:r>
        <w:rPr>
          <w:rFonts w:hint="eastAsia" w:ascii="宋体" w:hAnsi="宋体" w:eastAsia="宋体" w:cs="宋体"/>
          <w:bCs/>
          <w:sz w:val="24"/>
          <w:szCs w:val="24"/>
          <w:u w:val="single"/>
        </w:rPr>
        <w:t>，</w:t>
      </w:r>
      <w:r>
        <w:rPr>
          <w:rFonts w:hint="eastAsia" w:ascii="宋体" w:hAnsi="宋体" w:eastAsia="宋体" w:cs="宋体"/>
          <w:sz w:val="24"/>
          <w:szCs w:val="24"/>
          <w:u w:val="single"/>
        </w:rPr>
        <w:t xml:space="preserve"> </w:t>
      </w:r>
      <w:r>
        <w:rPr>
          <w:rFonts w:hint="eastAsia" w:ascii="宋体" w:hAnsi="宋体" w:eastAsia="宋体" w:cs="宋体"/>
          <w:bCs/>
          <w:sz w:val="24"/>
          <w:szCs w:val="24"/>
          <w:u w:val="single"/>
        </w:rPr>
        <w:t>为合同总价款的30%）。</w:t>
      </w:r>
    </w:p>
    <w:p>
      <w:pPr>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sz w:val="24"/>
          <w:szCs w:val="24"/>
        </w:rPr>
        <w:t>第四期：乙方提交最终成果后七个工作日内，</w:t>
      </w:r>
      <w:r>
        <w:rPr>
          <w:rFonts w:hint="eastAsia" w:ascii="宋体" w:hAnsi="宋体" w:eastAsia="宋体" w:cs="宋体"/>
          <w:bCs/>
          <w:sz w:val="24"/>
          <w:szCs w:val="24"/>
        </w:rPr>
        <w:t xml:space="preserve">甲方支付给乙方人民币（大写）  </w:t>
      </w:r>
      <w:r>
        <w:rPr>
          <w:rFonts w:hint="eastAsia" w:ascii="宋体" w:hAnsi="宋体" w:eastAsia="宋体" w:cs="宋体"/>
          <w:bCs/>
          <w:sz w:val="24"/>
          <w:szCs w:val="24"/>
          <w:u w:val="single"/>
        </w:rPr>
        <w:t>元整(</w:t>
      </w:r>
      <w:r>
        <w:rPr>
          <w:rFonts w:hint="eastAsia" w:ascii="宋体" w:hAnsi="宋体" w:eastAsia="宋体" w:cs="宋体"/>
          <w:b/>
          <w:sz w:val="24"/>
          <w:szCs w:val="24"/>
          <w:u w:val="single"/>
        </w:rPr>
        <w:t>￥ 元，</w:t>
      </w:r>
      <w:r>
        <w:rPr>
          <w:rFonts w:hint="eastAsia" w:ascii="宋体" w:hAnsi="宋体" w:eastAsia="宋体" w:cs="宋体"/>
          <w:sz w:val="24"/>
          <w:szCs w:val="24"/>
          <w:u w:val="single"/>
        </w:rPr>
        <w:t>为合同总价款的10%</w:t>
      </w:r>
      <w:r>
        <w:rPr>
          <w:rFonts w:hint="eastAsia" w:ascii="宋体" w:hAnsi="宋体" w:eastAsia="宋体" w:cs="宋体"/>
          <w:bCs/>
          <w:sz w:val="24"/>
          <w:szCs w:val="24"/>
          <w:u w:val="single"/>
        </w:rPr>
        <w:t>)</w:t>
      </w:r>
      <w:r>
        <w:rPr>
          <w:rFonts w:hint="eastAsia" w:ascii="宋体" w:hAnsi="宋体" w:eastAsia="宋体" w:cs="宋体"/>
          <w:bCs/>
          <w:sz w:val="24"/>
          <w:szCs w:val="24"/>
        </w:rPr>
        <w:t>。</w:t>
      </w:r>
    </w:p>
    <w:p>
      <w:pPr>
        <w:widowControl w:val="0"/>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四、双方责任与协作事项</w:t>
      </w:r>
    </w:p>
    <w:p>
      <w:pPr>
        <w:widowControl w:val="0"/>
        <w:numPr>
          <w:ilvl w:val="0"/>
          <w:numId w:val="3"/>
        </w:numPr>
        <w:spacing w:line="360" w:lineRule="auto"/>
        <w:ind w:left="0" w:firstLine="0"/>
        <w:rPr>
          <w:rFonts w:hint="eastAsia" w:ascii="宋体" w:hAnsi="宋体" w:eastAsia="宋体" w:cs="宋体"/>
          <w:b/>
          <w:color w:val="000000"/>
          <w:sz w:val="24"/>
          <w:szCs w:val="24"/>
        </w:rPr>
      </w:pPr>
      <w:r>
        <w:rPr>
          <w:rFonts w:hint="eastAsia" w:ascii="宋体" w:hAnsi="宋体" w:eastAsia="宋体" w:cs="宋体"/>
          <w:b/>
          <w:color w:val="000000"/>
          <w:sz w:val="24"/>
          <w:szCs w:val="24"/>
        </w:rPr>
        <w:t>甲方责任</w:t>
      </w:r>
    </w:p>
    <w:p>
      <w:pPr>
        <w:spacing w:line="360" w:lineRule="auto"/>
        <w:ind w:firstLine="484" w:firstLineChars="202"/>
        <w:rPr>
          <w:rFonts w:hint="eastAsia" w:ascii="宋体" w:hAnsi="宋体" w:eastAsia="宋体" w:cs="宋体"/>
          <w:bCs/>
          <w:color w:val="000000"/>
          <w:sz w:val="24"/>
          <w:szCs w:val="24"/>
        </w:rPr>
      </w:pPr>
      <w:r>
        <w:rPr>
          <w:rFonts w:hint="eastAsia" w:ascii="宋体" w:hAnsi="宋体" w:eastAsia="宋体" w:cs="宋体"/>
          <w:bCs/>
          <w:color w:val="000000"/>
          <w:sz w:val="24"/>
          <w:szCs w:val="24"/>
        </w:rPr>
        <w:t>（一）甲方应在合同签订后</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个工作日内提供基础资料及设计要求，在每阶段汇报讨论后应按合同要求及时（“及时”应当解释为双方确定的时间）出具书面意见。若提交时间超过约定期限，乙方可按超期天数相应延迟提交各阶段设计成果。</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Cs/>
          <w:color w:val="000000"/>
          <w:sz w:val="24"/>
          <w:szCs w:val="24"/>
        </w:rPr>
        <w:t>（二）甲方应协助乙方征询有关方面的意见，并在设计过程中做好有关部门的协调工作，</w:t>
      </w:r>
      <w:r>
        <w:rPr>
          <w:rFonts w:hint="eastAsia" w:ascii="宋体" w:hAnsi="宋体" w:eastAsia="宋体" w:cs="宋体"/>
          <w:color w:val="000000"/>
          <w:sz w:val="24"/>
          <w:szCs w:val="24"/>
        </w:rPr>
        <w:t>负责组织方案评议审查。</w:t>
      </w:r>
    </w:p>
    <w:p>
      <w:pPr>
        <w:spacing w:line="360" w:lineRule="auto"/>
        <w:ind w:firstLine="484" w:firstLineChars="202"/>
        <w:rPr>
          <w:rFonts w:hint="eastAsia" w:ascii="宋体" w:hAnsi="宋体" w:eastAsia="宋体" w:cs="宋体"/>
          <w:bCs/>
          <w:color w:val="000000"/>
          <w:sz w:val="24"/>
          <w:szCs w:val="24"/>
        </w:rPr>
      </w:pPr>
      <w:r>
        <w:rPr>
          <w:rFonts w:hint="eastAsia" w:ascii="宋体" w:hAnsi="宋体" w:eastAsia="宋体" w:cs="宋体"/>
          <w:bCs/>
          <w:color w:val="000000"/>
          <w:sz w:val="24"/>
          <w:szCs w:val="24"/>
        </w:rPr>
        <w:t>（三）甲方应根据合同约定定期足额支付各阶段设计费。</w:t>
      </w:r>
    </w:p>
    <w:p>
      <w:pPr>
        <w:spacing w:line="360" w:lineRule="auto"/>
        <w:ind w:firstLine="484" w:firstLineChars="202"/>
        <w:rPr>
          <w:rFonts w:hint="eastAsia" w:ascii="宋体" w:hAnsi="宋体" w:eastAsia="宋体" w:cs="宋体"/>
          <w:bCs/>
          <w:color w:val="000000"/>
          <w:sz w:val="24"/>
          <w:szCs w:val="24"/>
        </w:rPr>
      </w:pPr>
      <w:r>
        <w:rPr>
          <w:rFonts w:hint="eastAsia" w:ascii="宋体" w:hAnsi="宋体" w:eastAsia="宋体" w:cs="宋体"/>
          <w:bCs/>
          <w:color w:val="000000"/>
          <w:sz w:val="24"/>
          <w:szCs w:val="24"/>
        </w:rPr>
        <w:t>（四）甲方应保护乙方的设计成果和专利技术。未经同意不得擅自修改、复制、向第三者转让或用于本合同以外的项目。甲方向乙方支付完毕本合同约定的所有费用后，乙方之设计成果所有权和著作权归甲方所有，但乙方享有在其设计成果上的署名权。</w:t>
      </w:r>
    </w:p>
    <w:p>
      <w:pPr>
        <w:spacing w:line="360" w:lineRule="auto"/>
        <w:ind w:firstLine="484" w:firstLineChars="202"/>
        <w:rPr>
          <w:rFonts w:hint="eastAsia" w:ascii="宋体" w:hAnsi="宋体" w:eastAsia="宋体" w:cs="宋体"/>
          <w:bCs/>
          <w:color w:val="000000"/>
          <w:sz w:val="24"/>
          <w:szCs w:val="24"/>
        </w:rPr>
      </w:pPr>
      <w:r>
        <w:rPr>
          <w:rFonts w:hint="eastAsia" w:ascii="宋体" w:hAnsi="宋体" w:eastAsia="宋体" w:cs="宋体"/>
          <w:bCs/>
          <w:color w:val="000000"/>
          <w:sz w:val="24"/>
          <w:szCs w:val="24"/>
        </w:rPr>
        <w:t>（五）甲方变更设计范围、内容和深度（变更量超过</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或因提交的资料错误或提交的资料作较大修改以致造成乙方要返工时，双方需另行协商签订补充协议，调整原合同中有关条款，增付返工及新增设计内容的费用。如协商不成，甲方应按乙方已完成的设计内容支付相应的设计费用。并协商解决后续事宜。</w:t>
      </w:r>
    </w:p>
    <w:p>
      <w:pPr>
        <w:widowControl w:val="0"/>
        <w:numPr>
          <w:ilvl w:val="0"/>
          <w:numId w:val="3"/>
        </w:numPr>
        <w:spacing w:line="360" w:lineRule="auto"/>
        <w:ind w:left="0" w:firstLine="0"/>
        <w:rPr>
          <w:rFonts w:hint="eastAsia" w:ascii="宋体" w:hAnsi="宋体" w:eastAsia="宋体" w:cs="宋体"/>
          <w:b/>
          <w:color w:val="000000"/>
          <w:sz w:val="24"/>
          <w:szCs w:val="24"/>
        </w:rPr>
      </w:pPr>
      <w:r>
        <w:rPr>
          <w:rFonts w:hint="eastAsia" w:ascii="宋体" w:hAnsi="宋体" w:eastAsia="宋体" w:cs="宋体"/>
          <w:b/>
          <w:color w:val="000000"/>
          <w:sz w:val="24"/>
          <w:szCs w:val="24"/>
        </w:rPr>
        <w:t>乙方责任</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（一）乙方应按国家和地方有关法律、技术规范标准，以及合同约定的工作内容进行设计。</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（二）乙方应</w:t>
      </w:r>
      <w:r>
        <w:rPr>
          <w:rFonts w:hint="eastAsia" w:ascii="宋体" w:hAnsi="宋体" w:eastAsia="宋体" w:cs="宋体"/>
          <w:bCs/>
          <w:color w:val="000000"/>
          <w:sz w:val="24"/>
          <w:szCs w:val="24"/>
        </w:rPr>
        <w:t>按照行业惯例及合同</w:t>
      </w:r>
      <w:r>
        <w:rPr>
          <w:rFonts w:hint="eastAsia" w:ascii="宋体" w:hAnsi="宋体" w:eastAsia="宋体" w:cs="宋体"/>
          <w:color w:val="000000"/>
          <w:sz w:val="24"/>
          <w:szCs w:val="24"/>
        </w:rPr>
        <w:t>规定，参加该项目相关会议，汇报进展情况，提供所需资料。</w:t>
      </w:r>
    </w:p>
    <w:p>
      <w:pPr>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color w:val="000000"/>
          <w:sz w:val="24"/>
          <w:szCs w:val="24"/>
        </w:rPr>
        <w:t>（三）乙方应按合同规定的进度、提交质量合格的设计成果，并</w:t>
      </w:r>
      <w:r>
        <w:rPr>
          <w:rFonts w:hint="eastAsia" w:ascii="宋体" w:hAnsi="宋体" w:eastAsia="宋体" w:cs="宋体"/>
          <w:bCs/>
          <w:color w:val="000000"/>
          <w:sz w:val="24"/>
          <w:szCs w:val="24"/>
        </w:rPr>
        <w:t>对其负责。</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（四）乙方对甲方所提供的</w:t>
      </w:r>
      <w:r>
        <w:rPr>
          <w:rFonts w:hint="eastAsia" w:ascii="宋体" w:hAnsi="宋体" w:eastAsia="宋体" w:cs="宋体"/>
          <w:strike/>
          <w:color w:val="000000"/>
          <w:sz w:val="24"/>
          <w:szCs w:val="24"/>
        </w:rPr>
        <w:t>涉密</w:t>
      </w:r>
      <w:r>
        <w:rPr>
          <w:rFonts w:hint="eastAsia" w:ascii="宋体" w:hAnsi="宋体" w:eastAsia="宋体" w:cs="宋体"/>
          <w:color w:val="000000"/>
          <w:sz w:val="24"/>
          <w:szCs w:val="24"/>
        </w:rPr>
        <w:t>资料承担保密义务。未经对方同意，不得对对方的资料及文件擅自修改，复制或向第三人转让或用于本合同项目外的项目。乙方按本合同规定编制的乙方方案及各种成果资料，不得向其他单位提供和转让。</w:t>
      </w:r>
    </w:p>
    <w:p>
      <w:pPr>
        <w:widowControl w:val="0"/>
        <w:spacing w:line="360" w:lineRule="auto"/>
        <w:rPr>
          <w:rFonts w:hint="eastAsia" w:ascii="宋体" w:hAnsi="宋体" w:eastAsia="宋体" w:cs="宋体"/>
          <w:b/>
          <w:color w:val="000000"/>
          <w:sz w:val="24"/>
          <w:szCs w:val="24"/>
        </w:rPr>
      </w:pPr>
      <w:r>
        <w:rPr>
          <w:rFonts w:hint="eastAsia" w:ascii="宋体" w:hAnsi="宋体" w:eastAsia="宋体" w:cs="宋体"/>
          <w:color w:val="000000"/>
          <w:sz w:val="24"/>
          <w:szCs w:val="24"/>
        </w:rPr>
        <w:t>（五）乙方对设计中出现遗漏、差错应及时修改或补充，同时要根据甲方审查过程中提出的修改意见和专家评议意见对规划方案进行修改（修改仅针对本合同规定的设计内容）。</w:t>
      </w:r>
    </w:p>
    <w:p>
      <w:pPr>
        <w:widowControl w:val="0"/>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五、服务承诺：</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乙方应完成投标文件中承诺的各项服务。</w:t>
      </w:r>
    </w:p>
    <w:p>
      <w:pPr>
        <w:widowControl w:val="0"/>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六、违约及争议解决方式</w:t>
      </w:r>
    </w:p>
    <w:p>
      <w:pPr>
        <w:widowControl w:val="0"/>
        <w:numPr>
          <w:ilvl w:val="0"/>
          <w:numId w:val="3"/>
        </w:numPr>
        <w:spacing w:line="360" w:lineRule="auto"/>
        <w:ind w:left="0" w:firstLine="0"/>
        <w:rPr>
          <w:rFonts w:hint="eastAsia" w:ascii="宋体" w:hAnsi="宋体" w:eastAsia="宋体" w:cs="宋体"/>
          <w:b/>
          <w:color w:val="000000"/>
          <w:sz w:val="24"/>
          <w:szCs w:val="24"/>
        </w:rPr>
      </w:pPr>
      <w:r>
        <w:rPr>
          <w:rFonts w:hint="eastAsia" w:ascii="宋体" w:hAnsi="宋体" w:eastAsia="宋体" w:cs="宋体"/>
          <w:b/>
          <w:color w:val="000000"/>
          <w:sz w:val="24"/>
          <w:szCs w:val="24"/>
        </w:rPr>
        <w:t>违约责任</w:t>
      </w:r>
    </w:p>
    <w:p>
      <w:pPr>
        <w:spacing w:line="360" w:lineRule="auto"/>
        <w:ind w:firstLine="484" w:firstLineChars="202"/>
        <w:rPr>
          <w:rFonts w:hint="eastAsia" w:ascii="宋体" w:hAnsi="宋体" w:eastAsia="宋体" w:cs="宋体"/>
          <w:bCs/>
          <w:color w:val="000000"/>
          <w:sz w:val="24"/>
          <w:szCs w:val="24"/>
        </w:rPr>
      </w:pPr>
      <w:r>
        <w:rPr>
          <w:rFonts w:hint="eastAsia" w:ascii="宋体" w:hAnsi="宋体" w:eastAsia="宋体" w:cs="宋体"/>
          <w:bCs/>
          <w:color w:val="000000"/>
          <w:sz w:val="24"/>
          <w:szCs w:val="24"/>
        </w:rPr>
        <w:t>（一）在合同生效</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个工作日以后，甲方或乙方要求解除合同，双方应协商处理，并就解除合同达成一致。</w:t>
      </w:r>
    </w:p>
    <w:p>
      <w:pPr>
        <w:spacing w:line="360" w:lineRule="auto"/>
        <w:ind w:firstLine="484" w:firstLineChars="202"/>
        <w:rPr>
          <w:rFonts w:hint="eastAsia" w:ascii="宋体" w:hAnsi="宋体" w:eastAsia="宋体" w:cs="宋体"/>
          <w:bCs/>
          <w:color w:val="000000"/>
          <w:sz w:val="24"/>
          <w:szCs w:val="24"/>
        </w:rPr>
      </w:pPr>
      <w:r>
        <w:rPr>
          <w:rFonts w:hint="eastAsia" w:ascii="宋体" w:hAnsi="宋体" w:eastAsia="宋体" w:cs="宋体"/>
          <w:bCs/>
          <w:color w:val="000000"/>
          <w:sz w:val="24"/>
          <w:szCs w:val="24"/>
        </w:rPr>
        <w:t>（二）甲方应按本合同规定的时间和金额向乙方支付设计费。因甲方原因,造成项目延期或中止,甲方应出具书面说明,责任由甲方承担，并与乙方协商处理办法。</w:t>
      </w:r>
    </w:p>
    <w:p>
      <w:pPr>
        <w:spacing w:line="360" w:lineRule="auto"/>
        <w:ind w:firstLine="484" w:firstLineChars="202"/>
        <w:rPr>
          <w:rFonts w:hint="eastAsia" w:ascii="宋体" w:hAnsi="宋体" w:eastAsia="宋体" w:cs="宋体"/>
          <w:bCs/>
          <w:color w:val="000000"/>
          <w:sz w:val="24"/>
          <w:szCs w:val="24"/>
        </w:rPr>
      </w:pPr>
      <w:r>
        <w:rPr>
          <w:rFonts w:hint="eastAsia" w:ascii="宋体" w:hAnsi="宋体" w:eastAsia="宋体" w:cs="宋体"/>
          <w:bCs/>
          <w:color w:val="000000"/>
          <w:sz w:val="24"/>
          <w:szCs w:val="24"/>
        </w:rPr>
        <w:t>（三）乙方应按本合同约定的时间提交合格的设计图纸、文件。因乙方原因,造成项目延期或中止,乙方应出具书面说明,责任由乙方承担，并与甲方协商处理办法。</w:t>
      </w:r>
    </w:p>
    <w:p>
      <w:pPr>
        <w:spacing w:line="360" w:lineRule="auto"/>
        <w:ind w:firstLine="484" w:firstLineChars="202"/>
        <w:rPr>
          <w:rFonts w:hint="eastAsia" w:ascii="宋体" w:hAnsi="宋体" w:eastAsia="宋体" w:cs="宋体"/>
          <w:bCs/>
          <w:color w:val="000000"/>
          <w:sz w:val="24"/>
          <w:szCs w:val="24"/>
        </w:rPr>
      </w:pPr>
      <w:r>
        <w:rPr>
          <w:rFonts w:hint="eastAsia" w:ascii="宋体" w:hAnsi="宋体" w:eastAsia="宋体" w:cs="宋体"/>
          <w:color w:val="000000"/>
          <w:sz w:val="24"/>
          <w:szCs w:val="24"/>
        </w:rPr>
        <w:t>（四）</w:t>
      </w:r>
      <w:r>
        <w:rPr>
          <w:rFonts w:hint="eastAsia" w:ascii="宋体" w:hAnsi="宋体" w:eastAsia="宋体" w:cs="宋体"/>
          <w:bCs/>
          <w:color w:val="000000"/>
          <w:sz w:val="24"/>
          <w:szCs w:val="24"/>
        </w:rPr>
        <w:t>由于乙方原因延误了按本合同第一部分规定的设计资料及设计文件的交付时间，每延误一天，应减收该项目应收设计费的千分之二。</w:t>
      </w:r>
    </w:p>
    <w:p>
      <w:pPr>
        <w:widowControl w:val="0"/>
        <w:numPr>
          <w:ilvl w:val="0"/>
          <w:numId w:val="3"/>
        </w:numPr>
        <w:spacing w:line="360" w:lineRule="auto"/>
        <w:ind w:left="0" w:firstLine="0"/>
        <w:rPr>
          <w:rFonts w:hint="eastAsia" w:ascii="宋体" w:hAnsi="宋体" w:eastAsia="宋体" w:cs="宋体"/>
          <w:b/>
          <w:color w:val="000000"/>
          <w:sz w:val="24"/>
          <w:szCs w:val="24"/>
        </w:rPr>
      </w:pPr>
      <w:r>
        <w:rPr>
          <w:rFonts w:hint="eastAsia" w:ascii="宋体" w:hAnsi="宋体" w:eastAsia="宋体" w:cs="宋体"/>
          <w:b/>
          <w:color w:val="000000"/>
          <w:sz w:val="24"/>
          <w:szCs w:val="24"/>
        </w:rPr>
        <w:t>争议解决方式</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本合同产生的争议，由双方协商解决；协商不成的，双方同意将争议提交</w:t>
      </w:r>
      <w:r>
        <w:rPr>
          <w:rFonts w:hint="eastAsia" w:ascii="宋体" w:hAnsi="宋体" w:eastAsia="宋体" w:cs="宋体"/>
          <w:color w:val="000000"/>
          <w:sz w:val="24"/>
          <w:szCs w:val="24"/>
          <w:u w:val="single"/>
        </w:rPr>
        <w:t>甲方所在地人民法院审理</w:t>
      </w:r>
      <w:r>
        <w:rPr>
          <w:rFonts w:hint="eastAsia" w:ascii="宋体" w:hAnsi="宋体" w:eastAsia="宋体" w:cs="宋体"/>
          <w:color w:val="000000"/>
          <w:sz w:val="24"/>
          <w:szCs w:val="24"/>
        </w:rPr>
        <w:t>。</w:t>
      </w:r>
    </w:p>
    <w:p>
      <w:pPr>
        <w:widowControl w:val="0"/>
        <w:numPr>
          <w:ilvl w:val="0"/>
          <w:numId w:val="3"/>
        </w:numPr>
        <w:spacing w:line="360" w:lineRule="auto"/>
        <w:ind w:left="0" w:firstLine="0"/>
        <w:rPr>
          <w:rFonts w:hint="eastAsia" w:ascii="宋体" w:hAnsi="宋体" w:eastAsia="宋体" w:cs="宋体"/>
          <w:b/>
          <w:color w:val="000000"/>
          <w:sz w:val="24"/>
          <w:szCs w:val="24"/>
        </w:rPr>
      </w:pPr>
      <w:r>
        <w:rPr>
          <w:rFonts w:hint="eastAsia" w:ascii="宋体" w:hAnsi="宋体" w:eastAsia="宋体" w:cs="宋体"/>
          <w:b/>
          <w:color w:val="000000"/>
          <w:sz w:val="24"/>
          <w:szCs w:val="24"/>
        </w:rPr>
        <w:t>保密</w:t>
      </w:r>
    </w:p>
    <w:p>
      <w:p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双方均应保护对方的知识产权，未经对方同意，任何一方均不得对对方的资料及文件擅自修改或用于本合同项目外的项目。如发生以上情况，泄密方承担一切由此引起的后果并承担赔偿责任。</w:t>
      </w:r>
    </w:p>
    <w:p>
      <w:pPr>
        <w:widowControl w:val="0"/>
        <w:numPr>
          <w:ilvl w:val="0"/>
          <w:numId w:val="3"/>
        </w:numPr>
        <w:spacing w:line="360" w:lineRule="auto"/>
        <w:ind w:left="0" w:firstLine="0"/>
        <w:rPr>
          <w:rFonts w:hint="eastAsia" w:ascii="宋体" w:hAnsi="宋体" w:eastAsia="宋体" w:cs="宋体"/>
          <w:b/>
          <w:color w:val="000000"/>
          <w:sz w:val="24"/>
          <w:szCs w:val="24"/>
        </w:rPr>
      </w:pPr>
      <w:r>
        <w:rPr>
          <w:rFonts w:hint="eastAsia" w:ascii="宋体" w:hAnsi="宋体" w:eastAsia="宋体" w:cs="宋体"/>
          <w:b/>
          <w:color w:val="000000"/>
          <w:sz w:val="24"/>
          <w:szCs w:val="24"/>
        </w:rPr>
        <w:t>其他</w:t>
      </w:r>
    </w:p>
    <w:p>
      <w:pPr>
        <w:spacing w:line="360" w:lineRule="auto"/>
        <w:ind w:firstLine="484" w:firstLineChars="202"/>
        <w:rPr>
          <w:rFonts w:hint="eastAsia" w:ascii="宋体" w:hAnsi="宋体" w:eastAsia="宋体" w:cs="宋体"/>
          <w:bCs/>
          <w:color w:val="000000"/>
          <w:sz w:val="24"/>
          <w:szCs w:val="24"/>
        </w:rPr>
      </w:pPr>
      <w:r>
        <w:rPr>
          <w:rFonts w:hint="eastAsia" w:ascii="宋体" w:hAnsi="宋体" w:eastAsia="宋体" w:cs="宋体"/>
          <w:bCs/>
          <w:color w:val="000000"/>
          <w:sz w:val="24"/>
          <w:szCs w:val="24"/>
        </w:rPr>
        <w:t>（一）本合同由甲、乙方签字、盖章后生效。</w:t>
      </w:r>
    </w:p>
    <w:p>
      <w:pPr>
        <w:spacing w:line="360" w:lineRule="auto"/>
        <w:ind w:firstLine="484" w:firstLineChars="202"/>
        <w:rPr>
          <w:rFonts w:hint="eastAsia" w:ascii="宋体" w:hAnsi="宋体" w:eastAsia="宋体" w:cs="宋体"/>
          <w:bCs/>
          <w:color w:val="000000"/>
          <w:sz w:val="24"/>
          <w:szCs w:val="24"/>
        </w:rPr>
      </w:pPr>
      <w:r>
        <w:rPr>
          <w:rFonts w:hint="eastAsia" w:ascii="宋体" w:hAnsi="宋体" w:eastAsia="宋体" w:cs="宋体"/>
          <w:bCs/>
          <w:color w:val="000000"/>
          <w:sz w:val="24"/>
          <w:szCs w:val="24"/>
        </w:rPr>
        <w:t>（二）在合同约定期内因各种原因未能如期履行完毕，双方应友好协商另行约定合同有效期限。</w:t>
      </w:r>
    </w:p>
    <w:p>
      <w:pPr>
        <w:spacing w:line="360" w:lineRule="auto"/>
        <w:ind w:firstLine="484" w:firstLineChars="202"/>
        <w:rPr>
          <w:rFonts w:hint="eastAsia" w:ascii="宋体" w:hAnsi="宋体" w:eastAsia="宋体" w:cs="宋体"/>
          <w:bCs/>
          <w:color w:val="000000"/>
          <w:sz w:val="24"/>
          <w:szCs w:val="24"/>
        </w:rPr>
      </w:pPr>
      <w:r>
        <w:rPr>
          <w:rFonts w:hint="eastAsia" w:ascii="宋体" w:hAnsi="宋体" w:eastAsia="宋体" w:cs="宋体"/>
          <w:bCs/>
          <w:color w:val="000000"/>
          <w:sz w:val="24"/>
          <w:szCs w:val="24"/>
        </w:rPr>
        <w:t>（三）本合同未尽事宜，双方可签订补充合同。对本合同的修改与变更，必须经甲乙双方签署书面协议方可生效。</w:t>
      </w:r>
    </w:p>
    <w:p>
      <w:pPr>
        <w:spacing w:line="360" w:lineRule="auto"/>
        <w:ind w:firstLine="484" w:firstLineChars="202"/>
        <w:rPr>
          <w:rFonts w:hint="eastAsia" w:ascii="宋体" w:hAnsi="宋体" w:eastAsia="宋体" w:cs="宋体"/>
          <w:bCs/>
          <w:color w:val="000000"/>
          <w:sz w:val="24"/>
          <w:szCs w:val="24"/>
        </w:rPr>
      </w:pPr>
      <w:r>
        <w:rPr>
          <w:rFonts w:hint="eastAsia" w:ascii="宋体" w:hAnsi="宋体" w:eastAsia="宋体" w:cs="宋体"/>
          <w:bCs/>
          <w:color w:val="000000"/>
          <w:sz w:val="24"/>
          <w:szCs w:val="24"/>
        </w:rPr>
        <w:t>（四）本合同一式</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份，甲方存</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份，乙方</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w:t>
      </w:r>
    </w:p>
    <w:p>
      <w:pPr>
        <w:spacing w:line="360" w:lineRule="auto"/>
        <w:ind w:firstLine="484" w:firstLineChars="202"/>
        <w:rPr>
          <w:rFonts w:hint="eastAsia" w:ascii="宋体" w:hAnsi="宋体" w:eastAsia="宋体" w:cs="宋体"/>
          <w:bCs/>
          <w:color w:val="000000"/>
          <w:sz w:val="24"/>
          <w:szCs w:val="24"/>
        </w:rPr>
      </w:pPr>
      <w:r>
        <w:rPr>
          <w:rFonts w:hint="eastAsia" w:ascii="宋体" w:hAnsi="宋体" w:eastAsia="宋体" w:cs="宋体"/>
          <w:bCs/>
          <w:color w:val="000000"/>
          <w:sz w:val="24"/>
          <w:szCs w:val="24"/>
        </w:rPr>
        <w:t>（以下无正文）</w:t>
      </w:r>
    </w:p>
    <w:p>
      <w:pPr>
        <w:spacing w:line="360" w:lineRule="auto"/>
        <w:rPr>
          <w:rFonts w:hint="eastAsia" w:ascii="宋体" w:hAnsi="宋体" w:eastAsia="宋体" w:cs="宋体"/>
          <w:color w:val="000000"/>
          <w:sz w:val="24"/>
          <w:szCs w:val="24"/>
        </w:rPr>
      </w:pPr>
      <w:r>
        <w:rPr>
          <w:rFonts w:hint="eastAsia" w:ascii="宋体" w:hAnsi="宋体" w:eastAsia="宋体" w:cs="宋体"/>
          <w:b/>
          <w:bCs/>
          <w:color w:val="000000"/>
          <w:sz w:val="24"/>
          <w:szCs w:val="24"/>
        </w:rPr>
        <w:t xml:space="preserve">甲方：                     </w:t>
      </w:r>
      <w:r>
        <w:rPr>
          <w:rFonts w:hint="eastAsia" w:ascii="宋体" w:hAnsi="宋体" w:eastAsia="宋体" w:cs="宋体"/>
          <w:color w:val="000000"/>
          <w:sz w:val="24"/>
          <w:szCs w:val="24"/>
        </w:rPr>
        <w:t xml:space="preserve">     （盖章）</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委托代理人：                     联系人：</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单位地址：                       邮政编码：</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电    话：                       传    真：</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开户银行：                       银行帐号：</w:t>
      </w:r>
    </w:p>
    <w:p>
      <w:pPr>
        <w:spacing w:line="360" w:lineRule="auto"/>
        <w:rPr>
          <w:rFonts w:hint="eastAsia" w:ascii="宋体" w:hAnsi="宋体" w:eastAsia="宋体" w:cs="宋体"/>
          <w:b/>
          <w:color w:val="000000"/>
          <w:sz w:val="24"/>
          <w:szCs w:val="24"/>
        </w:rPr>
      </w:pPr>
      <w:r>
        <w:rPr>
          <w:rFonts w:hint="eastAsia" w:ascii="宋体" w:hAnsi="宋体" w:eastAsia="宋体" w:cs="宋体"/>
          <w:color w:val="000000"/>
          <w:sz w:val="24"/>
          <w:szCs w:val="24"/>
        </w:rPr>
        <w:t>202</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日  </w:t>
      </w:r>
    </w:p>
    <w:p>
      <w:pPr>
        <w:spacing w:line="360" w:lineRule="auto"/>
        <w:rPr>
          <w:rFonts w:hint="eastAsia" w:ascii="宋体" w:hAnsi="宋体" w:eastAsia="宋体" w:cs="宋体"/>
          <w:color w:val="000000"/>
          <w:sz w:val="24"/>
          <w:szCs w:val="24"/>
        </w:rPr>
      </w:pPr>
      <w:r>
        <w:rPr>
          <w:rFonts w:hint="eastAsia" w:ascii="宋体" w:hAnsi="宋体" w:eastAsia="宋体" w:cs="宋体"/>
          <w:b/>
          <w:color w:val="000000"/>
          <w:sz w:val="24"/>
          <w:szCs w:val="24"/>
        </w:rPr>
        <w:t>乙方</w:t>
      </w:r>
      <w:r>
        <w:rPr>
          <w:rFonts w:hint="eastAsia" w:ascii="宋体" w:hAnsi="宋体" w:eastAsia="宋体" w:cs="宋体"/>
          <w:color w:val="000000"/>
          <w:sz w:val="24"/>
          <w:szCs w:val="24"/>
        </w:rPr>
        <w:t xml:space="preserve">：（盖章）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委托代理人与项目负责人：            联系人：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单位地址：</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电    话：    传    真：</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银行帐号：</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202</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年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日       </w:t>
      </w:r>
    </w:p>
    <w:p>
      <w:pPr>
        <w:spacing w:line="576" w:lineRule="auto"/>
        <w:jc w:val="center"/>
        <w:rPr>
          <w:rFonts w:hint="eastAsia" w:ascii="宋体" w:hAnsi="宋体" w:eastAsia="宋体" w:cs="宋体"/>
          <w:color w:val="000000"/>
          <w:sz w:val="24"/>
          <w:szCs w:val="24"/>
        </w:rPr>
      </w:pPr>
    </w:p>
    <w:p>
      <w:pPr>
        <w:rPr>
          <w:sz w:val="32"/>
          <w:szCs w:val="32"/>
          <w:highlight w:val="none"/>
          <w:lang w:eastAsia="zh-CN"/>
        </w:rPr>
      </w:pPr>
      <w:r>
        <w:rPr>
          <w:rFonts w:hint="eastAsia" w:ascii="宋体" w:hAnsi="宋体" w:eastAsia="宋体" w:cs="宋体"/>
          <w:b/>
          <w:color w:val="000000"/>
          <w:sz w:val="24"/>
          <w:szCs w:val="24"/>
        </w:rPr>
        <w:t>注：以上合同格式仅供参考，相关条款在甲乙双方签订合同时另行商定</w:t>
      </w:r>
      <w:r>
        <w:rPr>
          <w:sz w:val="32"/>
          <w:szCs w:val="32"/>
          <w:highlight w:val="none"/>
          <w:lang w:eastAsia="zh-CN"/>
        </w:rPr>
        <w:br w:type="page"/>
      </w:r>
    </w:p>
    <w:p>
      <w:pPr>
        <w:pStyle w:val="40"/>
        <w:keepNext/>
        <w:keepLines/>
        <w:pageBreakBefore w:val="0"/>
        <w:widowControl w:val="0"/>
        <w:kinsoku/>
        <w:wordWrap/>
        <w:overflowPunct/>
        <w:topLinePunct w:val="0"/>
        <w:autoSpaceDE/>
        <w:autoSpaceDN/>
        <w:bidi w:val="0"/>
        <w:adjustRightInd/>
        <w:snapToGrid/>
        <w:spacing w:after="300" w:line="240" w:lineRule="auto"/>
        <w:textAlignment w:val="auto"/>
        <w:outlineLvl w:val="0"/>
        <w:rPr>
          <w:rFonts w:hint="eastAsia"/>
          <w:color w:val="000000" w:themeColor="text1"/>
          <w:sz w:val="32"/>
          <w:szCs w:val="32"/>
          <w:highlight w:val="none"/>
          <w:lang w:val="en-US" w:eastAsia="zh-CN"/>
          <w14:textFill>
            <w14:solidFill>
              <w14:schemeClr w14:val="tx1"/>
            </w14:solidFill>
          </w14:textFill>
        </w:rPr>
      </w:pPr>
      <w:bookmarkStart w:id="79" w:name="_Toc13821"/>
      <w:r>
        <w:rPr>
          <w:color w:val="000000" w:themeColor="text1"/>
          <w:sz w:val="32"/>
          <w:szCs w:val="32"/>
          <w:highlight w:val="none"/>
          <w14:textFill>
            <w14:solidFill>
              <w14:schemeClr w14:val="tx1"/>
            </w14:solidFill>
          </w14:textFill>
        </w:rPr>
        <w:t>第</w:t>
      </w:r>
      <w:r>
        <w:rPr>
          <w:rFonts w:hint="eastAsia"/>
          <w:color w:val="000000" w:themeColor="text1"/>
          <w:sz w:val="32"/>
          <w:szCs w:val="32"/>
          <w:highlight w:val="none"/>
          <w:lang w:val="en-US" w:eastAsia="zh-CN"/>
          <w14:textFill>
            <w14:solidFill>
              <w14:schemeClr w14:val="tx1"/>
            </w14:solidFill>
          </w14:textFill>
        </w:rPr>
        <w:t>五</w:t>
      </w:r>
      <w:r>
        <w:rPr>
          <w:color w:val="000000" w:themeColor="text1"/>
          <w:sz w:val="32"/>
          <w:szCs w:val="32"/>
          <w:highlight w:val="none"/>
          <w14:textFill>
            <w14:solidFill>
              <w14:schemeClr w14:val="tx1"/>
            </w14:solidFill>
          </w14:textFill>
        </w:rPr>
        <w:t>章</w:t>
      </w:r>
      <w:bookmarkEnd w:id="71"/>
      <w:bookmarkEnd w:id="72"/>
      <w:bookmarkEnd w:id="73"/>
      <w:bookmarkEnd w:id="74"/>
      <w:bookmarkEnd w:id="75"/>
      <w:bookmarkEnd w:id="76"/>
      <w:bookmarkEnd w:id="77"/>
      <w:bookmarkEnd w:id="78"/>
      <w:r>
        <w:rPr>
          <w:rFonts w:hint="eastAsia"/>
          <w:color w:val="000000" w:themeColor="text1"/>
          <w:sz w:val="32"/>
          <w:szCs w:val="32"/>
          <w:highlight w:val="none"/>
          <w:lang w:val="en-US" w:eastAsia="zh-CN"/>
          <w14:textFill>
            <w14:solidFill>
              <w14:schemeClr w14:val="tx1"/>
            </w14:solidFill>
          </w14:textFill>
        </w:rPr>
        <w:t xml:space="preserve"> 项目需求</w:t>
      </w:r>
      <w:bookmarkEnd w:id="79"/>
    </w:p>
    <w:p>
      <w:pPr>
        <w:ind w:firstLine="480" w:firstLineChars="200"/>
        <w:rPr>
          <w:highlight w:val="none"/>
          <w:lang w:eastAsia="zh-CN"/>
        </w:rPr>
      </w:pPr>
    </w:p>
    <w:p>
      <w:pPr>
        <w:spacing w:line="600" w:lineRule="exact"/>
        <w:rPr>
          <w:rFonts w:eastAsia="黑体"/>
          <w:sz w:val="32"/>
          <w:szCs w:val="32"/>
        </w:rPr>
      </w:pPr>
      <w:bookmarkStart w:id="80" w:name="_Toc22637"/>
      <w:bookmarkStart w:id="81" w:name="bookmark432"/>
      <w:bookmarkStart w:id="82" w:name="_Toc18026"/>
      <w:bookmarkStart w:id="83" w:name="_Toc16282"/>
      <w:bookmarkStart w:id="84" w:name="_Toc27650"/>
      <w:bookmarkStart w:id="85" w:name="_Toc12191"/>
      <w:bookmarkStart w:id="86" w:name="bookmark434"/>
      <w:bookmarkStart w:id="87" w:name="bookmark431"/>
      <w:r>
        <w:rPr>
          <w:rFonts w:eastAsia="黑体"/>
          <w:sz w:val="32"/>
          <w:szCs w:val="32"/>
        </w:rPr>
        <w:t>一、项目背景</w:t>
      </w:r>
    </w:p>
    <w:p>
      <w:pPr>
        <w:tabs>
          <w:tab w:val="left" w:pos="1260"/>
        </w:tabs>
        <w:spacing w:line="600" w:lineRule="exact"/>
        <w:ind w:firstLine="640" w:firstLineChars="200"/>
        <w:rPr>
          <w:rFonts w:eastAsia="仿宋_GB2312"/>
          <w:bCs/>
          <w:color w:val="000000"/>
          <w:kern w:val="0"/>
          <w:sz w:val="32"/>
          <w:szCs w:val="32"/>
        </w:rPr>
      </w:pPr>
      <w:r>
        <w:rPr>
          <w:rFonts w:hint="eastAsia" w:eastAsia="仿宋_GB2312"/>
          <w:bCs/>
          <w:color w:val="000000"/>
          <w:kern w:val="0"/>
          <w:sz w:val="32"/>
          <w:szCs w:val="32"/>
        </w:rPr>
        <w:t>中牟县是河南省郑州市辖县，西邻省会郑州，东接古都开封，东西距开封、郑州各30公里，位二郑州市和开封市之间，是郑汴新区的核心。县域面积约</w:t>
      </w:r>
      <w:r>
        <w:rPr>
          <w:rFonts w:eastAsia="仿宋_GB2312"/>
          <w:bCs/>
          <w:color w:val="000000"/>
          <w:kern w:val="0"/>
          <w:sz w:val="32"/>
          <w:szCs w:val="32"/>
        </w:rPr>
        <w:t>917</w:t>
      </w:r>
      <w:r>
        <w:rPr>
          <w:rFonts w:hint="eastAsia" w:eastAsia="仿宋_GB2312"/>
          <w:bCs/>
          <w:color w:val="000000"/>
          <w:kern w:val="0"/>
          <w:sz w:val="32"/>
          <w:szCs w:val="32"/>
        </w:rPr>
        <w:t>平斱公里</w:t>
      </w:r>
      <w:r>
        <w:rPr>
          <w:rFonts w:eastAsia="仿宋_GB2312"/>
          <w:bCs/>
          <w:color w:val="000000"/>
          <w:kern w:val="0"/>
          <w:sz w:val="32"/>
          <w:szCs w:val="32"/>
        </w:rPr>
        <w:t>。</w:t>
      </w:r>
    </w:p>
    <w:p>
      <w:pPr>
        <w:tabs>
          <w:tab w:val="left" w:pos="1260"/>
        </w:tabs>
        <w:spacing w:line="600" w:lineRule="exact"/>
        <w:ind w:firstLine="640" w:firstLineChars="200"/>
        <w:rPr>
          <w:rFonts w:hint="eastAsia" w:eastAsia="仿宋_GB2312"/>
          <w:bCs/>
          <w:color w:val="000000"/>
          <w:kern w:val="0"/>
          <w:sz w:val="32"/>
          <w:szCs w:val="32"/>
        </w:rPr>
      </w:pPr>
      <w:r>
        <w:rPr>
          <w:rFonts w:hint="eastAsia" w:eastAsia="仿宋_GB2312"/>
          <w:bCs/>
          <w:color w:val="000000"/>
          <w:kern w:val="0"/>
          <w:sz w:val="32"/>
          <w:szCs w:val="32"/>
        </w:rPr>
        <w:t>中牟县是郑汴一体化的核心区域和战略支点；也是中原经济区、郑汴新区、郑州都市区“三区”叠加发展区域，承担着郑州建设国家中心城市“挑大梁、走前头”的排头兵责任。随着中原经济区、郑州航空港经济综合实验区相继上升为国家战略，郑州都市区建设加快推进，与之融合的中牟发展被提升至全省乃至全国的发展层面，同时借力于与之比邻的郑东新区、汴西新区、经济技术开发区的拉动，成为政策聚焦支持、资金优先扶持、项目争相入驻的热点区域和炙手可热的投资焦点区域。</w:t>
      </w:r>
    </w:p>
    <w:p>
      <w:pPr>
        <w:spacing w:line="600" w:lineRule="exact"/>
        <w:ind w:firstLine="640" w:firstLineChars="200"/>
        <w:rPr>
          <w:rFonts w:eastAsia="仿宋_GB2312"/>
          <w:bCs/>
          <w:color w:val="000000"/>
          <w:kern w:val="0"/>
          <w:sz w:val="32"/>
          <w:szCs w:val="32"/>
        </w:rPr>
      </w:pPr>
      <w:r>
        <w:rPr>
          <w:rFonts w:hint="eastAsia" w:eastAsia="仿宋_GB2312"/>
          <w:bCs/>
          <w:color w:val="000000"/>
          <w:kern w:val="0"/>
          <w:sz w:val="32"/>
          <w:szCs w:val="32"/>
        </w:rPr>
        <w:t>中牟县整体呈现出存量提质与增量集聚并重的特征。县城内部组团多为城中村、老旧小区、老旧街区、老旧市场。现状城市用地效率低，服务配套不完善，难以满足人民日益增长的物质文化需求，也阻碍城市高质量发展。在国家“实施城市更新行动“的战略背景下，郑州也出台了《郑州市城市更新管理办法》。要求把城中村、老旧小区、老旧街区、老旧市场、老旧厂房作为城市更新的重要载体，围绕城市功能再造、空间重塑、公共产品提供、人居环境改善、城市文化复兴、生态环境修复以及经济结构优化等方面，全面系统地实施更新改造。</w:t>
      </w:r>
    </w:p>
    <w:p>
      <w:pPr>
        <w:spacing w:line="600" w:lineRule="exact"/>
        <w:ind w:firstLine="640" w:firstLineChars="200"/>
        <w:rPr>
          <w:rFonts w:hint="eastAsia" w:eastAsia="仿宋_GB2312"/>
          <w:bCs/>
          <w:color w:val="000000"/>
          <w:kern w:val="0"/>
          <w:sz w:val="32"/>
          <w:szCs w:val="32"/>
        </w:rPr>
      </w:pPr>
      <w:r>
        <w:rPr>
          <w:rFonts w:hint="eastAsia" w:eastAsia="仿宋_GB2312"/>
          <w:bCs/>
          <w:color w:val="000000"/>
          <w:kern w:val="0"/>
          <w:sz w:val="32"/>
          <w:szCs w:val="32"/>
        </w:rPr>
        <w:t>老火车站片区作为中牟工业的重要组成板块，在中牟历史发展进程中发挥了极其重要作用。而在新的存量更新时代中，如何响应城市发展新需求，焕土地空间新活力，成为片区发展的现实使命。</w:t>
      </w:r>
    </w:p>
    <w:p>
      <w:pPr>
        <w:spacing w:line="600" w:lineRule="exact"/>
        <w:rPr>
          <w:rFonts w:eastAsia="黑体"/>
          <w:sz w:val="32"/>
          <w:szCs w:val="32"/>
        </w:rPr>
      </w:pPr>
      <w:r>
        <w:rPr>
          <w:rFonts w:eastAsia="黑体"/>
          <w:sz w:val="32"/>
          <w:szCs w:val="32"/>
        </w:rPr>
        <w:t>二、规划设计范围</w:t>
      </w:r>
    </w:p>
    <w:p>
      <w:pPr>
        <w:pStyle w:val="10"/>
        <w:spacing w:line="600" w:lineRule="exact"/>
        <w:rPr>
          <w:rFonts w:eastAsia="仿宋_GB2312"/>
          <w:bCs/>
          <w:color w:val="000000"/>
          <w:kern w:val="0"/>
          <w:sz w:val="32"/>
          <w:szCs w:val="32"/>
        </w:rPr>
      </w:pPr>
      <w:r>
        <w:drawing>
          <wp:anchor distT="0" distB="0" distL="114300" distR="114300" simplePos="0" relativeHeight="251674624" behindDoc="0" locked="0" layoutInCell="1" allowOverlap="1">
            <wp:simplePos x="0" y="0"/>
            <wp:positionH relativeFrom="column">
              <wp:posOffset>106045</wp:posOffset>
            </wp:positionH>
            <wp:positionV relativeFrom="paragraph">
              <wp:posOffset>1190625</wp:posOffset>
            </wp:positionV>
            <wp:extent cx="5544820" cy="2818130"/>
            <wp:effectExtent l="0" t="0" r="17780" b="127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544820" cy="2818130"/>
                    </a:xfrm>
                    <a:prstGeom prst="rect">
                      <a:avLst/>
                    </a:prstGeom>
                    <a:noFill/>
                    <a:ln>
                      <a:noFill/>
                    </a:ln>
                  </pic:spPr>
                </pic:pic>
              </a:graphicData>
            </a:graphic>
          </wp:anchor>
        </w:drawing>
      </w:r>
      <w:r>
        <w:rPr>
          <w:rFonts w:hint="eastAsia" w:eastAsia="仿宋_GB2312"/>
          <w:bCs/>
          <w:color w:val="000000"/>
          <w:kern w:val="0"/>
          <w:sz w:val="32"/>
          <w:szCs w:val="32"/>
        </w:rPr>
        <w:t>中牟县老火车站片区位于中牟县老城东侧。本次规划主要针对解放路两侧、贾鲁河南、陇海铁路北、省道223西区域内编制城市更新专项规划，规划面积为614公顷。（详见下图）</w:t>
      </w:r>
    </w:p>
    <w:p>
      <w:pPr>
        <w:tabs>
          <w:tab w:val="left" w:pos="1260"/>
        </w:tabs>
        <w:spacing w:line="600" w:lineRule="exact"/>
        <w:ind w:firstLine="560" w:firstLineChars="200"/>
        <w:jc w:val="center"/>
        <w:rPr>
          <w:rFonts w:hint="eastAsia" w:ascii="楷体" w:hAnsi="楷体" w:eastAsia="楷体"/>
          <w:bCs/>
          <w:color w:val="000000"/>
          <w:kern w:val="0"/>
          <w:sz w:val="28"/>
          <w:szCs w:val="32"/>
        </w:rPr>
      </w:pPr>
      <w:r>
        <w:rPr>
          <w:rFonts w:hint="eastAsia" w:ascii="楷体" w:hAnsi="楷体" w:eastAsia="楷体"/>
          <w:bCs/>
          <w:color w:val="000000"/>
          <w:kern w:val="0"/>
          <w:sz w:val="28"/>
          <w:szCs w:val="32"/>
        </w:rPr>
        <w:t>图1《中牟县火车站片区更新规划》规划范围</w:t>
      </w:r>
    </w:p>
    <w:p>
      <w:pPr>
        <w:spacing w:line="600" w:lineRule="exact"/>
        <w:rPr>
          <w:rFonts w:eastAsia="黑体"/>
          <w:sz w:val="32"/>
          <w:szCs w:val="32"/>
        </w:rPr>
      </w:pPr>
      <w:r>
        <w:rPr>
          <w:rFonts w:eastAsia="黑体"/>
          <w:sz w:val="32"/>
          <w:szCs w:val="32"/>
        </w:rPr>
        <w:t>三、</w:t>
      </w:r>
      <w:r>
        <w:rPr>
          <w:rFonts w:hint="eastAsia" w:eastAsia="黑体"/>
          <w:sz w:val="32"/>
          <w:szCs w:val="32"/>
        </w:rPr>
        <w:t>主要编制内容</w:t>
      </w:r>
    </w:p>
    <w:p>
      <w:pPr>
        <w:tabs>
          <w:tab w:val="left" w:pos="1260"/>
        </w:tabs>
        <w:spacing w:line="600" w:lineRule="exact"/>
        <w:ind w:firstLine="640" w:firstLineChars="200"/>
        <w:rPr>
          <w:rFonts w:eastAsia="仿宋_GB2312"/>
          <w:bCs/>
          <w:color w:val="000000"/>
          <w:kern w:val="0"/>
          <w:sz w:val="32"/>
          <w:szCs w:val="32"/>
        </w:rPr>
      </w:pPr>
      <w:r>
        <w:rPr>
          <w:rFonts w:hint="eastAsia" w:eastAsia="仿宋_GB2312"/>
          <w:bCs/>
          <w:color w:val="000000"/>
          <w:kern w:val="0"/>
          <w:sz w:val="32"/>
          <w:szCs w:val="32"/>
        </w:rPr>
        <w:t>系统梳理老火车站片区发展历程与周边城市空间功能格局。对老火车站片区土地使用情况、建筑质量、产权情况进行盘点分析，梳理老火车站片区内低效存量土地与闲置楼宇空间。以产业转型升级为出发点，通过精细化城市设计的手段引导区域有机更新，构建适宜新业态的城市空间格局，完善公共服务设施配套和基础设施建设，优化规划区交通组织和公共空间体系，打造产城融合发展的高质量城市存量发展区。</w:t>
      </w:r>
    </w:p>
    <w:p>
      <w:pPr>
        <w:tabs>
          <w:tab w:val="left" w:pos="1260"/>
        </w:tabs>
        <w:spacing w:line="600" w:lineRule="exact"/>
        <w:ind w:firstLine="643" w:firstLineChars="200"/>
        <w:rPr>
          <w:rFonts w:eastAsia="仿宋_GB2312"/>
          <w:bCs/>
          <w:color w:val="000000"/>
          <w:kern w:val="0"/>
          <w:sz w:val="32"/>
          <w:szCs w:val="32"/>
        </w:rPr>
      </w:pPr>
      <w:r>
        <w:rPr>
          <w:rFonts w:hint="eastAsia" w:eastAsia="仿宋_GB2312"/>
          <w:b/>
          <w:bCs/>
          <w:color w:val="000000"/>
          <w:kern w:val="0"/>
          <w:sz w:val="32"/>
          <w:szCs w:val="32"/>
        </w:rPr>
        <w:t>（1）老火车站片区有机更新基础研究。</w:t>
      </w:r>
      <w:r>
        <w:rPr>
          <w:rFonts w:hint="eastAsia" w:eastAsia="仿宋_GB2312"/>
          <w:bCs/>
          <w:color w:val="000000"/>
          <w:kern w:val="0"/>
          <w:sz w:val="32"/>
          <w:szCs w:val="32"/>
        </w:rPr>
        <w:t>包含项目背景研究、规划区用地开发强度、产业用地产出情况、土地权属、土地使用年限、现状建筑质量、闲置厂房情况、城市空间品质评价、建筑风貌评估、三大设施现状情况、更新机遇用地梳理等工作，梳理总结规划区现状发展与更新转型的使命和问题，并对根据郑州市、中牟县国土空间规划和中牟县十四五规划提出的要求，确定规划未来发展的定位和目标。</w:t>
      </w:r>
    </w:p>
    <w:p>
      <w:pPr>
        <w:tabs>
          <w:tab w:val="left" w:pos="1260"/>
        </w:tabs>
        <w:spacing w:line="600" w:lineRule="exact"/>
        <w:ind w:firstLine="643" w:firstLineChars="200"/>
        <w:rPr>
          <w:rFonts w:eastAsia="仿宋_GB2312"/>
          <w:bCs/>
          <w:color w:val="000000"/>
          <w:kern w:val="0"/>
          <w:sz w:val="32"/>
          <w:szCs w:val="32"/>
        </w:rPr>
      </w:pPr>
      <w:r>
        <w:rPr>
          <w:rFonts w:hint="eastAsia" w:eastAsia="仿宋_GB2312"/>
          <w:b/>
          <w:bCs/>
          <w:color w:val="000000"/>
          <w:kern w:val="0"/>
          <w:sz w:val="32"/>
          <w:szCs w:val="32"/>
        </w:rPr>
        <w:t>（2）老火车站片区产业发展策划。</w:t>
      </w:r>
      <w:r>
        <w:rPr>
          <w:rFonts w:hint="eastAsia" w:eastAsia="仿宋_GB2312"/>
          <w:bCs/>
          <w:color w:val="000000"/>
          <w:kern w:val="0"/>
          <w:sz w:val="32"/>
          <w:szCs w:val="32"/>
        </w:rPr>
        <w:t>立足中牟县城市更新先行示范区的站位，结合国内外城市更新转型经验、工作机制与产业发展方向，明确规划区的更新路径和主导产业，结合规划区现状摸底的内容，制定规划区地块更新类型，并根据规划区未来发展主导产业的基础上，进一步细化规划区地块更新的功能。</w:t>
      </w:r>
    </w:p>
    <w:p>
      <w:pPr>
        <w:tabs>
          <w:tab w:val="left" w:pos="1260"/>
        </w:tabs>
        <w:spacing w:line="600" w:lineRule="exact"/>
        <w:ind w:firstLine="643" w:firstLineChars="200"/>
        <w:rPr>
          <w:rFonts w:eastAsia="仿宋_GB2312"/>
          <w:bCs/>
          <w:color w:val="000000"/>
          <w:kern w:val="0"/>
          <w:sz w:val="32"/>
          <w:szCs w:val="32"/>
        </w:rPr>
      </w:pPr>
      <w:r>
        <w:rPr>
          <w:rFonts w:hint="eastAsia" w:eastAsia="仿宋_GB2312"/>
          <w:b/>
          <w:bCs/>
          <w:color w:val="000000"/>
          <w:kern w:val="0"/>
          <w:sz w:val="32"/>
          <w:szCs w:val="32"/>
        </w:rPr>
        <w:t>（3）老火车站片区空间设计。</w:t>
      </w:r>
      <w:r>
        <w:rPr>
          <w:rFonts w:hint="eastAsia" w:eastAsia="仿宋_GB2312"/>
          <w:bCs/>
          <w:color w:val="000000"/>
          <w:kern w:val="0"/>
          <w:sz w:val="32"/>
          <w:szCs w:val="32"/>
        </w:rPr>
        <w:t>包括总体空间结构布局、整体城市设计方案、道路交通系统优化方案、公共服务设施和基础设施布局、结合城市设计方案综合考虑资金测算等内容。结合规划区更新，新的功能植入将对交通系统支撑提出新的要求，需要进行交通承载力评价判断，并结合新的交通出行需求，对于交通组织、道路断面、公共交通支撑等提出合理化建议。</w:t>
      </w:r>
    </w:p>
    <w:p>
      <w:pPr>
        <w:tabs>
          <w:tab w:val="left" w:pos="1260"/>
        </w:tabs>
        <w:spacing w:line="600" w:lineRule="exact"/>
        <w:ind w:firstLine="643" w:firstLineChars="200"/>
        <w:rPr>
          <w:rFonts w:eastAsia="仿宋_GB2312"/>
          <w:bCs/>
          <w:color w:val="000000"/>
          <w:kern w:val="0"/>
          <w:sz w:val="32"/>
          <w:szCs w:val="32"/>
        </w:rPr>
      </w:pPr>
      <w:r>
        <w:rPr>
          <w:rFonts w:hint="eastAsia" w:eastAsia="仿宋_GB2312"/>
          <w:b/>
          <w:bCs/>
          <w:color w:val="000000"/>
          <w:kern w:val="0"/>
          <w:sz w:val="32"/>
          <w:szCs w:val="32"/>
        </w:rPr>
        <w:t>（4）老火车站片区更新实施指引。</w:t>
      </w:r>
      <w:r>
        <w:rPr>
          <w:rFonts w:hint="eastAsia" w:eastAsia="仿宋_GB2312"/>
          <w:bCs/>
          <w:color w:val="000000"/>
          <w:kern w:val="0"/>
          <w:sz w:val="32"/>
          <w:szCs w:val="32"/>
        </w:rPr>
        <w:t>结合空间特质、土地权属、更新亮点、实施难易度、更新收益等因素，制定规划区更新实施计划，划定重点片区、拟定更新时序、明确重点任务及实施保障机制。近期优先落实实施难度小、土地权属明晰、空间特质明显、更新收益较高的区域，打造规划区更新的先行示范项目，提高区域知名度和影响力。远期对规划区剩余区域持续更新，做到规划区整体空间品质提质、产业转型升级、宜居宜业城区的目标。</w:t>
      </w:r>
    </w:p>
    <w:p>
      <w:pPr>
        <w:tabs>
          <w:tab w:val="left" w:pos="1260"/>
        </w:tabs>
        <w:spacing w:line="600" w:lineRule="exact"/>
        <w:ind w:firstLine="643" w:firstLineChars="200"/>
        <w:rPr>
          <w:rFonts w:hint="eastAsia" w:eastAsia="仿宋_GB2312"/>
          <w:b/>
          <w:bCs/>
          <w:color w:val="000000"/>
          <w:kern w:val="0"/>
          <w:sz w:val="32"/>
          <w:szCs w:val="32"/>
        </w:rPr>
      </w:pPr>
      <w:r>
        <w:rPr>
          <w:rFonts w:hint="eastAsia" w:eastAsia="仿宋_GB2312"/>
          <w:b/>
          <w:bCs/>
          <w:color w:val="000000"/>
          <w:kern w:val="0"/>
          <w:sz w:val="32"/>
          <w:szCs w:val="32"/>
        </w:rPr>
        <w:t>（5）制定街区控规编制指引。</w:t>
      </w:r>
      <w:r>
        <w:rPr>
          <w:rFonts w:hint="eastAsia" w:eastAsia="仿宋_GB2312"/>
          <w:bCs/>
          <w:color w:val="000000"/>
          <w:kern w:val="0"/>
          <w:sz w:val="32"/>
          <w:szCs w:val="32"/>
        </w:rPr>
        <w:t>结合城市更新项目、土地权属、行政边界等要素，划定街区控规单元，并对街区控规纳入落实更新规划管控要素做出指引。</w:t>
      </w:r>
    </w:p>
    <w:p>
      <w:pPr>
        <w:spacing w:line="600" w:lineRule="exact"/>
        <w:rPr>
          <w:rFonts w:eastAsia="黑体"/>
          <w:sz w:val="32"/>
          <w:szCs w:val="32"/>
        </w:rPr>
      </w:pPr>
      <w:r>
        <w:rPr>
          <w:rFonts w:hint="eastAsia" w:eastAsia="黑体"/>
          <w:sz w:val="32"/>
          <w:szCs w:val="32"/>
        </w:rPr>
        <w:t>四</w:t>
      </w:r>
      <w:r>
        <w:rPr>
          <w:rFonts w:eastAsia="黑体"/>
          <w:sz w:val="32"/>
          <w:szCs w:val="32"/>
        </w:rPr>
        <w:t>、规划设计成果</w:t>
      </w:r>
    </w:p>
    <w:p>
      <w:pPr>
        <w:pStyle w:val="19"/>
        <w:spacing w:before="0" w:beforeAutospacing="0" w:after="0" w:afterAutospacing="0" w:line="600" w:lineRule="exact"/>
        <w:ind w:firstLine="640" w:firstLineChars="200"/>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本次更新规划设计应达到控规设计深度，重点地区深化至图则深度，</w:t>
      </w:r>
      <w:r>
        <w:rPr>
          <w:rFonts w:ascii="Times New Roman" w:hAnsi="Times New Roman" w:eastAsia="仿宋_GB2312"/>
          <w:bCs/>
          <w:color w:val="000000"/>
          <w:sz w:val="32"/>
          <w:szCs w:val="32"/>
        </w:rPr>
        <w:t>规划设计成果应包括说明书、图纸等。</w:t>
      </w:r>
    </w:p>
    <w:p>
      <w:pPr>
        <w:pStyle w:val="19"/>
        <w:spacing w:before="0" w:beforeAutospacing="0" w:after="0" w:afterAutospacing="0" w:line="600" w:lineRule="exact"/>
        <w:ind w:firstLine="643" w:firstLineChars="200"/>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1、说明书</w:t>
      </w:r>
    </w:p>
    <w:p>
      <w:pPr>
        <w:pStyle w:val="19"/>
        <w:spacing w:before="0" w:beforeAutospacing="0" w:after="0" w:afterAutospacing="0" w:line="60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（1）现状条件分析；</w:t>
      </w:r>
    </w:p>
    <w:p>
      <w:pPr>
        <w:pStyle w:val="19"/>
        <w:spacing w:before="0" w:beforeAutospacing="0" w:after="0" w:afterAutospacing="0" w:line="60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（2）规划原则和总体构思；</w:t>
      </w:r>
    </w:p>
    <w:p>
      <w:pPr>
        <w:pStyle w:val="19"/>
        <w:spacing w:before="0" w:beforeAutospacing="0" w:after="0" w:afterAutospacing="0" w:line="600" w:lineRule="exact"/>
        <w:ind w:firstLine="640" w:firstLineChars="200"/>
        <w:rPr>
          <w:rFonts w:hint="eastAsia" w:ascii="Times New Roman" w:hAnsi="Times New Roman" w:eastAsia="仿宋_GB2312"/>
          <w:bCs/>
          <w:color w:val="000000"/>
          <w:sz w:val="32"/>
          <w:szCs w:val="32"/>
        </w:rPr>
      </w:pPr>
      <w:r>
        <w:rPr>
          <w:rFonts w:ascii="Times New Roman" w:hAnsi="Times New Roman" w:eastAsia="仿宋_GB2312"/>
          <w:bCs/>
          <w:color w:val="000000"/>
          <w:sz w:val="32"/>
          <w:szCs w:val="32"/>
        </w:rPr>
        <w:t>（3）</w:t>
      </w:r>
      <w:r>
        <w:rPr>
          <w:rFonts w:hint="eastAsia" w:ascii="Times New Roman" w:hAnsi="Times New Roman" w:eastAsia="仿宋_GB2312"/>
          <w:bCs/>
          <w:color w:val="000000"/>
          <w:sz w:val="32"/>
          <w:szCs w:val="32"/>
        </w:rPr>
        <w:t>产业功能策划；</w:t>
      </w:r>
    </w:p>
    <w:p>
      <w:pPr>
        <w:pStyle w:val="19"/>
        <w:spacing w:before="0" w:beforeAutospacing="0" w:after="0" w:afterAutospacing="0" w:line="60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4</w:t>
      </w:r>
      <w:r>
        <w:rPr>
          <w:rFonts w:ascii="Times New Roman" w:hAnsi="Times New Roman" w:eastAsia="仿宋_GB2312"/>
          <w:bCs/>
          <w:color w:val="000000"/>
          <w:sz w:val="32"/>
          <w:szCs w:val="32"/>
        </w:rPr>
        <w:t>）总体</w:t>
      </w:r>
      <w:r>
        <w:rPr>
          <w:rFonts w:hint="eastAsia" w:ascii="Times New Roman" w:hAnsi="Times New Roman" w:eastAsia="仿宋_GB2312"/>
          <w:bCs/>
          <w:color w:val="000000"/>
          <w:sz w:val="32"/>
          <w:szCs w:val="32"/>
        </w:rPr>
        <w:t>功能</w:t>
      </w:r>
      <w:r>
        <w:rPr>
          <w:rFonts w:ascii="Times New Roman" w:hAnsi="Times New Roman" w:eastAsia="仿宋_GB2312"/>
          <w:bCs/>
          <w:color w:val="000000"/>
          <w:sz w:val="32"/>
          <w:szCs w:val="32"/>
        </w:rPr>
        <w:t>布局；</w:t>
      </w:r>
    </w:p>
    <w:p>
      <w:pPr>
        <w:pStyle w:val="19"/>
        <w:spacing w:before="0" w:beforeAutospacing="0" w:after="0" w:afterAutospacing="0" w:line="60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5</w:t>
      </w: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城市设计方案</w:t>
      </w:r>
      <w:r>
        <w:rPr>
          <w:rFonts w:ascii="Times New Roman" w:hAnsi="Times New Roman" w:eastAsia="仿宋_GB2312"/>
          <w:bCs/>
          <w:color w:val="000000"/>
          <w:sz w:val="32"/>
          <w:szCs w:val="32"/>
        </w:rPr>
        <w:t>；</w:t>
      </w:r>
    </w:p>
    <w:p>
      <w:pPr>
        <w:pStyle w:val="19"/>
        <w:spacing w:before="0" w:beforeAutospacing="0" w:after="0" w:afterAutospacing="0" w:line="60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6</w:t>
      </w:r>
      <w:r>
        <w:rPr>
          <w:rFonts w:ascii="Times New Roman" w:hAnsi="Times New Roman" w:eastAsia="仿宋_GB2312"/>
          <w:bCs/>
          <w:color w:val="000000"/>
          <w:sz w:val="32"/>
          <w:szCs w:val="32"/>
        </w:rPr>
        <w:t>）道路和绿地系统规划；</w:t>
      </w:r>
    </w:p>
    <w:p>
      <w:pPr>
        <w:pStyle w:val="19"/>
        <w:spacing w:before="0" w:beforeAutospacing="0" w:after="0" w:afterAutospacing="0" w:line="60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7</w:t>
      </w:r>
      <w:r>
        <w:rPr>
          <w:rFonts w:ascii="Times New Roman" w:hAnsi="Times New Roman" w:eastAsia="仿宋_GB2312"/>
          <w:bCs/>
          <w:color w:val="000000"/>
          <w:sz w:val="32"/>
          <w:szCs w:val="32"/>
        </w:rPr>
        <w:t>）主要技术经济指标。</w:t>
      </w:r>
    </w:p>
    <w:p>
      <w:pPr>
        <w:pStyle w:val="19"/>
        <w:spacing w:before="0" w:beforeAutospacing="0" w:after="0" w:afterAutospacing="0" w:line="600" w:lineRule="exact"/>
        <w:ind w:firstLine="643" w:firstLineChars="200"/>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2、图纸</w:t>
      </w:r>
    </w:p>
    <w:p>
      <w:pPr>
        <w:pStyle w:val="19"/>
        <w:spacing w:before="0" w:beforeAutospacing="0" w:after="0" w:afterAutospacing="0" w:line="60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（1）</w:t>
      </w:r>
      <w:r>
        <w:rPr>
          <w:rFonts w:hint="eastAsia" w:ascii="Times New Roman" w:hAnsi="Times New Roman" w:eastAsia="仿宋_GB2312"/>
          <w:bCs/>
          <w:color w:val="000000"/>
          <w:sz w:val="32"/>
          <w:szCs w:val="32"/>
        </w:rPr>
        <w:t>区位示意图</w:t>
      </w:r>
    </w:p>
    <w:p>
      <w:pPr>
        <w:pStyle w:val="19"/>
        <w:spacing w:before="0" w:beforeAutospacing="0" w:after="0" w:afterAutospacing="0" w:line="600" w:lineRule="exact"/>
        <w:ind w:firstLine="640" w:firstLineChars="200"/>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（2）</w:t>
      </w:r>
      <w:r>
        <w:rPr>
          <w:rFonts w:ascii="Times New Roman" w:hAnsi="Times New Roman" w:eastAsia="仿宋_GB2312"/>
          <w:bCs/>
          <w:color w:val="000000"/>
          <w:sz w:val="32"/>
          <w:szCs w:val="32"/>
        </w:rPr>
        <w:t>现状分析图</w:t>
      </w:r>
    </w:p>
    <w:p>
      <w:pPr>
        <w:pStyle w:val="19"/>
        <w:spacing w:before="0" w:beforeAutospacing="0" w:after="0" w:afterAutospacing="0" w:line="60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3</w:t>
      </w:r>
      <w:r>
        <w:rPr>
          <w:rFonts w:ascii="Times New Roman" w:hAnsi="Times New Roman" w:eastAsia="仿宋_GB2312"/>
          <w:bCs/>
          <w:color w:val="000000"/>
          <w:sz w:val="32"/>
          <w:szCs w:val="32"/>
        </w:rPr>
        <w:t>）规划总平面图</w:t>
      </w:r>
    </w:p>
    <w:p>
      <w:pPr>
        <w:pStyle w:val="19"/>
        <w:spacing w:before="0" w:beforeAutospacing="0" w:after="0" w:afterAutospacing="0" w:line="60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4</w:t>
      </w: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规划</w:t>
      </w:r>
      <w:r>
        <w:rPr>
          <w:rFonts w:ascii="Times New Roman" w:hAnsi="Times New Roman" w:eastAsia="仿宋_GB2312"/>
          <w:bCs/>
          <w:color w:val="000000"/>
          <w:sz w:val="32"/>
          <w:szCs w:val="32"/>
        </w:rPr>
        <w:t>结构分析图</w:t>
      </w:r>
    </w:p>
    <w:p>
      <w:pPr>
        <w:pStyle w:val="19"/>
        <w:spacing w:before="0" w:beforeAutospacing="0" w:after="0" w:afterAutospacing="0" w:line="600" w:lineRule="exact"/>
        <w:ind w:firstLine="640" w:firstLineChars="200"/>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（5）用地功能布局分析图</w:t>
      </w:r>
    </w:p>
    <w:p>
      <w:pPr>
        <w:pStyle w:val="19"/>
        <w:spacing w:before="0" w:beforeAutospacing="0" w:after="0" w:afterAutospacing="0" w:line="60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（4）土地利用规划图</w:t>
      </w:r>
      <w:r>
        <w:rPr>
          <w:rFonts w:hint="eastAsia" w:ascii="Times New Roman" w:hAnsi="Times New Roman" w:eastAsia="仿宋_GB2312"/>
          <w:bCs/>
          <w:color w:val="000000"/>
          <w:sz w:val="32"/>
          <w:szCs w:val="32"/>
        </w:rPr>
        <w:t>与用地平衡表</w:t>
      </w:r>
    </w:p>
    <w:p>
      <w:pPr>
        <w:pStyle w:val="19"/>
        <w:spacing w:before="0" w:beforeAutospacing="0" w:after="0" w:afterAutospacing="0" w:line="600" w:lineRule="exact"/>
        <w:ind w:firstLine="640" w:firstLineChars="200"/>
        <w:rPr>
          <w:rFonts w:hint="eastAsia" w:ascii="Times New Roman" w:hAnsi="Times New Roman" w:eastAsia="仿宋_GB2312"/>
          <w:bCs/>
          <w:color w:val="000000"/>
          <w:sz w:val="32"/>
          <w:szCs w:val="32"/>
        </w:rPr>
      </w:pP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7</w:t>
      </w: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城市设计总平面图</w:t>
      </w:r>
    </w:p>
    <w:p>
      <w:pPr>
        <w:pStyle w:val="19"/>
        <w:spacing w:before="0" w:beforeAutospacing="0" w:after="0" w:afterAutospacing="0" w:line="60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8</w:t>
      </w:r>
      <w:r>
        <w:rPr>
          <w:rFonts w:ascii="Times New Roman" w:hAnsi="Times New Roman" w:eastAsia="仿宋_GB2312"/>
          <w:bCs/>
          <w:color w:val="000000"/>
          <w:sz w:val="32"/>
          <w:szCs w:val="32"/>
        </w:rPr>
        <w:t>）绿地景观系统规划图</w:t>
      </w:r>
    </w:p>
    <w:p>
      <w:pPr>
        <w:pStyle w:val="19"/>
        <w:spacing w:before="0" w:beforeAutospacing="0" w:after="0" w:afterAutospacing="0" w:line="60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9</w:t>
      </w:r>
      <w:r>
        <w:rPr>
          <w:rFonts w:ascii="Times New Roman" w:hAnsi="Times New Roman" w:eastAsia="仿宋_GB2312"/>
          <w:bCs/>
          <w:color w:val="000000"/>
          <w:sz w:val="32"/>
          <w:szCs w:val="32"/>
        </w:rPr>
        <w:t>）道路系统规划图</w:t>
      </w:r>
    </w:p>
    <w:p>
      <w:pPr>
        <w:pStyle w:val="19"/>
        <w:spacing w:before="0" w:beforeAutospacing="0" w:after="0" w:afterAutospacing="0" w:line="600" w:lineRule="exact"/>
        <w:ind w:firstLine="640" w:firstLineChars="200"/>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（1</w:t>
      </w:r>
      <w:r>
        <w:rPr>
          <w:rFonts w:ascii="Times New Roman" w:hAnsi="Times New Roman" w:eastAsia="仿宋_GB2312"/>
          <w:bCs/>
          <w:color w:val="000000"/>
          <w:sz w:val="32"/>
          <w:szCs w:val="32"/>
        </w:rPr>
        <w:t>0</w:t>
      </w:r>
      <w:r>
        <w:rPr>
          <w:rFonts w:hint="eastAsia" w:ascii="Times New Roman" w:hAnsi="Times New Roman" w:eastAsia="仿宋_GB2312"/>
          <w:bCs/>
          <w:color w:val="000000"/>
          <w:sz w:val="32"/>
          <w:szCs w:val="32"/>
        </w:rPr>
        <w:t>）更新单元划分图</w:t>
      </w:r>
    </w:p>
    <w:p>
      <w:pPr>
        <w:pStyle w:val="19"/>
        <w:spacing w:before="0" w:beforeAutospacing="0" w:after="0" w:afterAutospacing="0" w:line="60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1</w:t>
      </w:r>
      <w:r>
        <w:rPr>
          <w:rFonts w:ascii="Times New Roman" w:hAnsi="Times New Roman" w:eastAsia="仿宋_GB2312"/>
          <w:bCs/>
          <w:color w:val="000000"/>
          <w:sz w:val="32"/>
          <w:szCs w:val="32"/>
        </w:rPr>
        <w:t>1）</w:t>
      </w:r>
      <w:r>
        <w:rPr>
          <w:rFonts w:hint="eastAsia" w:ascii="Times New Roman" w:hAnsi="Times New Roman" w:eastAsia="仿宋_GB2312"/>
          <w:bCs/>
          <w:color w:val="000000"/>
          <w:sz w:val="32"/>
          <w:szCs w:val="32"/>
        </w:rPr>
        <w:t>建筑高度控制图</w:t>
      </w:r>
    </w:p>
    <w:p>
      <w:pPr>
        <w:pStyle w:val="19"/>
        <w:spacing w:before="0" w:beforeAutospacing="0" w:after="0" w:afterAutospacing="0" w:line="60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1</w:t>
      </w:r>
      <w:r>
        <w:rPr>
          <w:rFonts w:ascii="Times New Roman" w:hAnsi="Times New Roman" w:eastAsia="仿宋_GB2312"/>
          <w:bCs/>
          <w:color w:val="000000"/>
          <w:sz w:val="32"/>
          <w:szCs w:val="32"/>
        </w:rPr>
        <w:t>2）</w:t>
      </w:r>
      <w:r>
        <w:rPr>
          <w:rFonts w:hint="eastAsia" w:ascii="Times New Roman" w:hAnsi="Times New Roman" w:eastAsia="仿宋_GB2312"/>
          <w:bCs/>
          <w:color w:val="000000"/>
          <w:sz w:val="32"/>
          <w:szCs w:val="32"/>
        </w:rPr>
        <w:t>建设强度控制图</w:t>
      </w:r>
    </w:p>
    <w:p>
      <w:pPr>
        <w:pStyle w:val="19"/>
        <w:spacing w:before="0" w:beforeAutospacing="0" w:after="0" w:afterAutospacing="0" w:line="60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1</w:t>
      </w:r>
      <w:r>
        <w:rPr>
          <w:rFonts w:ascii="Times New Roman" w:hAnsi="Times New Roman" w:eastAsia="仿宋_GB2312"/>
          <w:bCs/>
          <w:color w:val="000000"/>
          <w:sz w:val="32"/>
          <w:szCs w:val="32"/>
        </w:rPr>
        <w:t>3）</w:t>
      </w:r>
      <w:r>
        <w:rPr>
          <w:rFonts w:hint="eastAsia" w:ascii="Times New Roman" w:hAnsi="Times New Roman" w:eastAsia="仿宋_GB2312"/>
          <w:bCs/>
          <w:color w:val="000000"/>
          <w:sz w:val="32"/>
          <w:szCs w:val="32"/>
        </w:rPr>
        <w:t>重要节点设计意向图</w:t>
      </w:r>
    </w:p>
    <w:p>
      <w:pPr>
        <w:pStyle w:val="19"/>
        <w:spacing w:before="0" w:beforeAutospacing="0" w:after="0" w:afterAutospacing="0" w:line="60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1</w:t>
      </w:r>
      <w:r>
        <w:rPr>
          <w:rFonts w:ascii="Times New Roman" w:hAnsi="Times New Roman" w:eastAsia="仿宋_GB2312"/>
          <w:bCs/>
          <w:color w:val="000000"/>
          <w:sz w:val="32"/>
          <w:szCs w:val="32"/>
        </w:rPr>
        <w:t>4）</w:t>
      </w:r>
      <w:r>
        <w:rPr>
          <w:rFonts w:hint="eastAsia" w:ascii="Times New Roman" w:hAnsi="Times New Roman" w:eastAsia="仿宋_GB2312"/>
          <w:bCs/>
          <w:color w:val="000000"/>
          <w:sz w:val="32"/>
          <w:szCs w:val="32"/>
        </w:rPr>
        <w:t>城市设计鸟瞰、透视图等图纸</w:t>
      </w:r>
    </w:p>
    <w:p>
      <w:pPr>
        <w:pStyle w:val="19"/>
        <w:spacing w:before="0" w:beforeAutospacing="0" w:after="0" w:afterAutospacing="0" w:line="600" w:lineRule="exact"/>
        <w:ind w:firstLine="640" w:firstLineChars="200"/>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（1</w:t>
      </w:r>
      <w:r>
        <w:rPr>
          <w:rFonts w:ascii="Times New Roman" w:hAnsi="Times New Roman" w:eastAsia="仿宋_GB2312"/>
          <w:bCs/>
          <w:color w:val="000000"/>
          <w:sz w:val="32"/>
          <w:szCs w:val="32"/>
        </w:rPr>
        <w:t>5</w:t>
      </w:r>
      <w:r>
        <w:rPr>
          <w:rFonts w:hint="eastAsia" w:ascii="Times New Roman" w:hAnsi="Times New Roman" w:eastAsia="仿宋_GB2312"/>
          <w:bCs/>
          <w:color w:val="000000"/>
          <w:sz w:val="32"/>
          <w:szCs w:val="32"/>
        </w:rPr>
        <w:t>）单元控规图则示意</w:t>
      </w:r>
    </w:p>
    <w:p>
      <w:pPr>
        <w:pStyle w:val="19"/>
        <w:spacing w:before="0" w:beforeAutospacing="0" w:after="0" w:afterAutospacing="0" w:line="60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1</w:t>
      </w:r>
      <w:r>
        <w:rPr>
          <w:rFonts w:ascii="Times New Roman" w:hAnsi="Times New Roman" w:eastAsia="仿宋_GB2312"/>
          <w:bCs/>
          <w:color w:val="000000"/>
          <w:sz w:val="32"/>
          <w:szCs w:val="32"/>
        </w:rPr>
        <w:t>5）其他相关分析及规划图纸等</w:t>
      </w:r>
    </w:p>
    <w:p>
      <w:pPr>
        <w:rPr>
          <w:sz w:val="32"/>
          <w:szCs w:val="32"/>
          <w:highlight w:val="none"/>
        </w:rPr>
      </w:pPr>
      <w:r>
        <w:rPr>
          <w:sz w:val="32"/>
          <w:szCs w:val="32"/>
          <w:highlight w:val="none"/>
        </w:rPr>
        <w:br w:type="page"/>
      </w:r>
    </w:p>
    <w:p>
      <w:pPr>
        <w:pStyle w:val="2"/>
      </w:pPr>
    </w:p>
    <w:p>
      <w:pPr>
        <w:pStyle w:val="40"/>
        <w:keepNext/>
        <w:keepLines/>
        <w:spacing w:after="300" w:line="240" w:lineRule="auto"/>
        <w:rPr>
          <w:sz w:val="32"/>
          <w:szCs w:val="32"/>
          <w:highlight w:val="none"/>
        </w:rPr>
      </w:pPr>
      <w:bookmarkStart w:id="88" w:name="_Toc27032"/>
      <w:r>
        <w:rPr>
          <w:sz w:val="32"/>
          <w:szCs w:val="32"/>
          <w:highlight w:val="none"/>
        </w:rPr>
        <w:t>第</w:t>
      </w:r>
      <w:r>
        <w:rPr>
          <w:rFonts w:hint="eastAsia"/>
          <w:sz w:val="32"/>
          <w:szCs w:val="32"/>
          <w:highlight w:val="none"/>
          <w:lang w:val="en-US" w:eastAsia="zh-CN"/>
        </w:rPr>
        <w:t>六</w:t>
      </w:r>
      <w:r>
        <w:rPr>
          <w:sz w:val="32"/>
          <w:szCs w:val="32"/>
          <w:highlight w:val="none"/>
        </w:rPr>
        <w:t>章</w:t>
      </w:r>
      <w:r>
        <w:rPr>
          <w:sz w:val="32"/>
          <w:szCs w:val="32"/>
          <w:highlight w:val="none"/>
          <w:lang w:val="en-US" w:eastAsia="zh-CN"/>
        </w:rPr>
        <w:t xml:space="preserve">  </w:t>
      </w:r>
      <w:r>
        <w:rPr>
          <w:sz w:val="32"/>
          <w:szCs w:val="32"/>
          <w:highlight w:val="none"/>
        </w:rPr>
        <w:t>竞争性磋商响应文件格式</w:t>
      </w:r>
      <w:bookmarkEnd w:id="80"/>
      <w:bookmarkEnd w:id="81"/>
      <w:bookmarkEnd w:id="82"/>
      <w:bookmarkEnd w:id="83"/>
      <w:bookmarkEnd w:id="84"/>
      <w:bookmarkEnd w:id="85"/>
      <w:bookmarkEnd w:id="86"/>
      <w:bookmarkEnd w:id="87"/>
      <w:bookmarkEnd w:id="88"/>
    </w:p>
    <w:p>
      <w:pPr>
        <w:pStyle w:val="42"/>
        <w:spacing w:after="0"/>
        <w:rPr>
          <w:rFonts w:hint="eastAsia" w:eastAsia="宋体"/>
          <w:b w:val="0"/>
          <w:bCs w:val="0"/>
          <w:sz w:val="48"/>
          <w:szCs w:val="48"/>
          <w:highlight w:val="none"/>
          <w:u w:val="single"/>
          <w:lang w:val="en-US" w:eastAsia="zh-CN"/>
        </w:rPr>
      </w:pPr>
      <w:bookmarkStart w:id="89" w:name="_Toc27226"/>
      <w:bookmarkStart w:id="90" w:name="_Toc8262"/>
      <w:bookmarkStart w:id="91" w:name="_Toc22230"/>
      <w:r>
        <w:rPr>
          <w:rFonts w:hint="eastAsia"/>
          <w:b w:val="0"/>
          <w:bCs w:val="0"/>
          <w:sz w:val="48"/>
          <w:szCs w:val="48"/>
          <w:highlight w:val="none"/>
          <w:u w:val="single"/>
          <w:lang w:val="en-US" w:eastAsia="zh-CN"/>
        </w:rPr>
        <w:t xml:space="preserve">              </w:t>
      </w:r>
      <w:r>
        <w:rPr>
          <w:rFonts w:hint="eastAsia"/>
          <w:b w:val="0"/>
          <w:bCs w:val="0"/>
          <w:sz w:val="48"/>
          <w:szCs w:val="48"/>
          <w:highlight w:val="none"/>
          <w:lang w:val="en-US" w:eastAsia="zh-CN"/>
        </w:rPr>
        <w:t>（项目名称）</w:t>
      </w:r>
    </w:p>
    <w:p>
      <w:pPr>
        <w:pStyle w:val="42"/>
        <w:spacing w:after="0"/>
        <w:rPr>
          <w:highlight w:val="none"/>
        </w:rPr>
      </w:pPr>
    </w:p>
    <w:p>
      <w:pPr>
        <w:pStyle w:val="42"/>
        <w:spacing w:after="0"/>
        <w:rPr>
          <w:highlight w:val="none"/>
        </w:rPr>
      </w:pPr>
      <w:r>
        <w:rPr>
          <w:highlight w:val="none"/>
        </w:rPr>
        <w:t>响应文件</w:t>
      </w:r>
      <w:bookmarkEnd w:id="89"/>
      <w:bookmarkEnd w:id="90"/>
      <w:bookmarkEnd w:id="91"/>
    </w:p>
    <w:p>
      <w:pPr>
        <w:pStyle w:val="42"/>
        <w:spacing w:after="0"/>
        <w:ind w:firstLine="2640" w:firstLineChars="1100"/>
        <w:jc w:val="both"/>
        <w:rPr>
          <w:b w:val="0"/>
          <w:bCs w:val="0"/>
          <w:sz w:val="24"/>
          <w:szCs w:val="24"/>
          <w:highlight w:val="none"/>
          <w:lang w:val="en-US" w:eastAsia="zh-CN"/>
        </w:rPr>
      </w:pPr>
      <w:r>
        <w:rPr>
          <w:rFonts w:hint="eastAsia"/>
          <w:b w:val="0"/>
          <w:bCs w:val="0"/>
          <w:sz w:val="24"/>
          <w:szCs w:val="24"/>
          <w:highlight w:val="none"/>
          <w:lang w:val="en-US" w:eastAsia="zh-CN"/>
        </w:rPr>
        <w:t>采购编号：</w:t>
      </w:r>
    </w:p>
    <w:p>
      <w:pPr>
        <w:pStyle w:val="54"/>
        <w:spacing w:after="700" w:line="240" w:lineRule="auto"/>
        <w:ind w:firstLine="0"/>
        <w:rPr>
          <w:sz w:val="20"/>
          <w:szCs w:val="20"/>
          <w:highlight w:val="none"/>
        </w:rPr>
      </w:pPr>
    </w:p>
    <w:p>
      <w:pPr>
        <w:pStyle w:val="54"/>
        <w:spacing w:after="700" w:line="240" w:lineRule="auto"/>
        <w:ind w:firstLine="0"/>
        <w:rPr>
          <w:sz w:val="20"/>
          <w:szCs w:val="20"/>
          <w:highlight w:val="none"/>
        </w:rPr>
      </w:pPr>
    </w:p>
    <w:p>
      <w:pPr>
        <w:pStyle w:val="54"/>
        <w:spacing w:after="700" w:line="240" w:lineRule="auto"/>
        <w:ind w:firstLine="0"/>
        <w:rPr>
          <w:sz w:val="20"/>
          <w:szCs w:val="20"/>
          <w:highlight w:val="none"/>
        </w:rPr>
      </w:pPr>
    </w:p>
    <w:p>
      <w:pPr>
        <w:pStyle w:val="54"/>
        <w:spacing w:after="700" w:line="240" w:lineRule="auto"/>
        <w:ind w:firstLine="0"/>
        <w:rPr>
          <w:sz w:val="20"/>
          <w:szCs w:val="20"/>
          <w:highlight w:val="none"/>
        </w:rPr>
      </w:pPr>
    </w:p>
    <w:p>
      <w:pPr>
        <w:pStyle w:val="54"/>
        <w:spacing w:line="720" w:lineRule="auto"/>
        <w:ind w:firstLine="0"/>
        <w:rPr>
          <w:sz w:val="24"/>
          <w:szCs w:val="24"/>
          <w:highlight w:val="none"/>
        </w:rPr>
      </w:pPr>
    </w:p>
    <w:p>
      <w:pPr>
        <w:pStyle w:val="54"/>
        <w:spacing w:line="720" w:lineRule="auto"/>
        <w:ind w:firstLine="0"/>
        <w:rPr>
          <w:sz w:val="24"/>
          <w:szCs w:val="24"/>
          <w:highlight w:val="none"/>
        </w:rPr>
      </w:pPr>
    </w:p>
    <w:p>
      <w:pPr>
        <w:pStyle w:val="54"/>
        <w:spacing w:line="720" w:lineRule="auto"/>
        <w:ind w:firstLine="0"/>
        <w:rPr>
          <w:sz w:val="24"/>
          <w:szCs w:val="24"/>
          <w:highlight w:val="none"/>
        </w:rPr>
      </w:pPr>
    </w:p>
    <w:p>
      <w:pPr>
        <w:pStyle w:val="54"/>
        <w:spacing w:line="720" w:lineRule="auto"/>
        <w:ind w:firstLine="0"/>
        <w:rPr>
          <w:sz w:val="24"/>
          <w:szCs w:val="24"/>
          <w:highlight w:val="none"/>
        </w:rPr>
      </w:pPr>
      <w:r>
        <w:rPr>
          <w:sz w:val="24"/>
          <w:szCs w:val="24"/>
          <w:highlight w:val="none"/>
        </w:rPr>
        <w:t>供应商：</w:t>
      </w:r>
      <w:r>
        <w:rPr>
          <w:rFonts w:hint="eastAsia"/>
          <w:sz w:val="24"/>
          <w:szCs w:val="24"/>
          <w:highlight w:val="none"/>
          <w:u w:val="single"/>
          <w:lang w:val="en-US" w:eastAsia="zh-CN"/>
        </w:rPr>
        <w:t xml:space="preserve">                                     </w:t>
      </w:r>
      <w:r>
        <w:rPr>
          <w:sz w:val="24"/>
          <w:szCs w:val="24"/>
          <w:highlight w:val="none"/>
        </w:rPr>
        <w:t>（盖单位章）</w:t>
      </w:r>
    </w:p>
    <w:p>
      <w:pPr>
        <w:pStyle w:val="54"/>
        <w:spacing w:line="720" w:lineRule="auto"/>
        <w:ind w:firstLine="0"/>
        <w:rPr>
          <w:sz w:val="24"/>
          <w:szCs w:val="24"/>
          <w:highlight w:val="none"/>
        </w:rPr>
      </w:pPr>
      <w:r>
        <w:rPr>
          <w:sz w:val="24"/>
          <w:szCs w:val="24"/>
          <w:highlight w:val="none"/>
        </w:rPr>
        <w:t>法定代表人或其委托代理人：</w:t>
      </w:r>
      <w:r>
        <w:rPr>
          <w:rFonts w:hint="eastAsia"/>
          <w:sz w:val="24"/>
          <w:szCs w:val="24"/>
          <w:highlight w:val="none"/>
          <w:u w:val="single"/>
          <w:lang w:val="en-US" w:eastAsia="zh-CN"/>
        </w:rPr>
        <w:t xml:space="preserve">                   </w:t>
      </w:r>
      <w:r>
        <w:rPr>
          <w:sz w:val="24"/>
          <w:szCs w:val="24"/>
          <w:highlight w:val="none"/>
        </w:rPr>
        <w:t>（签字或盖章）</w:t>
      </w:r>
    </w:p>
    <w:p>
      <w:pPr>
        <w:pStyle w:val="54"/>
        <w:spacing w:line="720" w:lineRule="auto"/>
        <w:ind w:firstLine="0"/>
        <w:jc w:val="center"/>
        <w:rPr>
          <w:sz w:val="24"/>
          <w:szCs w:val="24"/>
          <w:highlight w:val="none"/>
        </w:rPr>
      </w:pPr>
      <w:r>
        <w:rPr>
          <w:sz w:val="24"/>
          <w:szCs w:val="24"/>
          <w:highlight w:val="none"/>
        </w:rPr>
        <w:t>年 月 日</w:t>
      </w:r>
    </w:p>
    <w:p>
      <w:pPr>
        <w:pStyle w:val="54"/>
        <w:spacing w:line="720" w:lineRule="auto"/>
        <w:ind w:firstLine="0"/>
        <w:rPr>
          <w:sz w:val="20"/>
          <w:szCs w:val="20"/>
          <w:highlight w:val="none"/>
        </w:rPr>
      </w:pPr>
      <w:r>
        <w:rPr>
          <w:highlight w:val="none"/>
        </w:rPr>
        <w:br w:type="page"/>
      </w:r>
    </w:p>
    <w:p>
      <w:pPr>
        <w:pStyle w:val="54"/>
        <w:tabs>
          <w:tab w:val="left" w:pos="469"/>
        </w:tabs>
        <w:spacing w:after="220" w:line="240" w:lineRule="auto"/>
        <w:ind w:firstLine="0"/>
        <w:jc w:val="center"/>
        <w:rPr>
          <w:rFonts w:asciiTheme="minorEastAsia" w:hAnsiTheme="minorEastAsia" w:eastAsiaTheme="minorEastAsia" w:cstheme="minorEastAsia"/>
          <w:sz w:val="24"/>
          <w:szCs w:val="24"/>
          <w:highlight w:val="none"/>
          <w:lang w:val="en-US" w:eastAsia="zh-CN"/>
        </w:rPr>
      </w:pPr>
      <w:bookmarkStart w:id="92" w:name="bookmark435"/>
      <w:r>
        <w:rPr>
          <w:rFonts w:hint="eastAsia" w:asciiTheme="minorEastAsia" w:hAnsiTheme="minorEastAsia" w:eastAsiaTheme="minorEastAsia" w:cstheme="minorEastAsia"/>
          <w:sz w:val="24"/>
          <w:szCs w:val="24"/>
          <w:highlight w:val="none"/>
          <w:lang w:val="en-US" w:eastAsia="zh-CN"/>
        </w:rPr>
        <w:t>目    录</w:t>
      </w:r>
    </w:p>
    <w:p>
      <w:pPr>
        <w:pStyle w:val="54"/>
        <w:tabs>
          <w:tab w:val="left" w:pos="469"/>
        </w:tabs>
        <w:spacing w:after="220" w:line="240" w:lineRule="auto"/>
        <w:ind w:firstLine="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w:t>
      </w:r>
      <w:bookmarkEnd w:id="92"/>
      <w:r>
        <w:rPr>
          <w:rFonts w:hint="eastAsia" w:asciiTheme="minorEastAsia" w:hAnsiTheme="minorEastAsia" w:eastAsiaTheme="minorEastAsia" w:cstheme="minorEastAsia"/>
          <w:sz w:val="24"/>
          <w:szCs w:val="24"/>
          <w:highlight w:val="none"/>
        </w:rPr>
        <w:t>、磋商函及磋商函附录</w:t>
      </w:r>
    </w:p>
    <w:p>
      <w:pPr>
        <w:pStyle w:val="54"/>
        <w:spacing w:after="220" w:line="240" w:lineRule="auto"/>
        <w:ind w:firstLine="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、法定代表人身份证明</w:t>
      </w:r>
    </w:p>
    <w:p>
      <w:pPr>
        <w:pStyle w:val="54"/>
        <w:spacing w:after="220" w:line="240" w:lineRule="auto"/>
        <w:ind w:firstLine="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三</w:t>
      </w:r>
      <w:r>
        <w:rPr>
          <w:rFonts w:hint="eastAsia" w:asciiTheme="minorEastAsia" w:hAnsiTheme="minorEastAsia" w:eastAsiaTheme="minorEastAsia" w:cstheme="minorEastAsia"/>
          <w:sz w:val="24"/>
          <w:szCs w:val="24"/>
          <w:highlight w:val="none"/>
        </w:rPr>
        <w:t>、法定代表人授权委托书</w:t>
      </w:r>
    </w:p>
    <w:p>
      <w:pPr>
        <w:pStyle w:val="54"/>
        <w:spacing w:after="220" w:line="240" w:lineRule="auto"/>
        <w:ind w:firstLine="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四</w:t>
      </w:r>
      <w:r>
        <w:rPr>
          <w:rFonts w:hint="eastAsia" w:asciiTheme="minorEastAsia" w:hAnsiTheme="minorEastAsia" w:eastAsiaTheme="minorEastAsia" w:cstheme="minorEastAsia"/>
          <w:sz w:val="24"/>
          <w:szCs w:val="24"/>
          <w:highlight w:val="none"/>
        </w:rPr>
        <w:t>、资格审查资料</w:t>
      </w:r>
    </w:p>
    <w:p>
      <w:pPr>
        <w:pStyle w:val="54"/>
        <w:spacing w:after="220" w:line="240" w:lineRule="auto"/>
        <w:ind w:firstLine="0"/>
        <w:rPr>
          <w:rFonts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五、技术部分</w:t>
      </w:r>
    </w:p>
    <w:p>
      <w:pPr>
        <w:pStyle w:val="54"/>
        <w:spacing w:after="220" w:line="240" w:lineRule="auto"/>
        <w:ind w:firstLine="0"/>
        <w:rPr>
          <w:rFonts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六、商务部分</w:t>
      </w:r>
    </w:p>
    <w:p>
      <w:pPr>
        <w:pStyle w:val="54"/>
        <w:spacing w:after="220" w:line="240" w:lineRule="auto"/>
        <w:ind w:firstLine="0"/>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七</w:t>
      </w:r>
      <w:r>
        <w:rPr>
          <w:rFonts w:hint="eastAsia" w:asciiTheme="minorEastAsia" w:hAnsiTheme="minorEastAsia" w:eastAsiaTheme="minorEastAsia" w:cstheme="minorEastAsia"/>
          <w:sz w:val="24"/>
          <w:szCs w:val="24"/>
          <w:highlight w:val="none"/>
        </w:rPr>
        <w:t>、其他</w:t>
      </w:r>
      <w:r>
        <w:rPr>
          <w:rFonts w:hint="eastAsia" w:asciiTheme="minorEastAsia" w:hAnsiTheme="minorEastAsia" w:eastAsiaTheme="minorEastAsia" w:cstheme="minorEastAsia"/>
          <w:sz w:val="24"/>
          <w:szCs w:val="24"/>
          <w:highlight w:val="none"/>
          <w:lang w:val="en-US" w:eastAsia="zh-CN"/>
        </w:rPr>
        <w:t>材料</w:t>
      </w:r>
    </w:p>
    <w:p>
      <w:pPr>
        <w:keepNext/>
        <w:keepLines/>
        <w:spacing w:after="540"/>
        <w:jc w:val="both"/>
        <w:rPr>
          <w:rFonts w:asciiTheme="minorEastAsia" w:hAnsiTheme="minorEastAsia" w:eastAsiaTheme="minorEastAsia" w:cstheme="minorEastAsia"/>
          <w:b/>
          <w:bCs/>
          <w:sz w:val="21"/>
          <w:szCs w:val="21"/>
          <w:highlight w:val="none"/>
          <w:lang w:val="zh-TW" w:eastAsia="zh-TW" w:bidi="zh-TW"/>
        </w:rPr>
      </w:pPr>
      <w:bookmarkStart w:id="93" w:name="_Toc3347"/>
      <w:bookmarkStart w:id="94" w:name="bookmark445"/>
      <w:bookmarkStart w:id="95" w:name="bookmark446"/>
      <w:bookmarkStart w:id="96" w:name="bookmark444"/>
      <w:bookmarkStart w:id="97" w:name="_Toc26192"/>
    </w:p>
    <w:p>
      <w:pPr>
        <w:keepNext/>
        <w:keepLines/>
        <w:spacing w:after="540"/>
        <w:jc w:val="center"/>
        <w:rPr>
          <w:rFonts w:asciiTheme="minorEastAsia" w:hAnsiTheme="minorEastAsia" w:eastAsiaTheme="minorEastAsia" w:cstheme="minorEastAsia"/>
          <w:b/>
          <w:bCs/>
          <w:sz w:val="21"/>
          <w:szCs w:val="21"/>
          <w:highlight w:val="none"/>
          <w:lang w:val="zh-TW" w:eastAsia="zh-TW" w:bidi="zh-TW"/>
        </w:rPr>
      </w:pPr>
      <w:r>
        <w:rPr>
          <w:rFonts w:hint="eastAsia" w:asciiTheme="minorEastAsia" w:hAnsiTheme="minorEastAsia" w:eastAsiaTheme="minorEastAsia" w:cstheme="minorEastAsia"/>
          <w:b/>
          <w:bCs/>
          <w:sz w:val="21"/>
          <w:szCs w:val="21"/>
          <w:highlight w:val="none"/>
          <w:lang w:val="zh-TW" w:eastAsia="zh-TW" w:bidi="zh-TW"/>
        </w:rPr>
        <w:br w:type="page"/>
      </w:r>
    </w:p>
    <w:p>
      <w:pPr>
        <w:pStyle w:val="56"/>
        <w:keepNext/>
        <w:keepLines/>
        <w:spacing w:after="0" w:line="360" w:lineRule="auto"/>
        <w:jc w:val="center"/>
        <w:rPr>
          <w:rFonts w:asciiTheme="minorEastAsia" w:hAnsiTheme="minorEastAsia" w:eastAsiaTheme="minorEastAsia" w:cstheme="minorEastAsia"/>
          <w:b/>
          <w:bCs/>
          <w:sz w:val="24"/>
          <w:szCs w:val="24"/>
          <w:highlight w:val="none"/>
        </w:rPr>
      </w:pPr>
      <w:bookmarkStart w:id="98" w:name="_Toc13026"/>
      <w:bookmarkStart w:id="99" w:name="_Toc23128"/>
      <w:bookmarkStart w:id="100" w:name="_Toc24482"/>
      <w:bookmarkStart w:id="101" w:name="_Toc30719"/>
      <w:bookmarkStart w:id="102" w:name="_Toc9367"/>
      <w:r>
        <w:rPr>
          <w:rFonts w:hint="eastAsia" w:asciiTheme="minorEastAsia" w:hAnsiTheme="minorEastAsia" w:eastAsiaTheme="minorEastAsia" w:cstheme="minorEastAsia"/>
          <w:b/>
          <w:bCs/>
          <w:sz w:val="24"/>
          <w:szCs w:val="24"/>
          <w:highlight w:val="none"/>
        </w:rPr>
        <w:t>一、磋商函及磋商函附录</w:t>
      </w:r>
      <w:bookmarkEnd w:id="93"/>
      <w:bookmarkEnd w:id="94"/>
      <w:bookmarkEnd w:id="95"/>
      <w:bookmarkEnd w:id="96"/>
      <w:bookmarkEnd w:id="97"/>
      <w:bookmarkEnd w:id="98"/>
      <w:bookmarkEnd w:id="99"/>
      <w:bookmarkEnd w:id="100"/>
      <w:bookmarkEnd w:id="101"/>
      <w:bookmarkEnd w:id="102"/>
    </w:p>
    <w:p>
      <w:pPr>
        <w:pStyle w:val="44"/>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2"/>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（一）磋商函</w:t>
      </w:r>
    </w:p>
    <w:p>
      <w:pPr>
        <w:spacing w:line="360" w:lineRule="auto"/>
        <w:rPr>
          <w:rFonts w:ascii="宋体" w:hAnsi="宋体" w:cs="宋体"/>
          <w:color w:val="auto"/>
          <w:highlight w:val="none"/>
          <w:lang w:eastAsia="zh-CN"/>
        </w:rPr>
      </w:pPr>
      <w:r>
        <w:rPr>
          <w:rFonts w:hint="eastAsia" w:ascii="宋体" w:hAnsi="宋体" w:cs="宋体"/>
          <w:color w:val="auto"/>
          <w:highlight w:val="none"/>
          <w:lang w:eastAsia="zh-CN"/>
        </w:rPr>
        <w:t>致：</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采购人</w:t>
      </w:r>
      <w:r>
        <w:rPr>
          <w:rFonts w:hint="eastAsia" w:ascii="宋体" w:hAnsi="宋体" w:cs="宋体"/>
          <w:color w:val="auto"/>
          <w:highlight w:val="none"/>
          <w:lang w:eastAsia="zh-CN"/>
        </w:rPr>
        <w:t>名称）</w:t>
      </w:r>
    </w:p>
    <w:p>
      <w:pPr>
        <w:spacing w:line="360" w:lineRule="auto"/>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经详细研究你们的标书编号为</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的</w:t>
      </w:r>
      <w:r>
        <w:rPr>
          <w:rFonts w:hint="eastAsia" w:ascii="宋体" w:hAnsi="宋体" w:eastAsia="宋体" w:cs="宋体"/>
          <w:color w:val="auto"/>
          <w:highlight w:val="none"/>
          <w:lang w:eastAsia="zh-CN"/>
        </w:rPr>
        <w:t>磋商</w:t>
      </w:r>
      <w:r>
        <w:rPr>
          <w:rFonts w:hint="eastAsia" w:ascii="宋体" w:hAnsi="宋体" w:cs="宋体"/>
          <w:color w:val="auto"/>
          <w:highlight w:val="none"/>
          <w:lang w:eastAsia="zh-CN"/>
        </w:rPr>
        <w:t>文件，我们决定参加该项目投标活动，我们郑重声明以下诸点并负法律责任：</w:t>
      </w:r>
    </w:p>
    <w:p>
      <w:pPr>
        <w:spacing w:line="360" w:lineRule="auto"/>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1、我方授权</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（姓名）作为全权代表负责解释</w:t>
      </w:r>
      <w:r>
        <w:rPr>
          <w:rFonts w:hint="eastAsia" w:ascii="宋体" w:hAnsi="宋体" w:eastAsia="宋体" w:cs="宋体"/>
          <w:color w:val="auto"/>
          <w:highlight w:val="none"/>
          <w:lang w:eastAsia="zh-CN"/>
        </w:rPr>
        <w:t>响应</w:t>
      </w:r>
      <w:r>
        <w:rPr>
          <w:rFonts w:hint="eastAsia" w:ascii="宋体" w:hAnsi="宋体" w:cs="宋体"/>
          <w:color w:val="auto"/>
          <w:highlight w:val="none"/>
          <w:lang w:eastAsia="zh-CN"/>
        </w:rPr>
        <w:t>文件及处理有关事宜。</w:t>
      </w:r>
    </w:p>
    <w:p>
      <w:pPr>
        <w:spacing w:line="360" w:lineRule="auto"/>
        <w:ind w:left="2" w:firstLine="429" w:firstLineChars="179"/>
        <w:rPr>
          <w:rFonts w:ascii="宋体" w:hAnsi="宋体" w:cs="宋体"/>
          <w:color w:val="auto"/>
          <w:highlight w:val="none"/>
          <w:lang w:eastAsia="zh-CN"/>
        </w:rPr>
      </w:pPr>
      <w:r>
        <w:rPr>
          <w:rFonts w:hint="eastAsia" w:ascii="宋体" w:hAnsi="宋体" w:cs="宋体"/>
          <w:color w:val="auto"/>
          <w:highlight w:val="none"/>
          <w:lang w:eastAsia="zh-CN"/>
        </w:rPr>
        <w:t>2、我方愿按照</w:t>
      </w:r>
      <w:r>
        <w:rPr>
          <w:rFonts w:hint="eastAsia" w:ascii="宋体" w:hAnsi="宋体" w:eastAsia="宋体" w:cs="宋体"/>
          <w:color w:val="auto"/>
          <w:highlight w:val="none"/>
          <w:lang w:eastAsia="zh-CN"/>
        </w:rPr>
        <w:t>磋商</w:t>
      </w:r>
      <w:r>
        <w:rPr>
          <w:rFonts w:hint="eastAsia" w:ascii="宋体" w:hAnsi="宋体" w:cs="宋体"/>
          <w:color w:val="auto"/>
          <w:highlight w:val="none"/>
          <w:lang w:eastAsia="zh-CN"/>
        </w:rPr>
        <w:t>文件中的条款和要求，</w:t>
      </w:r>
      <w:r>
        <w:rPr>
          <w:rFonts w:hint="eastAsia" w:ascii="宋体" w:hAnsi="宋体" w:eastAsia="宋体" w:cs="宋体"/>
          <w:color w:val="auto"/>
          <w:highlight w:val="none"/>
          <w:lang w:eastAsia="zh-CN"/>
        </w:rPr>
        <w:t>首轮磋商</w:t>
      </w:r>
      <w:r>
        <w:rPr>
          <w:rFonts w:hint="eastAsia" w:ascii="宋体" w:hAnsi="宋体" w:cs="宋体"/>
          <w:color w:val="auto"/>
          <w:highlight w:val="none"/>
          <w:lang w:eastAsia="zh-CN"/>
        </w:rPr>
        <w:t>报价为</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w:t>
      </w:r>
    </w:p>
    <w:p>
      <w:pPr>
        <w:spacing w:line="360" w:lineRule="auto"/>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3、如果我们的</w:t>
      </w:r>
      <w:r>
        <w:rPr>
          <w:rFonts w:hint="eastAsia" w:ascii="宋体" w:hAnsi="宋体" w:eastAsia="宋体" w:cs="宋体"/>
          <w:color w:val="auto"/>
          <w:highlight w:val="none"/>
          <w:lang w:eastAsia="zh-CN"/>
        </w:rPr>
        <w:t>响应</w:t>
      </w:r>
      <w:r>
        <w:rPr>
          <w:rFonts w:hint="eastAsia" w:ascii="宋体" w:hAnsi="宋体" w:cs="宋体"/>
          <w:color w:val="auto"/>
          <w:highlight w:val="none"/>
          <w:lang w:eastAsia="zh-CN"/>
        </w:rPr>
        <w:t>文件被接受，我们将履行</w:t>
      </w:r>
      <w:r>
        <w:rPr>
          <w:rFonts w:hint="eastAsia" w:ascii="宋体" w:hAnsi="宋体" w:eastAsia="宋体" w:cs="宋体"/>
          <w:color w:val="auto"/>
          <w:highlight w:val="none"/>
          <w:lang w:eastAsia="zh-CN"/>
        </w:rPr>
        <w:t>磋商</w:t>
      </w:r>
      <w:r>
        <w:rPr>
          <w:rFonts w:hint="eastAsia" w:ascii="宋体" w:hAnsi="宋体" w:cs="宋体"/>
          <w:color w:val="auto"/>
          <w:highlight w:val="none"/>
          <w:lang w:eastAsia="zh-CN"/>
        </w:rPr>
        <w:t>文件中规定的各项要求，按期、按质、按量完成中标、设计、服务等义务。</w:t>
      </w:r>
    </w:p>
    <w:p>
      <w:pPr>
        <w:spacing w:line="360" w:lineRule="auto"/>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4、我们同意按</w:t>
      </w:r>
      <w:r>
        <w:rPr>
          <w:rFonts w:hint="eastAsia" w:ascii="宋体" w:hAnsi="宋体" w:eastAsia="宋体" w:cs="宋体"/>
          <w:color w:val="auto"/>
          <w:highlight w:val="none"/>
          <w:lang w:eastAsia="zh-CN"/>
        </w:rPr>
        <w:t>磋商</w:t>
      </w:r>
      <w:r>
        <w:rPr>
          <w:rFonts w:hint="eastAsia" w:ascii="宋体" w:hAnsi="宋体" w:cs="宋体"/>
          <w:color w:val="auto"/>
          <w:highlight w:val="none"/>
          <w:lang w:eastAsia="zh-CN"/>
        </w:rPr>
        <w:t>文件中的规定，本</w:t>
      </w:r>
      <w:r>
        <w:rPr>
          <w:rFonts w:hint="eastAsia" w:ascii="宋体" w:hAnsi="宋体" w:eastAsia="宋体" w:cs="宋体"/>
          <w:color w:val="auto"/>
          <w:highlight w:val="none"/>
          <w:lang w:eastAsia="zh-CN"/>
        </w:rPr>
        <w:t>响应</w:t>
      </w:r>
      <w:r>
        <w:rPr>
          <w:rFonts w:hint="eastAsia" w:ascii="宋体" w:hAnsi="宋体" w:cs="宋体"/>
          <w:color w:val="auto"/>
          <w:highlight w:val="none"/>
          <w:lang w:eastAsia="zh-CN"/>
        </w:rPr>
        <w:t>文件的有效期为</w:t>
      </w:r>
      <w:r>
        <w:rPr>
          <w:rFonts w:hint="eastAsia" w:ascii="宋体" w:hAnsi="宋体" w:eastAsia="宋体" w:cs="宋体"/>
          <w:color w:val="auto"/>
          <w:highlight w:val="none"/>
          <w:lang w:eastAsia="zh-CN"/>
        </w:rPr>
        <w:t>60</w:t>
      </w:r>
      <w:r>
        <w:rPr>
          <w:rFonts w:hint="eastAsia" w:ascii="宋体" w:hAnsi="宋体" w:cs="宋体"/>
          <w:color w:val="auto"/>
          <w:highlight w:val="none"/>
          <w:lang w:eastAsia="zh-CN"/>
        </w:rPr>
        <w:t>日历天（</w:t>
      </w:r>
      <w:r>
        <w:rPr>
          <w:rFonts w:hint="eastAsia" w:ascii="宋体" w:hAnsi="宋体" w:eastAsia="宋体" w:cs="宋体"/>
          <w:color w:val="auto"/>
          <w:highlight w:val="none"/>
          <w:lang w:eastAsia="zh-CN"/>
        </w:rPr>
        <w:t>自提交响应</w:t>
      </w:r>
      <w:r>
        <w:rPr>
          <w:rFonts w:hint="eastAsia" w:ascii="宋体" w:hAnsi="宋体" w:cs="宋体"/>
          <w:color w:val="auto"/>
          <w:highlight w:val="none"/>
          <w:lang w:eastAsia="zh-CN"/>
        </w:rPr>
        <w:t>文件截止</w:t>
      </w:r>
      <w:r>
        <w:rPr>
          <w:rFonts w:hint="eastAsia" w:ascii="宋体" w:hAnsi="宋体" w:eastAsia="宋体" w:cs="宋体"/>
          <w:color w:val="auto"/>
          <w:highlight w:val="none"/>
          <w:lang w:eastAsia="zh-CN"/>
        </w:rPr>
        <w:t>之日起计算</w:t>
      </w:r>
      <w:r>
        <w:rPr>
          <w:rFonts w:hint="eastAsia" w:ascii="宋体" w:hAnsi="宋体" w:cs="宋体"/>
          <w:color w:val="auto"/>
          <w:highlight w:val="none"/>
          <w:lang w:eastAsia="zh-CN"/>
        </w:rPr>
        <w:t>）。如果中标，有效期延长至合同终止日止。</w:t>
      </w:r>
    </w:p>
    <w:p>
      <w:pPr>
        <w:spacing w:line="360" w:lineRule="auto"/>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5、我们愿提供</w:t>
      </w:r>
      <w:r>
        <w:rPr>
          <w:rFonts w:hint="eastAsia" w:ascii="宋体" w:hAnsi="宋体" w:eastAsia="宋体" w:cs="宋体"/>
          <w:color w:val="auto"/>
          <w:highlight w:val="none"/>
          <w:lang w:eastAsia="zh-CN"/>
        </w:rPr>
        <w:t>采购人</w:t>
      </w:r>
      <w:r>
        <w:rPr>
          <w:rFonts w:hint="eastAsia" w:ascii="宋体" w:hAnsi="宋体" w:cs="宋体"/>
          <w:color w:val="auto"/>
          <w:highlight w:val="none"/>
          <w:lang w:eastAsia="zh-CN"/>
        </w:rPr>
        <w:t>在</w:t>
      </w:r>
      <w:r>
        <w:rPr>
          <w:rFonts w:hint="eastAsia" w:ascii="宋体" w:hAnsi="宋体" w:eastAsia="宋体" w:cs="宋体"/>
          <w:color w:val="auto"/>
          <w:highlight w:val="none"/>
          <w:lang w:eastAsia="zh-CN"/>
        </w:rPr>
        <w:t>磋商</w:t>
      </w:r>
      <w:r>
        <w:rPr>
          <w:rFonts w:hint="eastAsia" w:ascii="宋体" w:hAnsi="宋体" w:cs="宋体"/>
          <w:color w:val="auto"/>
          <w:highlight w:val="none"/>
          <w:lang w:eastAsia="zh-CN"/>
        </w:rPr>
        <w:t>文件中要求的所有文件资料。</w:t>
      </w:r>
    </w:p>
    <w:p>
      <w:pPr>
        <w:spacing w:line="360" w:lineRule="auto"/>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6、我们已按</w:t>
      </w:r>
      <w:r>
        <w:rPr>
          <w:rFonts w:hint="eastAsia" w:ascii="宋体" w:hAnsi="宋体" w:eastAsia="宋体" w:cs="宋体"/>
          <w:color w:val="auto"/>
          <w:highlight w:val="none"/>
          <w:lang w:eastAsia="zh-CN"/>
        </w:rPr>
        <w:t>磋商</w:t>
      </w:r>
      <w:r>
        <w:rPr>
          <w:rFonts w:hint="eastAsia" w:ascii="宋体" w:hAnsi="宋体" w:cs="宋体"/>
          <w:color w:val="auto"/>
          <w:highlight w:val="none"/>
          <w:lang w:eastAsia="zh-CN"/>
        </w:rPr>
        <w:t>文件中的规定交纳</w:t>
      </w:r>
      <w:r>
        <w:rPr>
          <w:rFonts w:hint="eastAsia" w:ascii="宋体" w:hAnsi="宋体" w:cs="宋体"/>
          <w:color w:val="auto"/>
          <w:highlight w:val="none"/>
          <w:u w:val="single"/>
          <w:lang w:eastAsia="zh-CN"/>
        </w:rPr>
        <w:t xml:space="preserve"> 0 </w:t>
      </w:r>
      <w:r>
        <w:rPr>
          <w:rFonts w:hint="eastAsia" w:ascii="宋体" w:hAnsi="宋体" w:cs="宋体"/>
          <w:color w:val="auto"/>
          <w:highlight w:val="none"/>
          <w:lang w:eastAsia="zh-CN"/>
        </w:rPr>
        <w:t>元的投标保证金。</w:t>
      </w:r>
    </w:p>
    <w:p>
      <w:pPr>
        <w:spacing w:line="360" w:lineRule="auto"/>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7、我们承认你们有权决定</w:t>
      </w:r>
      <w:r>
        <w:rPr>
          <w:rFonts w:hint="eastAsia" w:ascii="宋体" w:hAnsi="宋体" w:eastAsia="宋体" w:cs="宋体"/>
          <w:color w:val="auto"/>
          <w:highlight w:val="none"/>
          <w:lang w:eastAsia="zh-CN"/>
        </w:rPr>
        <w:t>成交供应商</w:t>
      </w:r>
      <w:r>
        <w:rPr>
          <w:rFonts w:hint="eastAsia" w:ascii="宋体" w:hAnsi="宋体" w:cs="宋体"/>
          <w:color w:val="auto"/>
          <w:highlight w:val="none"/>
          <w:lang w:eastAsia="zh-CN"/>
        </w:rPr>
        <w:t>的权力。</w:t>
      </w:r>
    </w:p>
    <w:p>
      <w:pPr>
        <w:spacing w:line="360" w:lineRule="auto"/>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8、我们已经详细审核了全部</w:t>
      </w:r>
      <w:r>
        <w:rPr>
          <w:rFonts w:hint="eastAsia" w:ascii="宋体" w:hAnsi="宋体" w:eastAsia="宋体" w:cs="宋体"/>
          <w:color w:val="auto"/>
          <w:highlight w:val="none"/>
          <w:lang w:eastAsia="zh-CN"/>
        </w:rPr>
        <w:t>磋商</w:t>
      </w:r>
      <w:r>
        <w:rPr>
          <w:rFonts w:hint="eastAsia" w:ascii="宋体" w:hAnsi="宋体" w:cs="宋体"/>
          <w:color w:val="auto"/>
          <w:highlight w:val="none"/>
          <w:lang w:eastAsia="zh-CN"/>
        </w:rPr>
        <w:t>文件，包括修改、补充的文件（如果有的话）和参考资料及有关附件，我们完全理解、并同意放弃对这方面有不明及误解的权利。</w:t>
      </w:r>
    </w:p>
    <w:p>
      <w:pPr>
        <w:spacing w:line="360" w:lineRule="auto"/>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9、若我方中标，我方保证按照</w:t>
      </w:r>
      <w:r>
        <w:rPr>
          <w:rFonts w:hint="eastAsia" w:ascii="宋体" w:hAnsi="宋体" w:eastAsia="宋体" w:cs="宋体"/>
          <w:color w:val="auto"/>
          <w:highlight w:val="none"/>
          <w:lang w:eastAsia="zh-CN"/>
        </w:rPr>
        <w:t>磋商</w:t>
      </w:r>
      <w:r>
        <w:rPr>
          <w:rFonts w:hint="eastAsia" w:ascii="宋体" w:hAnsi="宋体" w:cs="宋体"/>
          <w:color w:val="auto"/>
          <w:highlight w:val="none"/>
          <w:lang w:eastAsia="zh-CN"/>
        </w:rPr>
        <w:t>文件规定向</w:t>
      </w:r>
      <w:r>
        <w:rPr>
          <w:rFonts w:hint="eastAsia" w:ascii="宋体" w:hAnsi="宋体" w:eastAsia="宋体" w:cs="宋体"/>
          <w:color w:val="auto"/>
          <w:highlight w:val="none"/>
          <w:lang w:eastAsia="zh-CN"/>
        </w:rPr>
        <w:t>采购</w:t>
      </w:r>
      <w:r>
        <w:rPr>
          <w:rFonts w:hint="eastAsia" w:ascii="宋体" w:hAnsi="宋体" w:cs="宋体"/>
          <w:color w:val="auto"/>
          <w:highlight w:val="none"/>
          <w:lang w:eastAsia="zh-CN"/>
        </w:rPr>
        <w:t>代理机构交纳代理服务费。</w:t>
      </w:r>
    </w:p>
    <w:p>
      <w:pPr>
        <w:spacing w:line="360" w:lineRule="auto"/>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10、我们愿按合同法履行自己的全部责任。</w:t>
      </w:r>
    </w:p>
    <w:p>
      <w:pPr>
        <w:spacing w:line="360" w:lineRule="auto"/>
        <w:ind w:firstLine="480" w:firstLineChars="200"/>
        <w:rPr>
          <w:rFonts w:ascii="宋体" w:hAnsi="宋体" w:cs="宋体"/>
          <w:color w:val="auto"/>
          <w:highlight w:val="none"/>
          <w:lang w:eastAsia="zh-CN"/>
        </w:rPr>
      </w:pPr>
      <w:r>
        <w:rPr>
          <w:rFonts w:hint="eastAsia" w:ascii="宋体" w:hAnsi="宋体" w:cs="宋体"/>
          <w:color w:val="auto"/>
          <w:highlight w:val="none"/>
          <w:lang w:eastAsia="zh-CN"/>
        </w:rPr>
        <w:t>11、</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（其他补充说明）。</w:t>
      </w:r>
    </w:p>
    <w:p>
      <w:pPr>
        <w:spacing w:line="360" w:lineRule="auto"/>
        <w:ind w:firstLine="2640" w:firstLineChars="1100"/>
        <w:rPr>
          <w:rFonts w:hint="eastAsia" w:ascii="宋体" w:hAnsi="宋体" w:cs="宋体"/>
          <w:color w:val="auto"/>
          <w:highlight w:val="none"/>
          <w:lang w:eastAsia="zh-CN"/>
        </w:rPr>
      </w:pPr>
      <w:r>
        <w:rPr>
          <w:rFonts w:hint="eastAsia" w:ascii="宋体" w:hAnsi="宋体" w:eastAsia="宋体" w:cs="宋体"/>
          <w:color w:val="auto"/>
          <w:highlight w:val="none"/>
          <w:lang w:eastAsia="zh-CN"/>
        </w:rPr>
        <w:t>供 应 商</w:t>
      </w:r>
      <w:r>
        <w:rPr>
          <w:rFonts w:hint="eastAsia" w:ascii="宋体" w:hAnsi="宋体" w:cs="宋体"/>
          <w:color w:val="auto"/>
          <w:highlight w:val="none"/>
          <w:lang w:eastAsia="zh-CN"/>
        </w:rPr>
        <w:t xml:space="preserve"> ：</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 xml:space="preserve"> (电子签章)</w:t>
      </w:r>
    </w:p>
    <w:p>
      <w:pPr>
        <w:spacing w:line="360" w:lineRule="auto"/>
        <w:ind w:firstLine="2640" w:firstLineChars="1100"/>
        <w:rPr>
          <w:rFonts w:hint="eastAsia" w:ascii="宋体" w:hAnsi="宋体" w:cs="宋体"/>
          <w:color w:val="auto"/>
          <w:highlight w:val="none"/>
          <w:lang w:eastAsia="zh-CN"/>
        </w:rPr>
      </w:pPr>
      <w:r>
        <w:rPr>
          <w:rFonts w:hint="eastAsia" w:ascii="宋体" w:hAnsi="宋体" w:cs="宋体"/>
          <w:color w:val="auto"/>
          <w:highlight w:val="none"/>
          <w:lang w:eastAsia="zh-CN"/>
        </w:rPr>
        <w:t>法定代表人或其委托代理人：</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(电子签章)</w:t>
      </w:r>
    </w:p>
    <w:p>
      <w:pPr>
        <w:spacing w:line="360" w:lineRule="auto"/>
        <w:ind w:firstLine="2640" w:firstLineChars="1100"/>
        <w:rPr>
          <w:rFonts w:ascii="宋体" w:hAnsi="宋体" w:cs="宋体"/>
          <w:color w:val="auto"/>
          <w:highlight w:val="none"/>
          <w:u w:val="single"/>
          <w:lang w:eastAsia="zh-CN"/>
        </w:rPr>
      </w:pPr>
      <w:r>
        <w:rPr>
          <w:rFonts w:hint="eastAsia" w:ascii="宋体" w:hAnsi="宋体" w:cs="宋体"/>
          <w:color w:val="auto"/>
          <w:highlight w:val="none"/>
          <w:lang w:eastAsia="zh-CN"/>
        </w:rPr>
        <w:t>地    址</w:t>
      </w:r>
      <w:r>
        <w:rPr>
          <w:rFonts w:hint="eastAsia"/>
          <w:color w:val="auto"/>
          <w:highlight w:val="none"/>
          <w:lang w:eastAsia="zh-CN"/>
        </w:rPr>
        <w:t>：</w:t>
      </w:r>
      <w:r>
        <w:rPr>
          <w:rFonts w:hint="eastAsia"/>
          <w:color w:val="auto"/>
          <w:highlight w:val="none"/>
          <w:u w:val="single"/>
          <w:lang w:eastAsia="zh-CN"/>
        </w:rPr>
        <w:t xml:space="preserve">                </w:t>
      </w:r>
    </w:p>
    <w:p>
      <w:pPr>
        <w:spacing w:line="360" w:lineRule="auto"/>
        <w:ind w:firstLine="2640" w:firstLineChars="1100"/>
        <w:rPr>
          <w:rFonts w:ascii="宋体" w:hAnsi="宋体" w:cs="宋体"/>
          <w:color w:val="auto"/>
          <w:highlight w:val="none"/>
          <w:lang w:eastAsia="zh-CN"/>
        </w:rPr>
      </w:pPr>
      <w:r>
        <w:rPr>
          <w:rFonts w:hint="eastAsia" w:ascii="宋体" w:hAnsi="宋体" w:cs="宋体"/>
          <w:color w:val="auto"/>
          <w:highlight w:val="none"/>
          <w:lang w:eastAsia="zh-CN"/>
        </w:rPr>
        <w:t>电    话：</w:t>
      </w:r>
      <w:r>
        <w:rPr>
          <w:rFonts w:hint="eastAsia" w:ascii="宋体" w:hAnsi="宋体" w:cs="宋体"/>
          <w:color w:val="auto"/>
          <w:highlight w:val="none"/>
          <w:u w:val="single"/>
          <w:lang w:eastAsia="zh-CN"/>
        </w:rPr>
        <w:t xml:space="preserve">                             </w:t>
      </w:r>
    </w:p>
    <w:p>
      <w:pPr>
        <w:spacing w:line="360" w:lineRule="auto"/>
        <w:ind w:left="420" w:firstLine="3907" w:firstLineChars="1628"/>
        <w:rPr>
          <w:rFonts w:ascii="宋体" w:hAnsi="宋体" w:cs="宋体"/>
          <w:color w:val="auto"/>
          <w:highlight w:val="none"/>
          <w:lang w:eastAsia="zh-CN"/>
        </w:rPr>
      </w:pPr>
      <w:r>
        <w:rPr>
          <w:rFonts w:hint="eastAsia" w:ascii="宋体" w:hAnsi="宋体" w:cs="宋体"/>
          <w:color w:val="auto"/>
          <w:highlight w:val="none"/>
          <w:lang w:eastAsia="zh-CN"/>
        </w:rPr>
        <w:t xml:space="preserve">          </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年</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月</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日</w:t>
      </w:r>
    </w:p>
    <w:p>
      <w:pPr>
        <w:spacing w:line="466" w:lineRule="exact"/>
        <w:ind w:left="4320"/>
        <w:rPr>
          <w:rFonts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br w:type="page"/>
      </w:r>
    </w:p>
    <w:p>
      <w:pPr>
        <w:pStyle w:val="44"/>
        <w:keepNext w:val="0"/>
        <w:keepLines w:val="0"/>
        <w:pageBreakBefore w:val="0"/>
        <w:widowControl w:val="0"/>
        <w:kinsoku/>
        <w:wordWrap/>
        <w:overflowPunct/>
        <w:topLinePunct w:val="0"/>
        <w:autoSpaceDE/>
        <w:autoSpaceDN/>
        <w:bidi w:val="0"/>
        <w:adjustRightInd/>
        <w:snapToGrid/>
        <w:spacing w:after="260" w:line="240" w:lineRule="auto"/>
        <w:ind w:left="0"/>
        <w:jc w:val="center"/>
        <w:textAlignment w:val="auto"/>
        <w:outlineLvl w:val="2"/>
        <w:rPr>
          <w:rFonts w:asciiTheme="minorEastAsia" w:hAnsiTheme="minorEastAsia" w:eastAsiaTheme="minorEastAsia" w:cstheme="minorEastAsia"/>
          <w:sz w:val="21"/>
          <w:szCs w:val="21"/>
          <w:highlight w:val="none"/>
        </w:rPr>
      </w:pPr>
      <w:bookmarkStart w:id="103" w:name="bookmark456"/>
      <w:bookmarkStart w:id="104" w:name="bookmark457"/>
      <w:bookmarkStart w:id="105" w:name="_Toc11741"/>
      <w:bookmarkStart w:id="106" w:name="_Toc5593"/>
      <w:bookmarkStart w:id="107" w:name="bookmark458"/>
      <w:r>
        <w:rPr>
          <w:rFonts w:hint="eastAsia" w:asciiTheme="minorEastAsia" w:hAnsiTheme="minorEastAsia" w:eastAsiaTheme="minorEastAsia" w:cstheme="minorEastAsia"/>
          <w:sz w:val="21"/>
          <w:szCs w:val="21"/>
          <w:highlight w:val="none"/>
        </w:rPr>
        <w:t>（二）磋商函附录</w:t>
      </w:r>
      <w:bookmarkEnd w:id="103"/>
      <w:bookmarkEnd w:id="104"/>
      <w:bookmarkEnd w:id="105"/>
      <w:bookmarkEnd w:id="106"/>
      <w:bookmarkEnd w:id="107"/>
    </w:p>
    <w:tbl>
      <w:tblPr>
        <w:tblStyle w:val="20"/>
        <w:tblW w:w="90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583"/>
        <w:gridCol w:w="2675"/>
        <w:gridCol w:w="969"/>
        <w:gridCol w:w="28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6" w:hRule="atLeast"/>
          <w:jc w:val="center"/>
        </w:trPr>
        <w:tc>
          <w:tcPr>
            <w:tcW w:w="2583" w:type="dxa"/>
            <w:tcBorders>
              <w:top w:val="single" w:color="auto" w:sz="12" w:space="0"/>
            </w:tcBorders>
            <w:vAlign w:val="center"/>
          </w:tcPr>
          <w:p>
            <w:pPr>
              <w:spacing w:line="540" w:lineRule="exac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476" w:type="dxa"/>
            <w:gridSpan w:val="3"/>
            <w:tcBorders>
              <w:top w:val="single" w:color="auto" w:sz="12" w:space="0"/>
            </w:tcBorders>
            <w:vAlign w:val="center"/>
          </w:tcPr>
          <w:p>
            <w:pPr>
              <w:pStyle w:val="7"/>
              <w:spacing w:before="0" w:line="540" w:lineRule="exact"/>
              <w:rPr>
                <w:rFonts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7" w:hRule="atLeast"/>
          <w:jc w:val="center"/>
        </w:trPr>
        <w:tc>
          <w:tcPr>
            <w:tcW w:w="2583" w:type="dxa"/>
            <w:vAlign w:val="center"/>
          </w:tcPr>
          <w:p>
            <w:pPr>
              <w:spacing w:line="540" w:lineRule="exact"/>
              <w:jc w:val="center"/>
              <w:rPr>
                <w:rFonts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供应商</w:t>
            </w:r>
          </w:p>
        </w:tc>
        <w:tc>
          <w:tcPr>
            <w:tcW w:w="6476" w:type="dxa"/>
            <w:gridSpan w:val="3"/>
            <w:vAlign w:val="center"/>
          </w:tcPr>
          <w:p>
            <w:pPr>
              <w:spacing w:line="54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7" w:hRule="atLeast"/>
          <w:jc w:val="center"/>
        </w:trPr>
        <w:tc>
          <w:tcPr>
            <w:tcW w:w="2583" w:type="dxa"/>
            <w:vMerge w:val="restart"/>
            <w:vAlign w:val="center"/>
          </w:tcPr>
          <w:p>
            <w:pPr>
              <w:spacing w:line="540" w:lineRule="exact"/>
              <w:jc w:val="center"/>
              <w:rPr>
                <w:rFonts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首轮磋商报价</w:t>
            </w:r>
          </w:p>
        </w:tc>
        <w:tc>
          <w:tcPr>
            <w:tcW w:w="6476" w:type="dxa"/>
            <w:gridSpan w:val="3"/>
            <w:vAlign w:val="center"/>
          </w:tcPr>
          <w:p>
            <w:pPr>
              <w:spacing w:line="540" w:lineRule="exact"/>
              <w:rPr>
                <w:rFonts w:ascii="宋体" w:hAnsi="宋体" w:cs="宋体"/>
                <w:color w:val="auto"/>
                <w:szCs w:val="21"/>
                <w:highlight w:val="none"/>
                <w:u w:val="single"/>
              </w:rPr>
            </w:pPr>
            <w:r>
              <w:rPr>
                <w:rFonts w:hint="eastAsia" w:ascii="宋体" w:hAnsi="宋体" w:cs="宋体"/>
                <w:color w:val="auto"/>
                <w:szCs w:val="21"/>
                <w:highlight w:val="none"/>
              </w:rPr>
              <w:t>大 写：</w:t>
            </w:r>
            <w:r>
              <w:rPr>
                <w:rFonts w:hint="eastAsia" w:ascii="宋体" w:hAnsi="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 xml:space="preserve">                    </w:t>
            </w:r>
            <w:r>
              <w:rPr>
                <w:rFonts w:hint="eastAsia" w:ascii="宋体" w:hAnsi="宋体" w:cs="宋体"/>
                <w:color w:val="auto"/>
                <w:szCs w:val="21"/>
                <w:highlight w:val="none"/>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2583" w:type="dxa"/>
            <w:vMerge w:val="continue"/>
            <w:vAlign w:val="center"/>
          </w:tcPr>
          <w:p>
            <w:pPr>
              <w:spacing w:line="540" w:lineRule="exact"/>
              <w:jc w:val="center"/>
              <w:rPr>
                <w:rFonts w:ascii="宋体" w:hAnsi="宋体" w:cs="宋体"/>
                <w:color w:val="auto"/>
                <w:szCs w:val="21"/>
                <w:highlight w:val="none"/>
              </w:rPr>
            </w:pPr>
          </w:p>
        </w:tc>
        <w:tc>
          <w:tcPr>
            <w:tcW w:w="6476" w:type="dxa"/>
            <w:gridSpan w:val="3"/>
            <w:vAlign w:val="center"/>
          </w:tcPr>
          <w:p>
            <w:pPr>
              <w:spacing w:line="540" w:lineRule="exact"/>
              <w:rPr>
                <w:rFonts w:ascii="宋体" w:hAnsi="宋体" w:eastAsia="宋体" w:cs="宋体"/>
                <w:color w:val="auto"/>
                <w:szCs w:val="21"/>
                <w:highlight w:val="none"/>
                <w:lang w:eastAsia="zh-CN"/>
              </w:rPr>
            </w:pPr>
            <w:r>
              <w:rPr>
                <w:rFonts w:hint="eastAsia" w:ascii="宋体" w:hAnsi="宋体" w:cs="宋体"/>
                <w:color w:val="auto"/>
                <w:szCs w:val="21"/>
                <w:highlight w:val="none"/>
              </w:rPr>
              <w:t>小 写：</w:t>
            </w:r>
            <w:r>
              <w:rPr>
                <w:rFonts w:hint="eastAsia" w:ascii="宋体" w:hAnsi="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2583" w:type="dxa"/>
            <w:vAlign w:val="center"/>
          </w:tcPr>
          <w:p>
            <w:pPr>
              <w:spacing w:line="540" w:lineRule="exact"/>
              <w:jc w:val="center"/>
              <w:rPr>
                <w:rFonts w:ascii="宋体" w:hAnsi="宋体" w:cs="宋体"/>
                <w:color w:val="auto"/>
                <w:szCs w:val="21"/>
                <w:highlight w:val="none"/>
              </w:rPr>
            </w:pPr>
            <w:r>
              <w:rPr>
                <w:rFonts w:hint="eastAsia" w:ascii="宋体" w:hAnsi="宋体" w:eastAsia="宋体" w:cs="宋体"/>
                <w:color w:val="auto"/>
                <w:szCs w:val="21"/>
                <w:highlight w:val="none"/>
                <w:lang w:eastAsia="zh-CN"/>
              </w:rPr>
              <w:t>磋商</w:t>
            </w:r>
            <w:r>
              <w:rPr>
                <w:rFonts w:hint="eastAsia" w:ascii="宋体" w:hAnsi="宋体" w:cs="宋体"/>
                <w:color w:val="auto"/>
                <w:szCs w:val="21"/>
                <w:highlight w:val="none"/>
              </w:rPr>
              <w:t>范围</w:t>
            </w:r>
          </w:p>
        </w:tc>
        <w:tc>
          <w:tcPr>
            <w:tcW w:w="6476" w:type="dxa"/>
            <w:gridSpan w:val="3"/>
            <w:vAlign w:val="center"/>
          </w:tcPr>
          <w:p>
            <w:pPr>
              <w:spacing w:line="54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对中牟县老火车站周边，解放路两侧、贾鲁河南、陇海铁路北、省道223西区域内编制城市更新专项规划，规划面积为614公顷。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2583" w:type="dxa"/>
            <w:vAlign w:val="center"/>
          </w:tcPr>
          <w:p>
            <w:pPr>
              <w:spacing w:line="540" w:lineRule="exact"/>
              <w:jc w:val="center"/>
              <w:rPr>
                <w:rFonts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服务期限</w:t>
            </w:r>
          </w:p>
        </w:tc>
        <w:tc>
          <w:tcPr>
            <w:tcW w:w="6476" w:type="dxa"/>
            <w:gridSpan w:val="3"/>
            <w:vAlign w:val="center"/>
          </w:tcPr>
          <w:p>
            <w:pPr>
              <w:pStyle w:val="7"/>
              <w:spacing w:before="0" w:line="540" w:lineRule="exact"/>
              <w:rPr>
                <w:rFonts w:ascii="宋体" w:hAnsi="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0" w:hRule="atLeast"/>
          <w:jc w:val="center"/>
        </w:trPr>
        <w:tc>
          <w:tcPr>
            <w:tcW w:w="2583" w:type="dxa"/>
            <w:vAlign w:val="center"/>
          </w:tcPr>
          <w:p>
            <w:pPr>
              <w:spacing w:line="54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服务</w:t>
            </w:r>
            <w:r>
              <w:rPr>
                <w:rFonts w:hint="eastAsia" w:ascii="宋体" w:hAnsi="宋体" w:eastAsia="宋体" w:cs="宋体"/>
                <w:color w:val="auto"/>
                <w:szCs w:val="21"/>
                <w:highlight w:val="none"/>
                <w:lang w:val="en-US" w:eastAsia="zh-CN"/>
              </w:rPr>
              <w:t>质量</w:t>
            </w:r>
          </w:p>
        </w:tc>
        <w:tc>
          <w:tcPr>
            <w:tcW w:w="6476" w:type="dxa"/>
            <w:gridSpan w:val="3"/>
            <w:vAlign w:val="center"/>
          </w:tcPr>
          <w:p>
            <w:pPr>
              <w:spacing w:line="540" w:lineRule="exact"/>
              <w:ind w:firstLine="480" w:firstLineChars="200"/>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0" w:hRule="atLeast"/>
          <w:jc w:val="center"/>
        </w:trPr>
        <w:tc>
          <w:tcPr>
            <w:tcW w:w="2583" w:type="dxa"/>
            <w:vAlign w:val="center"/>
          </w:tcPr>
          <w:p>
            <w:pPr>
              <w:spacing w:line="540" w:lineRule="exact"/>
              <w:jc w:val="center"/>
              <w:rPr>
                <w:rFonts w:ascii="宋体" w:hAnsi="宋体" w:cs="宋体"/>
                <w:color w:val="auto"/>
                <w:szCs w:val="21"/>
                <w:highlight w:val="none"/>
              </w:rPr>
            </w:pPr>
            <w:r>
              <w:rPr>
                <w:rFonts w:hint="eastAsia" w:ascii="宋体" w:hAnsi="宋体" w:eastAsia="宋体" w:cs="宋体"/>
                <w:color w:val="auto"/>
                <w:szCs w:val="21"/>
                <w:highlight w:val="none"/>
                <w:lang w:eastAsia="zh-CN"/>
              </w:rPr>
              <w:t>磋商</w:t>
            </w:r>
            <w:r>
              <w:rPr>
                <w:rFonts w:hint="eastAsia" w:ascii="宋体" w:hAnsi="宋体" w:cs="宋体"/>
                <w:color w:val="auto"/>
                <w:szCs w:val="21"/>
                <w:highlight w:val="none"/>
              </w:rPr>
              <w:t>有效期</w:t>
            </w:r>
          </w:p>
        </w:tc>
        <w:tc>
          <w:tcPr>
            <w:tcW w:w="6476" w:type="dxa"/>
            <w:gridSpan w:val="3"/>
            <w:vAlign w:val="center"/>
          </w:tcPr>
          <w:p>
            <w:pPr>
              <w:spacing w:line="540" w:lineRule="exact"/>
              <w:ind w:firstLine="480" w:firstLineChars="200"/>
              <w:rPr>
                <w:rFonts w:ascii="宋体" w:hAnsi="宋体" w:cs="宋体"/>
                <w:color w:val="auto"/>
                <w:szCs w:val="21"/>
                <w:highlight w:val="none"/>
                <w:lang w:eastAsia="zh-CN"/>
              </w:rPr>
            </w:pPr>
            <w:r>
              <w:rPr>
                <w:rFonts w:hint="eastAsia" w:ascii="宋体" w:hAnsi="宋体" w:eastAsia="宋体" w:cs="宋体"/>
                <w:color w:val="auto"/>
                <w:szCs w:val="21"/>
                <w:highlight w:val="none"/>
                <w:lang w:eastAsia="zh-CN"/>
              </w:rPr>
              <w:t>60</w:t>
            </w:r>
            <w:r>
              <w:rPr>
                <w:rFonts w:hint="eastAsia" w:ascii="宋体" w:hAnsi="宋体" w:cs="宋体"/>
                <w:color w:val="auto"/>
                <w:szCs w:val="21"/>
                <w:highlight w:val="none"/>
                <w:lang w:eastAsia="zh-CN"/>
              </w:rPr>
              <w:t>日历天（</w:t>
            </w:r>
            <w:r>
              <w:rPr>
                <w:rFonts w:hint="eastAsia" w:ascii="宋体" w:hAnsi="宋体" w:eastAsia="宋体" w:cs="宋体"/>
                <w:color w:val="auto"/>
                <w:szCs w:val="21"/>
                <w:highlight w:val="none"/>
                <w:lang w:eastAsia="zh-CN"/>
              </w:rPr>
              <w:t>自</w:t>
            </w:r>
            <w:r>
              <w:rPr>
                <w:rFonts w:hint="eastAsia" w:ascii="宋体" w:hAnsi="宋体" w:cs="宋体"/>
                <w:color w:val="auto"/>
                <w:szCs w:val="21"/>
                <w:highlight w:val="none"/>
                <w:lang w:eastAsia="zh-CN"/>
              </w:rPr>
              <w:t>提交</w:t>
            </w:r>
            <w:r>
              <w:rPr>
                <w:rFonts w:hint="eastAsia" w:ascii="宋体" w:hAnsi="宋体" w:eastAsia="宋体" w:cs="宋体"/>
                <w:color w:val="auto"/>
                <w:szCs w:val="21"/>
                <w:highlight w:val="none"/>
                <w:lang w:eastAsia="zh-CN"/>
              </w:rPr>
              <w:t>响应文件</w:t>
            </w:r>
            <w:r>
              <w:rPr>
                <w:rFonts w:hint="eastAsia" w:ascii="宋体" w:hAnsi="宋体" w:cs="宋体"/>
                <w:color w:val="auto"/>
                <w:szCs w:val="21"/>
                <w:highlight w:val="none"/>
                <w:lang w:eastAsia="zh-CN"/>
              </w:rPr>
              <w:t>截止</w:t>
            </w:r>
            <w:r>
              <w:rPr>
                <w:rFonts w:hint="eastAsia" w:ascii="宋体" w:hAnsi="宋体" w:eastAsia="宋体" w:cs="宋体"/>
                <w:color w:val="auto"/>
                <w:szCs w:val="21"/>
                <w:highlight w:val="none"/>
                <w:lang w:eastAsia="zh-CN"/>
              </w:rPr>
              <w:t>之日</w:t>
            </w:r>
            <w:r>
              <w:rPr>
                <w:rFonts w:hint="eastAsia" w:ascii="宋体" w:hAnsi="宋体" w:cs="宋体"/>
                <w:color w:val="auto"/>
                <w:szCs w:val="21"/>
                <w:highlight w:val="none"/>
                <w:lang w:eastAsia="zh-CN"/>
              </w:rPr>
              <w:t>起</w:t>
            </w:r>
            <w:r>
              <w:rPr>
                <w:rFonts w:hint="eastAsia" w:ascii="宋体" w:hAnsi="宋体" w:eastAsia="宋体" w:cs="宋体"/>
                <w:color w:val="auto"/>
                <w:szCs w:val="21"/>
                <w:highlight w:val="none"/>
                <w:lang w:eastAsia="zh-CN"/>
              </w:rPr>
              <w:t>计算</w:t>
            </w:r>
            <w:r>
              <w:rPr>
                <w:rFonts w:hint="eastAsia" w:ascii="宋体" w:hAnsi="宋体" w:cs="宋体"/>
                <w:color w:val="auto"/>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3" w:hRule="atLeast"/>
          <w:jc w:val="center"/>
        </w:trPr>
        <w:tc>
          <w:tcPr>
            <w:tcW w:w="2583" w:type="dxa"/>
            <w:vAlign w:val="center"/>
          </w:tcPr>
          <w:p>
            <w:pPr>
              <w:spacing w:line="540" w:lineRule="exact"/>
              <w:jc w:val="center"/>
              <w:rPr>
                <w:rFonts w:ascii="宋体" w:hAnsi="宋体" w:eastAsia="宋体" w:cs="宋体"/>
                <w:color w:val="auto"/>
                <w:szCs w:val="21"/>
                <w:highlight w:val="none"/>
                <w:lang w:eastAsia="zh-CN"/>
              </w:rPr>
            </w:pPr>
            <w:r>
              <w:rPr>
                <w:rFonts w:hint="eastAsia" w:ascii="宋体" w:hAnsi="宋体" w:cs="宋体"/>
                <w:color w:val="auto"/>
                <w:szCs w:val="21"/>
                <w:highlight w:val="none"/>
                <w:lang w:eastAsia="zh-CN"/>
              </w:rPr>
              <w:t>项目负责人</w:t>
            </w:r>
            <w:r>
              <w:rPr>
                <w:rFonts w:hint="eastAsia" w:ascii="宋体" w:hAnsi="宋体" w:eastAsia="宋体" w:cs="宋体"/>
                <w:color w:val="auto"/>
                <w:szCs w:val="21"/>
                <w:highlight w:val="none"/>
                <w:lang w:eastAsia="zh-CN"/>
              </w:rPr>
              <w:t>及联系电话</w:t>
            </w:r>
          </w:p>
        </w:tc>
        <w:tc>
          <w:tcPr>
            <w:tcW w:w="2675" w:type="dxa"/>
            <w:tcBorders>
              <w:right w:val="single" w:color="auto" w:sz="4" w:space="0"/>
            </w:tcBorders>
            <w:vAlign w:val="center"/>
          </w:tcPr>
          <w:p>
            <w:pPr>
              <w:spacing w:line="540" w:lineRule="exact"/>
              <w:jc w:val="center"/>
              <w:rPr>
                <w:rFonts w:ascii="宋体" w:hAnsi="宋体" w:cs="宋体"/>
                <w:color w:val="auto"/>
                <w:szCs w:val="21"/>
                <w:highlight w:val="none"/>
                <w:lang w:eastAsia="zh-CN"/>
              </w:rPr>
            </w:pPr>
          </w:p>
        </w:tc>
        <w:tc>
          <w:tcPr>
            <w:tcW w:w="969" w:type="dxa"/>
            <w:tcBorders>
              <w:left w:val="single" w:color="auto" w:sz="4" w:space="0"/>
              <w:right w:val="single" w:color="auto" w:sz="4" w:space="0"/>
            </w:tcBorders>
            <w:vAlign w:val="center"/>
          </w:tcPr>
          <w:p>
            <w:pPr>
              <w:spacing w:line="540" w:lineRule="exact"/>
              <w:jc w:val="center"/>
              <w:rPr>
                <w:rFonts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证书及专业</w:t>
            </w:r>
          </w:p>
        </w:tc>
        <w:tc>
          <w:tcPr>
            <w:tcW w:w="2832" w:type="dxa"/>
            <w:tcBorders>
              <w:left w:val="single" w:color="auto" w:sz="4" w:space="0"/>
            </w:tcBorders>
            <w:vAlign w:val="center"/>
          </w:tcPr>
          <w:p>
            <w:pPr>
              <w:spacing w:line="540" w:lineRule="exac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8" w:hRule="atLeast"/>
          <w:jc w:val="center"/>
        </w:trPr>
        <w:tc>
          <w:tcPr>
            <w:tcW w:w="2583" w:type="dxa"/>
            <w:tcBorders>
              <w:bottom w:val="single" w:color="auto" w:sz="12" w:space="0"/>
            </w:tcBorders>
            <w:vAlign w:val="center"/>
          </w:tcPr>
          <w:p>
            <w:pPr>
              <w:spacing w:line="54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6476" w:type="dxa"/>
            <w:gridSpan w:val="3"/>
            <w:tcBorders>
              <w:bottom w:val="single" w:color="auto" w:sz="12" w:space="0"/>
            </w:tcBorders>
            <w:vAlign w:val="center"/>
          </w:tcPr>
          <w:p>
            <w:pPr>
              <w:spacing w:line="540" w:lineRule="exact"/>
              <w:rPr>
                <w:rFonts w:ascii="宋体" w:hAnsi="宋体" w:cs="宋体"/>
                <w:color w:val="auto"/>
                <w:szCs w:val="21"/>
                <w:highlight w:val="none"/>
              </w:rPr>
            </w:pPr>
          </w:p>
        </w:tc>
      </w:tr>
    </w:tbl>
    <w:p>
      <w:pPr>
        <w:spacing w:after="579" w:line="1" w:lineRule="exact"/>
        <w:rPr>
          <w:rFonts w:asciiTheme="minorEastAsia" w:hAnsiTheme="minorEastAsia" w:eastAsiaTheme="minorEastAsia" w:cstheme="minorEastAsia"/>
          <w:sz w:val="21"/>
          <w:szCs w:val="21"/>
          <w:highlight w:val="none"/>
        </w:rPr>
      </w:pPr>
    </w:p>
    <w:p>
      <w:pPr>
        <w:pStyle w:val="54"/>
        <w:spacing w:after="240" w:line="240" w:lineRule="auto"/>
        <w:ind w:firstLine="0"/>
        <w:rPr>
          <w:rFonts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sz w:val="24"/>
          <w:szCs w:val="24"/>
          <w:highlight w:val="none"/>
        </w:rPr>
        <w:t>法定代表人或其委托代理人（</w:t>
      </w:r>
      <w:r>
        <w:rPr>
          <w:rFonts w:hint="eastAsia" w:ascii="宋体" w:hAnsi="宋体" w:cs="宋体"/>
          <w:color w:val="auto"/>
          <w:highlight w:val="none"/>
          <w:lang w:eastAsia="zh-CN"/>
        </w:rPr>
        <w:t>电子签章</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lang w:val="en-US" w:eastAsia="zh-CN"/>
        </w:rPr>
        <w:t xml:space="preserve">                     </w:t>
      </w:r>
    </w:p>
    <w:p>
      <w:pPr>
        <w:pStyle w:val="54"/>
        <w:spacing w:after="240" w:line="240" w:lineRule="auto"/>
        <w:ind w:firstLine="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供应商名称（</w:t>
      </w:r>
      <w:r>
        <w:rPr>
          <w:rFonts w:hint="eastAsia" w:ascii="宋体" w:hAnsi="宋体" w:cs="宋体"/>
          <w:color w:val="auto"/>
          <w:highlight w:val="none"/>
          <w:lang w:eastAsia="zh-CN"/>
        </w:rPr>
        <w:t>电子签章</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lang w:val="en-US" w:eastAsia="zh-CN"/>
        </w:rPr>
        <w:t xml:space="preserve">                     </w:t>
      </w:r>
    </w:p>
    <w:p>
      <w:pPr>
        <w:pStyle w:val="54"/>
        <w:spacing w:after="240" w:line="240" w:lineRule="auto"/>
        <w:ind w:firstLine="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 期：</w:t>
      </w:r>
      <w:r>
        <w:rPr>
          <w:rFonts w:hint="eastAsia" w:asciiTheme="minorEastAsia" w:hAnsiTheme="minorEastAsia" w:eastAsiaTheme="minorEastAsia" w:cstheme="minorEastAsia"/>
          <w:sz w:val="24"/>
          <w:szCs w:val="24"/>
          <w:highlight w:val="none"/>
          <w:u w:val="single"/>
          <w:lang w:val="en-US" w:eastAsia="zh-CN"/>
        </w:rPr>
        <w:t xml:space="preserve">                     </w:t>
      </w:r>
    </w:p>
    <w:p>
      <w:pPr>
        <w:keepNext/>
        <w:keepLines/>
        <w:spacing w:after="1140"/>
        <w:jc w:val="center"/>
        <w:rPr>
          <w:rFonts w:asciiTheme="minorEastAsia" w:hAnsiTheme="minorEastAsia" w:eastAsiaTheme="minorEastAsia" w:cstheme="minorEastAsia"/>
          <w:b/>
          <w:bCs/>
          <w:sz w:val="21"/>
          <w:szCs w:val="21"/>
          <w:highlight w:val="none"/>
          <w:lang w:eastAsia="zh-CN"/>
        </w:rPr>
      </w:pPr>
      <w:bookmarkStart w:id="108" w:name="_Toc32222"/>
      <w:bookmarkStart w:id="109" w:name="_Toc898"/>
      <w:bookmarkStart w:id="110" w:name="_Toc20962"/>
      <w:bookmarkStart w:id="111" w:name="_Toc19983"/>
      <w:bookmarkStart w:id="112" w:name="bookmark461"/>
      <w:bookmarkStart w:id="113" w:name="_Toc1541"/>
      <w:bookmarkStart w:id="114" w:name="bookmark459"/>
      <w:bookmarkStart w:id="115" w:name="bookmark460"/>
      <w:r>
        <w:rPr>
          <w:rFonts w:hint="eastAsia" w:asciiTheme="minorEastAsia" w:hAnsiTheme="minorEastAsia" w:eastAsiaTheme="minorEastAsia" w:cstheme="minorEastAsia"/>
          <w:b/>
          <w:bCs/>
          <w:sz w:val="21"/>
          <w:szCs w:val="21"/>
          <w:highlight w:val="none"/>
          <w:lang w:eastAsia="zh-CN"/>
        </w:rPr>
        <w:br w:type="page"/>
      </w:r>
    </w:p>
    <w:p>
      <w:pPr>
        <w:pStyle w:val="56"/>
        <w:keepNext/>
        <w:keepLines/>
        <w:spacing w:after="400" w:line="240" w:lineRule="auto"/>
        <w:jc w:val="center"/>
        <w:rPr>
          <w:rFonts w:asciiTheme="minorEastAsia" w:hAnsiTheme="minorEastAsia" w:eastAsiaTheme="minorEastAsia" w:cstheme="minorEastAsia"/>
          <w:sz w:val="24"/>
          <w:szCs w:val="24"/>
          <w:highlight w:val="none"/>
        </w:rPr>
      </w:pPr>
      <w:bookmarkStart w:id="116" w:name="_Toc21123"/>
      <w:bookmarkStart w:id="117" w:name="_Toc11483"/>
      <w:r>
        <w:rPr>
          <w:rFonts w:hint="eastAsia" w:asciiTheme="minorEastAsia" w:hAnsiTheme="minorEastAsia" w:eastAsiaTheme="minorEastAsia" w:cstheme="minorEastAsia"/>
          <w:b/>
          <w:bCs/>
          <w:sz w:val="24"/>
          <w:szCs w:val="24"/>
          <w:highlight w:val="none"/>
        </w:rPr>
        <w:t>二、法定代表人身份证明</w:t>
      </w:r>
      <w:bookmarkEnd w:id="108"/>
      <w:bookmarkEnd w:id="109"/>
      <w:bookmarkEnd w:id="110"/>
      <w:bookmarkEnd w:id="111"/>
      <w:bookmarkEnd w:id="112"/>
      <w:bookmarkEnd w:id="113"/>
      <w:bookmarkEnd w:id="114"/>
      <w:bookmarkEnd w:id="115"/>
      <w:bookmarkEnd w:id="116"/>
      <w:bookmarkEnd w:id="117"/>
    </w:p>
    <w:p>
      <w:pPr>
        <w:pStyle w:val="54"/>
        <w:tabs>
          <w:tab w:val="left" w:pos="4613"/>
        </w:tabs>
        <w:spacing w:after="220" w:line="240" w:lineRule="auto"/>
        <w:ind w:firstLine="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供应商名称：</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p>
    <w:p>
      <w:pPr>
        <w:pStyle w:val="54"/>
        <w:tabs>
          <w:tab w:val="left" w:pos="4608"/>
        </w:tabs>
        <w:spacing w:after="220" w:line="240" w:lineRule="auto"/>
        <w:ind w:firstLine="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单位性质：</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p>
    <w:p>
      <w:pPr>
        <w:pStyle w:val="54"/>
        <w:tabs>
          <w:tab w:val="left" w:pos="4613"/>
        </w:tabs>
        <w:spacing w:after="220" w:line="240" w:lineRule="auto"/>
        <w:ind w:firstLine="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地址：</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p>
    <w:p>
      <w:pPr>
        <w:pStyle w:val="54"/>
        <w:tabs>
          <w:tab w:val="left" w:pos="1776"/>
          <w:tab w:val="left" w:pos="2933"/>
          <w:tab w:val="left" w:pos="4085"/>
        </w:tabs>
        <w:spacing w:after="220" w:line="240" w:lineRule="auto"/>
        <w:ind w:firstLine="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成立时间：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日</w:t>
      </w:r>
    </w:p>
    <w:p>
      <w:pPr>
        <w:pStyle w:val="54"/>
        <w:tabs>
          <w:tab w:val="left" w:pos="3667"/>
        </w:tabs>
        <w:spacing w:after="220" w:line="240" w:lineRule="auto"/>
        <w:ind w:firstLine="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经营期限：</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p>
    <w:p>
      <w:pPr>
        <w:pStyle w:val="54"/>
        <w:tabs>
          <w:tab w:val="left" w:pos="1358"/>
          <w:tab w:val="left" w:pos="2933"/>
          <w:tab w:val="left" w:pos="4402"/>
          <w:tab w:val="left" w:pos="5976"/>
        </w:tabs>
        <w:spacing w:after="220" w:line="240" w:lineRule="auto"/>
        <w:ind w:firstLine="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姓名：</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性别：</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年龄：</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职务：</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p>
    <w:p>
      <w:pPr>
        <w:pStyle w:val="54"/>
        <w:tabs>
          <w:tab w:val="left" w:pos="2928"/>
        </w:tabs>
        <w:spacing w:after="700" w:line="240" w:lineRule="auto"/>
        <w:ind w:firstLine="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系</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（供应商名称）的法定代表人。</w:t>
      </w:r>
    </w:p>
    <w:p>
      <w:pPr>
        <w:pStyle w:val="54"/>
        <w:spacing w:after="700" w:line="240" w:lineRule="auto"/>
        <w:ind w:firstLine="54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特此证明。</w:t>
      </w:r>
    </w:p>
    <w:p>
      <w:pPr>
        <w:pStyle w:val="54"/>
        <w:spacing w:after="700" w:line="240" w:lineRule="auto"/>
        <w:ind w:firstLine="54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附：法定代表人身份证明</w:t>
      </w:r>
    </w:p>
    <w:p>
      <w:pPr>
        <w:pStyle w:val="54"/>
        <w:tabs>
          <w:tab w:val="left" w:pos="3250"/>
        </w:tabs>
        <w:spacing w:after="220" w:line="240" w:lineRule="auto"/>
        <w:ind w:right="400" w:firstLine="0"/>
        <w:jc w:val="righ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w:t>
      </w:r>
      <w:r>
        <w:rPr>
          <w:rFonts w:hint="eastAsia" w:ascii="宋体" w:hAnsi="宋体" w:cs="宋体"/>
          <w:color w:val="auto"/>
          <w:highlight w:val="none"/>
          <w:lang w:eastAsia="zh-CN"/>
        </w:rPr>
        <w:t>电子签章</w:t>
      </w:r>
      <w:r>
        <w:rPr>
          <w:rFonts w:hint="eastAsia" w:asciiTheme="minorEastAsia" w:hAnsiTheme="minorEastAsia" w:eastAsiaTheme="minorEastAsia" w:cstheme="minorEastAsia"/>
          <w:sz w:val="24"/>
          <w:szCs w:val="24"/>
          <w:highlight w:val="none"/>
        </w:rPr>
        <w:t>）</w:t>
      </w:r>
    </w:p>
    <w:p>
      <w:pPr>
        <w:pStyle w:val="54"/>
        <w:tabs>
          <w:tab w:val="left" w:pos="1162"/>
          <w:tab w:val="left" w:pos="2314"/>
          <w:tab w:val="left" w:pos="3466"/>
        </w:tabs>
        <w:spacing w:after="220" w:line="240" w:lineRule="auto"/>
        <w:ind w:right="400" w:firstLine="0"/>
        <w:jc w:val="righ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bookmarkStart w:id="118" w:name="_Toc27615"/>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日</w:t>
      </w:r>
      <w:bookmarkEnd w:id="118"/>
    </w:p>
    <w:p>
      <w:pPr>
        <w:keepNext/>
        <w:keepLines/>
        <w:spacing w:after="260"/>
        <w:jc w:val="center"/>
        <w:rPr>
          <w:rFonts w:asciiTheme="minorEastAsia" w:hAnsiTheme="minorEastAsia" w:eastAsiaTheme="minorEastAsia" w:cstheme="minorEastAsia"/>
          <w:b/>
          <w:bCs/>
          <w:sz w:val="21"/>
          <w:szCs w:val="21"/>
          <w:highlight w:val="none"/>
          <w:lang w:eastAsia="zh-CN"/>
        </w:rPr>
      </w:pPr>
      <w:bookmarkStart w:id="119" w:name="bookmark462"/>
      <w:bookmarkStart w:id="120" w:name="bookmark463"/>
      <w:bookmarkStart w:id="121" w:name="bookmark464"/>
      <w:bookmarkStart w:id="122" w:name="_Toc13125"/>
      <w:bookmarkStart w:id="123" w:name="_Toc25728"/>
      <w:bookmarkStart w:id="124" w:name="_Toc27542"/>
      <w:bookmarkStart w:id="125" w:name="_Toc22548"/>
      <w:r>
        <w:rPr>
          <w:rFonts w:hint="eastAsia" w:asciiTheme="minorEastAsia" w:hAnsiTheme="minorEastAsia" w:eastAsiaTheme="minorEastAsia" w:cstheme="minorEastAsia"/>
          <w:b/>
          <w:bCs/>
          <w:sz w:val="21"/>
          <w:szCs w:val="21"/>
          <w:highlight w:val="none"/>
          <w:lang w:eastAsia="zh-CN"/>
        </w:rPr>
        <w:br w:type="page"/>
      </w:r>
    </w:p>
    <w:p>
      <w:pPr>
        <w:pStyle w:val="54"/>
        <w:tabs>
          <w:tab w:val="left" w:pos="1162"/>
          <w:tab w:val="left" w:pos="2314"/>
          <w:tab w:val="left" w:pos="3466"/>
        </w:tabs>
        <w:spacing w:after="220" w:line="240" w:lineRule="auto"/>
        <w:ind w:right="400" w:firstLine="0"/>
        <w:jc w:val="center"/>
        <w:outlineLvl w:val="1"/>
        <w:rPr>
          <w:rFonts w:asciiTheme="minorEastAsia" w:hAnsiTheme="minorEastAsia" w:eastAsiaTheme="minorEastAsia" w:cstheme="minorEastAsia"/>
          <w:sz w:val="24"/>
          <w:szCs w:val="24"/>
          <w:highlight w:val="none"/>
        </w:rPr>
      </w:pPr>
      <w:bookmarkStart w:id="126" w:name="_Toc24209"/>
      <w:r>
        <w:rPr>
          <w:rFonts w:hint="eastAsia" w:asciiTheme="minorEastAsia" w:hAnsiTheme="minorEastAsia" w:eastAsiaTheme="minorEastAsia" w:cstheme="minorEastAsia"/>
          <w:b/>
          <w:bCs/>
          <w:sz w:val="24"/>
          <w:szCs w:val="24"/>
          <w:highlight w:val="none"/>
        </w:rPr>
        <w:t>三、授权委托书</w:t>
      </w:r>
      <w:bookmarkEnd w:id="119"/>
      <w:bookmarkEnd w:id="120"/>
      <w:bookmarkEnd w:id="121"/>
      <w:bookmarkEnd w:id="122"/>
      <w:bookmarkEnd w:id="123"/>
      <w:bookmarkEnd w:id="124"/>
      <w:bookmarkEnd w:id="125"/>
      <w:bookmarkEnd w:id="126"/>
    </w:p>
    <w:p>
      <w:pPr>
        <w:pStyle w:val="54"/>
        <w:tabs>
          <w:tab w:val="left" w:pos="1675"/>
          <w:tab w:val="left" w:pos="3422"/>
          <w:tab w:val="left" w:pos="7675"/>
        </w:tabs>
        <w:spacing w:line="466" w:lineRule="exact"/>
        <w:ind w:firstLine="52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（姓名）系</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（供应商名称）的法定代表人，现委托</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（姓名） 为我方代理人。代理人根据授权，以我方名义签署、澄清、说明、补正、递交、撤回、修改</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响应文件、签订合同和处理有关事宜，其法律后果由 我方承担。</w:t>
      </w:r>
    </w:p>
    <w:p>
      <w:pPr>
        <w:pStyle w:val="54"/>
        <w:spacing w:line="466" w:lineRule="exact"/>
        <w:ind w:firstLine="52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本授权书至响应文件有效期结束前始终有效。</w:t>
      </w:r>
    </w:p>
    <w:p>
      <w:pPr>
        <w:pStyle w:val="54"/>
        <w:spacing w:line="466" w:lineRule="exact"/>
        <w:ind w:firstLine="52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代理人无转委托权。</w:t>
      </w:r>
    </w:p>
    <w:p>
      <w:pPr>
        <w:pStyle w:val="54"/>
        <w:spacing w:after="3720" w:line="466" w:lineRule="exact"/>
        <w:ind w:firstLine="52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附：法定代表人及授权委托人身份证明</w:t>
      </w:r>
    </w:p>
    <w:p>
      <w:pPr>
        <w:pStyle w:val="54"/>
        <w:tabs>
          <w:tab w:val="left" w:pos="4079"/>
          <w:tab w:val="left" w:pos="5025"/>
          <w:tab w:val="left" w:pos="5970"/>
          <w:tab w:val="left" w:pos="6705"/>
          <w:tab w:val="left" w:pos="6810"/>
          <w:tab w:val="left" w:pos="8174"/>
          <w:tab w:val="left" w:pos="8279"/>
        </w:tabs>
        <w:spacing w:after="140" w:line="469"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w:t>
      </w:r>
      <w:r>
        <w:rPr>
          <w:rFonts w:hint="eastAsia" w:ascii="宋体" w:hAnsi="宋体" w:cs="宋体"/>
          <w:color w:val="auto"/>
          <w:highlight w:val="none"/>
          <w:lang w:eastAsia="zh-CN"/>
        </w:rPr>
        <w:t>电子签章</w:t>
      </w:r>
      <w:r>
        <w:rPr>
          <w:rFonts w:hint="eastAsia" w:asciiTheme="minorEastAsia" w:hAnsiTheme="minorEastAsia" w:eastAsiaTheme="minorEastAsia" w:cstheme="minorEastAsia"/>
          <w:sz w:val="24"/>
          <w:szCs w:val="24"/>
          <w:highlight w:val="none"/>
        </w:rPr>
        <w:t xml:space="preserve">） </w:t>
      </w:r>
    </w:p>
    <w:p>
      <w:pPr>
        <w:pStyle w:val="54"/>
        <w:tabs>
          <w:tab w:val="left" w:pos="4079"/>
          <w:tab w:val="left" w:pos="5025"/>
          <w:tab w:val="left" w:pos="5970"/>
          <w:tab w:val="left" w:pos="6705"/>
          <w:tab w:val="left" w:pos="6810"/>
          <w:tab w:val="left" w:pos="8174"/>
          <w:tab w:val="left" w:pos="8279"/>
        </w:tabs>
        <w:spacing w:after="140" w:line="469"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 xml:space="preserve"> （</w:t>
      </w:r>
      <w:r>
        <w:rPr>
          <w:rFonts w:hint="eastAsia" w:ascii="宋体" w:hAnsi="宋体" w:cs="宋体"/>
          <w:color w:val="auto"/>
          <w:highlight w:val="none"/>
          <w:lang w:eastAsia="zh-CN"/>
        </w:rPr>
        <w:t>电子签章</w:t>
      </w:r>
      <w:r>
        <w:rPr>
          <w:rFonts w:hint="eastAsia" w:asciiTheme="minorEastAsia" w:hAnsiTheme="minorEastAsia" w:eastAsiaTheme="minorEastAsia" w:cstheme="minorEastAsia"/>
          <w:sz w:val="24"/>
          <w:szCs w:val="24"/>
          <w:highlight w:val="none"/>
        </w:rPr>
        <w:t xml:space="preserve">） </w:t>
      </w:r>
    </w:p>
    <w:p>
      <w:pPr>
        <w:pStyle w:val="54"/>
        <w:tabs>
          <w:tab w:val="left" w:pos="4079"/>
          <w:tab w:val="left" w:pos="5025"/>
          <w:tab w:val="left" w:pos="5970"/>
          <w:tab w:val="left" w:pos="6705"/>
          <w:tab w:val="left" w:pos="6810"/>
          <w:tab w:val="left" w:pos="8174"/>
          <w:tab w:val="left" w:pos="8279"/>
        </w:tabs>
        <w:spacing w:after="140" w:line="469"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身份证号码：</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lang w:val="en-US" w:eastAsia="zh-CN"/>
        </w:rPr>
        <w:t xml:space="preserve">                    </w:t>
      </w:r>
    </w:p>
    <w:p>
      <w:pPr>
        <w:pStyle w:val="54"/>
        <w:tabs>
          <w:tab w:val="left" w:pos="4079"/>
          <w:tab w:val="left" w:pos="5025"/>
          <w:tab w:val="left" w:pos="5970"/>
          <w:tab w:val="left" w:pos="6705"/>
          <w:tab w:val="left" w:pos="6810"/>
          <w:tab w:val="left" w:pos="8174"/>
          <w:tab w:val="left" w:pos="8279"/>
        </w:tabs>
        <w:spacing w:after="140" w:line="469"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委托代理人：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 xml:space="preserve">（签字或盖章） </w:t>
      </w:r>
    </w:p>
    <w:p>
      <w:pPr>
        <w:pStyle w:val="54"/>
        <w:tabs>
          <w:tab w:val="left" w:pos="4079"/>
          <w:tab w:val="left" w:pos="5025"/>
          <w:tab w:val="left" w:pos="5970"/>
          <w:tab w:val="left" w:pos="6705"/>
          <w:tab w:val="left" w:pos="6810"/>
          <w:tab w:val="left" w:pos="8174"/>
          <w:tab w:val="left" w:pos="8279"/>
        </w:tabs>
        <w:spacing w:after="140" w:line="469"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身份证号码：</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lang w:val="en-US" w:eastAsia="zh-CN"/>
        </w:rPr>
        <w:t xml:space="preserve">                    </w:t>
      </w:r>
    </w:p>
    <w:p>
      <w:pPr>
        <w:pStyle w:val="54"/>
        <w:tabs>
          <w:tab w:val="left" w:pos="4079"/>
          <w:tab w:val="left" w:pos="5025"/>
          <w:tab w:val="left" w:pos="5970"/>
          <w:tab w:val="left" w:pos="6705"/>
          <w:tab w:val="left" w:pos="6810"/>
          <w:tab w:val="left" w:pos="8174"/>
          <w:tab w:val="left" w:pos="8279"/>
        </w:tabs>
        <w:spacing w:after="140" w:line="469" w:lineRule="exact"/>
        <w:ind w:left="3340" w:firstLine="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日</w:t>
      </w:r>
    </w:p>
    <w:p>
      <w:pPr>
        <w:jc w:val="center"/>
        <w:outlineLvl w:val="1"/>
        <w:rPr>
          <w:rFonts w:ascii="宋体" w:hAnsi="宋体" w:eastAsia="宋体" w:cs="宋体"/>
          <w:color w:val="auto"/>
          <w:sz w:val="28"/>
          <w:szCs w:val="28"/>
          <w:highlight w:val="none"/>
          <w:lang w:eastAsia="zh-CN"/>
        </w:rPr>
      </w:pPr>
      <w:r>
        <w:rPr>
          <w:rFonts w:hint="eastAsia" w:asciiTheme="minorEastAsia" w:hAnsiTheme="minorEastAsia" w:eastAsiaTheme="minorEastAsia" w:cstheme="minorEastAsia"/>
          <w:sz w:val="21"/>
          <w:szCs w:val="21"/>
          <w:highlight w:val="none"/>
          <w:lang w:eastAsia="zh-CN"/>
        </w:rPr>
        <w:br w:type="page"/>
      </w:r>
      <w:bookmarkStart w:id="127" w:name="_Toc516822679"/>
      <w:bookmarkStart w:id="128" w:name="_Toc26942"/>
      <w:bookmarkStart w:id="129" w:name="_Toc17339"/>
      <w:bookmarkStart w:id="130" w:name="_Toc9438"/>
      <w:r>
        <w:rPr>
          <w:rFonts w:hint="eastAsia" w:ascii="宋体" w:hAnsi="宋体" w:eastAsia="宋体" w:cs="宋体"/>
          <w:b/>
          <w:bCs/>
          <w:color w:val="auto"/>
          <w:sz w:val="28"/>
          <w:szCs w:val="28"/>
          <w:highlight w:val="none"/>
          <w:lang w:eastAsia="zh-CN"/>
        </w:rPr>
        <w:t>四、资格审查资料</w:t>
      </w:r>
      <w:bookmarkEnd w:id="127"/>
      <w:bookmarkEnd w:id="128"/>
      <w:bookmarkEnd w:id="129"/>
      <w:bookmarkEnd w:id="130"/>
    </w:p>
    <w:p>
      <w:pPr>
        <w:pStyle w:val="4"/>
        <w:jc w:val="center"/>
        <w:rPr>
          <w:rFonts w:ascii="宋体" w:hAnsi="宋体" w:cs="宋体"/>
          <w:color w:val="auto"/>
          <w:sz w:val="24"/>
          <w:szCs w:val="24"/>
          <w:highlight w:val="none"/>
          <w:lang w:eastAsia="zh-CN"/>
        </w:rPr>
      </w:pPr>
      <w:bookmarkStart w:id="131" w:name="_Toc14932"/>
      <w:bookmarkStart w:id="132" w:name="_Toc516822680"/>
      <w:bookmarkStart w:id="133" w:name="_Toc23991"/>
      <w:bookmarkStart w:id="134" w:name="_Toc28750"/>
      <w:r>
        <w:rPr>
          <w:rFonts w:hint="eastAsia" w:ascii="宋体" w:hAnsi="宋体" w:cs="宋体"/>
          <w:color w:val="auto"/>
          <w:sz w:val="24"/>
          <w:szCs w:val="24"/>
          <w:highlight w:val="none"/>
          <w:lang w:eastAsia="zh-CN"/>
        </w:rPr>
        <w:t>（一）</w:t>
      </w:r>
      <w:r>
        <w:rPr>
          <w:rFonts w:hint="eastAsia" w:ascii="宋体" w:hAnsi="宋体" w:eastAsia="宋体" w:cs="宋体"/>
          <w:color w:val="auto"/>
          <w:sz w:val="24"/>
          <w:szCs w:val="24"/>
          <w:highlight w:val="none"/>
          <w:lang w:eastAsia="zh-CN"/>
        </w:rPr>
        <w:t>供应商</w:t>
      </w:r>
      <w:r>
        <w:rPr>
          <w:rFonts w:hint="eastAsia" w:ascii="宋体" w:hAnsi="宋体" w:cs="宋体"/>
          <w:color w:val="auto"/>
          <w:sz w:val="24"/>
          <w:szCs w:val="24"/>
          <w:highlight w:val="none"/>
          <w:lang w:eastAsia="zh-CN"/>
        </w:rPr>
        <w:t>基本情况表</w:t>
      </w:r>
      <w:bookmarkEnd w:id="131"/>
      <w:bookmarkEnd w:id="132"/>
      <w:bookmarkEnd w:id="133"/>
      <w:bookmarkEnd w:id="134"/>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268"/>
        <w:gridCol w:w="650"/>
        <w:gridCol w:w="993"/>
        <w:gridCol w:w="283"/>
        <w:gridCol w:w="195"/>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cs="宋体"/>
                <w:color w:val="auto"/>
                <w:szCs w:val="21"/>
                <w:highlight w:val="none"/>
              </w:rPr>
              <w:t>名称</w:t>
            </w:r>
          </w:p>
        </w:tc>
        <w:tc>
          <w:tcPr>
            <w:tcW w:w="7020" w:type="dxa"/>
            <w:gridSpan w:val="9"/>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3389" w:type="dxa"/>
            <w:gridSpan w:val="5"/>
            <w:vAlign w:val="center"/>
          </w:tcPr>
          <w:p>
            <w:pPr>
              <w:jc w:val="center"/>
              <w:rPr>
                <w:rFonts w:ascii="宋体" w:hAnsi="宋体" w:cs="宋体"/>
                <w:color w:val="auto"/>
                <w:szCs w:val="21"/>
                <w:highlight w:val="none"/>
              </w:rPr>
            </w:pPr>
          </w:p>
        </w:tc>
        <w:tc>
          <w:tcPr>
            <w:tcW w:w="124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385" w:type="dxa"/>
            <w:gridSpan w:val="3"/>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联系方式</w:t>
            </w:r>
          </w:p>
        </w:tc>
        <w:tc>
          <w:tcPr>
            <w:tcW w:w="126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2121" w:type="dxa"/>
            <w:gridSpan w:val="4"/>
            <w:vAlign w:val="center"/>
          </w:tcPr>
          <w:p>
            <w:pPr>
              <w:jc w:val="center"/>
              <w:rPr>
                <w:rFonts w:ascii="宋体" w:hAnsi="宋体" w:cs="宋体"/>
                <w:color w:val="auto"/>
                <w:szCs w:val="21"/>
                <w:highlight w:val="none"/>
              </w:rPr>
            </w:pPr>
          </w:p>
        </w:tc>
        <w:tc>
          <w:tcPr>
            <w:tcW w:w="124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电  话</w:t>
            </w:r>
          </w:p>
        </w:tc>
        <w:tc>
          <w:tcPr>
            <w:tcW w:w="2385" w:type="dxa"/>
            <w:gridSpan w:val="3"/>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vAlign w:val="center"/>
          </w:tcPr>
          <w:p>
            <w:pPr>
              <w:jc w:val="center"/>
              <w:rPr>
                <w:rFonts w:ascii="宋体" w:hAnsi="宋体" w:cs="宋体"/>
                <w:color w:val="auto"/>
                <w:szCs w:val="21"/>
                <w:highlight w:val="none"/>
              </w:rPr>
            </w:pPr>
          </w:p>
        </w:tc>
        <w:tc>
          <w:tcPr>
            <w:tcW w:w="126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传  真</w:t>
            </w:r>
          </w:p>
        </w:tc>
        <w:tc>
          <w:tcPr>
            <w:tcW w:w="2121" w:type="dxa"/>
            <w:gridSpan w:val="4"/>
            <w:vAlign w:val="center"/>
          </w:tcPr>
          <w:p>
            <w:pPr>
              <w:jc w:val="center"/>
              <w:rPr>
                <w:rFonts w:ascii="宋体" w:hAnsi="宋体" w:cs="宋体"/>
                <w:color w:val="auto"/>
                <w:szCs w:val="21"/>
                <w:highlight w:val="none"/>
              </w:rPr>
            </w:pPr>
          </w:p>
        </w:tc>
        <w:tc>
          <w:tcPr>
            <w:tcW w:w="124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网  址</w:t>
            </w:r>
          </w:p>
        </w:tc>
        <w:tc>
          <w:tcPr>
            <w:tcW w:w="2385" w:type="dxa"/>
            <w:gridSpan w:val="3"/>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组织结构</w:t>
            </w:r>
          </w:p>
        </w:tc>
        <w:tc>
          <w:tcPr>
            <w:tcW w:w="7020" w:type="dxa"/>
            <w:gridSpan w:val="9"/>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法定代表人</w:t>
            </w:r>
          </w:p>
        </w:tc>
        <w:tc>
          <w:tcPr>
            <w:tcW w:w="126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650" w:type="dxa"/>
            <w:vAlign w:val="center"/>
          </w:tcPr>
          <w:p>
            <w:pPr>
              <w:jc w:val="center"/>
              <w:rPr>
                <w:rFonts w:ascii="宋体" w:hAnsi="宋体" w:cs="宋体"/>
                <w:color w:val="auto"/>
                <w:szCs w:val="21"/>
                <w:highlight w:val="none"/>
              </w:rPr>
            </w:pPr>
          </w:p>
        </w:tc>
        <w:tc>
          <w:tcPr>
            <w:tcW w:w="1276"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701" w:type="dxa"/>
            <w:gridSpan w:val="3"/>
            <w:vAlign w:val="center"/>
          </w:tcPr>
          <w:p>
            <w:pPr>
              <w:jc w:val="center"/>
              <w:rPr>
                <w:rFonts w:ascii="宋体" w:hAnsi="宋体" w:cs="宋体"/>
                <w:color w:val="auto"/>
                <w:szCs w:val="21"/>
                <w:highlight w:val="none"/>
              </w:rPr>
            </w:pPr>
          </w:p>
        </w:tc>
        <w:tc>
          <w:tcPr>
            <w:tcW w:w="70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416"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126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650" w:type="dxa"/>
            <w:vAlign w:val="center"/>
          </w:tcPr>
          <w:p>
            <w:pPr>
              <w:jc w:val="center"/>
              <w:rPr>
                <w:rFonts w:ascii="宋体" w:hAnsi="宋体" w:cs="宋体"/>
                <w:color w:val="auto"/>
                <w:szCs w:val="21"/>
                <w:highlight w:val="none"/>
              </w:rPr>
            </w:pPr>
          </w:p>
        </w:tc>
        <w:tc>
          <w:tcPr>
            <w:tcW w:w="1276"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701" w:type="dxa"/>
            <w:gridSpan w:val="3"/>
            <w:vAlign w:val="center"/>
          </w:tcPr>
          <w:p>
            <w:pPr>
              <w:jc w:val="center"/>
              <w:rPr>
                <w:rFonts w:ascii="宋体" w:hAnsi="宋体" w:cs="宋体"/>
                <w:color w:val="auto"/>
                <w:szCs w:val="21"/>
                <w:highlight w:val="none"/>
              </w:rPr>
            </w:pPr>
          </w:p>
        </w:tc>
        <w:tc>
          <w:tcPr>
            <w:tcW w:w="70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416"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成立时间</w:t>
            </w:r>
          </w:p>
        </w:tc>
        <w:tc>
          <w:tcPr>
            <w:tcW w:w="1918" w:type="dxa"/>
            <w:gridSpan w:val="2"/>
            <w:vAlign w:val="center"/>
          </w:tcPr>
          <w:p>
            <w:pPr>
              <w:jc w:val="center"/>
              <w:rPr>
                <w:rFonts w:ascii="宋体" w:hAnsi="宋体" w:cs="宋体"/>
                <w:color w:val="auto"/>
                <w:szCs w:val="21"/>
                <w:highlight w:val="none"/>
              </w:rPr>
            </w:pPr>
          </w:p>
        </w:tc>
        <w:tc>
          <w:tcPr>
            <w:tcW w:w="5102" w:type="dxa"/>
            <w:gridSpan w:val="7"/>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企业资质等级</w:t>
            </w:r>
          </w:p>
        </w:tc>
        <w:tc>
          <w:tcPr>
            <w:tcW w:w="1918" w:type="dxa"/>
            <w:gridSpan w:val="2"/>
            <w:vAlign w:val="center"/>
          </w:tcPr>
          <w:p>
            <w:pPr>
              <w:jc w:val="center"/>
              <w:rPr>
                <w:rFonts w:ascii="宋体" w:hAnsi="宋体" w:cs="宋体"/>
                <w:color w:val="auto"/>
                <w:szCs w:val="21"/>
                <w:highlight w:val="none"/>
              </w:rPr>
            </w:pPr>
          </w:p>
        </w:tc>
        <w:tc>
          <w:tcPr>
            <w:tcW w:w="993"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其中</w:t>
            </w:r>
          </w:p>
        </w:tc>
        <w:tc>
          <w:tcPr>
            <w:tcW w:w="1984" w:type="dxa"/>
            <w:gridSpan w:val="4"/>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2125" w:type="dxa"/>
            <w:gridSpan w:val="2"/>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pPr>
              <w:rPr>
                <w:rFonts w:ascii="宋体" w:hAnsi="宋体" w:cs="宋体"/>
                <w:color w:val="auto"/>
                <w:szCs w:val="21"/>
                <w:highlight w:val="none"/>
              </w:rPr>
            </w:pPr>
            <w:r>
              <w:rPr>
                <w:rFonts w:hint="eastAsia" w:ascii="宋体" w:hAnsi="宋体" w:cs="宋体"/>
                <w:color w:val="auto"/>
                <w:szCs w:val="21"/>
                <w:highlight w:val="none"/>
              </w:rPr>
              <w:t>营业执照号</w:t>
            </w:r>
          </w:p>
        </w:tc>
        <w:tc>
          <w:tcPr>
            <w:tcW w:w="1918" w:type="dxa"/>
            <w:gridSpan w:val="2"/>
            <w:vMerge w:val="restart"/>
            <w:vAlign w:val="center"/>
          </w:tcPr>
          <w:p>
            <w:pPr>
              <w:rPr>
                <w:rFonts w:ascii="宋体" w:hAnsi="宋体" w:cs="宋体"/>
                <w:color w:val="auto"/>
                <w:szCs w:val="21"/>
                <w:highlight w:val="none"/>
              </w:rPr>
            </w:pPr>
            <w:r>
              <w:rPr>
                <w:rFonts w:hint="eastAsia" w:ascii="宋体" w:hAnsi="宋体" w:cs="宋体"/>
                <w:color w:val="auto"/>
                <w:szCs w:val="21"/>
                <w:highlight w:val="none"/>
              </w:rPr>
              <w:t xml:space="preserve">        </w:t>
            </w:r>
          </w:p>
        </w:tc>
        <w:tc>
          <w:tcPr>
            <w:tcW w:w="993" w:type="dxa"/>
            <w:vMerge w:val="continue"/>
            <w:vAlign w:val="center"/>
          </w:tcPr>
          <w:p>
            <w:pPr>
              <w:jc w:val="center"/>
              <w:rPr>
                <w:rFonts w:ascii="宋体" w:hAnsi="宋体" w:cs="宋体"/>
                <w:color w:val="auto"/>
                <w:szCs w:val="21"/>
                <w:highlight w:val="none"/>
              </w:rPr>
            </w:pPr>
          </w:p>
        </w:tc>
        <w:tc>
          <w:tcPr>
            <w:tcW w:w="1984" w:type="dxa"/>
            <w:gridSpan w:val="4"/>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高级职称人员</w:t>
            </w:r>
          </w:p>
        </w:tc>
        <w:tc>
          <w:tcPr>
            <w:tcW w:w="2125" w:type="dxa"/>
            <w:gridSpan w:val="2"/>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85" w:type="dxa"/>
            <w:vMerge w:val="continue"/>
            <w:vAlign w:val="center"/>
          </w:tcPr>
          <w:p>
            <w:pPr>
              <w:rPr>
                <w:rFonts w:ascii="宋体" w:hAnsi="宋体" w:cs="宋体"/>
                <w:color w:val="auto"/>
                <w:szCs w:val="21"/>
                <w:highlight w:val="none"/>
              </w:rPr>
            </w:pPr>
          </w:p>
        </w:tc>
        <w:tc>
          <w:tcPr>
            <w:tcW w:w="1918" w:type="dxa"/>
            <w:gridSpan w:val="2"/>
            <w:vMerge w:val="continue"/>
            <w:vAlign w:val="center"/>
          </w:tcPr>
          <w:p>
            <w:pPr>
              <w:jc w:val="center"/>
              <w:rPr>
                <w:rFonts w:ascii="宋体" w:hAnsi="宋体" w:cs="宋体"/>
                <w:color w:val="auto"/>
                <w:szCs w:val="21"/>
                <w:highlight w:val="none"/>
              </w:rPr>
            </w:pPr>
          </w:p>
        </w:tc>
        <w:tc>
          <w:tcPr>
            <w:tcW w:w="993" w:type="dxa"/>
            <w:vMerge w:val="continue"/>
            <w:vAlign w:val="center"/>
          </w:tcPr>
          <w:p>
            <w:pPr>
              <w:jc w:val="center"/>
              <w:rPr>
                <w:rFonts w:ascii="宋体" w:hAnsi="宋体" w:cs="宋体"/>
                <w:color w:val="auto"/>
                <w:szCs w:val="21"/>
                <w:highlight w:val="none"/>
              </w:rPr>
            </w:pPr>
          </w:p>
        </w:tc>
        <w:tc>
          <w:tcPr>
            <w:tcW w:w="1984" w:type="dxa"/>
            <w:gridSpan w:val="4"/>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中级职称人员</w:t>
            </w:r>
          </w:p>
        </w:tc>
        <w:tc>
          <w:tcPr>
            <w:tcW w:w="2125" w:type="dxa"/>
            <w:gridSpan w:val="2"/>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注册资金</w:t>
            </w:r>
          </w:p>
        </w:tc>
        <w:tc>
          <w:tcPr>
            <w:tcW w:w="1918" w:type="dxa"/>
            <w:gridSpan w:val="2"/>
            <w:vAlign w:val="center"/>
          </w:tcPr>
          <w:p>
            <w:pPr>
              <w:jc w:val="center"/>
              <w:rPr>
                <w:rFonts w:ascii="宋体" w:hAnsi="宋体" w:cs="宋体"/>
                <w:color w:val="auto"/>
                <w:szCs w:val="21"/>
                <w:highlight w:val="none"/>
              </w:rPr>
            </w:pPr>
          </w:p>
        </w:tc>
        <w:tc>
          <w:tcPr>
            <w:tcW w:w="993" w:type="dxa"/>
            <w:vMerge w:val="continue"/>
            <w:vAlign w:val="center"/>
          </w:tcPr>
          <w:p>
            <w:pPr>
              <w:jc w:val="center"/>
              <w:rPr>
                <w:rFonts w:ascii="宋体" w:hAnsi="宋体" w:cs="宋体"/>
                <w:color w:val="auto"/>
                <w:szCs w:val="21"/>
                <w:highlight w:val="none"/>
              </w:rPr>
            </w:pPr>
          </w:p>
        </w:tc>
        <w:tc>
          <w:tcPr>
            <w:tcW w:w="1984" w:type="dxa"/>
            <w:gridSpan w:val="4"/>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初级职称人员</w:t>
            </w:r>
          </w:p>
        </w:tc>
        <w:tc>
          <w:tcPr>
            <w:tcW w:w="2125" w:type="dxa"/>
            <w:gridSpan w:val="2"/>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1918" w:type="dxa"/>
            <w:gridSpan w:val="2"/>
            <w:vAlign w:val="center"/>
          </w:tcPr>
          <w:p>
            <w:pPr>
              <w:jc w:val="center"/>
              <w:rPr>
                <w:rFonts w:ascii="宋体" w:hAnsi="宋体" w:cs="宋体"/>
                <w:color w:val="auto"/>
                <w:szCs w:val="21"/>
                <w:highlight w:val="none"/>
              </w:rPr>
            </w:pPr>
          </w:p>
        </w:tc>
        <w:tc>
          <w:tcPr>
            <w:tcW w:w="993" w:type="dxa"/>
            <w:vMerge w:val="continue"/>
            <w:vAlign w:val="center"/>
          </w:tcPr>
          <w:p>
            <w:pPr>
              <w:jc w:val="center"/>
              <w:rPr>
                <w:rFonts w:ascii="宋体" w:hAnsi="宋体" w:cs="宋体"/>
                <w:color w:val="auto"/>
                <w:szCs w:val="21"/>
                <w:highlight w:val="none"/>
              </w:rPr>
            </w:pPr>
          </w:p>
        </w:tc>
        <w:tc>
          <w:tcPr>
            <w:tcW w:w="1984" w:type="dxa"/>
            <w:gridSpan w:val="4"/>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  工</w:t>
            </w:r>
          </w:p>
        </w:tc>
        <w:tc>
          <w:tcPr>
            <w:tcW w:w="2125" w:type="dxa"/>
            <w:gridSpan w:val="2"/>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账号</w:t>
            </w:r>
          </w:p>
        </w:tc>
        <w:tc>
          <w:tcPr>
            <w:tcW w:w="1918" w:type="dxa"/>
            <w:gridSpan w:val="2"/>
            <w:vAlign w:val="center"/>
          </w:tcPr>
          <w:p>
            <w:pPr>
              <w:jc w:val="center"/>
              <w:rPr>
                <w:rFonts w:ascii="宋体" w:hAnsi="宋体" w:cs="宋体"/>
                <w:color w:val="auto"/>
                <w:szCs w:val="21"/>
                <w:highlight w:val="none"/>
              </w:rPr>
            </w:pPr>
          </w:p>
        </w:tc>
        <w:tc>
          <w:tcPr>
            <w:tcW w:w="993" w:type="dxa"/>
            <w:vMerge w:val="continue"/>
            <w:vAlign w:val="center"/>
          </w:tcPr>
          <w:p>
            <w:pPr>
              <w:jc w:val="center"/>
              <w:rPr>
                <w:rFonts w:ascii="宋体" w:hAnsi="宋体" w:cs="宋体"/>
                <w:color w:val="auto"/>
                <w:szCs w:val="21"/>
                <w:highlight w:val="none"/>
              </w:rPr>
            </w:pPr>
          </w:p>
        </w:tc>
        <w:tc>
          <w:tcPr>
            <w:tcW w:w="1984" w:type="dxa"/>
            <w:gridSpan w:val="4"/>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拟派项目负责人姓名</w:t>
            </w:r>
          </w:p>
        </w:tc>
        <w:tc>
          <w:tcPr>
            <w:tcW w:w="2125" w:type="dxa"/>
            <w:gridSpan w:val="2"/>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48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经营范围</w:t>
            </w:r>
          </w:p>
        </w:tc>
        <w:tc>
          <w:tcPr>
            <w:tcW w:w="7020" w:type="dxa"/>
            <w:gridSpan w:val="9"/>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7020" w:type="dxa"/>
            <w:gridSpan w:val="9"/>
            <w:vAlign w:val="center"/>
          </w:tcPr>
          <w:p>
            <w:pPr>
              <w:jc w:val="center"/>
              <w:rPr>
                <w:rFonts w:ascii="宋体" w:hAnsi="宋体" w:cs="宋体"/>
                <w:color w:val="auto"/>
                <w:szCs w:val="21"/>
                <w:highlight w:val="none"/>
              </w:rPr>
            </w:pPr>
          </w:p>
        </w:tc>
      </w:tr>
    </w:tbl>
    <w:p>
      <w:pPr>
        <w:jc w:val="both"/>
        <w:rPr>
          <w:rFonts w:asciiTheme="minorEastAsia" w:hAnsiTheme="minorEastAsia" w:eastAsiaTheme="minorEastAsia" w:cstheme="minorEastAsia"/>
          <w:sz w:val="21"/>
          <w:szCs w:val="21"/>
          <w:highlight w:val="none"/>
        </w:rPr>
      </w:pPr>
    </w:p>
    <w:p>
      <w:pPr>
        <w:rPr>
          <w:rFonts w:asciiTheme="minorEastAsia" w:hAnsiTheme="minorEastAsia" w:eastAsiaTheme="minorEastAsia" w:cstheme="minorEastAsia"/>
          <w:b/>
          <w:bCs/>
          <w:sz w:val="21"/>
          <w:szCs w:val="21"/>
          <w:highlight w:val="none"/>
          <w:lang w:eastAsia="zh-CN"/>
        </w:rPr>
      </w:pPr>
      <w:bookmarkStart w:id="135" w:name="_Toc7700"/>
      <w:bookmarkStart w:id="136" w:name="_Toc20989"/>
      <w:bookmarkStart w:id="137" w:name="_Toc31841"/>
      <w:bookmarkStart w:id="138" w:name="_Toc3570"/>
      <w:bookmarkStart w:id="139" w:name="_Toc12540"/>
      <w:bookmarkStart w:id="140" w:name="_Toc15328"/>
      <w:r>
        <w:rPr>
          <w:rFonts w:hint="eastAsia" w:asciiTheme="minorEastAsia" w:hAnsiTheme="minorEastAsia" w:eastAsiaTheme="minorEastAsia" w:cstheme="minorEastAsia"/>
          <w:b/>
          <w:bCs/>
          <w:sz w:val="21"/>
          <w:szCs w:val="21"/>
          <w:highlight w:val="none"/>
          <w:lang w:eastAsia="zh-CN"/>
        </w:rPr>
        <w:br w:type="page"/>
      </w:r>
    </w:p>
    <w:p>
      <w:pPr>
        <w:pStyle w:val="4"/>
        <w:numPr>
          <w:ilvl w:val="0"/>
          <w:numId w:val="0"/>
        </w:numPr>
        <w:jc w:val="center"/>
        <w:rPr>
          <w:rFonts w:ascii="宋体" w:hAnsi="宋体" w:eastAsia="宋体" w:cs="宋体"/>
          <w:color w:val="auto"/>
          <w:sz w:val="24"/>
          <w:szCs w:val="24"/>
          <w:highlight w:val="none"/>
          <w:lang w:eastAsia="zh-CN"/>
        </w:rPr>
      </w:pPr>
      <w:bookmarkStart w:id="141" w:name="_Toc7667"/>
      <w:bookmarkStart w:id="142" w:name="_Toc17479"/>
      <w:bookmarkStart w:id="143" w:name="_Toc28344"/>
      <w:bookmarkStart w:id="144" w:name="_Toc516822681"/>
      <w:r>
        <w:rPr>
          <w:rFonts w:hint="eastAsia" w:ascii="宋体" w:hAnsi="宋体" w:eastAsia="宋体" w:cs="宋体"/>
          <w:b/>
          <w:bCs/>
          <w:color w:val="auto"/>
          <w:sz w:val="24"/>
          <w:szCs w:val="24"/>
          <w:lang w:val="en-US" w:eastAsia="zh-CN" w:bidi="en-US"/>
        </w:rPr>
        <w:t>（二）</w:t>
      </w:r>
      <w:r>
        <w:rPr>
          <w:rFonts w:hint="eastAsia" w:ascii="宋体" w:hAnsi="宋体" w:eastAsia="宋体" w:cs="宋体"/>
          <w:color w:val="auto"/>
          <w:sz w:val="24"/>
          <w:szCs w:val="24"/>
          <w:highlight w:val="none"/>
          <w:lang w:eastAsia="zh-CN"/>
        </w:rPr>
        <w:t>营业执照</w:t>
      </w:r>
    </w:p>
    <w:p>
      <w:pPr>
        <w:ind w:firstLine="480" w:firstLineChars="200"/>
        <w:rPr>
          <w:highlight w:val="none"/>
          <w:lang w:eastAsia="zh-CN"/>
        </w:rPr>
      </w:pPr>
      <w:r>
        <w:rPr>
          <w:highlight w:val="none"/>
          <w:lang w:eastAsia="zh-CN"/>
        </w:rPr>
        <w:t>附企业法人营业执照或事业单位法人证书扫描件</w:t>
      </w:r>
    </w:p>
    <w:p>
      <w:pPr>
        <w:pStyle w:val="8"/>
        <w:rPr>
          <w:highlight w:val="none"/>
          <w:lang w:val="en-US"/>
        </w:rPr>
      </w:pPr>
    </w:p>
    <w:p>
      <w:pPr>
        <w:pStyle w:val="4"/>
        <w:numPr>
          <w:ilvl w:val="0"/>
          <w:numId w:val="0"/>
        </w:numPr>
        <w:jc w:val="center"/>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lang w:val="en-US" w:eastAsia="zh-CN" w:bidi="en-US"/>
        </w:rPr>
        <w:t>（三）</w:t>
      </w:r>
      <w:r>
        <w:rPr>
          <w:rFonts w:hint="eastAsia" w:ascii="宋体" w:hAnsi="宋体" w:eastAsia="宋体" w:cs="宋体"/>
          <w:color w:val="auto"/>
          <w:sz w:val="24"/>
          <w:szCs w:val="24"/>
          <w:highlight w:val="none"/>
          <w:lang w:eastAsia="zh-CN"/>
        </w:rPr>
        <w:t>资质要求</w:t>
      </w:r>
    </w:p>
    <w:p>
      <w:pPr>
        <w:ind w:firstLine="480" w:firstLineChars="200"/>
        <w:rPr>
          <w:highlight w:val="none"/>
          <w:lang w:eastAsia="zh-CN"/>
        </w:rPr>
      </w:pPr>
      <w:r>
        <w:rPr>
          <w:rFonts w:hint="eastAsia"/>
          <w:highlight w:val="none"/>
          <w:lang w:eastAsia="zh-CN"/>
        </w:rPr>
        <w:t xml:space="preserve">附证书扫描件 </w:t>
      </w:r>
    </w:p>
    <w:p>
      <w:pPr>
        <w:pStyle w:val="4"/>
        <w:numPr>
          <w:ilvl w:val="0"/>
          <w:numId w:val="0"/>
        </w:numPr>
        <w:jc w:val="center"/>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lang w:val="en-US" w:eastAsia="zh-CN" w:bidi="en-US"/>
        </w:rPr>
        <w:t>（四）</w:t>
      </w:r>
      <w:r>
        <w:rPr>
          <w:rFonts w:hint="eastAsia" w:ascii="宋体" w:hAnsi="宋体" w:eastAsia="宋体" w:cs="宋体"/>
          <w:color w:val="auto"/>
          <w:sz w:val="24"/>
          <w:szCs w:val="24"/>
          <w:highlight w:val="none"/>
          <w:lang w:eastAsia="zh-CN"/>
        </w:rPr>
        <w:t>项目负责人</w:t>
      </w:r>
    </w:p>
    <w:p>
      <w:pPr>
        <w:ind w:firstLine="480" w:firstLineChars="200"/>
        <w:rPr>
          <w:rFonts w:hint="eastAsia"/>
          <w:highlight w:val="none"/>
          <w:lang w:eastAsia="zh-CN"/>
        </w:rPr>
      </w:pPr>
      <w:r>
        <w:rPr>
          <w:rFonts w:hint="eastAsia"/>
          <w:highlight w:val="none"/>
          <w:lang w:eastAsia="zh-CN"/>
        </w:rPr>
        <w:t>附证书及职称扫描件</w:t>
      </w:r>
    </w:p>
    <w:p>
      <w:pPr>
        <w:pStyle w:val="36"/>
        <w:rPr>
          <w:rFonts w:hint="eastAsia"/>
          <w:lang w:val="en-US" w:eastAsia="zh-CN"/>
        </w:rPr>
      </w:pPr>
    </w:p>
    <w:p>
      <w:pPr>
        <w:pStyle w:val="4"/>
        <w:jc w:val="center"/>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lang w:eastAsia="zh-CN"/>
        </w:rPr>
        <w:t>五</w:t>
      </w:r>
      <w:r>
        <w:rPr>
          <w:rFonts w:hint="eastAsia" w:ascii="宋体" w:hAnsi="宋体" w:cs="宋体"/>
          <w:color w:val="auto"/>
          <w:sz w:val="24"/>
          <w:szCs w:val="24"/>
          <w:highlight w:val="none"/>
        </w:rPr>
        <w:t>）近年财务状况表</w:t>
      </w:r>
      <w:bookmarkEnd w:id="141"/>
      <w:bookmarkEnd w:id="142"/>
      <w:bookmarkEnd w:id="143"/>
    </w:p>
    <w:p>
      <w:pPr>
        <w:keepNext/>
        <w:keepLines/>
        <w:pageBreakBefore w:val="0"/>
        <w:widowControl w:val="0"/>
        <w:numPr>
          <w:ilvl w:val="0"/>
          <w:numId w:val="0"/>
        </w:numPr>
        <w:kinsoku/>
        <w:wordWrap/>
        <w:overflowPunct/>
        <w:topLinePunct w:val="0"/>
        <w:autoSpaceDE/>
        <w:autoSpaceDN/>
        <w:bidi w:val="0"/>
        <w:adjustRightInd/>
        <w:snapToGrid/>
        <w:spacing w:line="416" w:lineRule="auto"/>
        <w:ind w:firstLine="480" w:firstLineChars="200"/>
        <w:jc w:val="left"/>
        <w:textAlignment w:val="auto"/>
        <w:outlineLvl w:val="9"/>
        <w:rPr>
          <w:rFonts w:hint="eastAsia" w:ascii="宋体" w:hAnsi="宋体" w:eastAsia="宋体" w:cs="宋体"/>
          <w:b w:val="0"/>
          <w:bCs w:val="0"/>
          <w:color w:val="auto"/>
          <w:sz w:val="24"/>
          <w:szCs w:val="24"/>
          <w:lang w:val="en-US" w:eastAsia="zh-CN" w:bidi="en-US"/>
        </w:rPr>
      </w:pPr>
      <w:r>
        <w:rPr>
          <w:rFonts w:hint="eastAsia" w:ascii="宋体" w:hAnsi="宋体" w:eastAsia="宋体" w:cs="宋体"/>
          <w:b w:val="0"/>
          <w:bCs w:val="0"/>
          <w:color w:val="auto"/>
          <w:sz w:val="24"/>
          <w:szCs w:val="24"/>
          <w:lang w:val="en-US" w:eastAsia="zh-CN" w:bidi="en-US"/>
        </w:rPr>
        <w:t>提供完整的2021年或2022年度经审计的财务审计报告，新成立企业提供银行出具的资信证明</w:t>
      </w:r>
    </w:p>
    <w:p>
      <w:pPr>
        <w:pStyle w:val="4"/>
        <w:numPr>
          <w:ilvl w:val="0"/>
          <w:numId w:val="0"/>
        </w:numPr>
        <w:jc w:val="center"/>
        <w:rPr>
          <w:rFonts w:hint="eastAsia" w:ascii="宋体" w:hAnsi="宋体" w:eastAsia="宋体" w:cs="宋体"/>
          <w:b/>
          <w:bCs/>
          <w:color w:val="auto"/>
          <w:sz w:val="24"/>
          <w:szCs w:val="24"/>
          <w:lang w:val="en-US" w:eastAsia="zh-CN" w:bidi="en-US"/>
        </w:rPr>
      </w:pPr>
      <w:r>
        <w:rPr>
          <w:rFonts w:hint="eastAsia" w:ascii="宋体" w:hAnsi="宋体" w:eastAsia="宋体" w:cs="宋体"/>
          <w:b/>
          <w:bCs/>
          <w:color w:val="auto"/>
          <w:sz w:val="24"/>
          <w:szCs w:val="24"/>
          <w:lang w:val="en-US" w:eastAsia="zh-CN" w:bidi="en-US"/>
        </w:rPr>
        <w:t>（六）具有履行合同所必需的设备和专业技术能力</w:t>
      </w:r>
    </w:p>
    <w:p>
      <w:pPr>
        <w:rPr>
          <w:rFonts w:hint="eastAsia"/>
          <w:highlight w:val="none"/>
        </w:rPr>
      </w:pPr>
      <w:r>
        <w:rPr>
          <w:rFonts w:hint="eastAsia"/>
          <w:highlight w:val="none"/>
        </w:rPr>
        <w:t>提供承诺函，格式自拟</w:t>
      </w:r>
    </w:p>
    <w:p>
      <w:pPr>
        <w:pStyle w:val="9"/>
      </w:pPr>
    </w:p>
    <w:p>
      <w:pPr>
        <w:pStyle w:val="4"/>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（七）依法缴纳税收和社会保障资金的相关材料</w:t>
      </w:r>
    </w:p>
    <w:p>
      <w:pPr>
        <w:pStyle w:val="8"/>
        <w:spacing w:line="360" w:lineRule="auto"/>
        <w:ind w:firstLine="480" w:firstLineChars="200"/>
        <w:rPr>
          <w:rFonts w:hint="eastAsia" w:eastAsia="Times New Roman" w:cs="Times New Roman"/>
          <w:color w:val="auto"/>
          <w:sz w:val="24"/>
          <w:highlight w:val="none"/>
          <w:lang w:val="en-US" w:bidi="en-US"/>
        </w:rPr>
      </w:pPr>
      <w:r>
        <w:rPr>
          <w:rFonts w:hint="eastAsia" w:eastAsia="Times New Roman" w:cs="Times New Roman"/>
          <w:color w:val="auto"/>
          <w:sz w:val="24"/>
          <w:highlight w:val="none"/>
          <w:lang w:val="en-US" w:bidi="en-US"/>
        </w:rPr>
        <w:t>提供2023年1月以来任意1个月的社会保障资金及税收缴纳证明材料。新成立企业从成立之日起计算，依法免税或不需要缴纳社会保障资金的供应商，应提供相应文件证明其依法免税或不需要缴纳社会保障资金</w:t>
      </w:r>
    </w:p>
    <w:p>
      <w:pPr>
        <w:pStyle w:val="9"/>
        <w:rPr>
          <w:rFonts w:hint="eastAsia"/>
          <w:lang w:val="en-US"/>
        </w:rPr>
      </w:pPr>
    </w:p>
    <w:p>
      <w:pPr>
        <w:pStyle w:val="4"/>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（八）供应商在参加政府采购活动前三年内，在经营活动中没有重大违法记录</w:t>
      </w:r>
    </w:p>
    <w:p>
      <w:pPr>
        <w:keepNext/>
        <w:keepLines/>
        <w:pageBreakBefore w:val="0"/>
        <w:widowControl w:val="0"/>
        <w:kinsoku/>
        <w:wordWrap/>
        <w:overflowPunct/>
        <w:topLinePunct w:val="0"/>
        <w:autoSpaceDE/>
        <w:autoSpaceDN/>
        <w:bidi w:val="0"/>
        <w:adjustRightInd/>
        <w:snapToGrid/>
        <w:spacing w:line="416" w:lineRule="auto"/>
        <w:ind w:firstLine="480" w:firstLineChars="200"/>
        <w:jc w:val="left"/>
        <w:textAlignment w:val="auto"/>
        <w:outlineLvl w:val="9"/>
        <w:rPr>
          <w:rFonts w:hint="eastAsia" w:ascii="宋体" w:hAnsi="宋体" w:eastAsia="Times New Roman" w:cs="Times New Roman"/>
          <w:b w:val="0"/>
          <w:bCs w:val="0"/>
          <w:color w:val="auto"/>
          <w:sz w:val="24"/>
          <w:szCs w:val="21"/>
          <w:highlight w:val="none"/>
          <w:lang w:val="en-US" w:eastAsia="zh-CN" w:bidi="en-US"/>
        </w:rPr>
      </w:pPr>
      <w:r>
        <w:rPr>
          <w:rFonts w:hint="eastAsia" w:ascii="宋体" w:hAnsi="宋体" w:eastAsia="Times New Roman" w:cs="Times New Roman"/>
          <w:b w:val="0"/>
          <w:bCs w:val="0"/>
          <w:color w:val="auto"/>
          <w:sz w:val="24"/>
          <w:szCs w:val="21"/>
          <w:highlight w:val="none"/>
          <w:lang w:val="en-US" w:eastAsia="zh-CN" w:bidi="en-US"/>
        </w:rPr>
        <w:t>供应商出具承诺书，格式自拟</w:t>
      </w:r>
    </w:p>
    <w:p>
      <w:pPr>
        <w:pStyle w:val="36"/>
        <w:rPr>
          <w:rFonts w:hint="eastAsia"/>
          <w:lang w:val="en-US" w:eastAsia="zh-CN"/>
        </w:rPr>
      </w:pPr>
    </w:p>
    <w:p>
      <w:pPr>
        <w:pStyle w:val="4"/>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（九）“信用中国”网站、中国政府采购网查询截图</w:t>
      </w:r>
    </w:p>
    <w:p>
      <w:pPr>
        <w:pStyle w:val="8"/>
        <w:spacing w:line="360" w:lineRule="auto"/>
        <w:ind w:firstLine="480" w:firstLineChars="200"/>
        <w:rPr>
          <w:rFonts w:hint="eastAsia" w:eastAsia="宋体" w:cs="Times New Roman"/>
          <w:color w:val="auto"/>
          <w:sz w:val="24"/>
          <w:highlight w:val="none"/>
          <w:lang w:val="en-US" w:eastAsia="zh-CN" w:bidi="en-US"/>
        </w:rPr>
      </w:pPr>
      <w:r>
        <w:rPr>
          <w:rFonts w:hint="eastAsia" w:eastAsia="Times New Roman" w:cs="Times New Roman"/>
          <w:color w:val="auto"/>
          <w:sz w:val="24"/>
          <w:highlight w:val="none"/>
          <w:lang w:val="en-US" w:bidi="en-US"/>
        </w:rPr>
        <w:t>根据财政部《关于在政府采购活动中查询及使用信用记录有关问题的通知》(财库[2016]125号) 和豫财购[2016]15号的规定，对列入失信被执行人、重大税收违法失信主体、政府采购严重违法失信行为记录名单的供应商，视为无效投标。查询渠道：“信用中国”网站（www.creditchina.gov.cn ）或通过信用中国转至中国执行信息公开网、中国政府采购网（www.ccgp.gov.cn ），查询截止时点为：从磋商公告发布之日起至投标截止之日止</w:t>
      </w:r>
      <w:r>
        <w:rPr>
          <w:rFonts w:hint="eastAsia" w:eastAsia="宋体" w:cs="Times New Roman"/>
          <w:color w:val="auto"/>
          <w:sz w:val="24"/>
          <w:highlight w:val="none"/>
          <w:lang w:val="en-US" w:eastAsia="zh-CN" w:bidi="en-US"/>
        </w:rPr>
        <w:t>。</w:t>
      </w:r>
    </w:p>
    <w:p>
      <w:pPr>
        <w:pStyle w:val="8"/>
        <w:rPr>
          <w:color w:val="auto"/>
          <w:sz w:val="24"/>
          <w:szCs w:val="24"/>
          <w:highlight w:val="none"/>
        </w:rPr>
      </w:pPr>
    </w:p>
    <w:p>
      <w:pPr>
        <w:pStyle w:val="4"/>
        <w:jc w:val="cente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（十）单位负责人为同一人或者存在控股、管理关系的不同单位，不得同时参加本项目投标</w:t>
      </w:r>
    </w:p>
    <w:p>
      <w:pPr>
        <w:pStyle w:val="8"/>
        <w:spacing w:line="360" w:lineRule="auto"/>
        <w:ind w:firstLine="480" w:firstLineChars="200"/>
        <w:rPr>
          <w:rFonts w:hint="eastAsia" w:ascii="宋体" w:hAnsi="宋体" w:eastAsia="Times New Roman" w:cs="Times New Roman"/>
          <w:color w:val="auto"/>
          <w:sz w:val="24"/>
          <w:highlight w:val="none"/>
          <w:lang w:val="en-US" w:eastAsia="zh-CN" w:bidi="en-US"/>
        </w:rPr>
      </w:pPr>
      <w:r>
        <w:rPr>
          <w:rFonts w:hint="eastAsia" w:ascii="宋体" w:hAnsi="宋体" w:eastAsia="Times New Roman" w:cs="Times New Roman"/>
          <w:color w:val="auto"/>
          <w:sz w:val="24"/>
          <w:highlight w:val="none"/>
          <w:lang w:val="en-US" w:eastAsia="zh-CN" w:bidi="en-US"/>
        </w:rPr>
        <w:t>提供“国家企业信用信息公示系统”中查询的相关材料并加盖公章，查询信息需包含公司基本信息、股东信息及股权变更信息等相关信息，查询日期为本项目磋商公告发布之后</w:t>
      </w:r>
    </w:p>
    <w:p>
      <w:pPr>
        <w:pStyle w:val="8"/>
        <w:rPr>
          <w:color w:val="auto"/>
          <w:sz w:val="24"/>
          <w:szCs w:val="24"/>
          <w:highlight w:val="none"/>
        </w:rPr>
      </w:pPr>
    </w:p>
    <w:p>
      <w:pPr>
        <w:pStyle w:val="8"/>
        <w:rPr>
          <w:color w:val="auto"/>
          <w:sz w:val="24"/>
          <w:szCs w:val="24"/>
          <w:highlight w:val="none"/>
        </w:rPr>
      </w:pPr>
    </w:p>
    <w:p>
      <w:pPr>
        <w:rPr>
          <w:color w:val="auto"/>
          <w:sz w:val="24"/>
          <w:szCs w:val="24"/>
          <w:highlight w:val="none"/>
        </w:rPr>
      </w:pPr>
      <w:r>
        <w:rPr>
          <w:color w:val="auto"/>
          <w:sz w:val="24"/>
          <w:szCs w:val="24"/>
          <w:highlight w:val="none"/>
        </w:rPr>
        <w:br w:type="page"/>
      </w:r>
    </w:p>
    <w:bookmarkEnd w:id="135"/>
    <w:bookmarkEnd w:id="136"/>
    <w:bookmarkEnd w:id="137"/>
    <w:bookmarkEnd w:id="138"/>
    <w:bookmarkEnd w:id="139"/>
    <w:bookmarkEnd w:id="140"/>
    <w:bookmarkEnd w:id="144"/>
    <w:p>
      <w:pPr>
        <w:spacing w:line="360" w:lineRule="auto"/>
        <w:jc w:val="center"/>
        <w:outlineLvl w:val="1"/>
        <w:rPr>
          <w:rFonts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 xml:space="preserve">五、技术部分 </w:t>
      </w:r>
    </w:p>
    <w:p>
      <w:pPr>
        <w:pStyle w:val="8"/>
        <w:spacing w:line="360" w:lineRule="auto"/>
        <w:ind w:firstLine="480" w:firstLineChars="200"/>
        <w:rPr>
          <w:sz w:val="24"/>
          <w:szCs w:val="24"/>
          <w:highlight w:val="none"/>
          <w:lang w:val="en-US"/>
        </w:rPr>
      </w:pPr>
      <w:r>
        <w:rPr>
          <w:rFonts w:hint="eastAsia"/>
          <w:sz w:val="24"/>
          <w:szCs w:val="24"/>
          <w:highlight w:val="none"/>
          <w:lang w:val="en-US"/>
        </w:rPr>
        <w:t>供应商应结合本磋商文件第五章 项目需求和第三章 评标办法中的技术部分对应的评分标准细则，逐条响应。</w:t>
      </w:r>
    </w:p>
    <w:p>
      <w:pPr>
        <w:rPr>
          <w:highlight w:val="none"/>
          <w:lang w:eastAsia="zh-CN"/>
        </w:rPr>
      </w:pPr>
      <w:r>
        <w:rPr>
          <w:highlight w:val="none"/>
          <w:lang w:eastAsia="zh-CN"/>
        </w:rPr>
        <w:br w:type="page"/>
      </w:r>
    </w:p>
    <w:p>
      <w:pPr>
        <w:spacing w:line="360" w:lineRule="auto"/>
        <w:jc w:val="center"/>
        <w:outlineLvl w:val="1"/>
        <w:rPr>
          <w:rFonts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 xml:space="preserve">六、商务部分 </w:t>
      </w:r>
    </w:p>
    <w:p>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b/>
          <w:bCs/>
          <w:sz w:val="24"/>
          <w:szCs w:val="24"/>
          <w:highlight w:val="none"/>
          <w:lang w:val="en-US"/>
        </w:rPr>
      </w:pPr>
      <w:r>
        <w:rPr>
          <w:rFonts w:hint="eastAsia"/>
          <w:b/>
          <w:bCs/>
          <w:sz w:val="24"/>
          <w:szCs w:val="24"/>
          <w:highlight w:val="none"/>
          <w:lang w:val="en-US"/>
        </w:rPr>
        <w:t>（一）企业业绩情况表</w:t>
      </w:r>
    </w:p>
    <w:tbl>
      <w:tblPr>
        <w:tblStyle w:val="21"/>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5"/>
        <w:gridCol w:w="6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2385" w:type="dxa"/>
            <w:vAlign w:val="center"/>
          </w:tcPr>
          <w:p>
            <w:pPr>
              <w:pStyle w:val="9"/>
              <w:spacing w:line="360" w:lineRule="auto"/>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项目名称</w:t>
            </w:r>
          </w:p>
        </w:tc>
        <w:tc>
          <w:tcPr>
            <w:tcW w:w="6455" w:type="dxa"/>
          </w:tcPr>
          <w:p>
            <w:pPr>
              <w:pStyle w:val="9"/>
              <w:spacing w:line="360" w:lineRule="auto"/>
              <w:jc w:val="both"/>
              <w:rPr>
                <w:rFonts w:ascii="宋体" w:hAnsi="宋体" w:eastAsia="宋体" w:cs="宋体"/>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2385" w:type="dxa"/>
            <w:vAlign w:val="center"/>
          </w:tcPr>
          <w:p>
            <w:pPr>
              <w:pStyle w:val="9"/>
              <w:spacing w:line="360" w:lineRule="auto"/>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项目所在地</w:t>
            </w:r>
          </w:p>
        </w:tc>
        <w:tc>
          <w:tcPr>
            <w:tcW w:w="6455" w:type="dxa"/>
          </w:tcPr>
          <w:p>
            <w:pPr>
              <w:pStyle w:val="9"/>
              <w:spacing w:line="360" w:lineRule="auto"/>
              <w:jc w:val="both"/>
              <w:rPr>
                <w:rFonts w:ascii="宋体" w:hAnsi="宋体" w:eastAsia="宋体" w:cs="宋体"/>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2385" w:type="dxa"/>
            <w:vAlign w:val="center"/>
          </w:tcPr>
          <w:p>
            <w:pPr>
              <w:pStyle w:val="9"/>
              <w:spacing w:line="360" w:lineRule="auto"/>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委托人名称</w:t>
            </w:r>
          </w:p>
        </w:tc>
        <w:tc>
          <w:tcPr>
            <w:tcW w:w="6455" w:type="dxa"/>
          </w:tcPr>
          <w:p>
            <w:pPr>
              <w:pStyle w:val="9"/>
              <w:spacing w:line="360" w:lineRule="auto"/>
              <w:jc w:val="both"/>
              <w:rPr>
                <w:rFonts w:ascii="宋体" w:hAnsi="宋体" w:eastAsia="宋体" w:cs="宋体"/>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2385" w:type="dxa"/>
            <w:vAlign w:val="center"/>
          </w:tcPr>
          <w:p>
            <w:pPr>
              <w:pStyle w:val="9"/>
              <w:spacing w:line="360" w:lineRule="auto"/>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委托人地址</w:t>
            </w:r>
          </w:p>
        </w:tc>
        <w:tc>
          <w:tcPr>
            <w:tcW w:w="6455" w:type="dxa"/>
          </w:tcPr>
          <w:p>
            <w:pPr>
              <w:pStyle w:val="9"/>
              <w:spacing w:line="360" w:lineRule="auto"/>
              <w:jc w:val="both"/>
              <w:rPr>
                <w:rFonts w:ascii="宋体" w:hAnsi="宋体" w:eastAsia="宋体" w:cs="宋体"/>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2385" w:type="dxa"/>
            <w:vAlign w:val="center"/>
          </w:tcPr>
          <w:p>
            <w:pPr>
              <w:pStyle w:val="9"/>
              <w:spacing w:line="360" w:lineRule="auto"/>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委托人联系电话</w:t>
            </w:r>
          </w:p>
        </w:tc>
        <w:tc>
          <w:tcPr>
            <w:tcW w:w="6455" w:type="dxa"/>
          </w:tcPr>
          <w:p>
            <w:pPr>
              <w:pStyle w:val="9"/>
              <w:spacing w:line="360" w:lineRule="auto"/>
              <w:jc w:val="both"/>
              <w:rPr>
                <w:rFonts w:ascii="宋体" w:hAnsi="宋体" w:eastAsia="宋体" w:cs="宋体"/>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2385" w:type="dxa"/>
            <w:vAlign w:val="center"/>
          </w:tcPr>
          <w:p>
            <w:pPr>
              <w:pStyle w:val="9"/>
              <w:spacing w:line="360" w:lineRule="auto"/>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项目规模</w:t>
            </w:r>
          </w:p>
        </w:tc>
        <w:tc>
          <w:tcPr>
            <w:tcW w:w="6455" w:type="dxa"/>
          </w:tcPr>
          <w:p>
            <w:pPr>
              <w:pStyle w:val="9"/>
              <w:spacing w:line="360" w:lineRule="auto"/>
              <w:jc w:val="both"/>
              <w:rPr>
                <w:rFonts w:ascii="宋体" w:hAnsi="宋体" w:eastAsia="宋体" w:cs="宋体"/>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2385" w:type="dxa"/>
            <w:vAlign w:val="center"/>
          </w:tcPr>
          <w:p>
            <w:pPr>
              <w:pStyle w:val="9"/>
              <w:spacing w:line="360" w:lineRule="auto"/>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合同签订日期</w:t>
            </w:r>
          </w:p>
        </w:tc>
        <w:tc>
          <w:tcPr>
            <w:tcW w:w="6455" w:type="dxa"/>
          </w:tcPr>
          <w:p>
            <w:pPr>
              <w:pStyle w:val="9"/>
              <w:spacing w:line="360" w:lineRule="auto"/>
              <w:jc w:val="both"/>
              <w:rPr>
                <w:rFonts w:ascii="宋体" w:hAnsi="宋体" w:eastAsia="宋体" w:cs="宋体"/>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385" w:type="dxa"/>
            <w:vAlign w:val="center"/>
          </w:tcPr>
          <w:p>
            <w:pPr>
              <w:pStyle w:val="9"/>
              <w:spacing w:line="360" w:lineRule="auto"/>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成果提交日期</w:t>
            </w:r>
          </w:p>
        </w:tc>
        <w:tc>
          <w:tcPr>
            <w:tcW w:w="6455" w:type="dxa"/>
          </w:tcPr>
          <w:p>
            <w:pPr>
              <w:pStyle w:val="9"/>
              <w:spacing w:line="360" w:lineRule="auto"/>
              <w:jc w:val="both"/>
              <w:rPr>
                <w:rFonts w:ascii="宋体" w:hAnsi="宋体" w:eastAsia="宋体" w:cs="宋体"/>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385" w:type="dxa"/>
            <w:vAlign w:val="center"/>
          </w:tcPr>
          <w:p>
            <w:pPr>
              <w:pStyle w:val="9"/>
              <w:spacing w:line="360" w:lineRule="auto"/>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承担的工作</w:t>
            </w:r>
          </w:p>
        </w:tc>
        <w:tc>
          <w:tcPr>
            <w:tcW w:w="6455" w:type="dxa"/>
          </w:tcPr>
          <w:p>
            <w:pPr>
              <w:pStyle w:val="9"/>
              <w:spacing w:line="360" w:lineRule="auto"/>
              <w:jc w:val="both"/>
              <w:rPr>
                <w:rFonts w:ascii="宋体" w:hAnsi="宋体" w:eastAsia="宋体" w:cs="宋体"/>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385" w:type="dxa"/>
            <w:vAlign w:val="center"/>
          </w:tcPr>
          <w:p>
            <w:pPr>
              <w:pStyle w:val="9"/>
              <w:spacing w:line="360" w:lineRule="auto"/>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项目负责人</w:t>
            </w:r>
          </w:p>
        </w:tc>
        <w:tc>
          <w:tcPr>
            <w:tcW w:w="6455" w:type="dxa"/>
          </w:tcPr>
          <w:p>
            <w:pPr>
              <w:pStyle w:val="9"/>
              <w:spacing w:line="360" w:lineRule="auto"/>
              <w:jc w:val="both"/>
              <w:rPr>
                <w:rFonts w:ascii="宋体" w:hAnsi="宋体" w:eastAsia="宋体" w:cs="宋体"/>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385" w:type="dxa"/>
            <w:vAlign w:val="center"/>
          </w:tcPr>
          <w:p>
            <w:pPr>
              <w:pStyle w:val="9"/>
              <w:spacing w:line="360" w:lineRule="auto"/>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项目描述</w:t>
            </w:r>
          </w:p>
        </w:tc>
        <w:tc>
          <w:tcPr>
            <w:tcW w:w="6455" w:type="dxa"/>
          </w:tcPr>
          <w:p>
            <w:pPr>
              <w:pStyle w:val="9"/>
              <w:spacing w:line="360" w:lineRule="auto"/>
              <w:jc w:val="both"/>
              <w:rPr>
                <w:rFonts w:ascii="宋体" w:hAnsi="宋体" w:eastAsia="宋体" w:cs="宋体"/>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385" w:type="dxa"/>
            <w:vAlign w:val="center"/>
          </w:tcPr>
          <w:p>
            <w:pPr>
              <w:pStyle w:val="9"/>
              <w:spacing w:line="360" w:lineRule="auto"/>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备注</w:t>
            </w:r>
          </w:p>
        </w:tc>
        <w:tc>
          <w:tcPr>
            <w:tcW w:w="6455" w:type="dxa"/>
          </w:tcPr>
          <w:p>
            <w:pPr>
              <w:pStyle w:val="9"/>
              <w:spacing w:line="360" w:lineRule="auto"/>
              <w:jc w:val="both"/>
              <w:rPr>
                <w:rFonts w:ascii="宋体" w:hAnsi="宋体" w:eastAsia="宋体" w:cs="宋体"/>
                <w:sz w:val="24"/>
                <w:szCs w:val="24"/>
                <w:highlight w:val="none"/>
                <w:lang w:eastAsia="zh-CN"/>
              </w:rPr>
            </w:pPr>
          </w:p>
        </w:tc>
      </w:tr>
    </w:tbl>
    <w:p>
      <w:pPr>
        <w:pStyle w:val="9"/>
        <w:spacing w:line="360" w:lineRule="auto"/>
        <w:rPr>
          <w:sz w:val="24"/>
          <w:szCs w:val="24"/>
          <w:highlight w:val="none"/>
          <w:lang w:eastAsia="zh-CN"/>
        </w:rPr>
      </w:pPr>
      <w:r>
        <w:rPr>
          <w:sz w:val="24"/>
          <w:szCs w:val="24"/>
          <w:highlight w:val="none"/>
          <w:lang w:eastAsia="zh-CN"/>
        </w:rPr>
        <w:t>注：</w:t>
      </w:r>
      <w:r>
        <w:rPr>
          <w:rFonts w:hint="eastAsia"/>
          <w:sz w:val="24"/>
          <w:szCs w:val="24"/>
          <w:highlight w:val="none"/>
          <w:lang w:eastAsia="zh-CN"/>
        </w:rPr>
        <w:t>响应文件</w:t>
      </w:r>
      <w:r>
        <w:rPr>
          <w:rFonts w:hint="eastAsia"/>
          <w:sz w:val="24"/>
          <w:szCs w:val="24"/>
          <w:highlight w:val="none"/>
          <w:lang w:val="en-US" w:eastAsia="zh-CN"/>
        </w:rPr>
        <w:t>内附合同或中标通知书盖公章的复印件，以正式签订的合同或中标通知书日期为准。</w:t>
      </w:r>
      <w:r>
        <w:rPr>
          <w:sz w:val="24"/>
          <w:szCs w:val="24"/>
          <w:highlight w:val="none"/>
          <w:lang w:eastAsia="zh-CN"/>
        </w:rPr>
        <w:t>每张表格只填写一个项目，并标明序号。</w:t>
      </w:r>
    </w:p>
    <w:p>
      <w:pPr>
        <w:pStyle w:val="9"/>
        <w:spacing w:line="360" w:lineRule="auto"/>
        <w:rPr>
          <w:sz w:val="24"/>
          <w:szCs w:val="24"/>
          <w:highlight w:val="none"/>
          <w:lang w:eastAsia="zh-CN"/>
        </w:rPr>
      </w:pPr>
    </w:p>
    <w:p>
      <w:pPr>
        <w:pStyle w:val="9"/>
        <w:spacing w:line="360" w:lineRule="auto"/>
        <w:rPr>
          <w:sz w:val="24"/>
          <w:szCs w:val="24"/>
          <w:highlight w:val="none"/>
          <w:lang w:eastAsia="zh-CN"/>
        </w:rPr>
      </w:pPr>
    </w:p>
    <w:p>
      <w:pPr>
        <w:pStyle w:val="9"/>
        <w:spacing w:line="360" w:lineRule="auto"/>
        <w:rPr>
          <w:rFonts w:eastAsiaTheme="minorEastAsia"/>
          <w:sz w:val="24"/>
          <w:szCs w:val="24"/>
          <w:highlight w:val="none"/>
          <w:lang w:eastAsia="zh-CN"/>
        </w:rPr>
      </w:pPr>
    </w:p>
    <w:p>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bCs/>
          <w:sz w:val="24"/>
          <w:szCs w:val="24"/>
          <w:highlight w:val="none"/>
          <w:lang w:val="en-US"/>
        </w:rPr>
      </w:pPr>
      <w:r>
        <w:rPr>
          <w:rFonts w:hint="eastAsia" w:ascii="宋体" w:hAnsi="宋体" w:eastAsia="宋体" w:cs="宋体"/>
          <w:b/>
          <w:bCs/>
          <w:sz w:val="24"/>
          <w:szCs w:val="24"/>
          <w:highlight w:val="none"/>
          <w:lang w:val="en-US"/>
        </w:rPr>
        <w:t>（</w:t>
      </w: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val="en-US"/>
        </w:rPr>
        <w:t xml:space="preserve">）拟派项目成员 </w:t>
      </w:r>
    </w:p>
    <w:tbl>
      <w:tblPr>
        <w:tblStyle w:val="21"/>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979"/>
        <w:gridCol w:w="979"/>
        <w:gridCol w:w="979"/>
        <w:gridCol w:w="979"/>
        <w:gridCol w:w="1263"/>
        <w:gridCol w:w="696"/>
        <w:gridCol w:w="980"/>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79" w:type="dxa"/>
            <w:vMerge w:val="restart"/>
            <w:vAlign w:val="center"/>
          </w:tcPr>
          <w:p>
            <w:pPr>
              <w:pStyle w:val="9"/>
              <w:spacing w:line="360" w:lineRule="auto"/>
              <w:jc w:val="center"/>
              <w:rPr>
                <w:sz w:val="24"/>
                <w:szCs w:val="24"/>
                <w:highlight w:val="none"/>
                <w:lang w:eastAsia="zh-CN"/>
              </w:rPr>
            </w:pPr>
            <w:r>
              <w:rPr>
                <w:rFonts w:hint="eastAsia"/>
                <w:sz w:val="24"/>
                <w:szCs w:val="24"/>
                <w:highlight w:val="none"/>
                <w:lang w:eastAsia="zh-CN"/>
              </w:rPr>
              <w:t>序号</w:t>
            </w:r>
          </w:p>
        </w:tc>
        <w:tc>
          <w:tcPr>
            <w:tcW w:w="979" w:type="dxa"/>
            <w:vMerge w:val="restart"/>
            <w:vAlign w:val="center"/>
          </w:tcPr>
          <w:p>
            <w:pPr>
              <w:pStyle w:val="9"/>
              <w:spacing w:line="360" w:lineRule="auto"/>
              <w:jc w:val="center"/>
              <w:rPr>
                <w:sz w:val="24"/>
                <w:szCs w:val="24"/>
                <w:highlight w:val="none"/>
                <w:lang w:eastAsia="zh-CN"/>
              </w:rPr>
            </w:pPr>
            <w:r>
              <w:rPr>
                <w:rFonts w:hint="eastAsia"/>
                <w:sz w:val="24"/>
                <w:szCs w:val="24"/>
                <w:highlight w:val="none"/>
                <w:lang w:eastAsia="zh-CN"/>
              </w:rPr>
              <w:t>本项目任职</w:t>
            </w:r>
          </w:p>
        </w:tc>
        <w:tc>
          <w:tcPr>
            <w:tcW w:w="979" w:type="dxa"/>
            <w:vMerge w:val="restart"/>
            <w:vAlign w:val="center"/>
          </w:tcPr>
          <w:p>
            <w:pPr>
              <w:pStyle w:val="9"/>
              <w:spacing w:line="360" w:lineRule="auto"/>
              <w:jc w:val="center"/>
              <w:rPr>
                <w:sz w:val="24"/>
                <w:szCs w:val="24"/>
                <w:highlight w:val="none"/>
                <w:lang w:eastAsia="zh-CN"/>
              </w:rPr>
            </w:pPr>
            <w:r>
              <w:rPr>
                <w:rFonts w:hint="eastAsia"/>
                <w:sz w:val="24"/>
                <w:szCs w:val="24"/>
                <w:highlight w:val="none"/>
                <w:lang w:eastAsia="zh-CN"/>
              </w:rPr>
              <w:t>姓名</w:t>
            </w:r>
          </w:p>
        </w:tc>
        <w:tc>
          <w:tcPr>
            <w:tcW w:w="979" w:type="dxa"/>
            <w:vMerge w:val="restart"/>
            <w:vAlign w:val="center"/>
          </w:tcPr>
          <w:p>
            <w:pPr>
              <w:pStyle w:val="9"/>
              <w:spacing w:line="360" w:lineRule="auto"/>
              <w:jc w:val="center"/>
              <w:rPr>
                <w:sz w:val="24"/>
                <w:szCs w:val="24"/>
                <w:highlight w:val="none"/>
                <w:lang w:eastAsia="zh-CN"/>
              </w:rPr>
            </w:pPr>
            <w:r>
              <w:rPr>
                <w:rFonts w:hint="eastAsia"/>
                <w:sz w:val="24"/>
                <w:szCs w:val="24"/>
                <w:highlight w:val="none"/>
                <w:lang w:eastAsia="zh-CN"/>
              </w:rPr>
              <w:t>职称</w:t>
            </w:r>
          </w:p>
        </w:tc>
        <w:tc>
          <w:tcPr>
            <w:tcW w:w="979" w:type="dxa"/>
            <w:vMerge w:val="restart"/>
            <w:vAlign w:val="center"/>
          </w:tcPr>
          <w:p>
            <w:pPr>
              <w:pStyle w:val="9"/>
              <w:spacing w:line="360" w:lineRule="auto"/>
              <w:jc w:val="center"/>
              <w:rPr>
                <w:sz w:val="24"/>
                <w:szCs w:val="24"/>
                <w:highlight w:val="none"/>
                <w:lang w:eastAsia="zh-CN"/>
              </w:rPr>
            </w:pPr>
            <w:r>
              <w:rPr>
                <w:rFonts w:hint="eastAsia"/>
                <w:sz w:val="24"/>
                <w:szCs w:val="24"/>
                <w:highlight w:val="none"/>
                <w:lang w:eastAsia="zh-CN"/>
              </w:rPr>
              <w:t>专业</w:t>
            </w:r>
          </w:p>
        </w:tc>
        <w:tc>
          <w:tcPr>
            <w:tcW w:w="2939" w:type="dxa"/>
            <w:gridSpan w:val="3"/>
            <w:vAlign w:val="center"/>
          </w:tcPr>
          <w:p>
            <w:pPr>
              <w:pStyle w:val="9"/>
              <w:spacing w:line="360" w:lineRule="auto"/>
              <w:jc w:val="center"/>
              <w:rPr>
                <w:sz w:val="24"/>
                <w:szCs w:val="24"/>
                <w:highlight w:val="none"/>
                <w:lang w:eastAsia="zh-CN"/>
              </w:rPr>
            </w:pPr>
            <w:r>
              <w:rPr>
                <w:sz w:val="24"/>
                <w:szCs w:val="24"/>
                <w:highlight w:val="none"/>
                <w:lang w:eastAsia="zh-CN"/>
              </w:rPr>
              <w:t>执业或职业资格证明</w:t>
            </w:r>
          </w:p>
        </w:tc>
        <w:tc>
          <w:tcPr>
            <w:tcW w:w="980" w:type="dxa"/>
            <w:vMerge w:val="restart"/>
            <w:vAlign w:val="center"/>
          </w:tcPr>
          <w:p>
            <w:pPr>
              <w:pStyle w:val="9"/>
              <w:spacing w:line="360" w:lineRule="auto"/>
              <w:jc w:val="center"/>
              <w:rPr>
                <w:sz w:val="24"/>
                <w:szCs w:val="24"/>
                <w:highlight w:val="none"/>
                <w:lang w:eastAsia="zh-CN"/>
              </w:rPr>
            </w:pPr>
            <w:r>
              <w:rPr>
                <w:rFonts w:hint="eastAsia"/>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79" w:type="dxa"/>
            <w:vMerge w:val="continue"/>
            <w:vAlign w:val="center"/>
          </w:tcPr>
          <w:p>
            <w:pPr>
              <w:pStyle w:val="9"/>
              <w:spacing w:line="360" w:lineRule="auto"/>
              <w:jc w:val="center"/>
              <w:rPr>
                <w:sz w:val="24"/>
                <w:szCs w:val="24"/>
                <w:highlight w:val="none"/>
                <w:lang w:eastAsia="zh-CN"/>
              </w:rPr>
            </w:pPr>
          </w:p>
        </w:tc>
        <w:tc>
          <w:tcPr>
            <w:tcW w:w="979" w:type="dxa"/>
            <w:vMerge w:val="continue"/>
            <w:vAlign w:val="center"/>
          </w:tcPr>
          <w:p>
            <w:pPr>
              <w:pStyle w:val="9"/>
              <w:spacing w:line="360" w:lineRule="auto"/>
              <w:jc w:val="center"/>
              <w:rPr>
                <w:sz w:val="24"/>
                <w:szCs w:val="24"/>
                <w:highlight w:val="none"/>
                <w:lang w:eastAsia="zh-CN"/>
              </w:rPr>
            </w:pPr>
          </w:p>
        </w:tc>
        <w:tc>
          <w:tcPr>
            <w:tcW w:w="979" w:type="dxa"/>
            <w:vMerge w:val="continue"/>
            <w:vAlign w:val="center"/>
          </w:tcPr>
          <w:p>
            <w:pPr>
              <w:pStyle w:val="9"/>
              <w:spacing w:line="360" w:lineRule="auto"/>
              <w:jc w:val="center"/>
              <w:rPr>
                <w:sz w:val="24"/>
                <w:szCs w:val="24"/>
                <w:highlight w:val="none"/>
                <w:lang w:eastAsia="zh-CN"/>
              </w:rPr>
            </w:pPr>
          </w:p>
        </w:tc>
        <w:tc>
          <w:tcPr>
            <w:tcW w:w="979" w:type="dxa"/>
            <w:vMerge w:val="continue"/>
            <w:vAlign w:val="center"/>
          </w:tcPr>
          <w:p>
            <w:pPr>
              <w:pStyle w:val="9"/>
              <w:spacing w:line="360" w:lineRule="auto"/>
              <w:jc w:val="center"/>
              <w:rPr>
                <w:sz w:val="24"/>
                <w:szCs w:val="24"/>
                <w:highlight w:val="none"/>
                <w:lang w:eastAsia="zh-CN"/>
              </w:rPr>
            </w:pPr>
          </w:p>
        </w:tc>
        <w:tc>
          <w:tcPr>
            <w:tcW w:w="979" w:type="dxa"/>
            <w:vMerge w:val="continue"/>
            <w:vAlign w:val="center"/>
          </w:tcPr>
          <w:p>
            <w:pPr>
              <w:pStyle w:val="9"/>
              <w:spacing w:line="360" w:lineRule="auto"/>
              <w:jc w:val="center"/>
              <w:rPr>
                <w:sz w:val="24"/>
                <w:szCs w:val="24"/>
                <w:highlight w:val="none"/>
                <w:lang w:eastAsia="zh-CN"/>
              </w:rPr>
            </w:pPr>
          </w:p>
        </w:tc>
        <w:tc>
          <w:tcPr>
            <w:tcW w:w="1263" w:type="dxa"/>
            <w:vAlign w:val="center"/>
          </w:tcPr>
          <w:p>
            <w:pPr>
              <w:pStyle w:val="9"/>
              <w:spacing w:line="360" w:lineRule="auto"/>
              <w:jc w:val="center"/>
              <w:rPr>
                <w:sz w:val="24"/>
                <w:szCs w:val="24"/>
                <w:highlight w:val="none"/>
                <w:lang w:eastAsia="zh-CN"/>
              </w:rPr>
            </w:pPr>
            <w:r>
              <w:rPr>
                <w:rFonts w:hint="eastAsia"/>
                <w:sz w:val="24"/>
                <w:szCs w:val="24"/>
                <w:highlight w:val="none"/>
                <w:lang w:eastAsia="zh-CN"/>
              </w:rPr>
              <w:t>证书名称</w:t>
            </w:r>
          </w:p>
        </w:tc>
        <w:tc>
          <w:tcPr>
            <w:tcW w:w="696" w:type="dxa"/>
            <w:vAlign w:val="center"/>
          </w:tcPr>
          <w:p>
            <w:pPr>
              <w:pStyle w:val="9"/>
              <w:spacing w:line="360" w:lineRule="auto"/>
              <w:jc w:val="center"/>
              <w:rPr>
                <w:sz w:val="24"/>
                <w:szCs w:val="24"/>
                <w:highlight w:val="none"/>
                <w:lang w:eastAsia="zh-CN"/>
              </w:rPr>
            </w:pPr>
            <w:r>
              <w:rPr>
                <w:rFonts w:hint="eastAsia"/>
                <w:sz w:val="24"/>
                <w:szCs w:val="24"/>
                <w:highlight w:val="none"/>
                <w:lang w:eastAsia="zh-CN"/>
              </w:rPr>
              <w:t>级别</w:t>
            </w:r>
          </w:p>
        </w:tc>
        <w:tc>
          <w:tcPr>
            <w:tcW w:w="980" w:type="dxa"/>
            <w:vAlign w:val="center"/>
          </w:tcPr>
          <w:p>
            <w:pPr>
              <w:pStyle w:val="9"/>
              <w:spacing w:line="360" w:lineRule="auto"/>
              <w:jc w:val="center"/>
              <w:rPr>
                <w:sz w:val="24"/>
                <w:szCs w:val="24"/>
                <w:highlight w:val="none"/>
                <w:lang w:eastAsia="zh-CN"/>
              </w:rPr>
            </w:pPr>
            <w:r>
              <w:rPr>
                <w:rFonts w:hint="eastAsia"/>
                <w:sz w:val="24"/>
                <w:szCs w:val="24"/>
                <w:highlight w:val="none"/>
                <w:lang w:eastAsia="zh-CN"/>
              </w:rPr>
              <w:t>证号</w:t>
            </w:r>
          </w:p>
        </w:tc>
        <w:tc>
          <w:tcPr>
            <w:tcW w:w="980" w:type="dxa"/>
            <w:vMerge w:val="continue"/>
            <w:vAlign w:val="center"/>
          </w:tcPr>
          <w:p>
            <w:pPr>
              <w:pStyle w:val="9"/>
              <w:spacing w:line="360" w:lineRule="auto"/>
              <w:jc w:val="center"/>
              <w:rPr>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1263" w:type="dxa"/>
            <w:vAlign w:val="center"/>
          </w:tcPr>
          <w:p>
            <w:pPr>
              <w:pStyle w:val="9"/>
              <w:spacing w:line="360" w:lineRule="auto"/>
              <w:jc w:val="center"/>
              <w:rPr>
                <w:sz w:val="24"/>
                <w:szCs w:val="24"/>
                <w:highlight w:val="none"/>
                <w:lang w:eastAsia="zh-CN"/>
              </w:rPr>
            </w:pPr>
          </w:p>
        </w:tc>
        <w:tc>
          <w:tcPr>
            <w:tcW w:w="696" w:type="dxa"/>
            <w:vAlign w:val="center"/>
          </w:tcPr>
          <w:p>
            <w:pPr>
              <w:pStyle w:val="9"/>
              <w:spacing w:line="360" w:lineRule="auto"/>
              <w:jc w:val="center"/>
              <w:rPr>
                <w:sz w:val="24"/>
                <w:szCs w:val="24"/>
                <w:highlight w:val="none"/>
                <w:lang w:eastAsia="zh-CN"/>
              </w:rPr>
            </w:pPr>
          </w:p>
        </w:tc>
        <w:tc>
          <w:tcPr>
            <w:tcW w:w="980" w:type="dxa"/>
            <w:vAlign w:val="center"/>
          </w:tcPr>
          <w:p>
            <w:pPr>
              <w:pStyle w:val="9"/>
              <w:spacing w:line="360" w:lineRule="auto"/>
              <w:jc w:val="center"/>
              <w:rPr>
                <w:sz w:val="24"/>
                <w:szCs w:val="24"/>
                <w:highlight w:val="none"/>
                <w:lang w:eastAsia="zh-CN"/>
              </w:rPr>
            </w:pPr>
          </w:p>
        </w:tc>
        <w:tc>
          <w:tcPr>
            <w:tcW w:w="980" w:type="dxa"/>
            <w:vAlign w:val="center"/>
          </w:tcPr>
          <w:p>
            <w:pPr>
              <w:pStyle w:val="9"/>
              <w:spacing w:line="360" w:lineRule="auto"/>
              <w:jc w:val="center"/>
              <w:rPr>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1263" w:type="dxa"/>
            <w:vAlign w:val="center"/>
          </w:tcPr>
          <w:p>
            <w:pPr>
              <w:pStyle w:val="9"/>
              <w:spacing w:line="360" w:lineRule="auto"/>
              <w:jc w:val="center"/>
              <w:rPr>
                <w:sz w:val="24"/>
                <w:szCs w:val="24"/>
                <w:highlight w:val="none"/>
                <w:lang w:eastAsia="zh-CN"/>
              </w:rPr>
            </w:pPr>
          </w:p>
        </w:tc>
        <w:tc>
          <w:tcPr>
            <w:tcW w:w="696" w:type="dxa"/>
            <w:vAlign w:val="center"/>
          </w:tcPr>
          <w:p>
            <w:pPr>
              <w:pStyle w:val="9"/>
              <w:spacing w:line="360" w:lineRule="auto"/>
              <w:jc w:val="center"/>
              <w:rPr>
                <w:sz w:val="24"/>
                <w:szCs w:val="24"/>
                <w:highlight w:val="none"/>
                <w:lang w:eastAsia="zh-CN"/>
              </w:rPr>
            </w:pPr>
          </w:p>
        </w:tc>
        <w:tc>
          <w:tcPr>
            <w:tcW w:w="980" w:type="dxa"/>
            <w:vAlign w:val="center"/>
          </w:tcPr>
          <w:p>
            <w:pPr>
              <w:pStyle w:val="9"/>
              <w:spacing w:line="360" w:lineRule="auto"/>
              <w:jc w:val="center"/>
              <w:rPr>
                <w:sz w:val="24"/>
                <w:szCs w:val="24"/>
                <w:highlight w:val="none"/>
                <w:lang w:eastAsia="zh-CN"/>
              </w:rPr>
            </w:pPr>
          </w:p>
        </w:tc>
        <w:tc>
          <w:tcPr>
            <w:tcW w:w="980" w:type="dxa"/>
            <w:vAlign w:val="center"/>
          </w:tcPr>
          <w:p>
            <w:pPr>
              <w:pStyle w:val="9"/>
              <w:spacing w:line="360" w:lineRule="auto"/>
              <w:jc w:val="center"/>
              <w:rPr>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1263" w:type="dxa"/>
            <w:vAlign w:val="center"/>
          </w:tcPr>
          <w:p>
            <w:pPr>
              <w:pStyle w:val="9"/>
              <w:spacing w:line="360" w:lineRule="auto"/>
              <w:jc w:val="center"/>
              <w:rPr>
                <w:sz w:val="24"/>
                <w:szCs w:val="24"/>
                <w:highlight w:val="none"/>
                <w:lang w:eastAsia="zh-CN"/>
              </w:rPr>
            </w:pPr>
          </w:p>
        </w:tc>
        <w:tc>
          <w:tcPr>
            <w:tcW w:w="696" w:type="dxa"/>
            <w:vAlign w:val="center"/>
          </w:tcPr>
          <w:p>
            <w:pPr>
              <w:pStyle w:val="9"/>
              <w:spacing w:line="360" w:lineRule="auto"/>
              <w:jc w:val="center"/>
              <w:rPr>
                <w:sz w:val="24"/>
                <w:szCs w:val="24"/>
                <w:highlight w:val="none"/>
                <w:lang w:eastAsia="zh-CN"/>
              </w:rPr>
            </w:pPr>
          </w:p>
        </w:tc>
        <w:tc>
          <w:tcPr>
            <w:tcW w:w="980" w:type="dxa"/>
            <w:vAlign w:val="center"/>
          </w:tcPr>
          <w:p>
            <w:pPr>
              <w:pStyle w:val="9"/>
              <w:spacing w:line="360" w:lineRule="auto"/>
              <w:jc w:val="center"/>
              <w:rPr>
                <w:sz w:val="24"/>
                <w:szCs w:val="24"/>
                <w:highlight w:val="none"/>
                <w:lang w:eastAsia="zh-CN"/>
              </w:rPr>
            </w:pPr>
          </w:p>
        </w:tc>
        <w:tc>
          <w:tcPr>
            <w:tcW w:w="980" w:type="dxa"/>
            <w:vAlign w:val="center"/>
          </w:tcPr>
          <w:p>
            <w:pPr>
              <w:pStyle w:val="9"/>
              <w:spacing w:line="360" w:lineRule="auto"/>
              <w:jc w:val="center"/>
              <w:rPr>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1263" w:type="dxa"/>
            <w:vAlign w:val="center"/>
          </w:tcPr>
          <w:p>
            <w:pPr>
              <w:pStyle w:val="9"/>
              <w:spacing w:line="360" w:lineRule="auto"/>
              <w:jc w:val="center"/>
              <w:rPr>
                <w:sz w:val="24"/>
                <w:szCs w:val="24"/>
                <w:highlight w:val="none"/>
                <w:lang w:eastAsia="zh-CN"/>
              </w:rPr>
            </w:pPr>
          </w:p>
        </w:tc>
        <w:tc>
          <w:tcPr>
            <w:tcW w:w="696" w:type="dxa"/>
            <w:vAlign w:val="center"/>
          </w:tcPr>
          <w:p>
            <w:pPr>
              <w:pStyle w:val="9"/>
              <w:spacing w:line="360" w:lineRule="auto"/>
              <w:jc w:val="center"/>
              <w:rPr>
                <w:sz w:val="24"/>
                <w:szCs w:val="24"/>
                <w:highlight w:val="none"/>
                <w:lang w:eastAsia="zh-CN"/>
              </w:rPr>
            </w:pPr>
          </w:p>
        </w:tc>
        <w:tc>
          <w:tcPr>
            <w:tcW w:w="980" w:type="dxa"/>
            <w:vAlign w:val="center"/>
          </w:tcPr>
          <w:p>
            <w:pPr>
              <w:pStyle w:val="9"/>
              <w:spacing w:line="360" w:lineRule="auto"/>
              <w:jc w:val="center"/>
              <w:rPr>
                <w:sz w:val="24"/>
                <w:szCs w:val="24"/>
                <w:highlight w:val="none"/>
                <w:lang w:eastAsia="zh-CN"/>
              </w:rPr>
            </w:pPr>
          </w:p>
        </w:tc>
        <w:tc>
          <w:tcPr>
            <w:tcW w:w="980" w:type="dxa"/>
            <w:vAlign w:val="center"/>
          </w:tcPr>
          <w:p>
            <w:pPr>
              <w:pStyle w:val="9"/>
              <w:spacing w:line="360" w:lineRule="auto"/>
              <w:jc w:val="center"/>
              <w:rPr>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1263" w:type="dxa"/>
            <w:vAlign w:val="center"/>
          </w:tcPr>
          <w:p>
            <w:pPr>
              <w:pStyle w:val="9"/>
              <w:spacing w:line="360" w:lineRule="auto"/>
              <w:jc w:val="center"/>
              <w:rPr>
                <w:sz w:val="24"/>
                <w:szCs w:val="24"/>
                <w:highlight w:val="none"/>
                <w:lang w:eastAsia="zh-CN"/>
              </w:rPr>
            </w:pPr>
          </w:p>
        </w:tc>
        <w:tc>
          <w:tcPr>
            <w:tcW w:w="696" w:type="dxa"/>
            <w:vAlign w:val="center"/>
          </w:tcPr>
          <w:p>
            <w:pPr>
              <w:pStyle w:val="9"/>
              <w:spacing w:line="360" w:lineRule="auto"/>
              <w:jc w:val="center"/>
              <w:rPr>
                <w:sz w:val="24"/>
                <w:szCs w:val="24"/>
                <w:highlight w:val="none"/>
                <w:lang w:eastAsia="zh-CN"/>
              </w:rPr>
            </w:pPr>
          </w:p>
        </w:tc>
        <w:tc>
          <w:tcPr>
            <w:tcW w:w="980" w:type="dxa"/>
            <w:vAlign w:val="center"/>
          </w:tcPr>
          <w:p>
            <w:pPr>
              <w:pStyle w:val="9"/>
              <w:spacing w:line="360" w:lineRule="auto"/>
              <w:jc w:val="center"/>
              <w:rPr>
                <w:sz w:val="24"/>
                <w:szCs w:val="24"/>
                <w:highlight w:val="none"/>
                <w:lang w:eastAsia="zh-CN"/>
              </w:rPr>
            </w:pPr>
          </w:p>
        </w:tc>
        <w:tc>
          <w:tcPr>
            <w:tcW w:w="980" w:type="dxa"/>
            <w:vAlign w:val="center"/>
          </w:tcPr>
          <w:p>
            <w:pPr>
              <w:pStyle w:val="9"/>
              <w:spacing w:line="360" w:lineRule="auto"/>
              <w:jc w:val="center"/>
              <w:rPr>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1263" w:type="dxa"/>
            <w:vAlign w:val="center"/>
          </w:tcPr>
          <w:p>
            <w:pPr>
              <w:pStyle w:val="9"/>
              <w:spacing w:line="360" w:lineRule="auto"/>
              <w:jc w:val="center"/>
              <w:rPr>
                <w:sz w:val="24"/>
                <w:szCs w:val="24"/>
                <w:highlight w:val="none"/>
                <w:lang w:eastAsia="zh-CN"/>
              </w:rPr>
            </w:pPr>
          </w:p>
        </w:tc>
        <w:tc>
          <w:tcPr>
            <w:tcW w:w="696" w:type="dxa"/>
            <w:vAlign w:val="center"/>
          </w:tcPr>
          <w:p>
            <w:pPr>
              <w:pStyle w:val="9"/>
              <w:spacing w:line="360" w:lineRule="auto"/>
              <w:jc w:val="center"/>
              <w:rPr>
                <w:sz w:val="24"/>
                <w:szCs w:val="24"/>
                <w:highlight w:val="none"/>
                <w:lang w:eastAsia="zh-CN"/>
              </w:rPr>
            </w:pPr>
          </w:p>
        </w:tc>
        <w:tc>
          <w:tcPr>
            <w:tcW w:w="980" w:type="dxa"/>
            <w:vAlign w:val="center"/>
          </w:tcPr>
          <w:p>
            <w:pPr>
              <w:pStyle w:val="9"/>
              <w:spacing w:line="360" w:lineRule="auto"/>
              <w:jc w:val="center"/>
              <w:rPr>
                <w:sz w:val="24"/>
                <w:szCs w:val="24"/>
                <w:highlight w:val="none"/>
                <w:lang w:eastAsia="zh-CN"/>
              </w:rPr>
            </w:pPr>
          </w:p>
        </w:tc>
        <w:tc>
          <w:tcPr>
            <w:tcW w:w="980" w:type="dxa"/>
            <w:vAlign w:val="center"/>
          </w:tcPr>
          <w:p>
            <w:pPr>
              <w:pStyle w:val="9"/>
              <w:spacing w:line="360" w:lineRule="auto"/>
              <w:jc w:val="center"/>
              <w:rPr>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1263" w:type="dxa"/>
            <w:vAlign w:val="center"/>
          </w:tcPr>
          <w:p>
            <w:pPr>
              <w:pStyle w:val="9"/>
              <w:spacing w:line="360" w:lineRule="auto"/>
              <w:jc w:val="center"/>
              <w:rPr>
                <w:sz w:val="24"/>
                <w:szCs w:val="24"/>
                <w:highlight w:val="none"/>
                <w:lang w:eastAsia="zh-CN"/>
              </w:rPr>
            </w:pPr>
          </w:p>
        </w:tc>
        <w:tc>
          <w:tcPr>
            <w:tcW w:w="696" w:type="dxa"/>
            <w:vAlign w:val="center"/>
          </w:tcPr>
          <w:p>
            <w:pPr>
              <w:pStyle w:val="9"/>
              <w:spacing w:line="360" w:lineRule="auto"/>
              <w:jc w:val="center"/>
              <w:rPr>
                <w:sz w:val="24"/>
                <w:szCs w:val="24"/>
                <w:highlight w:val="none"/>
                <w:lang w:eastAsia="zh-CN"/>
              </w:rPr>
            </w:pPr>
          </w:p>
        </w:tc>
        <w:tc>
          <w:tcPr>
            <w:tcW w:w="980" w:type="dxa"/>
            <w:vAlign w:val="center"/>
          </w:tcPr>
          <w:p>
            <w:pPr>
              <w:pStyle w:val="9"/>
              <w:spacing w:line="360" w:lineRule="auto"/>
              <w:jc w:val="center"/>
              <w:rPr>
                <w:sz w:val="24"/>
                <w:szCs w:val="24"/>
                <w:highlight w:val="none"/>
                <w:lang w:eastAsia="zh-CN"/>
              </w:rPr>
            </w:pPr>
          </w:p>
        </w:tc>
        <w:tc>
          <w:tcPr>
            <w:tcW w:w="980" w:type="dxa"/>
            <w:vAlign w:val="center"/>
          </w:tcPr>
          <w:p>
            <w:pPr>
              <w:pStyle w:val="9"/>
              <w:spacing w:line="360" w:lineRule="auto"/>
              <w:jc w:val="center"/>
              <w:rPr>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1263" w:type="dxa"/>
            <w:vAlign w:val="center"/>
          </w:tcPr>
          <w:p>
            <w:pPr>
              <w:pStyle w:val="9"/>
              <w:spacing w:line="360" w:lineRule="auto"/>
              <w:jc w:val="center"/>
              <w:rPr>
                <w:sz w:val="24"/>
                <w:szCs w:val="24"/>
                <w:highlight w:val="none"/>
                <w:lang w:eastAsia="zh-CN"/>
              </w:rPr>
            </w:pPr>
          </w:p>
        </w:tc>
        <w:tc>
          <w:tcPr>
            <w:tcW w:w="696" w:type="dxa"/>
            <w:vAlign w:val="center"/>
          </w:tcPr>
          <w:p>
            <w:pPr>
              <w:pStyle w:val="9"/>
              <w:spacing w:line="360" w:lineRule="auto"/>
              <w:jc w:val="center"/>
              <w:rPr>
                <w:sz w:val="24"/>
                <w:szCs w:val="24"/>
                <w:highlight w:val="none"/>
                <w:lang w:eastAsia="zh-CN"/>
              </w:rPr>
            </w:pPr>
          </w:p>
        </w:tc>
        <w:tc>
          <w:tcPr>
            <w:tcW w:w="980" w:type="dxa"/>
            <w:vAlign w:val="center"/>
          </w:tcPr>
          <w:p>
            <w:pPr>
              <w:pStyle w:val="9"/>
              <w:spacing w:line="360" w:lineRule="auto"/>
              <w:jc w:val="center"/>
              <w:rPr>
                <w:sz w:val="24"/>
                <w:szCs w:val="24"/>
                <w:highlight w:val="none"/>
                <w:lang w:eastAsia="zh-CN"/>
              </w:rPr>
            </w:pPr>
          </w:p>
        </w:tc>
        <w:tc>
          <w:tcPr>
            <w:tcW w:w="980" w:type="dxa"/>
            <w:vAlign w:val="center"/>
          </w:tcPr>
          <w:p>
            <w:pPr>
              <w:pStyle w:val="9"/>
              <w:spacing w:line="360" w:lineRule="auto"/>
              <w:jc w:val="center"/>
              <w:rPr>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1263" w:type="dxa"/>
            <w:vAlign w:val="center"/>
          </w:tcPr>
          <w:p>
            <w:pPr>
              <w:pStyle w:val="9"/>
              <w:spacing w:line="360" w:lineRule="auto"/>
              <w:jc w:val="center"/>
              <w:rPr>
                <w:sz w:val="24"/>
                <w:szCs w:val="24"/>
                <w:highlight w:val="none"/>
                <w:lang w:eastAsia="zh-CN"/>
              </w:rPr>
            </w:pPr>
          </w:p>
        </w:tc>
        <w:tc>
          <w:tcPr>
            <w:tcW w:w="696" w:type="dxa"/>
            <w:vAlign w:val="center"/>
          </w:tcPr>
          <w:p>
            <w:pPr>
              <w:pStyle w:val="9"/>
              <w:spacing w:line="360" w:lineRule="auto"/>
              <w:jc w:val="center"/>
              <w:rPr>
                <w:sz w:val="24"/>
                <w:szCs w:val="24"/>
                <w:highlight w:val="none"/>
                <w:lang w:eastAsia="zh-CN"/>
              </w:rPr>
            </w:pPr>
          </w:p>
        </w:tc>
        <w:tc>
          <w:tcPr>
            <w:tcW w:w="980" w:type="dxa"/>
            <w:vAlign w:val="center"/>
          </w:tcPr>
          <w:p>
            <w:pPr>
              <w:pStyle w:val="9"/>
              <w:spacing w:line="360" w:lineRule="auto"/>
              <w:jc w:val="center"/>
              <w:rPr>
                <w:sz w:val="24"/>
                <w:szCs w:val="24"/>
                <w:highlight w:val="none"/>
                <w:lang w:eastAsia="zh-CN"/>
              </w:rPr>
            </w:pPr>
          </w:p>
        </w:tc>
        <w:tc>
          <w:tcPr>
            <w:tcW w:w="980" w:type="dxa"/>
            <w:vAlign w:val="center"/>
          </w:tcPr>
          <w:p>
            <w:pPr>
              <w:pStyle w:val="9"/>
              <w:spacing w:line="360" w:lineRule="auto"/>
              <w:jc w:val="center"/>
              <w:rPr>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979" w:type="dxa"/>
            <w:vAlign w:val="center"/>
          </w:tcPr>
          <w:p>
            <w:pPr>
              <w:pStyle w:val="9"/>
              <w:spacing w:line="360" w:lineRule="auto"/>
              <w:jc w:val="center"/>
              <w:rPr>
                <w:sz w:val="24"/>
                <w:szCs w:val="24"/>
                <w:highlight w:val="none"/>
                <w:lang w:eastAsia="zh-CN"/>
              </w:rPr>
            </w:pPr>
          </w:p>
        </w:tc>
        <w:tc>
          <w:tcPr>
            <w:tcW w:w="1263" w:type="dxa"/>
            <w:vAlign w:val="center"/>
          </w:tcPr>
          <w:p>
            <w:pPr>
              <w:pStyle w:val="9"/>
              <w:spacing w:line="360" w:lineRule="auto"/>
              <w:jc w:val="center"/>
              <w:rPr>
                <w:sz w:val="24"/>
                <w:szCs w:val="24"/>
                <w:highlight w:val="none"/>
                <w:lang w:eastAsia="zh-CN"/>
              </w:rPr>
            </w:pPr>
          </w:p>
        </w:tc>
        <w:tc>
          <w:tcPr>
            <w:tcW w:w="696" w:type="dxa"/>
            <w:vAlign w:val="center"/>
          </w:tcPr>
          <w:p>
            <w:pPr>
              <w:pStyle w:val="9"/>
              <w:spacing w:line="360" w:lineRule="auto"/>
              <w:jc w:val="center"/>
              <w:rPr>
                <w:sz w:val="24"/>
                <w:szCs w:val="24"/>
                <w:highlight w:val="none"/>
                <w:lang w:eastAsia="zh-CN"/>
              </w:rPr>
            </w:pPr>
          </w:p>
        </w:tc>
        <w:tc>
          <w:tcPr>
            <w:tcW w:w="980" w:type="dxa"/>
            <w:vAlign w:val="center"/>
          </w:tcPr>
          <w:p>
            <w:pPr>
              <w:pStyle w:val="9"/>
              <w:spacing w:line="360" w:lineRule="auto"/>
              <w:jc w:val="center"/>
              <w:rPr>
                <w:sz w:val="24"/>
                <w:szCs w:val="24"/>
                <w:highlight w:val="none"/>
                <w:lang w:eastAsia="zh-CN"/>
              </w:rPr>
            </w:pPr>
          </w:p>
        </w:tc>
        <w:tc>
          <w:tcPr>
            <w:tcW w:w="980" w:type="dxa"/>
            <w:vAlign w:val="center"/>
          </w:tcPr>
          <w:p>
            <w:pPr>
              <w:pStyle w:val="9"/>
              <w:spacing w:line="360" w:lineRule="auto"/>
              <w:jc w:val="center"/>
              <w:rPr>
                <w:sz w:val="24"/>
                <w:szCs w:val="24"/>
                <w:highlight w:val="none"/>
                <w:lang w:eastAsia="zh-CN"/>
              </w:rPr>
            </w:pPr>
          </w:p>
        </w:tc>
      </w:tr>
    </w:tbl>
    <w:p>
      <w:pPr>
        <w:pStyle w:val="9"/>
        <w:spacing w:line="360" w:lineRule="auto"/>
        <w:rPr>
          <w:sz w:val="24"/>
          <w:szCs w:val="24"/>
          <w:highlight w:val="none"/>
          <w:lang w:eastAsia="zh-CN"/>
        </w:rPr>
      </w:pPr>
    </w:p>
    <w:p>
      <w:pPr>
        <w:pStyle w:val="9"/>
        <w:spacing w:line="360" w:lineRule="auto"/>
        <w:rPr>
          <w:sz w:val="24"/>
          <w:szCs w:val="24"/>
          <w:highlight w:val="none"/>
          <w:lang w:eastAsia="zh-CN"/>
        </w:rPr>
      </w:pPr>
      <w:r>
        <w:rPr>
          <w:sz w:val="24"/>
          <w:szCs w:val="24"/>
          <w:highlight w:val="none"/>
          <w:lang w:eastAsia="zh-CN"/>
        </w:rPr>
        <w:t>注：须在</w:t>
      </w:r>
      <w:r>
        <w:rPr>
          <w:rFonts w:hint="eastAsia"/>
          <w:sz w:val="24"/>
          <w:szCs w:val="24"/>
          <w:highlight w:val="none"/>
          <w:lang w:val="en-US" w:eastAsia="zh-CN"/>
        </w:rPr>
        <w:t>响应</w:t>
      </w:r>
      <w:r>
        <w:rPr>
          <w:rFonts w:hint="eastAsia"/>
          <w:sz w:val="24"/>
          <w:szCs w:val="24"/>
          <w:highlight w:val="none"/>
          <w:lang w:eastAsia="zh-CN"/>
        </w:rPr>
        <w:t>文件内附以上人员证书的盖公章的复印件</w:t>
      </w:r>
      <w:r>
        <w:rPr>
          <w:sz w:val="24"/>
          <w:szCs w:val="24"/>
          <w:highlight w:val="none"/>
          <w:lang w:eastAsia="zh-CN"/>
        </w:rPr>
        <w:t>。</w:t>
      </w:r>
    </w:p>
    <w:p>
      <w:pPr>
        <w:pStyle w:val="9"/>
        <w:spacing w:line="360" w:lineRule="auto"/>
        <w:rPr>
          <w:sz w:val="24"/>
          <w:szCs w:val="24"/>
          <w:highlight w:val="none"/>
          <w:lang w:eastAsia="zh-CN"/>
        </w:rPr>
      </w:pPr>
    </w:p>
    <w:p>
      <w:pPr>
        <w:pStyle w:val="9"/>
        <w:spacing w:line="360" w:lineRule="auto"/>
        <w:rPr>
          <w:sz w:val="24"/>
          <w:szCs w:val="24"/>
          <w:highlight w:val="none"/>
          <w:lang w:eastAsia="zh-CN"/>
        </w:rPr>
      </w:pPr>
    </w:p>
    <w:p>
      <w:pPr>
        <w:pStyle w:val="9"/>
        <w:spacing w:line="360" w:lineRule="auto"/>
        <w:rPr>
          <w:sz w:val="24"/>
          <w:szCs w:val="24"/>
          <w:highlight w:val="none"/>
          <w:lang w:eastAsia="zh-CN"/>
        </w:rPr>
      </w:pPr>
    </w:p>
    <w:p>
      <w:pPr>
        <w:pStyle w:val="9"/>
        <w:spacing w:line="360" w:lineRule="auto"/>
        <w:rPr>
          <w:sz w:val="24"/>
          <w:szCs w:val="24"/>
          <w:highlight w:val="none"/>
          <w:lang w:eastAsia="zh-CN"/>
        </w:rPr>
      </w:pPr>
    </w:p>
    <w:p>
      <w:pPr>
        <w:pStyle w:val="9"/>
        <w:spacing w:line="360" w:lineRule="auto"/>
        <w:rPr>
          <w:sz w:val="24"/>
          <w:szCs w:val="24"/>
          <w:highlight w:val="none"/>
          <w:lang w:eastAsia="zh-CN"/>
        </w:rPr>
      </w:pPr>
    </w:p>
    <w:p>
      <w:pPr>
        <w:pStyle w:val="9"/>
        <w:spacing w:line="360" w:lineRule="auto"/>
        <w:rPr>
          <w:sz w:val="24"/>
          <w:szCs w:val="24"/>
          <w:highlight w:val="none"/>
          <w:lang w:eastAsia="zh-CN"/>
        </w:rPr>
      </w:pPr>
    </w:p>
    <w:p>
      <w:pPr>
        <w:pStyle w:val="9"/>
        <w:spacing w:line="360" w:lineRule="auto"/>
        <w:rPr>
          <w:sz w:val="24"/>
          <w:szCs w:val="24"/>
          <w:highlight w:val="none"/>
          <w:lang w:eastAsia="zh-CN"/>
        </w:rPr>
      </w:pPr>
    </w:p>
    <w:p>
      <w:pPr>
        <w:pStyle w:val="9"/>
        <w:spacing w:line="360" w:lineRule="auto"/>
        <w:rPr>
          <w:sz w:val="24"/>
          <w:szCs w:val="24"/>
          <w:highlight w:val="none"/>
          <w:lang w:eastAsia="zh-CN"/>
        </w:rPr>
      </w:pPr>
    </w:p>
    <w:p>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bCs/>
          <w:sz w:val="24"/>
          <w:szCs w:val="24"/>
          <w:highlight w:val="none"/>
          <w:lang w:val="en-US"/>
        </w:rPr>
      </w:pPr>
      <w:r>
        <w:rPr>
          <w:rFonts w:hint="eastAsia" w:ascii="宋体" w:hAnsi="宋体" w:eastAsia="宋体" w:cs="宋体"/>
          <w:b/>
          <w:bCs/>
          <w:sz w:val="24"/>
          <w:szCs w:val="24"/>
          <w:highlight w:val="none"/>
          <w:lang w:val="en-US"/>
        </w:rPr>
        <w:t>（</w:t>
      </w: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val="en-US"/>
        </w:rPr>
        <w:t xml:space="preserve">）服务承诺 </w:t>
      </w:r>
    </w:p>
    <w:p>
      <w:pPr>
        <w:pStyle w:val="9"/>
        <w:spacing w:line="360" w:lineRule="auto"/>
        <w:ind w:firstLine="480" w:firstLineChars="200"/>
        <w:rPr>
          <w:sz w:val="24"/>
          <w:szCs w:val="24"/>
          <w:highlight w:val="none"/>
          <w:lang w:eastAsia="zh-CN"/>
        </w:rPr>
      </w:pPr>
      <w:r>
        <w:rPr>
          <w:rFonts w:hint="eastAsia"/>
          <w:sz w:val="24"/>
          <w:szCs w:val="24"/>
          <w:highlight w:val="none"/>
          <w:lang w:eastAsia="zh-CN"/>
        </w:rPr>
        <w:t>供应商</w:t>
      </w:r>
      <w:r>
        <w:rPr>
          <w:sz w:val="24"/>
          <w:szCs w:val="24"/>
          <w:highlight w:val="none"/>
          <w:lang w:eastAsia="zh-CN"/>
        </w:rPr>
        <w:t>应结合本</w:t>
      </w:r>
      <w:r>
        <w:rPr>
          <w:rFonts w:hint="eastAsia"/>
          <w:sz w:val="24"/>
          <w:szCs w:val="24"/>
          <w:highlight w:val="none"/>
          <w:lang w:eastAsia="zh-CN"/>
        </w:rPr>
        <w:t>磋商</w:t>
      </w:r>
      <w:r>
        <w:rPr>
          <w:sz w:val="24"/>
          <w:szCs w:val="24"/>
          <w:highlight w:val="none"/>
          <w:lang w:eastAsia="zh-CN"/>
        </w:rPr>
        <w:t>文件第</w:t>
      </w:r>
      <w:r>
        <w:rPr>
          <w:rFonts w:hint="eastAsia"/>
          <w:sz w:val="24"/>
          <w:szCs w:val="24"/>
          <w:highlight w:val="none"/>
          <w:lang w:val="en-US" w:eastAsia="zh-CN"/>
        </w:rPr>
        <w:t>五</w:t>
      </w:r>
      <w:r>
        <w:rPr>
          <w:sz w:val="24"/>
          <w:szCs w:val="24"/>
          <w:highlight w:val="none"/>
          <w:lang w:eastAsia="zh-CN"/>
        </w:rPr>
        <w:t>章 项目需求和第三章 评标办法 商务部分的服务承诺对应的评分标准细则，逐条响应。</w:t>
      </w:r>
    </w:p>
    <w:p>
      <w:pPr>
        <w:rPr>
          <w:highlight w:val="none"/>
          <w:lang w:eastAsia="zh-CN"/>
        </w:rPr>
      </w:pPr>
      <w:r>
        <w:rPr>
          <w:highlight w:val="none"/>
          <w:lang w:eastAsia="zh-CN"/>
        </w:rPr>
        <w:br w:type="page"/>
      </w:r>
    </w:p>
    <w:p>
      <w:pPr>
        <w:spacing w:line="360" w:lineRule="auto"/>
        <w:jc w:val="center"/>
        <w:outlineLvl w:val="1"/>
        <w:rPr>
          <w:rFonts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七、</w:t>
      </w:r>
      <w:r>
        <w:rPr>
          <w:rFonts w:ascii="宋体" w:hAnsi="宋体" w:eastAsia="宋体" w:cs="宋体"/>
          <w:b/>
          <w:bCs/>
          <w:color w:val="auto"/>
          <w:sz w:val="28"/>
          <w:szCs w:val="28"/>
          <w:highlight w:val="none"/>
          <w:lang w:eastAsia="zh-CN"/>
        </w:rPr>
        <w:t>其他材料</w:t>
      </w:r>
    </w:p>
    <w:p>
      <w:pPr>
        <w:keepNext/>
        <w:keepLines/>
        <w:pageBreakBefore w:val="0"/>
        <w:widowControl w:val="0"/>
        <w:kinsoku/>
        <w:wordWrap/>
        <w:overflowPunct/>
        <w:topLinePunct w:val="0"/>
        <w:autoSpaceDE/>
        <w:autoSpaceDN/>
        <w:bidi w:val="0"/>
        <w:adjustRightInd/>
        <w:snapToGrid/>
        <w:spacing w:line="416" w:lineRule="auto"/>
        <w:jc w:val="center"/>
        <w:textAlignment w:val="auto"/>
        <w:outlineLvl w:val="2"/>
        <w:rPr>
          <w:rFonts w:ascii="宋体" w:hAnsi="宋体" w:cs="宋体"/>
          <w:b/>
          <w:bCs/>
          <w:color w:val="auto"/>
          <w:highlight w:val="none"/>
          <w:lang w:eastAsia="zh-CN"/>
        </w:rPr>
      </w:pPr>
      <w:r>
        <w:rPr>
          <w:rFonts w:hint="eastAsia" w:ascii="宋体" w:hAnsi="宋体" w:eastAsia="宋体" w:cs="宋体"/>
          <w:b/>
          <w:bCs/>
          <w:color w:val="auto"/>
          <w:highlight w:val="none"/>
          <w:lang w:eastAsia="zh-CN"/>
        </w:rPr>
        <w:t>（一）</w:t>
      </w:r>
      <w:r>
        <w:rPr>
          <w:rFonts w:hint="eastAsia" w:ascii="宋体" w:hAnsi="宋体" w:cs="宋体"/>
          <w:b/>
          <w:bCs/>
          <w:color w:val="auto"/>
          <w:highlight w:val="none"/>
          <w:lang w:eastAsia="zh-CN"/>
        </w:rPr>
        <w:t>供应商反商业贿赂承诺书</w:t>
      </w:r>
    </w:p>
    <w:p>
      <w:pPr>
        <w:spacing w:line="360" w:lineRule="auto"/>
        <w:ind w:left="420"/>
        <w:rPr>
          <w:rFonts w:ascii="宋体" w:hAnsi="宋体" w:cs="宋体"/>
          <w:color w:val="auto"/>
          <w:highlight w:val="none"/>
          <w:lang w:eastAsia="zh-CN"/>
        </w:rPr>
      </w:pPr>
      <w:r>
        <w:rPr>
          <w:rFonts w:hint="eastAsia" w:ascii="宋体" w:hAnsi="宋体" w:cs="宋体"/>
          <w:color w:val="auto"/>
          <w:highlight w:val="none"/>
          <w:lang w:eastAsia="zh-CN"/>
        </w:rPr>
        <w:t>我公司承诺：</w:t>
      </w:r>
    </w:p>
    <w:p>
      <w:pPr>
        <w:spacing w:line="360" w:lineRule="auto"/>
        <w:ind w:left="420"/>
        <w:rPr>
          <w:rFonts w:ascii="宋体" w:hAnsi="宋体" w:cs="宋体"/>
          <w:color w:val="auto"/>
          <w:highlight w:val="none"/>
          <w:lang w:eastAsia="zh-CN"/>
        </w:rPr>
      </w:pPr>
      <w:r>
        <w:rPr>
          <w:rFonts w:hint="eastAsia" w:ascii="宋体" w:hAnsi="宋体" w:cs="宋体"/>
          <w:color w:val="auto"/>
          <w:highlight w:val="none"/>
          <w:lang w:eastAsia="zh-CN"/>
        </w:rPr>
        <w:t>在政府采购（</w:t>
      </w:r>
      <w:r>
        <w:rPr>
          <w:rFonts w:hint="eastAsia" w:ascii="宋体" w:hAnsi="宋体" w:cs="宋体"/>
          <w:color w:val="auto"/>
          <w:highlight w:val="none"/>
          <w:u w:val="single"/>
          <w:lang w:eastAsia="zh-CN"/>
        </w:rPr>
        <w:t>采购项目名称</w:t>
      </w:r>
      <w:r>
        <w:rPr>
          <w:rFonts w:hint="eastAsia" w:ascii="宋体" w:hAnsi="宋体" w:cs="宋体"/>
          <w:color w:val="auto"/>
          <w:highlight w:val="none"/>
          <w:lang w:eastAsia="zh-CN"/>
        </w:rPr>
        <w:t>）招标活动中，我公司保证做到：</w:t>
      </w:r>
    </w:p>
    <w:p>
      <w:pPr>
        <w:numPr>
          <w:ilvl w:val="0"/>
          <w:numId w:val="4"/>
        </w:numPr>
        <w:spacing w:line="360" w:lineRule="auto"/>
        <w:rPr>
          <w:rFonts w:ascii="宋体" w:hAnsi="宋体" w:cs="宋体"/>
          <w:color w:val="auto"/>
          <w:highlight w:val="none"/>
          <w:lang w:eastAsia="zh-CN"/>
        </w:rPr>
      </w:pPr>
      <w:r>
        <w:rPr>
          <w:rFonts w:hint="eastAsia" w:ascii="宋体" w:hAnsi="宋体" w:cs="宋体"/>
          <w:color w:val="auto"/>
          <w:highlight w:val="none"/>
          <w:lang w:eastAsia="zh-CN"/>
        </w:rPr>
        <w:t>公平竞争参加本次招标活动。</w:t>
      </w:r>
    </w:p>
    <w:p>
      <w:pPr>
        <w:numPr>
          <w:ilvl w:val="0"/>
          <w:numId w:val="4"/>
        </w:numPr>
        <w:spacing w:line="360" w:lineRule="auto"/>
        <w:rPr>
          <w:rFonts w:ascii="宋体" w:hAnsi="宋体" w:cs="宋体"/>
          <w:color w:val="auto"/>
          <w:highlight w:val="none"/>
          <w:lang w:eastAsia="zh-CN"/>
        </w:rPr>
      </w:pPr>
      <w:r>
        <w:rPr>
          <w:rFonts w:hint="eastAsia" w:ascii="宋体" w:hAnsi="宋体" w:cs="宋体"/>
          <w:color w:val="auto"/>
          <w:highlight w:val="none"/>
          <w:lang w:eastAsia="zh-CN"/>
        </w:rPr>
        <w:t xml:space="preserve">杜绝任何形式的商业贿赂行为。不向国家工作人员、政府采购代理机构工作人员、评审专家及其亲属提供礼金礼品、有价证券、购物券、回扣、佣金、咨询费、劳务费、赞助费、宣传费、宴请；不为其报销各种消费凭证，不支付其旅游、娱乐等费用。 </w:t>
      </w:r>
    </w:p>
    <w:p>
      <w:pPr>
        <w:numPr>
          <w:ilvl w:val="0"/>
          <w:numId w:val="4"/>
        </w:numPr>
        <w:spacing w:line="360" w:lineRule="auto"/>
        <w:rPr>
          <w:rFonts w:ascii="宋体" w:hAnsi="宋体" w:cs="宋体"/>
          <w:color w:val="auto"/>
          <w:highlight w:val="none"/>
          <w:lang w:eastAsia="zh-CN"/>
        </w:rPr>
      </w:pPr>
      <w:r>
        <w:rPr>
          <w:rFonts w:hint="eastAsia" w:ascii="宋体" w:hAnsi="宋体" w:cs="宋体"/>
          <w:color w:val="auto"/>
          <w:highlight w:val="none"/>
          <w:lang w:eastAsia="zh-CN"/>
        </w:rPr>
        <w:t>若出现上述行为，我公司及参与投标的工作人员自愿接受按照国家法律、法规等有关规定给予的处罚。</w:t>
      </w:r>
    </w:p>
    <w:p>
      <w:pPr>
        <w:spacing w:line="360" w:lineRule="auto"/>
        <w:ind w:left="420"/>
        <w:rPr>
          <w:rFonts w:ascii="宋体" w:hAnsi="宋体" w:cs="宋体"/>
          <w:color w:val="auto"/>
          <w:highlight w:val="none"/>
          <w:lang w:eastAsia="zh-CN"/>
        </w:rPr>
      </w:pPr>
    </w:p>
    <w:p>
      <w:pPr>
        <w:spacing w:line="360" w:lineRule="auto"/>
        <w:ind w:left="420"/>
        <w:rPr>
          <w:rFonts w:ascii="宋体" w:hAnsi="宋体" w:cs="宋体"/>
          <w:color w:val="auto"/>
          <w:highlight w:val="none"/>
          <w:lang w:eastAsia="zh-CN"/>
        </w:rPr>
      </w:pPr>
      <w:r>
        <w:rPr>
          <w:rFonts w:hint="eastAsia" w:ascii="宋体" w:hAnsi="宋体" w:cs="宋体"/>
          <w:color w:val="auto"/>
          <w:highlight w:val="none"/>
          <w:lang w:eastAsia="zh-CN"/>
        </w:rPr>
        <w:t>供应商名称（电子签章）：</w:t>
      </w:r>
      <w:r>
        <w:rPr>
          <w:rFonts w:hint="eastAsia" w:ascii="宋体" w:hAnsi="宋体" w:cs="宋体"/>
          <w:color w:val="auto"/>
          <w:highlight w:val="none"/>
          <w:u w:val="single"/>
          <w:lang w:eastAsia="zh-CN"/>
        </w:rPr>
        <w:t xml:space="preserve">                    </w:t>
      </w:r>
    </w:p>
    <w:p>
      <w:pPr>
        <w:spacing w:line="360" w:lineRule="auto"/>
        <w:ind w:left="420"/>
        <w:rPr>
          <w:rFonts w:ascii="宋体" w:hAnsi="宋体" w:cs="宋体"/>
          <w:color w:val="auto"/>
          <w:highlight w:val="none"/>
          <w:lang w:eastAsia="zh-CN"/>
        </w:rPr>
      </w:pPr>
      <w:r>
        <w:rPr>
          <w:rFonts w:hint="eastAsia" w:ascii="宋体" w:hAnsi="宋体" w:cs="宋体"/>
          <w:color w:val="auto"/>
          <w:highlight w:val="none"/>
          <w:lang w:eastAsia="zh-CN"/>
        </w:rPr>
        <w:t>法定代表人或其授权委托人（电子签章）：</w:t>
      </w:r>
      <w:r>
        <w:rPr>
          <w:rFonts w:hint="eastAsia" w:ascii="宋体" w:hAnsi="宋体" w:cs="宋体"/>
          <w:color w:val="auto"/>
          <w:highlight w:val="none"/>
          <w:u w:val="single"/>
          <w:lang w:eastAsia="zh-CN"/>
        </w:rPr>
        <w:t xml:space="preserve">                    </w:t>
      </w:r>
    </w:p>
    <w:p>
      <w:pPr>
        <w:spacing w:line="360" w:lineRule="auto"/>
        <w:ind w:left="420"/>
        <w:rPr>
          <w:rFonts w:ascii="宋体" w:hAnsi="宋体" w:cs="宋体"/>
          <w:color w:val="auto"/>
          <w:highlight w:val="none"/>
          <w:lang w:eastAsia="zh-CN"/>
        </w:rPr>
      </w:pPr>
      <w:r>
        <w:rPr>
          <w:rFonts w:hint="eastAsia" w:ascii="宋体" w:hAnsi="宋体" w:cs="宋体"/>
          <w:color w:val="auto"/>
          <w:highlight w:val="none"/>
          <w:lang w:eastAsia="zh-CN"/>
        </w:rPr>
        <w:t>日期：</w:t>
      </w:r>
      <w:r>
        <w:rPr>
          <w:rFonts w:hint="eastAsia" w:ascii="宋体" w:hAnsi="宋体" w:cs="宋体"/>
          <w:color w:val="auto"/>
          <w:highlight w:val="none"/>
          <w:u w:val="single"/>
          <w:lang w:eastAsia="zh-CN"/>
        </w:rPr>
        <w:t xml:space="preserve">                    </w:t>
      </w:r>
    </w:p>
    <w:p>
      <w:pPr>
        <w:rPr>
          <w:highlight w:val="none"/>
          <w:lang w:eastAsia="zh-CN"/>
        </w:rPr>
      </w:pPr>
      <w:r>
        <w:rPr>
          <w:highlight w:val="none"/>
          <w:lang w:eastAsia="zh-CN"/>
        </w:rPr>
        <w:br w:type="page"/>
      </w:r>
    </w:p>
    <w:p>
      <w:pPr>
        <w:keepNext/>
        <w:keepLines/>
        <w:pageBreakBefore w:val="0"/>
        <w:widowControl w:val="0"/>
        <w:kinsoku/>
        <w:wordWrap/>
        <w:overflowPunct/>
        <w:topLinePunct w:val="0"/>
        <w:autoSpaceDE/>
        <w:autoSpaceDN/>
        <w:bidi w:val="0"/>
        <w:adjustRightInd/>
        <w:snapToGrid/>
        <w:spacing w:line="416" w:lineRule="auto"/>
        <w:jc w:val="center"/>
        <w:textAlignment w:val="auto"/>
        <w:outlineLvl w:val="2"/>
        <w:rPr>
          <w:rFonts w:hint="eastAsia" w:ascii="宋体" w:hAnsi="宋体" w:eastAsia="宋体" w:cs="宋体"/>
          <w:b/>
          <w:bCs/>
          <w:color w:val="auto"/>
          <w:highlight w:val="none"/>
          <w:lang w:eastAsia="zh-CN"/>
        </w:rPr>
      </w:pPr>
      <w:bookmarkStart w:id="145" w:name="_Toc17553"/>
      <w:bookmarkStart w:id="146" w:name="_Toc19465"/>
      <w:bookmarkStart w:id="147" w:name="_Toc30104"/>
      <w:r>
        <w:rPr>
          <w:rFonts w:hint="eastAsia" w:ascii="宋体" w:hAnsi="宋体" w:eastAsia="宋体" w:cs="宋体"/>
          <w:b/>
          <w:bCs/>
          <w:color w:val="auto"/>
          <w:highlight w:val="none"/>
          <w:lang w:eastAsia="zh-CN"/>
        </w:rPr>
        <w:t>（二）</w:t>
      </w:r>
      <w:bookmarkStart w:id="148" w:name="_Toc9520"/>
      <w:bookmarkStart w:id="149" w:name="_Toc16425"/>
      <w:r>
        <w:rPr>
          <w:rFonts w:hint="eastAsia" w:ascii="宋体" w:hAnsi="宋体" w:eastAsia="宋体" w:cs="宋体"/>
          <w:b/>
          <w:bCs/>
          <w:color w:val="auto"/>
          <w:highlight w:val="none"/>
          <w:lang w:eastAsia="zh-CN"/>
        </w:rPr>
        <w:t>中小企业声明函</w:t>
      </w:r>
      <w:bookmarkEnd w:id="145"/>
      <w:bookmarkEnd w:id="146"/>
      <w:bookmarkEnd w:id="147"/>
      <w:bookmarkEnd w:id="148"/>
      <w:bookmarkEnd w:id="149"/>
    </w:p>
    <w:p>
      <w:pPr>
        <w:pStyle w:val="8"/>
        <w:autoSpaceDE w:val="0"/>
        <w:autoSpaceDN w:val="0"/>
        <w:spacing w:line="360" w:lineRule="auto"/>
        <w:ind w:firstLine="504" w:firstLineChars="200"/>
        <w:jc w:val="both"/>
        <w:rPr>
          <w:color w:val="auto"/>
          <w:sz w:val="24"/>
          <w:szCs w:val="24"/>
          <w:highlight w:val="none"/>
        </w:rPr>
      </w:pPr>
      <w:r>
        <w:rPr>
          <w:rFonts w:hint="eastAsia"/>
          <w:color w:val="auto"/>
          <w:spacing w:val="6"/>
          <w:sz w:val="24"/>
          <w:highlight w:val="none"/>
        </w:rPr>
        <w:t>本公司（联合体）郑重声明，根据《政府采购促进中小企业发展管理办法》（财库﹝2020﹞46号）的规定</w:t>
      </w:r>
      <w:r>
        <w:rPr>
          <w:rFonts w:hint="eastAsia"/>
          <w:color w:val="auto"/>
          <w:sz w:val="24"/>
          <w:szCs w:val="24"/>
          <w:highlight w:val="none"/>
        </w:rPr>
        <w:t>，本公司（联合体）</w:t>
      </w:r>
      <w:r>
        <w:rPr>
          <w:rFonts w:hint="eastAsia"/>
          <w:color w:val="auto"/>
          <w:spacing w:val="-8"/>
          <w:sz w:val="24"/>
          <w:szCs w:val="24"/>
          <w:highlight w:val="none"/>
        </w:rPr>
        <w:t>参加</w:t>
      </w:r>
      <w:r>
        <w:rPr>
          <w:rFonts w:hint="eastAsia"/>
          <w:color w:val="auto"/>
          <w:sz w:val="24"/>
          <w:szCs w:val="24"/>
          <w:highlight w:val="none"/>
          <w:u w:val="single"/>
        </w:rPr>
        <w:t>（单位名称）</w:t>
      </w:r>
      <w:r>
        <w:rPr>
          <w:rFonts w:hint="eastAsia"/>
          <w:color w:val="auto"/>
          <w:spacing w:val="-15"/>
          <w:sz w:val="24"/>
          <w:szCs w:val="24"/>
          <w:highlight w:val="none"/>
        </w:rPr>
        <w:t>的</w:t>
      </w:r>
      <w:r>
        <w:rPr>
          <w:rFonts w:hint="eastAsia"/>
          <w:color w:val="auto"/>
          <w:sz w:val="24"/>
          <w:szCs w:val="24"/>
          <w:highlight w:val="none"/>
          <w:u w:val="single"/>
        </w:rPr>
        <w:t>（项目名称）</w:t>
      </w:r>
      <w:r>
        <w:rPr>
          <w:rFonts w:hint="eastAsia"/>
          <w:color w:val="auto"/>
          <w:spacing w:val="-1"/>
          <w:sz w:val="24"/>
          <w:szCs w:val="24"/>
          <w:highlight w:val="none"/>
        </w:rPr>
        <w:t>采购活动，</w:t>
      </w:r>
      <w:r>
        <w:rPr>
          <w:rFonts w:hint="eastAsia"/>
          <w:color w:val="auto"/>
          <w:sz w:val="24"/>
          <w:szCs w:val="24"/>
          <w:highlight w:val="none"/>
        </w:rPr>
        <w:t>服务全部由符合政策要求的中小企业承接。相关企业（含联合体中的中小企业、签订分包意向协议的中小企业）的具体情况如下：</w:t>
      </w:r>
    </w:p>
    <w:p>
      <w:pPr>
        <w:pStyle w:val="70"/>
        <w:tabs>
          <w:tab w:val="left" w:pos="1243"/>
        </w:tabs>
        <w:autoSpaceDE w:val="0"/>
        <w:autoSpaceDN w:val="0"/>
        <w:spacing w:line="360" w:lineRule="auto"/>
        <w:ind w:left="0" w:firstLine="480" w:firstLineChars="200"/>
        <w:jc w:val="both"/>
        <w:rPr>
          <w:color w:val="auto"/>
          <w:highlight w:val="none"/>
        </w:rPr>
      </w:pPr>
      <w:r>
        <w:rPr>
          <w:rFonts w:hint="eastAsia"/>
          <w:color w:val="auto"/>
          <w:highlight w:val="none"/>
          <w:lang w:val="en-US"/>
        </w:rPr>
        <w:t>1.</w:t>
      </w:r>
      <w:r>
        <w:rPr>
          <w:rFonts w:hint="eastAsia"/>
          <w:color w:val="auto"/>
          <w:highlight w:val="none"/>
          <w:u w:val="single"/>
        </w:rPr>
        <w:t>（标的名称）</w:t>
      </w:r>
      <w:r>
        <w:rPr>
          <w:rFonts w:hint="eastAsia"/>
          <w:color w:val="auto"/>
          <w:highlight w:val="none"/>
        </w:rPr>
        <w:t>，属于</w:t>
      </w:r>
      <w:r>
        <w:rPr>
          <w:rFonts w:hint="eastAsia"/>
          <w:color w:val="auto"/>
          <w:highlight w:val="none"/>
          <w:u w:val="single"/>
        </w:rPr>
        <w:t>（采购文件中明确的所属行业）</w:t>
      </w:r>
      <w:r>
        <w:rPr>
          <w:rFonts w:hint="eastAsia"/>
          <w:color w:val="auto"/>
          <w:highlight w:val="none"/>
        </w:rPr>
        <w:t>；承建（承接）企业为</w:t>
      </w:r>
      <w:r>
        <w:rPr>
          <w:rFonts w:hint="eastAsia"/>
          <w:color w:val="auto"/>
          <w:highlight w:val="none"/>
          <w:u w:val="single"/>
          <w:lang w:val="en-US"/>
        </w:rPr>
        <w:t xml:space="preserve">   </w:t>
      </w:r>
      <w:r>
        <w:rPr>
          <w:rFonts w:hint="eastAsia"/>
          <w:color w:val="auto"/>
          <w:highlight w:val="none"/>
          <w:u w:val="single"/>
        </w:rPr>
        <w:t>（企业名称）</w:t>
      </w:r>
      <w:r>
        <w:rPr>
          <w:rFonts w:hint="eastAsia"/>
          <w:color w:val="auto"/>
          <w:highlight w:val="none"/>
        </w:rPr>
        <w:t>，从业人员</w:t>
      </w:r>
      <w:r>
        <w:rPr>
          <w:rFonts w:hint="eastAsia"/>
          <w:color w:val="auto"/>
          <w:highlight w:val="none"/>
          <w:u w:val="single"/>
        </w:rPr>
        <w:t xml:space="preserve"> </w:t>
      </w:r>
      <w:r>
        <w:rPr>
          <w:rFonts w:hint="eastAsia"/>
          <w:color w:val="auto"/>
          <w:highlight w:val="none"/>
          <w:u w:val="single"/>
        </w:rPr>
        <w:tab/>
      </w:r>
      <w:r>
        <w:rPr>
          <w:rFonts w:hint="eastAsia"/>
          <w:color w:val="auto"/>
          <w:highlight w:val="none"/>
          <w:u w:val="single"/>
          <w:lang w:val="en-US"/>
        </w:rPr>
        <w:t xml:space="preserve">     </w:t>
      </w:r>
      <w:r>
        <w:rPr>
          <w:rFonts w:hint="eastAsia"/>
          <w:color w:val="auto"/>
          <w:highlight w:val="none"/>
        </w:rPr>
        <w:t>人，营业收入为</w:t>
      </w:r>
      <w:r>
        <w:rPr>
          <w:rFonts w:hint="eastAsia"/>
          <w:color w:val="auto"/>
          <w:highlight w:val="none"/>
          <w:u w:val="single"/>
        </w:rPr>
        <w:t xml:space="preserve"> </w:t>
      </w:r>
      <w:r>
        <w:rPr>
          <w:rFonts w:hint="eastAsia"/>
          <w:color w:val="auto"/>
          <w:highlight w:val="none"/>
          <w:u w:val="single"/>
          <w:lang w:val="en-US"/>
        </w:rPr>
        <w:t xml:space="preserve">    </w:t>
      </w:r>
      <w:r>
        <w:rPr>
          <w:rFonts w:hint="eastAsia"/>
          <w:color w:val="auto"/>
          <w:highlight w:val="none"/>
        </w:rPr>
        <w:t>万元，资产总额为</w:t>
      </w:r>
      <w:r>
        <w:rPr>
          <w:rFonts w:hint="eastAsia"/>
          <w:color w:val="auto"/>
          <w:highlight w:val="none"/>
          <w:u w:val="single"/>
        </w:rPr>
        <w:t xml:space="preserve"> </w:t>
      </w:r>
      <w:r>
        <w:rPr>
          <w:rFonts w:hint="eastAsia"/>
          <w:color w:val="auto"/>
          <w:highlight w:val="none"/>
          <w:u w:val="single"/>
          <w:lang w:val="en-US"/>
        </w:rPr>
        <w:t xml:space="preserve">     </w:t>
      </w:r>
      <w:r>
        <w:rPr>
          <w:rFonts w:hint="eastAsia"/>
          <w:color w:val="auto"/>
          <w:highlight w:val="none"/>
        </w:rPr>
        <w:t>万元</w:t>
      </w:r>
      <w:r>
        <w:rPr>
          <w:highlight w:val="none"/>
        </w:rPr>
        <w:fldChar w:fldCharType="begin"/>
      </w:r>
      <w:r>
        <w:rPr>
          <w:highlight w:val="none"/>
        </w:rPr>
        <w:instrText xml:space="preserve"> HYPERLINK \l "_bookmark0" </w:instrText>
      </w:r>
      <w:r>
        <w:rPr>
          <w:highlight w:val="none"/>
        </w:rPr>
        <w:fldChar w:fldCharType="separate"/>
      </w:r>
      <w:r>
        <w:rPr>
          <w:rFonts w:hint="eastAsia"/>
          <w:color w:val="auto"/>
          <w:highlight w:val="none"/>
        </w:rPr>
        <w:t>1</w:t>
      </w:r>
      <w:r>
        <w:rPr>
          <w:rFonts w:hint="eastAsia"/>
          <w:color w:val="auto"/>
          <w:highlight w:val="none"/>
        </w:rPr>
        <w:fldChar w:fldCharType="end"/>
      </w:r>
      <w:r>
        <w:rPr>
          <w:rFonts w:hint="eastAsia"/>
          <w:color w:val="auto"/>
          <w:highlight w:val="none"/>
        </w:rPr>
        <w:t>，属于</w:t>
      </w:r>
      <w:r>
        <w:rPr>
          <w:rFonts w:hint="eastAsia"/>
          <w:color w:val="auto"/>
          <w:highlight w:val="none"/>
          <w:u w:val="single"/>
        </w:rPr>
        <w:t>（中型企业、小型企业、微型企业）</w:t>
      </w:r>
      <w:r>
        <w:rPr>
          <w:rFonts w:hint="eastAsia"/>
          <w:color w:val="auto"/>
          <w:highlight w:val="none"/>
        </w:rPr>
        <w:t>；</w:t>
      </w:r>
    </w:p>
    <w:p>
      <w:pPr>
        <w:pStyle w:val="70"/>
        <w:tabs>
          <w:tab w:val="left" w:pos="1243"/>
          <w:tab w:val="left" w:pos="1806"/>
          <w:tab w:val="left" w:pos="5005"/>
          <w:tab w:val="left" w:pos="7213"/>
        </w:tabs>
        <w:autoSpaceDE w:val="0"/>
        <w:autoSpaceDN w:val="0"/>
        <w:spacing w:line="360" w:lineRule="auto"/>
        <w:ind w:left="0" w:firstLine="480" w:firstLineChars="200"/>
        <w:rPr>
          <w:color w:val="auto"/>
          <w:highlight w:val="none"/>
          <w:u w:val="single"/>
        </w:rPr>
      </w:pPr>
      <w:r>
        <w:rPr>
          <w:rFonts w:hint="eastAsia"/>
          <w:color w:val="auto"/>
          <w:highlight w:val="none"/>
          <w:lang w:val="en-US"/>
        </w:rPr>
        <w:t>2.</w:t>
      </w:r>
      <w:r>
        <w:rPr>
          <w:rFonts w:hint="eastAsia"/>
          <w:color w:val="auto"/>
          <w:highlight w:val="none"/>
          <w:u w:val="single"/>
        </w:rPr>
        <w:t>（标的名称）</w:t>
      </w:r>
      <w:r>
        <w:rPr>
          <w:rFonts w:hint="eastAsia"/>
          <w:color w:val="auto"/>
          <w:highlight w:val="none"/>
        </w:rPr>
        <w:t>，属于</w:t>
      </w:r>
      <w:r>
        <w:rPr>
          <w:rFonts w:hint="eastAsia"/>
          <w:color w:val="auto"/>
          <w:highlight w:val="none"/>
          <w:u w:val="single"/>
        </w:rPr>
        <w:t>（采购文件中明确的所属行业）</w:t>
      </w:r>
      <w:r>
        <w:rPr>
          <w:rFonts w:hint="eastAsia"/>
          <w:color w:val="auto"/>
          <w:highlight w:val="none"/>
        </w:rPr>
        <w:t>；承建（承接）企业为</w:t>
      </w:r>
      <w:r>
        <w:rPr>
          <w:rFonts w:hint="eastAsia"/>
          <w:color w:val="auto"/>
          <w:highlight w:val="none"/>
          <w:u w:val="single"/>
          <w:lang w:val="en-US"/>
        </w:rPr>
        <w:t xml:space="preserve">     </w:t>
      </w:r>
      <w:r>
        <w:rPr>
          <w:rFonts w:hint="eastAsia"/>
          <w:color w:val="auto"/>
          <w:highlight w:val="none"/>
          <w:u w:val="single"/>
        </w:rPr>
        <w:t>（企业名称）</w:t>
      </w:r>
      <w:r>
        <w:rPr>
          <w:rFonts w:hint="eastAsia"/>
          <w:color w:val="auto"/>
          <w:highlight w:val="none"/>
        </w:rPr>
        <w:t>，从业人员</w:t>
      </w:r>
      <w:r>
        <w:rPr>
          <w:rFonts w:hint="eastAsia"/>
          <w:color w:val="auto"/>
          <w:w w:val="99"/>
          <w:highlight w:val="none"/>
          <w:u w:val="single"/>
        </w:rPr>
        <w:t xml:space="preserve"> </w:t>
      </w:r>
      <w:r>
        <w:rPr>
          <w:rFonts w:hint="eastAsia"/>
          <w:color w:val="auto"/>
          <w:w w:val="99"/>
          <w:highlight w:val="none"/>
          <w:u w:val="single"/>
          <w:lang w:val="en-US"/>
        </w:rPr>
        <w:t xml:space="preserve">     </w:t>
      </w:r>
      <w:r>
        <w:rPr>
          <w:rFonts w:hint="eastAsia"/>
          <w:color w:val="auto"/>
          <w:highlight w:val="none"/>
        </w:rPr>
        <w:t>人，营业收入为</w:t>
      </w:r>
      <w:r>
        <w:rPr>
          <w:rFonts w:hint="eastAsia"/>
          <w:color w:val="auto"/>
          <w:highlight w:val="none"/>
          <w:u w:val="single"/>
        </w:rPr>
        <w:t xml:space="preserve"> </w:t>
      </w:r>
      <w:r>
        <w:rPr>
          <w:rFonts w:hint="eastAsia"/>
          <w:color w:val="auto"/>
          <w:highlight w:val="none"/>
          <w:u w:val="single"/>
          <w:lang w:val="en-US"/>
        </w:rPr>
        <w:t xml:space="preserve">    </w:t>
      </w:r>
      <w:r>
        <w:rPr>
          <w:rFonts w:hint="eastAsia"/>
          <w:color w:val="auto"/>
          <w:highlight w:val="none"/>
        </w:rPr>
        <w:t>万元，资产总额为</w:t>
      </w:r>
      <w:r>
        <w:rPr>
          <w:rFonts w:hint="eastAsia"/>
          <w:color w:val="auto"/>
          <w:highlight w:val="none"/>
          <w:u w:val="single"/>
        </w:rPr>
        <w:t xml:space="preserve"> </w:t>
      </w:r>
      <w:r>
        <w:rPr>
          <w:rFonts w:hint="eastAsia"/>
          <w:color w:val="auto"/>
          <w:highlight w:val="none"/>
          <w:u w:val="single"/>
          <w:lang w:val="en-US"/>
        </w:rPr>
        <w:t xml:space="preserve">       </w:t>
      </w:r>
      <w:r>
        <w:rPr>
          <w:rFonts w:hint="eastAsia"/>
          <w:color w:val="auto"/>
          <w:highlight w:val="none"/>
        </w:rPr>
        <w:t>万元，属</w:t>
      </w:r>
      <w:r>
        <w:rPr>
          <w:rFonts w:hint="eastAsia"/>
          <w:color w:val="auto"/>
          <w:spacing w:val="-12"/>
          <w:highlight w:val="none"/>
        </w:rPr>
        <w:t>于</w:t>
      </w:r>
      <w:r>
        <w:rPr>
          <w:rFonts w:hint="eastAsia"/>
          <w:color w:val="auto"/>
          <w:highlight w:val="none"/>
          <w:u w:val="single"/>
        </w:rPr>
        <w:t>（中型企业、小型企业、微型企业）</w:t>
      </w:r>
      <w:r>
        <w:rPr>
          <w:rFonts w:hint="eastAsia"/>
          <w:color w:val="auto"/>
          <w:highlight w:val="none"/>
        </w:rPr>
        <w:t>；</w:t>
      </w:r>
    </w:p>
    <w:p>
      <w:pPr>
        <w:pStyle w:val="8"/>
        <w:autoSpaceDE w:val="0"/>
        <w:autoSpaceDN w:val="0"/>
        <w:spacing w:line="360" w:lineRule="auto"/>
        <w:ind w:firstLine="480" w:firstLineChars="200"/>
        <w:rPr>
          <w:color w:val="auto"/>
          <w:sz w:val="24"/>
          <w:szCs w:val="24"/>
          <w:highlight w:val="none"/>
        </w:rPr>
      </w:pPr>
      <w:r>
        <w:rPr>
          <w:rFonts w:hint="eastAsia"/>
          <w:color w:val="auto"/>
          <w:sz w:val="24"/>
          <w:szCs w:val="24"/>
          <w:highlight w:val="none"/>
        </w:rPr>
        <w:t>……</w:t>
      </w:r>
    </w:p>
    <w:p>
      <w:pPr>
        <w:pStyle w:val="8"/>
        <w:autoSpaceDE w:val="0"/>
        <w:autoSpaceDN w:val="0"/>
        <w:spacing w:line="360" w:lineRule="auto"/>
        <w:ind w:firstLine="468" w:firstLineChars="200"/>
        <w:jc w:val="both"/>
        <w:rPr>
          <w:color w:val="auto"/>
          <w:sz w:val="24"/>
          <w:szCs w:val="24"/>
          <w:highlight w:val="none"/>
        </w:rPr>
      </w:pPr>
      <w:r>
        <w:rPr>
          <w:rFonts w:hint="eastAsia"/>
          <w:color w:val="auto"/>
          <w:spacing w:val="-3"/>
          <w:sz w:val="24"/>
          <w:szCs w:val="24"/>
          <w:highlight w:val="none"/>
        </w:rPr>
        <w:t>以上企业，不属于大企业的分支机构，不存在控股股东</w:t>
      </w:r>
      <w:r>
        <w:rPr>
          <w:rFonts w:hint="eastAsia"/>
          <w:color w:val="auto"/>
          <w:spacing w:val="-5"/>
          <w:sz w:val="24"/>
          <w:szCs w:val="24"/>
          <w:highlight w:val="none"/>
        </w:rPr>
        <w:t>为大企业的情形，也不存在与大企业的负责人为同一人的情形。</w:t>
      </w:r>
    </w:p>
    <w:p>
      <w:pPr>
        <w:pStyle w:val="8"/>
        <w:autoSpaceDE w:val="0"/>
        <w:autoSpaceDN w:val="0"/>
        <w:spacing w:line="360" w:lineRule="auto"/>
        <w:ind w:firstLine="460" w:firstLineChars="200"/>
        <w:jc w:val="both"/>
        <w:rPr>
          <w:color w:val="auto"/>
          <w:spacing w:val="-5"/>
          <w:sz w:val="24"/>
          <w:szCs w:val="24"/>
          <w:highlight w:val="none"/>
        </w:rPr>
      </w:pPr>
      <w:r>
        <w:rPr>
          <w:rFonts w:hint="eastAsia"/>
          <w:color w:val="auto"/>
          <w:spacing w:val="-5"/>
          <w:sz w:val="24"/>
          <w:szCs w:val="24"/>
          <w:highlight w:val="none"/>
        </w:rPr>
        <w:t>本企业对上述声明内容的真实性负责。如有虚假，将依法承担相应责任。</w:t>
      </w:r>
    </w:p>
    <w:p>
      <w:pPr>
        <w:pStyle w:val="8"/>
        <w:autoSpaceDE w:val="0"/>
        <w:autoSpaceDN w:val="0"/>
        <w:spacing w:line="360" w:lineRule="auto"/>
        <w:ind w:firstLine="462" w:firstLineChars="200"/>
        <w:jc w:val="both"/>
        <w:rPr>
          <w:color w:val="auto"/>
          <w:spacing w:val="-5"/>
          <w:sz w:val="24"/>
          <w:szCs w:val="24"/>
          <w:highlight w:val="none"/>
        </w:rPr>
      </w:pPr>
      <w:r>
        <w:rPr>
          <w:rFonts w:hint="eastAsia"/>
          <w:b/>
          <w:bCs/>
          <w:color w:val="auto"/>
          <w:spacing w:val="-5"/>
          <w:sz w:val="24"/>
          <w:szCs w:val="24"/>
          <w:highlight w:val="none"/>
        </w:rPr>
        <w:t>注：本项目所属行业为：</w:t>
      </w:r>
      <w:r>
        <w:rPr>
          <w:rFonts w:hint="eastAsia"/>
          <w:b/>
          <w:bCs/>
          <w:color w:val="auto"/>
          <w:spacing w:val="-5"/>
          <w:sz w:val="24"/>
          <w:szCs w:val="24"/>
          <w:highlight w:val="none"/>
          <w:lang w:val="en-US"/>
        </w:rPr>
        <w:t>工程技术与设计服务业</w:t>
      </w:r>
      <w:r>
        <w:rPr>
          <w:rFonts w:hint="eastAsia"/>
          <w:b/>
          <w:bCs/>
          <w:color w:val="auto"/>
          <w:spacing w:val="-5"/>
          <w:sz w:val="24"/>
          <w:szCs w:val="24"/>
          <w:highlight w:val="none"/>
        </w:rPr>
        <w:t>。</w:t>
      </w:r>
    </w:p>
    <w:p>
      <w:pPr>
        <w:pStyle w:val="8"/>
        <w:spacing w:before="29" w:line="360" w:lineRule="auto"/>
        <w:ind w:left="4060" w:right="2166"/>
        <w:rPr>
          <w:color w:val="auto"/>
          <w:sz w:val="24"/>
          <w:szCs w:val="24"/>
          <w:highlight w:val="none"/>
        </w:rPr>
      </w:pPr>
    </w:p>
    <w:p>
      <w:pPr>
        <w:pStyle w:val="8"/>
        <w:spacing w:before="29" w:line="360" w:lineRule="auto"/>
        <w:ind w:left="4060" w:right="2166"/>
        <w:rPr>
          <w:color w:val="auto"/>
          <w:sz w:val="24"/>
          <w:szCs w:val="24"/>
          <w:highlight w:val="none"/>
          <w:u w:val="single"/>
          <w:lang w:val="en-US"/>
        </w:rPr>
      </w:pPr>
      <w:r>
        <w:rPr>
          <w:rFonts w:hint="eastAsia"/>
          <w:color w:val="auto"/>
          <w:sz w:val="24"/>
          <w:szCs w:val="24"/>
          <w:highlight w:val="none"/>
        </w:rPr>
        <w:t>企业名称（盖章）：</w:t>
      </w:r>
    </w:p>
    <w:p>
      <w:pPr>
        <w:pStyle w:val="8"/>
        <w:spacing w:before="29" w:line="360" w:lineRule="auto"/>
        <w:ind w:left="4060" w:right="2166"/>
        <w:rPr>
          <w:color w:val="auto"/>
          <w:sz w:val="24"/>
          <w:szCs w:val="24"/>
          <w:highlight w:val="none"/>
        </w:rPr>
      </w:pPr>
      <w:r>
        <w:rPr>
          <w:rFonts w:hint="eastAsia"/>
          <w:color w:val="auto"/>
          <w:spacing w:val="24"/>
          <w:sz w:val="24"/>
          <w:szCs w:val="24"/>
          <w:highlight w:val="none"/>
        </w:rPr>
        <w:t>日期：</w:t>
      </w:r>
    </w:p>
    <w:p>
      <w:pPr>
        <w:widowControl/>
        <w:spacing w:line="360" w:lineRule="auto"/>
        <w:rPr>
          <w:rFonts w:ascii="宋体" w:hAnsi="宋体" w:eastAsia="宋体" w:cs="宋体"/>
          <w:color w:val="auto"/>
          <w:spacing w:val="-3"/>
          <w:kern w:val="1"/>
          <w:highlight w:val="none"/>
          <w:lang w:eastAsia="zh-CN" w:bidi="ar-SA"/>
        </w:rPr>
      </w:pPr>
      <w:r>
        <w:rPr>
          <w:rFonts w:hint="eastAsia" w:ascii="宋体" w:hAnsi="宋体" w:eastAsia="宋体" w:cs="宋体"/>
          <w:color w:val="auto"/>
          <w:spacing w:val="-3"/>
          <w:kern w:val="1"/>
          <w:highlight w:val="none"/>
          <w:lang w:eastAsia="zh-CN" w:bidi="ar-SA"/>
        </w:rPr>
        <w:t xml:space="preserve">说明： </w:t>
      </w:r>
    </w:p>
    <w:p>
      <w:pPr>
        <w:widowControl/>
        <w:spacing w:line="360" w:lineRule="auto"/>
        <w:rPr>
          <w:rFonts w:ascii="宋体" w:hAnsi="宋体" w:eastAsia="宋体" w:cs="宋体"/>
          <w:color w:val="auto"/>
          <w:spacing w:val="-3"/>
          <w:kern w:val="1"/>
          <w:highlight w:val="none"/>
          <w:lang w:eastAsia="zh-CN" w:bidi="ar-SA"/>
        </w:rPr>
      </w:pPr>
      <w:r>
        <w:rPr>
          <w:rFonts w:hint="eastAsia" w:ascii="宋体" w:hAnsi="宋体" w:eastAsia="宋体" w:cs="宋体"/>
          <w:color w:val="auto"/>
          <w:spacing w:val="-3"/>
          <w:kern w:val="1"/>
          <w:highlight w:val="none"/>
          <w:lang w:eastAsia="zh-CN" w:bidi="ar-SA"/>
        </w:rPr>
        <w:t xml:space="preserve">1、从业人员、营业收入、资产总额填报上一年度数据，无上一年度数据的新成立企业可不填报。 </w:t>
      </w:r>
    </w:p>
    <w:p>
      <w:pPr>
        <w:widowControl/>
        <w:spacing w:line="360" w:lineRule="auto"/>
        <w:rPr>
          <w:rFonts w:ascii="宋体" w:hAnsi="宋体" w:eastAsia="宋体" w:cs="宋体"/>
          <w:color w:val="auto"/>
          <w:spacing w:val="-3"/>
          <w:kern w:val="1"/>
          <w:highlight w:val="none"/>
          <w:lang w:eastAsia="zh-CN" w:bidi="ar-SA"/>
        </w:rPr>
      </w:pPr>
      <w:r>
        <w:rPr>
          <w:rFonts w:hint="eastAsia" w:ascii="宋体" w:hAnsi="宋体" w:eastAsia="宋体" w:cs="宋体"/>
          <w:color w:val="auto"/>
          <w:spacing w:val="-3"/>
          <w:kern w:val="1"/>
          <w:highlight w:val="none"/>
          <w:lang w:eastAsia="zh-CN" w:bidi="ar-SA"/>
        </w:rPr>
        <w:t xml:space="preserve">2、该声明函是针对小微型企业的，非小型、微型企业投标时不用提供该声明。 </w:t>
      </w:r>
    </w:p>
    <w:p>
      <w:pPr>
        <w:widowControl/>
        <w:spacing w:line="360" w:lineRule="auto"/>
        <w:rPr>
          <w:rFonts w:hint="eastAsia" w:ascii="宋体" w:hAnsi="宋体" w:eastAsia="宋体" w:cs="宋体"/>
          <w:color w:val="auto"/>
          <w:spacing w:val="-3"/>
          <w:kern w:val="1"/>
          <w:highlight w:val="none"/>
          <w:lang w:eastAsia="zh-CN" w:bidi="ar-SA"/>
        </w:rPr>
      </w:pPr>
      <w:r>
        <w:rPr>
          <w:rFonts w:hint="eastAsia" w:ascii="宋体" w:hAnsi="宋体" w:eastAsia="宋体" w:cs="宋体"/>
          <w:color w:val="auto"/>
          <w:spacing w:val="-3"/>
          <w:kern w:val="1"/>
          <w:highlight w:val="none"/>
          <w:lang w:eastAsia="zh-CN" w:bidi="ar-SA"/>
        </w:rPr>
        <w:t>3、对于未预留份额专门面向中小企业采购的采购项目，以及预留份额项目中的非预留部分采购包，对符合中小企业扶持政策的小微企业报价给予 20%的扣除，用扣除后的价格参加评审。中小企业加政府采购活动，应当出具《中小企业声明函》，否则不得享受相关中小企业扶持政策。</w:t>
      </w:r>
    </w:p>
    <w:p>
      <w:pPr>
        <w:pStyle w:val="36"/>
        <w:rPr>
          <w:lang w:eastAsia="zh-CN"/>
        </w:rPr>
      </w:pPr>
    </w:p>
    <w:p>
      <w:pPr>
        <w:pStyle w:val="9"/>
        <w:rPr>
          <w:highlight w:val="none"/>
          <w:lang w:eastAsia="zh-CN"/>
        </w:rPr>
      </w:pPr>
    </w:p>
    <w:p>
      <w:pPr>
        <w:keepNext/>
        <w:keepLines/>
        <w:pageBreakBefore w:val="0"/>
        <w:widowControl w:val="0"/>
        <w:kinsoku/>
        <w:wordWrap/>
        <w:overflowPunct/>
        <w:topLinePunct w:val="0"/>
        <w:autoSpaceDE/>
        <w:autoSpaceDN/>
        <w:bidi w:val="0"/>
        <w:adjustRightInd/>
        <w:snapToGrid/>
        <w:spacing w:line="416" w:lineRule="auto"/>
        <w:jc w:val="center"/>
        <w:textAlignment w:val="auto"/>
        <w:outlineLvl w:val="2"/>
        <w:rPr>
          <w:rFonts w:hint="eastAsia" w:ascii="宋体" w:hAnsi="宋体" w:eastAsia="宋体" w:cs="宋体"/>
          <w:b/>
          <w:bCs/>
          <w:color w:val="auto"/>
          <w:highlight w:val="none"/>
          <w:lang w:eastAsia="zh-CN"/>
        </w:rPr>
      </w:pPr>
      <w:bookmarkStart w:id="150" w:name="_Toc29274"/>
      <w:bookmarkStart w:id="151" w:name="_Toc21406"/>
      <w:bookmarkStart w:id="152" w:name="_Toc32220"/>
      <w:r>
        <w:rPr>
          <w:rFonts w:hint="eastAsia" w:ascii="宋体" w:hAnsi="宋体" w:eastAsia="宋体" w:cs="宋体"/>
          <w:b/>
          <w:bCs/>
          <w:color w:val="auto"/>
          <w:highlight w:val="none"/>
          <w:lang w:eastAsia="zh-CN"/>
        </w:rPr>
        <w:t>（三）残疾人福利性单位声明函（如有）</w:t>
      </w:r>
      <w:bookmarkEnd w:id="150"/>
      <w:bookmarkEnd w:id="151"/>
      <w:bookmarkEnd w:id="152"/>
    </w:p>
    <w:p>
      <w:pPr>
        <w:spacing w:line="360" w:lineRule="auto"/>
        <w:ind w:firstLine="504" w:firstLineChars="200"/>
        <w:rPr>
          <w:rFonts w:ascii="宋体" w:hAnsi="宋体" w:eastAsia="宋体" w:cs="宋体"/>
          <w:color w:val="auto"/>
          <w:spacing w:val="6"/>
          <w:highlight w:val="none"/>
          <w:lang w:eastAsia="zh-CN"/>
        </w:rPr>
      </w:pPr>
      <w:r>
        <w:rPr>
          <w:rFonts w:hint="eastAsia" w:ascii="宋体" w:hAnsi="宋体" w:eastAsia="宋体" w:cs="宋体"/>
          <w:color w:val="auto"/>
          <w:spacing w:val="6"/>
          <w:highlight w:val="none"/>
          <w:lang w:eastAsia="zh-CN"/>
        </w:rPr>
        <w:t>本单位郑重声明，根据《财政部 民政部 中国残疾人联合会关于促进残疾人就业政府采购政策的通知》（财库</w:t>
      </w:r>
      <w:r>
        <w:rPr>
          <w:rFonts w:hint="eastAsia" w:ascii="宋体" w:hAnsi="宋体" w:eastAsia="宋体" w:cs="宋体"/>
          <w:color w:val="auto"/>
          <w:highlight w:val="none"/>
          <w:lang w:eastAsia="zh-CN"/>
        </w:rPr>
        <w:t>〔2017〕 141</w:t>
      </w:r>
      <w:r>
        <w:rPr>
          <w:rFonts w:hint="eastAsia" w:ascii="宋体" w:hAnsi="宋体" w:eastAsia="宋体" w:cs="宋体"/>
          <w:color w:val="auto"/>
          <w:spacing w:val="6"/>
          <w:highlight w:val="none"/>
          <w:lang w:eastAsia="zh-CN"/>
        </w:rPr>
        <w:t>号）的规定，本单位为符合条件的残疾人福利性单位，且本单位参加</w:t>
      </w:r>
      <w:r>
        <w:rPr>
          <w:rFonts w:hint="eastAsia" w:ascii="宋体" w:hAnsi="宋体" w:eastAsia="宋体" w:cs="宋体"/>
          <w:color w:val="auto"/>
          <w:spacing w:val="6"/>
          <w:highlight w:val="none"/>
          <w:u w:val="single"/>
          <w:lang w:eastAsia="zh-CN"/>
        </w:rPr>
        <w:t xml:space="preserve">       </w:t>
      </w:r>
      <w:r>
        <w:rPr>
          <w:rFonts w:hint="eastAsia" w:ascii="宋体" w:hAnsi="宋体" w:eastAsia="宋体" w:cs="宋体"/>
          <w:color w:val="auto"/>
          <w:spacing w:val="6"/>
          <w:highlight w:val="none"/>
          <w:lang w:eastAsia="zh-CN"/>
        </w:rPr>
        <w:t>单位的</w:t>
      </w:r>
      <w:r>
        <w:rPr>
          <w:rFonts w:hint="eastAsia" w:ascii="宋体" w:hAnsi="宋体" w:eastAsia="宋体" w:cs="宋体"/>
          <w:color w:val="auto"/>
          <w:spacing w:val="6"/>
          <w:highlight w:val="none"/>
          <w:u w:val="single"/>
          <w:lang w:eastAsia="zh-CN"/>
        </w:rPr>
        <w:t xml:space="preserve">      </w:t>
      </w:r>
      <w:r>
        <w:rPr>
          <w:rFonts w:hint="eastAsia" w:ascii="宋体" w:hAnsi="宋体" w:eastAsia="宋体" w:cs="宋体"/>
          <w:color w:val="auto"/>
          <w:spacing w:val="6"/>
          <w:highlight w:val="none"/>
          <w:lang w:eastAsia="zh-CN"/>
        </w:rPr>
        <w:t>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eastAsia="宋体" w:cs="宋体"/>
          <w:color w:val="auto"/>
          <w:spacing w:val="6"/>
          <w:highlight w:val="none"/>
          <w:lang w:eastAsia="zh-CN"/>
        </w:rPr>
      </w:pPr>
      <w:r>
        <w:rPr>
          <w:rFonts w:hint="eastAsia" w:ascii="宋体" w:hAnsi="宋体" w:eastAsia="宋体" w:cs="宋体"/>
          <w:color w:val="auto"/>
          <w:spacing w:val="6"/>
          <w:highlight w:val="none"/>
          <w:lang w:eastAsia="zh-CN"/>
        </w:rPr>
        <w:t>本单位对上述声明的真实性负责。如有虚假，将依法承担相应责任。</w:t>
      </w:r>
    </w:p>
    <w:p>
      <w:pPr>
        <w:tabs>
          <w:tab w:val="left" w:pos="4860"/>
        </w:tabs>
        <w:spacing w:line="360" w:lineRule="auto"/>
        <w:ind w:right="1560" w:firstLine="504" w:firstLineChars="200"/>
        <w:jc w:val="center"/>
        <w:rPr>
          <w:rFonts w:ascii="宋体" w:hAnsi="宋体" w:eastAsia="宋体" w:cs="宋体"/>
          <w:color w:val="auto"/>
          <w:spacing w:val="6"/>
          <w:highlight w:val="none"/>
          <w:lang w:eastAsia="zh-CN"/>
        </w:rPr>
      </w:pPr>
      <w:r>
        <w:rPr>
          <w:rFonts w:hint="eastAsia" w:ascii="宋体" w:hAnsi="宋体" w:eastAsia="宋体" w:cs="宋体"/>
          <w:color w:val="auto"/>
          <w:spacing w:val="6"/>
          <w:highlight w:val="none"/>
          <w:lang w:eastAsia="zh-CN"/>
        </w:rPr>
        <w:t xml:space="preserve">               单位名称（盖章）：</w:t>
      </w:r>
    </w:p>
    <w:p>
      <w:pPr>
        <w:tabs>
          <w:tab w:val="left" w:pos="4860"/>
        </w:tabs>
        <w:spacing w:line="360" w:lineRule="auto"/>
        <w:ind w:right="1560" w:firstLine="504" w:firstLineChars="200"/>
        <w:jc w:val="center"/>
        <w:rPr>
          <w:rFonts w:ascii="宋体" w:hAnsi="宋体" w:eastAsia="宋体" w:cs="宋体"/>
          <w:color w:val="auto"/>
          <w:spacing w:val="6"/>
          <w:highlight w:val="none"/>
          <w:lang w:eastAsia="zh-CN"/>
        </w:rPr>
      </w:pPr>
      <w:r>
        <w:rPr>
          <w:rFonts w:hint="eastAsia" w:ascii="宋体" w:hAnsi="宋体" w:eastAsia="宋体" w:cs="宋体"/>
          <w:color w:val="auto"/>
          <w:spacing w:val="6"/>
          <w:highlight w:val="none"/>
          <w:lang w:eastAsia="zh-CN"/>
        </w:rPr>
        <w:t xml:space="preserve">       日  期：</w:t>
      </w:r>
    </w:p>
    <w:p>
      <w:pPr>
        <w:tabs>
          <w:tab w:val="left" w:pos="840"/>
        </w:tabs>
        <w:autoSpaceDE w:val="0"/>
        <w:autoSpaceDN w:val="0"/>
        <w:adjustRightInd w:val="0"/>
        <w:spacing w:line="360" w:lineRule="auto"/>
        <w:jc w:val="center"/>
        <w:rPr>
          <w:rFonts w:ascii="宋体" w:hAnsi="宋体" w:eastAsia="宋体" w:cs="宋体"/>
          <w:b/>
          <w:color w:val="auto"/>
          <w:highlight w:val="none"/>
          <w:lang w:eastAsia="zh-CN"/>
        </w:rPr>
      </w:pPr>
    </w:p>
    <w:p>
      <w:pPr>
        <w:widowControl/>
        <w:spacing w:line="360" w:lineRule="auto"/>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（提醒：如果供应商</w:t>
      </w:r>
      <w:r>
        <w:rPr>
          <w:rFonts w:hint="eastAsia" w:ascii="宋体" w:hAnsi="宋体" w:eastAsia="宋体" w:cs="宋体"/>
          <w:b/>
          <w:color w:val="auto"/>
          <w:spacing w:val="10"/>
          <w:highlight w:val="none"/>
          <w:lang w:eastAsia="zh-CN"/>
        </w:rPr>
        <w:t>不是残疾人福利性单位</w:t>
      </w:r>
      <w:r>
        <w:rPr>
          <w:rFonts w:hint="eastAsia" w:ascii="宋体" w:hAnsi="宋体" w:eastAsia="宋体" w:cs="宋体"/>
          <w:b/>
          <w:color w:val="auto"/>
          <w:highlight w:val="none"/>
          <w:lang w:eastAsia="zh-CN"/>
        </w:rPr>
        <w:t>，则不需要提供《残疾人福利性单位声明函》。否则，因此导致虚假投标的后果由供应商自行承担。）</w:t>
      </w:r>
    </w:p>
    <w:p>
      <w:pPr>
        <w:tabs>
          <w:tab w:val="left" w:pos="840"/>
        </w:tabs>
        <w:autoSpaceDE w:val="0"/>
        <w:autoSpaceDN w:val="0"/>
        <w:adjustRightInd w:val="0"/>
        <w:spacing w:line="360" w:lineRule="auto"/>
        <w:rPr>
          <w:rFonts w:ascii="宋体" w:hAnsi="宋体" w:eastAsia="宋体" w:cs="宋体"/>
          <w:b/>
          <w:color w:val="auto"/>
          <w:highlight w:val="none"/>
          <w:lang w:eastAsia="zh-CN"/>
        </w:rPr>
      </w:pP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《财政部民政部中国残疾人联合会关于促进残疾人就业政府采购政策的通知》（财库（2017〔141〕号）的规定：</w:t>
      </w:r>
    </w:p>
    <w:p>
      <w:pPr>
        <w:spacing w:line="360" w:lineRule="auto"/>
        <w:ind w:firstLine="48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 享受政府采购支持政策的残疾人福利性单位应当同时满足以下条件：</w:t>
      </w: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（1）安置的残疾人占本单位在职职工人数的比例不低于25%（含25%），并且安置的残疾人人数不少于10人（含10人）；</w:t>
      </w: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（2）依法与安置的每位残疾人签订了一年以上（含一年）的劳动合同或服务协议；</w:t>
      </w: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（3）为安置的每位残疾人按月足额缴纳了基本养老保险、基本医疗保险、失业保险、工伤保险和生育保险等社会保险费；</w:t>
      </w: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（4）通过银行等金融机构向安置的每位残疾人，按月支付了不低于单位所在区县适用的经省级人民政府批准的月最低工资标准的工资；</w:t>
      </w: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（5）提供本单位制造的货物、承担的工程或者服务（以下简称产品），或者提供其他残疾人福利性单位制造的货物（不包括使用非残疾人福利性单位注册商标的货物）。</w:t>
      </w: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2. 成交单位为残疾人福利性单位的，采购人或者其委托的采购代理机构应当随中标、成交结果同时公告其《残疾人福利性单位声明函》，接受社会监督。</w:t>
      </w:r>
    </w:p>
    <w:p>
      <w:pPr>
        <w:pStyle w:val="8"/>
        <w:rPr>
          <w:color w:val="auto"/>
          <w:sz w:val="24"/>
          <w:highlight w:val="none"/>
        </w:rPr>
      </w:pPr>
    </w:p>
    <w:p>
      <w:pPr>
        <w:pStyle w:val="9"/>
        <w:rPr>
          <w:highlight w:val="none"/>
        </w:rPr>
      </w:pPr>
    </w:p>
    <w:p>
      <w:pPr>
        <w:pStyle w:val="9"/>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（四）其他材料</w:t>
      </w:r>
    </w:p>
    <w:p>
      <w:pPr>
        <w:pStyle w:val="9"/>
        <w:spacing w:line="360" w:lineRule="auto"/>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格式内容自拟，供应商认为有必要提供的其他材料</w:t>
      </w:r>
    </w:p>
    <w:p>
      <w:pPr>
        <w:pStyle w:val="9"/>
        <w:spacing w:line="360" w:lineRule="auto"/>
        <w:ind w:firstLine="480" w:firstLineChars="200"/>
        <w:rPr>
          <w:rFonts w:ascii="宋体" w:hAnsi="宋体" w:eastAsia="宋体" w:cs="宋体"/>
          <w:sz w:val="24"/>
          <w:szCs w:val="24"/>
          <w:highlight w:val="none"/>
          <w:lang w:eastAsia="zh-CN"/>
        </w:rPr>
      </w:pPr>
    </w:p>
    <w:sectPr>
      <w:footerReference r:id="rId5" w:type="default"/>
      <w:pgSz w:w="11900" w:h="16840"/>
      <w:pgMar w:top="1529" w:right="1591" w:bottom="1297" w:left="1756" w:header="1101" w:footer="737" w:gutter="0"/>
      <w:pgNumType w:fmt="decimal" w:start="35"/>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仿宋_GB2312" w:eastAsia="仿宋_GB2312"/>
        <w:szCs w:val="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default"/>
                              <w:lang w:val="en-US"/>
                            </w:rPr>
                            <w:t>34</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pPr>
                    <w:r>
                      <w:rPr>
                        <w:rFonts w:hint="default"/>
                        <w:lang w:val="en-US"/>
                      </w:rPr>
                      <w:t>34</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- 1 -</w:t>
                    </w:r>
                    <w:r>
                      <w:fldChar w:fldCharType="end"/>
                    </w:r>
                  </w:p>
                </w:txbxContent>
              </v:textbox>
            </v:shape>
          </w:pict>
        </mc:Fallback>
      </mc:AlternateContent>
    </w:r>
    <w:r>
      <w:rPr>
        <w:sz w:val="24"/>
      </w:rPr>
      <mc:AlternateContent>
        <mc:Choice Requires="wps">
          <w:drawing>
            <wp:inline distT="0" distB="0" distL="114300" distR="114300">
              <wp:extent cx="1828800" cy="1828800"/>
              <wp:effectExtent l="0" t="0" r="0" b="0"/>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rPr>
                          </w:pPr>
                          <w:r>
                            <w:rPr>
                              <w:rFonts w:hint="default"/>
                              <w:lang w:val="en-US"/>
                            </w:rPr>
                            <w:t>35</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inline>
          </w:drawing>
        </mc:Choice>
        <mc:Fallback>
          <w:pict>
            <v:shape id="_x0000_s1026" o:spid="_x0000_s1026" o:spt="202" type="#_x0000_t202" style="height:144pt;width:144pt;mso-wrap-style:non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rPr>
                        <w:rFonts w:hint="default"/>
                        <w:lang w:val="en-US"/>
                      </w:rPr>
                    </w:pPr>
                    <w:r>
                      <w:rPr>
                        <w:rFonts w:hint="default"/>
                        <w:lang w:val="en-US"/>
                      </w:rPr>
                      <w:t>35</w:t>
                    </w:r>
                  </w:p>
                </w:txbxContent>
              </v:textbox>
              <w10:wrap type="none"/>
              <w10:anchorlock/>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3A94A9"/>
    <w:multiLevelType w:val="singleLevel"/>
    <w:tmpl w:val="B23A94A9"/>
    <w:lvl w:ilvl="0" w:tentative="0">
      <w:start w:val="8"/>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1">
    <w:nsid w:val="0000000B"/>
    <w:multiLevelType w:val="multilevel"/>
    <w:tmpl w:val="0000000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2EADF99"/>
    <w:multiLevelType w:val="singleLevel"/>
    <w:tmpl w:val="12EADF99"/>
    <w:lvl w:ilvl="0" w:tentative="0">
      <w:start w:val="6"/>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3">
    <w:nsid w:val="3F544A6D"/>
    <w:multiLevelType w:val="multilevel"/>
    <w:tmpl w:val="3F544A6D"/>
    <w:lvl w:ilvl="0" w:tentative="0">
      <w:start w:val="1"/>
      <w:numFmt w:val="japaneseCounting"/>
      <w:lvlText w:val="第%1条"/>
      <w:lvlJc w:val="left"/>
      <w:pPr>
        <w:ind w:left="420" w:hanging="420"/>
      </w:pPr>
      <w:rPr>
        <w:rFonts w:hint="eastAsia"/>
        <w:b w:val="0"/>
        <w:u w:val="no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ljMDliNGQyOGVlNzk2NmZhYmJjZTcyYTUyM2FiMTcifQ=="/>
    <w:docVar w:name="KSO_WPS_MARK_KEY" w:val="e004e608-6d5b-4ef8-9b2b-8a7a4ae2dc5b"/>
  </w:docVars>
  <w:rsids>
    <w:rsidRoot w:val="32685F06"/>
    <w:rsid w:val="00000684"/>
    <w:rsid w:val="00113D76"/>
    <w:rsid w:val="00131EEC"/>
    <w:rsid w:val="00316E9F"/>
    <w:rsid w:val="00322080"/>
    <w:rsid w:val="003624AB"/>
    <w:rsid w:val="003F7839"/>
    <w:rsid w:val="00493053"/>
    <w:rsid w:val="004A2502"/>
    <w:rsid w:val="00624CCC"/>
    <w:rsid w:val="006D12E9"/>
    <w:rsid w:val="00821E14"/>
    <w:rsid w:val="0085623D"/>
    <w:rsid w:val="00862CA7"/>
    <w:rsid w:val="00955B10"/>
    <w:rsid w:val="00A448AC"/>
    <w:rsid w:val="00AC1DC1"/>
    <w:rsid w:val="00C904C1"/>
    <w:rsid w:val="00CF2FF0"/>
    <w:rsid w:val="00D3142E"/>
    <w:rsid w:val="00DB453D"/>
    <w:rsid w:val="00EB7E07"/>
    <w:rsid w:val="00F803CD"/>
    <w:rsid w:val="00FB030A"/>
    <w:rsid w:val="00FC5996"/>
    <w:rsid w:val="01136EF7"/>
    <w:rsid w:val="020D488C"/>
    <w:rsid w:val="02551A35"/>
    <w:rsid w:val="03444964"/>
    <w:rsid w:val="038F7BB8"/>
    <w:rsid w:val="06034410"/>
    <w:rsid w:val="06B00810"/>
    <w:rsid w:val="06B71B97"/>
    <w:rsid w:val="099E0CB4"/>
    <w:rsid w:val="0A5C592B"/>
    <w:rsid w:val="0B0C4973"/>
    <w:rsid w:val="0C8B665C"/>
    <w:rsid w:val="0CBD67E6"/>
    <w:rsid w:val="0D0C434C"/>
    <w:rsid w:val="0D411050"/>
    <w:rsid w:val="0DA4405F"/>
    <w:rsid w:val="0E2D66C5"/>
    <w:rsid w:val="0EF44384"/>
    <w:rsid w:val="0F6F63CE"/>
    <w:rsid w:val="103E1817"/>
    <w:rsid w:val="10557A3A"/>
    <w:rsid w:val="1084784A"/>
    <w:rsid w:val="10F474A7"/>
    <w:rsid w:val="11417F12"/>
    <w:rsid w:val="11F51C4C"/>
    <w:rsid w:val="133E22B0"/>
    <w:rsid w:val="13687013"/>
    <w:rsid w:val="14BA2D03"/>
    <w:rsid w:val="14E759FD"/>
    <w:rsid w:val="165825D9"/>
    <w:rsid w:val="16CB7CD9"/>
    <w:rsid w:val="16D51170"/>
    <w:rsid w:val="17486E4C"/>
    <w:rsid w:val="17B76EF9"/>
    <w:rsid w:val="19037FE5"/>
    <w:rsid w:val="19410B0E"/>
    <w:rsid w:val="1B2168A4"/>
    <w:rsid w:val="1B4D19EC"/>
    <w:rsid w:val="1B5C045E"/>
    <w:rsid w:val="1BB75683"/>
    <w:rsid w:val="1D1D1537"/>
    <w:rsid w:val="1D235A85"/>
    <w:rsid w:val="1DFF2D66"/>
    <w:rsid w:val="1E0E0A04"/>
    <w:rsid w:val="1E5220D4"/>
    <w:rsid w:val="1F2E46FC"/>
    <w:rsid w:val="1F3C4928"/>
    <w:rsid w:val="2022551C"/>
    <w:rsid w:val="21397216"/>
    <w:rsid w:val="21A310E3"/>
    <w:rsid w:val="21A9734A"/>
    <w:rsid w:val="2271533D"/>
    <w:rsid w:val="235B4D88"/>
    <w:rsid w:val="236D76BA"/>
    <w:rsid w:val="24180D53"/>
    <w:rsid w:val="241D6FC2"/>
    <w:rsid w:val="243834EA"/>
    <w:rsid w:val="25874E59"/>
    <w:rsid w:val="26A147F8"/>
    <w:rsid w:val="26A47B7F"/>
    <w:rsid w:val="28973AA8"/>
    <w:rsid w:val="28E219C5"/>
    <w:rsid w:val="290350CE"/>
    <w:rsid w:val="29964061"/>
    <w:rsid w:val="29E85667"/>
    <w:rsid w:val="2AB7478C"/>
    <w:rsid w:val="2B080047"/>
    <w:rsid w:val="2B372868"/>
    <w:rsid w:val="2BCC7460"/>
    <w:rsid w:val="2BE069BC"/>
    <w:rsid w:val="2C132344"/>
    <w:rsid w:val="2C8A7839"/>
    <w:rsid w:val="2D0F07B8"/>
    <w:rsid w:val="2ED95618"/>
    <w:rsid w:val="2F8530AA"/>
    <w:rsid w:val="2FE62581"/>
    <w:rsid w:val="304078BC"/>
    <w:rsid w:val="30F524B2"/>
    <w:rsid w:val="31F455AC"/>
    <w:rsid w:val="32685F06"/>
    <w:rsid w:val="327369D7"/>
    <w:rsid w:val="33423458"/>
    <w:rsid w:val="3366631A"/>
    <w:rsid w:val="33A87BC0"/>
    <w:rsid w:val="34957D93"/>
    <w:rsid w:val="35777B3C"/>
    <w:rsid w:val="35845DEA"/>
    <w:rsid w:val="367D20B4"/>
    <w:rsid w:val="36851BE2"/>
    <w:rsid w:val="36C97D20"/>
    <w:rsid w:val="38B96F71"/>
    <w:rsid w:val="38FC0F83"/>
    <w:rsid w:val="3ABD13EE"/>
    <w:rsid w:val="3B7C547B"/>
    <w:rsid w:val="3C722C08"/>
    <w:rsid w:val="3CCB17DB"/>
    <w:rsid w:val="3DCF7CFD"/>
    <w:rsid w:val="3EFA2545"/>
    <w:rsid w:val="3F1A1160"/>
    <w:rsid w:val="40081045"/>
    <w:rsid w:val="405E4B48"/>
    <w:rsid w:val="41197521"/>
    <w:rsid w:val="415833A9"/>
    <w:rsid w:val="425C0598"/>
    <w:rsid w:val="432E6E4B"/>
    <w:rsid w:val="437C2F40"/>
    <w:rsid w:val="43A62B94"/>
    <w:rsid w:val="441C4F11"/>
    <w:rsid w:val="45154029"/>
    <w:rsid w:val="45277935"/>
    <w:rsid w:val="469B5FE6"/>
    <w:rsid w:val="46DA77E0"/>
    <w:rsid w:val="4748457E"/>
    <w:rsid w:val="48420D80"/>
    <w:rsid w:val="49F41101"/>
    <w:rsid w:val="4A6902EC"/>
    <w:rsid w:val="4AE455EC"/>
    <w:rsid w:val="4BF51380"/>
    <w:rsid w:val="4C232819"/>
    <w:rsid w:val="4CBA5328"/>
    <w:rsid w:val="4CFE5C64"/>
    <w:rsid w:val="4D0C49B3"/>
    <w:rsid w:val="4D1B632E"/>
    <w:rsid w:val="4DD80D20"/>
    <w:rsid w:val="4FF6307B"/>
    <w:rsid w:val="502B49B8"/>
    <w:rsid w:val="50724756"/>
    <w:rsid w:val="5136054A"/>
    <w:rsid w:val="5284642F"/>
    <w:rsid w:val="5386343C"/>
    <w:rsid w:val="548616DB"/>
    <w:rsid w:val="55D45479"/>
    <w:rsid w:val="56976776"/>
    <w:rsid w:val="57B8376D"/>
    <w:rsid w:val="58C45019"/>
    <w:rsid w:val="58DB503F"/>
    <w:rsid w:val="59A72A92"/>
    <w:rsid w:val="59E05D50"/>
    <w:rsid w:val="5A37689F"/>
    <w:rsid w:val="5A527540"/>
    <w:rsid w:val="5B3244B5"/>
    <w:rsid w:val="5B3972E1"/>
    <w:rsid w:val="5CFF3517"/>
    <w:rsid w:val="5D080CF3"/>
    <w:rsid w:val="5E5217E9"/>
    <w:rsid w:val="5EB617B3"/>
    <w:rsid w:val="612726B6"/>
    <w:rsid w:val="61812554"/>
    <w:rsid w:val="62892B30"/>
    <w:rsid w:val="629628FD"/>
    <w:rsid w:val="62BA71DD"/>
    <w:rsid w:val="63CE1E98"/>
    <w:rsid w:val="64255E6C"/>
    <w:rsid w:val="64B85A8B"/>
    <w:rsid w:val="65B75386"/>
    <w:rsid w:val="661533BE"/>
    <w:rsid w:val="66A06FCE"/>
    <w:rsid w:val="66AC3408"/>
    <w:rsid w:val="673F497B"/>
    <w:rsid w:val="67AA5810"/>
    <w:rsid w:val="686612B3"/>
    <w:rsid w:val="68A23D7E"/>
    <w:rsid w:val="69603C65"/>
    <w:rsid w:val="6B1155E8"/>
    <w:rsid w:val="6B442BC4"/>
    <w:rsid w:val="6D2C79D5"/>
    <w:rsid w:val="6D660C72"/>
    <w:rsid w:val="6D896923"/>
    <w:rsid w:val="6DBE53FE"/>
    <w:rsid w:val="6E9109ED"/>
    <w:rsid w:val="6EE73F19"/>
    <w:rsid w:val="6F8D4049"/>
    <w:rsid w:val="6F8E1728"/>
    <w:rsid w:val="6FCA022D"/>
    <w:rsid w:val="6FF87CEB"/>
    <w:rsid w:val="70AF7172"/>
    <w:rsid w:val="720A6E64"/>
    <w:rsid w:val="7222212A"/>
    <w:rsid w:val="72563E57"/>
    <w:rsid w:val="72EC3309"/>
    <w:rsid w:val="731C6E4F"/>
    <w:rsid w:val="73243F55"/>
    <w:rsid w:val="73A66718"/>
    <w:rsid w:val="73AA3AB8"/>
    <w:rsid w:val="73E97832"/>
    <w:rsid w:val="74402A5D"/>
    <w:rsid w:val="74445546"/>
    <w:rsid w:val="74791404"/>
    <w:rsid w:val="749A3AF2"/>
    <w:rsid w:val="76784FB9"/>
    <w:rsid w:val="77A24880"/>
    <w:rsid w:val="77A92C7B"/>
    <w:rsid w:val="77BE58ED"/>
    <w:rsid w:val="77CF6A26"/>
    <w:rsid w:val="781F1006"/>
    <w:rsid w:val="78311B0E"/>
    <w:rsid w:val="786A73F5"/>
    <w:rsid w:val="78D25E1D"/>
    <w:rsid w:val="79705DA3"/>
    <w:rsid w:val="79F75693"/>
    <w:rsid w:val="7AB20098"/>
    <w:rsid w:val="7AD16BF5"/>
    <w:rsid w:val="7BB41AC3"/>
    <w:rsid w:val="7C983B7B"/>
    <w:rsid w:val="7E526BA9"/>
    <w:rsid w:val="7E7D055C"/>
    <w:rsid w:val="7EAF0B77"/>
    <w:rsid w:val="7EF8753F"/>
    <w:rsid w:val="7F2E4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1"/>
    <w:basedOn w:val="1"/>
    <w:next w:val="1"/>
    <w:qFormat/>
    <w:uiPriority w:val="1"/>
    <w:pPr>
      <w:ind w:left="118" w:right="324"/>
      <w:jc w:val="center"/>
      <w:outlineLvl w:val="0"/>
    </w:pPr>
    <w:rPr>
      <w:rFonts w:ascii="仿宋" w:hAnsi="仿宋" w:eastAsia="仿宋" w:cs="仿宋"/>
      <w:b/>
      <w:bCs/>
      <w:sz w:val="84"/>
      <w:szCs w:val="84"/>
      <w:lang w:val="zh-CN" w:eastAsia="zh-CN" w:bidi="zh-CN"/>
    </w:rPr>
  </w:style>
  <w:style w:type="paragraph" w:styleId="2">
    <w:name w:val="heading 2"/>
    <w:basedOn w:val="1"/>
    <w:next w:val="1"/>
    <w:qFormat/>
    <w:uiPriority w:val="1"/>
    <w:pPr>
      <w:spacing w:before="11"/>
      <w:ind w:left="505" w:right="249"/>
      <w:jc w:val="center"/>
      <w:outlineLvl w:val="1"/>
    </w:pPr>
    <w:rPr>
      <w:rFonts w:ascii="仿宋" w:hAnsi="仿宋" w:eastAsia="仿宋" w:cs="仿宋"/>
      <w:b/>
      <w:bCs/>
      <w:sz w:val="44"/>
      <w:szCs w:val="44"/>
      <w:lang w:val="zh-CN" w:eastAsia="zh-CN" w:bidi="zh-CN"/>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6"/>
    <w:basedOn w:val="1"/>
    <w:next w:val="1"/>
    <w:qFormat/>
    <w:uiPriority w:val="1"/>
    <w:pPr>
      <w:spacing w:before="35"/>
      <w:ind w:left="123" w:right="324"/>
      <w:jc w:val="center"/>
      <w:outlineLvl w:val="5"/>
    </w:pPr>
    <w:rPr>
      <w:rFonts w:ascii="仿宋" w:hAnsi="仿宋" w:eastAsia="仿宋" w:cs="仿宋"/>
      <w:b/>
      <w:bCs/>
      <w:sz w:val="28"/>
      <w:szCs w:val="28"/>
      <w:lang w:val="zh-CN" w:eastAsia="zh-CN" w:bidi="zh-CN"/>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7">
    <w:name w:val="toa heading"/>
    <w:basedOn w:val="1"/>
    <w:next w:val="1"/>
    <w:qFormat/>
    <w:uiPriority w:val="0"/>
    <w:pPr>
      <w:spacing w:before="120"/>
    </w:pPr>
    <w:rPr>
      <w:rFonts w:ascii="Cambria" w:hAnsi="Cambria"/>
    </w:rPr>
  </w:style>
  <w:style w:type="paragraph" w:styleId="8">
    <w:name w:val="Body Text"/>
    <w:basedOn w:val="1"/>
    <w:next w:val="9"/>
    <w:qFormat/>
    <w:uiPriority w:val="1"/>
    <w:rPr>
      <w:rFonts w:ascii="宋体" w:hAnsi="宋体" w:eastAsia="宋体" w:cs="宋体"/>
      <w:sz w:val="21"/>
      <w:szCs w:val="21"/>
      <w:lang w:val="zh-CN" w:eastAsia="zh-CN" w:bidi="zh-CN"/>
    </w:rPr>
  </w:style>
  <w:style w:type="paragraph" w:styleId="9">
    <w:name w:val="Body Text 2"/>
    <w:basedOn w:val="1"/>
    <w:qFormat/>
    <w:uiPriority w:val="0"/>
    <w:pPr>
      <w:suppressAutoHyphens/>
    </w:pPr>
    <w:rPr>
      <w:kern w:val="1"/>
      <w:sz w:val="28"/>
      <w:szCs w:val="20"/>
    </w:rPr>
  </w:style>
  <w:style w:type="paragraph" w:styleId="10">
    <w:name w:val="Body Text Indent"/>
    <w:basedOn w:val="1"/>
    <w:qFormat/>
    <w:uiPriority w:val="0"/>
    <w:pPr>
      <w:ind w:firstLine="630"/>
    </w:pPr>
    <w:rPr>
      <w:sz w:val="32"/>
    </w:rPr>
  </w:style>
  <w:style w:type="paragraph" w:styleId="11">
    <w:name w:val="toc 3"/>
    <w:basedOn w:val="1"/>
    <w:next w:val="1"/>
    <w:qFormat/>
    <w:uiPriority w:val="0"/>
    <w:pPr>
      <w:ind w:left="840" w:leftChars="400"/>
    </w:p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toc 1"/>
    <w:basedOn w:val="1"/>
    <w:next w:val="1"/>
    <w:qFormat/>
    <w:uiPriority w:val="0"/>
  </w:style>
  <w:style w:type="paragraph" w:styleId="15">
    <w:name w:val="toc 4"/>
    <w:basedOn w:val="1"/>
    <w:next w:val="1"/>
    <w:qFormat/>
    <w:uiPriority w:val="0"/>
    <w:pPr>
      <w:ind w:left="1260" w:leftChars="600"/>
    </w:pPr>
  </w:style>
  <w:style w:type="paragraph" w:styleId="16">
    <w:name w:val="footnote text"/>
    <w:basedOn w:val="1"/>
    <w:qFormat/>
    <w:uiPriority w:val="0"/>
    <w:pPr>
      <w:snapToGrid w:val="0"/>
      <w:jc w:val="left"/>
    </w:pPr>
    <w:rPr>
      <w:sz w:val="18"/>
    </w:rPr>
  </w:style>
  <w:style w:type="paragraph" w:styleId="17">
    <w:name w:val="toc 2"/>
    <w:basedOn w:val="1"/>
    <w:next w:val="1"/>
    <w:qFormat/>
    <w:uiPriority w:val="0"/>
    <w:pPr>
      <w:ind w:left="420" w:leftChars="200"/>
    </w:pPr>
  </w:style>
  <w:style w:type="paragraph" w:styleId="18">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spacing w:beforeLines="0" w:afterLines="0"/>
      <w:ind w:left="1080" w:leftChars="500" w:hanging="1080" w:hangingChars="500"/>
    </w:pPr>
    <w:rPr>
      <w:rFonts w:hint="eastAsia" w:ascii="Arial" w:hAnsi="Arial"/>
      <w:sz w:val="24"/>
      <w:szCs w:val="24"/>
    </w:rPr>
  </w:style>
  <w:style w:type="paragraph" w:styleId="19">
    <w:name w:val="Normal (Web)"/>
    <w:basedOn w:val="1"/>
    <w:qFormat/>
    <w:uiPriority w:val="0"/>
    <w:rPr>
      <w:lang w:eastAsia="zh-CN" w:bidi="ar-SA"/>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styleId="24">
    <w:name w:val="page number"/>
    <w:basedOn w:val="22"/>
    <w:qFormat/>
    <w:uiPriority w:val="0"/>
  </w:style>
  <w:style w:type="character" w:styleId="25">
    <w:name w:val="FollowedHyperlink"/>
    <w:basedOn w:val="22"/>
    <w:qFormat/>
    <w:uiPriority w:val="0"/>
    <w:rPr>
      <w:rFonts w:ascii="Times New Roman" w:hAnsi="Times New Roman" w:eastAsia="Times New Roman" w:cs="Times New Roman"/>
      <w:color w:val="800080"/>
      <w:spacing w:val="0"/>
      <w:w w:val="100"/>
      <w:position w:val="0"/>
      <w:sz w:val="24"/>
      <w:szCs w:val="24"/>
      <w:u w:val="none"/>
      <w:shd w:val="clear" w:color="auto" w:fill="auto"/>
      <w:lang w:val="en-US" w:eastAsia="en-US" w:bidi="en-US"/>
    </w:rPr>
  </w:style>
  <w:style w:type="character" w:styleId="26">
    <w:name w:val="Emphasis"/>
    <w:basedOn w:val="22"/>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styleId="27">
    <w:name w:val="HTML Definition"/>
    <w:basedOn w:val="22"/>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styleId="28">
    <w:name w:val="HTML Typewriter"/>
    <w:basedOn w:val="22"/>
    <w:qFormat/>
    <w:uiPriority w:val="0"/>
    <w:rPr>
      <w:rFonts w:hint="default" w:ascii="monospace" w:hAnsi="monospace" w:eastAsia="monospace" w:cs="monospace"/>
      <w:color w:val="000000"/>
      <w:spacing w:val="0"/>
      <w:w w:val="100"/>
      <w:position w:val="0"/>
      <w:sz w:val="20"/>
      <w:szCs w:val="24"/>
      <w:shd w:val="clear" w:color="auto" w:fill="auto"/>
      <w:lang w:val="en-US" w:eastAsia="en-US" w:bidi="en-US"/>
    </w:rPr>
  </w:style>
  <w:style w:type="character" w:styleId="29">
    <w:name w:val="HTML Acronym"/>
    <w:basedOn w:val="22"/>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styleId="30">
    <w:name w:val="HTML Variable"/>
    <w:basedOn w:val="22"/>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styleId="31">
    <w:name w:val="Hyperlink"/>
    <w:basedOn w:val="22"/>
    <w:qFormat/>
    <w:uiPriority w:val="0"/>
    <w:rPr>
      <w:rFonts w:ascii="Times New Roman" w:hAnsi="Times New Roman" w:eastAsia="Times New Roman" w:cs="Times New Roman"/>
      <w:color w:val="0000FF"/>
      <w:spacing w:val="0"/>
      <w:w w:val="100"/>
      <w:position w:val="0"/>
      <w:sz w:val="24"/>
      <w:szCs w:val="24"/>
      <w:u w:val="none"/>
      <w:shd w:val="clear" w:color="auto" w:fill="auto"/>
      <w:lang w:val="en-US" w:eastAsia="en-US" w:bidi="en-US"/>
    </w:rPr>
  </w:style>
  <w:style w:type="character" w:styleId="32">
    <w:name w:val="HTML Code"/>
    <w:basedOn w:val="22"/>
    <w:qFormat/>
    <w:uiPriority w:val="0"/>
    <w:rPr>
      <w:rFonts w:hint="default" w:ascii="monospace" w:hAnsi="monospace" w:eastAsia="monospace" w:cs="monospace"/>
      <w:color w:val="000000"/>
      <w:spacing w:val="0"/>
      <w:w w:val="100"/>
      <w:position w:val="0"/>
      <w:sz w:val="20"/>
      <w:szCs w:val="24"/>
      <w:shd w:val="clear" w:color="auto" w:fill="auto"/>
      <w:lang w:val="en-US" w:eastAsia="en-US" w:bidi="en-US"/>
    </w:rPr>
  </w:style>
  <w:style w:type="character" w:styleId="33">
    <w:name w:val="HTML Cite"/>
    <w:basedOn w:val="22"/>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styleId="34">
    <w:name w:val="HTML Keyboard"/>
    <w:basedOn w:val="22"/>
    <w:qFormat/>
    <w:uiPriority w:val="0"/>
    <w:rPr>
      <w:rFonts w:ascii="monospace" w:hAnsi="monospace" w:eastAsia="monospace" w:cs="monospace"/>
      <w:color w:val="000000"/>
      <w:spacing w:val="0"/>
      <w:w w:val="100"/>
      <w:position w:val="0"/>
      <w:sz w:val="20"/>
      <w:szCs w:val="24"/>
      <w:shd w:val="clear" w:color="auto" w:fill="auto"/>
      <w:lang w:val="en-US" w:eastAsia="en-US" w:bidi="en-US"/>
    </w:rPr>
  </w:style>
  <w:style w:type="character" w:styleId="35">
    <w:name w:val="HTML Sample"/>
    <w:basedOn w:val="22"/>
    <w:qFormat/>
    <w:uiPriority w:val="0"/>
    <w:rPr>
      <w:rFonts w:hint="default" w:ascii="monospace" w:hAnsi="monospace" w:eastAsia="monospace" w:cs="monospace"/>
      <w:color w:val="000000"/>
      <w:spacing w:val="0"/>
      <w:w w:val="100"/>
      <w:position w:val="0"/>
      <w:sz w:val="24"/>
      <w:szCs w:val="24"/>
      <w:shd w:val="clear" w:color="auto" w:fill="auto"/>
      <w:lang w:val="en-US" w:eastAsia="en-US" w:bidi="en-US"/>
    </w:rPr>
  </w:style>
  <w:style w:type="paragraph" w:customStyle="1" w:styleId="36">
    <w:name w:val="无间隔1"/>
    <w:basedOn w:val="1"/>
    <w:qFormat/>
    <w:uiPriority w:val="1"/>
    <w:pPr>
      <w:spacing w:line="400" w:lineRule="exact"/>
    </w:pPr>
  </w:style>
  <w:style w:type="paragraph" w:customStyle="1" w:styleId="37">
    <w:name w:val="style4"/>
    <w:basedOn w:val="1"/>
    <w:next w:val="38"/>
    <w:qFormat/>
    <w:uiPriority w:val="0"/>
    <w:pPr>
      <w:spacing w:before="100" w:beforeAutospacing="1" w:after="100" w:afterAutospacing="1"/>
    </w:pPr>
    <w:rPr>
      <w:rFonts w:ascii="宋体" w:hAnsi="宋体" w:cs="宋体"/>
      <w:sz w:val="18"/>
      <w:szCs w:val="18"/>
    </w:rPr>
  </w:style>
  <w:style w:type="paragraph" w:customStyle="1" w:styleId="38">
    <w:name w:val="2"/>
    <w:basedOn w:val="1"/>
    <w:next w:val="1"/>
    <w:qFormat/>
    <w:uiPriority w:val="0"/>
    <w:pPr>
      <w:adjustRightInd w:val="0"/>
      <w:spacing w:line="420" w:lineRule="atLeast"/>
      <w:ind w:left="1134" w:hanging="227"/>
      <w:textAlignment w:val="baseline"/>
    </w:pPr>
  </w:style>
  <w:style w:type="character" w:customStyle="1" w:styleId="39">
    <w:name w:val="Heading #1|1_"/>
    <w:basedOn w:val="22"/>
    <w:link w:val="40"/>
    <w:qFormat/>
    <w:uiPriority w:val="0"/>
    <w:rPr>
      <w:rFonts w:ascii="宋体" w:hAnsi="宋体" w:eastAsia="宋体" w:cs="宋体"/>
      <w:b/>
      <w:bCs/>
      <w:color w:val="000000"/>
      <w:spacing w:val="0"/>
      <w:w w:val="100"/>
      <w:position w:val="0"/>
      <w:sz w:val="48"/>
      <w:szCs w:val="48"/>
      <w:u w:val="none"/>
      <w:shd w:val="clear" w:color="auto" w:fill="auto"/>
      <w:lang w:val="zh-TW" w:eastAsia="zh-TW" w:bidi="zh-TW"/>
    </w:rPr>
  </w:style>
  <w:style w:type="paragraph" w:customStyle="1" w:styleId="40">
    <w:name w:val="Heading #1|1"/>
    <w:basedOn w:val="1"/>
    <w:link w:val="39"/>
    <w:qFormat/>
    <w:uiPriority w:val="0"/>
    <w:pPr>
      <w:spacing w:after="1760" w:line="624" w:lineRule="exact"/>
      <w:jc w:val="center"/>
      <w:outlineLvl w:val="0"/>
    </w:pPr>
    <w:rPr>
      <w:rFonts w:ascii="宋体" w:hAnsi="宋体" w:eastAsia="宋体" w:cs="宋体"/>
      <w:b/>
      <w:bCs/>
      <w:sz w:val="48"/>
      <w:szCs w:val="48"/>
      <w:lang w:val="zh-TW" w:eastAsia="zh-TW" w:bidi="zh-TW"/>
    </w:rPr>
  </w:style>
  <w:style w:type="character" w:customStyle="1" w:styleId="41">
    <w:name w:val="Body text|5_"/>
    <w:basedOn w:val="22"/>
    <w:link w:val="42"/>
    <w:qFormat/>
    <w:uiPriority w:val="0"/>
    <w:rPr>
      <w:rFonts w:ascii="宋体" w:hAnsi="宋体" w:eastAsia="宋体" w:cs="宋体"/>
      <w:b/>
      <w:bCs/>
      <w:color w:val="000000"/>
      <w:spacing w:val="0"/>
      <w:w w:val="100"/>
      <w:position w:val="0"/>
      <w:sz w:val="84"/>
      <w:szCs w:val="84"/>
      <w:u w:val="none"/>
      <w:shd w:val="clear" w:color="auto" w:fill="auto"/>
      <w:lang w:val="zh-TW" w:eastAsia="zh-TW" w:bidi="zh-TW"/>
    </w:rPr>
  </w:style>
  <w:style w:type="paragraph" w:customStyle="1" w:styleId="42">
    <w:name w:val="Body text|5"/>
    <w:basedOn w:val="1"/>
    <w:link w:val="41"/>
    <w:qFormat/>
    <w:uiPriority w:val="0"/>
    <w:pPr>
      <w:spacing w:after="260"/>
      <w:jc w:val="center"/>
    </w:pPr>
    <w:rPr>
      <w:rFonts w:ascii="宋体" w:hAnsi="宋体" w:eastAsia="宋体" w:cs="宋体"/>
      <w:b/>
      <w:bCs/>
      <w:sz w:val="84"/>
      <w:szCs w:val="84"/>
      <w:lang w:val="zh-TW" w:eastAsia="zh-TW" w:bidi="zh-TW"/>
    </w:rPr>
  </w:style>
  <w:style w:type="character" w:customStyle="1" w:styleId="43">
    <w:name w:val="Body text|2_"/>
    <w:basedOn w:val="22"/>
    <w:link w:val="44"/>
    <w:qFormat/>
    <w:uiPriority w:val="0"/>
    <w:rPr>
      <w:rFonts w:ascii="宋体" w:hAnsi="宋体" w:eastAsia="宋体" w:cs="宋体"/>
      <w:b/>
      <w:bCs/>
      <w:color w:val="000000"/>
      <w:spacing w:val="0"/>
      <w:w w:val="100"/>
      <w:position w:val="0"/>
      <w:sz w:val="30"/>
      <w:szCs w:val="30"/>
      <w:u w:val="none"/>
      <w:shd w:val="clear" w:color="auto" w:fill="auto"/>
      <w:lang w:val="zh-TW" w:eastAsia="zh-TW" w:bidi="zh-TW"/>
    </w:rPr>
  </w:style>
  <w:style w:type="paragraph" w:customStyle="1" w:styleId="44">
    <w:name w:val="Body text|2"/>
    <w:basedOn w:val="1"/>
    <w:link w:val="43"/>
    <w:qFormat/>
    <w:uiPriority w:val="0"/>
    <w:pPr>
      <w:spacing w:line="634" w:lineRule="exact"/>
      <w:ind w:left="2280"/>
    </w:pPr>
    <w:rPr>
      <w:rFonts w:ascii="宋体" w:hAnsi="宋体" w:eastAsia="宋体" w:cs="宋体"/>
      <w:b/>
      <w:bCs/>
      <w:sz w:val="30"/>
      <w:szCs w:val="30"/>
      <w:lang w:val="zh-TW" w:eastAsia="zh-TW" w:bidi="zh-TW"/>
    </w:rPr>
  </w:style>
  <w:style w:type="character" w:customStyle="1" w:styleId="45">
    <w:name w:val="Body text|3_"/>
    <w:basedOn w:val="22"/>
    <w:link w:val="46"/>
    <w:qFormat/>
    <w:uiPriority w:val="0"/>
    <w:rPr>
      <w:rFonts w:ascii="Times New Roman" w:hAnsi="Times New Roman" w:eastAsia="Times New Roman" w:cs="Times New Roman"/>
      <w:b/>
      <w:bCs/>
      <w:color w:val="000000"/>
      <w:spacing w:val="0"/>
      <w:w w:val="100"/>
      <w:position w:val="0"/>
      <w:sz w:val="30"/>
      <w:szCs w:val="30"/>
      <w:u w:val="none"/>
      <w:shd w:val="clear" w:color="auto" w:fill="auto"/>
      <w:lang w:val="en-US" w:eastAsia="en-US" w:bidi="en-US"/>
    </w:rPr>
  </w:style>
  <w:style w:type="paragraph" w:customStyle="1" w:styleId="46">
    <w:name w:val="Body text|3"/>
    <w:basedOn w:val="1"/>
    <w:link w:val="45"/>
    <w:qFormat/>
    <w:uiPriority w:val="0"/>
    <w:pPr>
      <w:spacing w:after="1580"/>
      <w:ind w:left="2640"/>
    </w:pPr>
    <w:rPr>
      <w:b/>
      <w:bCs/>
      <w:sz w:val="30"/>
      <w:szCs w:val="30"/>
    </w:rPr>
  </w:style>
  <w:style w:type="character" w:customStyle="1" w:styleId="47">
    <w:name w:val="Body text|6_"/>
    <w:basedOn w:val="22"/>
    <w:link w:val="48"/>
    <w:qFormat/>
    <w:uiPriority w:val="0"/>
    <w:rPr>
      <w:rFonts w:ascii="Times New Roman" w:hAnsi="Times New Roman" w:eastAsia="Times New Roman" w:cs="Times New Roman"/>
      <w:b/>
      <w:bCs/>
      <w:color w:val="000000"/>
      <w:spacing w:val="0"/>
      <w:w w:val="100"/>
      <w:position w:val="0"/>
      <w:sz w:val="34"/>
      <w:szCs w:val="34"/>
      <w:u w:val="none"/>
      <w:shd w:val="clear" w:color="auto" w:fill="auto"/>
      <w:lang w:val="en-US" w:eastAsia="en-US" w:bidi="en-US"/>
    </w:rPr>
  </w:style>
  <w:style w:type="paragraph" w:customStyle="1" w:styleId="48">
    <w:name w:val="Body text|6"/>
    <w:basedOn w:val="1"/>
    <w:link w:val="47"/>
    <w:qFormat/>
    <w:uiPriority w:val="0"/>
    <w:pPr>
      <w:spacing w:after="1440"/>
      <w:jc w:val="center"/>
    </w:pPr>
    <w:rPr>
      <w:b/>
      <w:bCs/>
      <w:sz w:val="34"/>
      <w:szCs w:val="34"/>
    </w:rPr>
  </w:style>
  <w:style w:type="character" w:customStyle="1" w:styleId="49">
    <w:name w:val="Table of contents|1_"/>
    <w:basedOn w:val="22"/>
    <w:link w:val="50"/>
    <w:qFormat/>
    <w:uiPriority w:val="0"/>
    <w:rPr>
      <w:rFonts w:ascii="宋体" w:hAnsi="宋体" w:eastAsia="宋体" w:cs="宋体"/>
      <w:color w:val="000000"/>
      <w:spacing w:val="0"/>
      <w:w w:val="100"/>
      <w:position w:val="0"/>
      <w:sz w:val="22"/>
      <w:szCs w:val="22"/>
      <w:u w:val="none"/>
      <w:shd w:val="clear" w:color="auto" w:fill="auto"/>
      <w:lang w:val="zh-TW" w:eastAsia="zh-TW" w:bidi="zh-TW"/>
    </w:rPr>
  </w:style>
  <w:style w:type="paragraph" w:customStyle="1" w:styleId="50">
    <w:name w:val="Table of contents|1"/>
    <w:basedOn w:val="1"/>
    <w:link w:val="49"/>
    <w:qFormat/>
    <w:uiPriority w:val="0"/>
    <w:pPr>
      <w:spacing w:after="180"/>
    </w:pPr>
    <w:rPr>
      <w:rFonts w:ascii="宋体" w:hAnsi="宋体" w:eastAsia="宋体" w:cs="宋体"/>
      <w:sz w:val="22"/>
      <w:szCs w:val="22"/>
      <w:lang w:val="zh-TW" w:eastAsia="zh-TW" w:bidi="zh-TW"/>
    </w:rPr>
  </w:style>
  <w:style w:type="character" w:customStyle="1" w:styleId="51">
    <w:name w:val="Header or footer|2_"/>
    <w:basedOn w:val="22"/>
    <w:link w:val="52"/>
    <w:qFormat/>
    <w:uiPriority w:val="0"/>
    <w:rPr>
      <w:rFonts w:ascii="Times New Roman" w:hAnsi="Times New Roman" w:eastAsia="Times New Roman" w:cs="Times New Roman"/>
      <w:color w:val="000000"/>
      <w:spacing w:val="0"/>
      <w:w w:val="100"/>
      <w:position w:val="0"/>
      <w:sz w:val="20"/>
      <w:szCs w:val="20"/>
      <w:u w:val="none"/>
      <w:shd w:val="clear" w:color="auto" w:fill="auto"/>
      <w:lang w:val="zh-TW" w:eastAsia="zh-TW" w:bidi="zh-TW"/>
    </w:rPr>
  </w:style>
  <w:style w:type="paragraph" w:customStyle="1" w:styleId="52">
    <w:name w:val="Header or footer|2"/>
    <w:basedOn w:val="1"/>
    <w:link w:val="51"/>
    <w:qFormat/>
    <w:uiPriority w:val="0"/>
    <w:rPr>
      <w:sz w:val="20"/>
      <w:szCs w:val="20"/>
      <w:lang w:val="zh-TW" w:eastAsia="zh-TW" w:bidi="zh-TW"/>
    </w:rPr>
  </w:style>
  <w:style w:type="character" w:customStyle="1" w:styleId="53">
    <w:name w:val="Body text|1_"/>
    <w:basedOn w:val="22"/>
    <w:link w:val="54"/>
    <w:qFormat/>
    <w:uiPriority w:val="0"/>
    <w:rPr>
      <w:rFonts w:ascii="宋体" w:hAnsi="宋体" w:eastAsia="宋体" w:cs="宋体"/>
      <w:color w:val="000000"/>
      <w:spacing w:val="0"/>
      <w:w w:val="100"/>
      <w:position w:val="0"/>
      <w:sz w:val="22"/>
      <w:szCs w:val="22"/>
      <w:u w:val="none"/>
      <w:shd w:val="clear" w:color="auto" w:fill="auto"/>
      <w:lang w:val="zh-TW" w:eastAsia="zh-TW" w:bidi="zh-TW"/>
    </w:rPr>
  </w:style>
  <w:style w:type="paragraph" w:customStyle="1" w:styleId="54">
    <w:name w:val="Body text|1"/>
    <w:basedOn w:val="1"/>
    <w:link w:val="53"/>
    <w:qFormat/>
    <w:uiPriority w:val="0"/>
    <w:pPr>
      <w:spacing w:line="442" w:lineRule="auto"/>
      <w:ind w:firstLine="400"/>
    </w:pPr>
    <w:rPr>
      <w:rFonts w:ascii="宋体" w:hAnsi="宋体" w:eastAsia="宋体" w:cs="宋体"/>
      <w:sz w:val="22"/>
      <w:szCs w:val="22"/>
      <w:lang w:val="zh-TW" w:eastAsia="zh-TW" w:bidi="zh-TW"/>
    </w:rPr>
  </w:style>
  <w:style w:type="character" w:customStyle="1" w:styleId="55">
    <w:name w:val="Heading #2|1_"/>
    <w:basedOn w:val="22"/>
    <w:link w:val="56"/>
    <w:qFormat/>
    <w:uiPriority w:val="0"/>
    <w:rPr>
      <w:rFonts w:ascii="宋体" w:hAnsi="宋体" w:eastAsia="宋体" w:cs="宋体"/>
      <w:color w:val="000000"/>
      <w:spacing w:val="0"/>
      <w:w w:val="100"/>
      <w:position w:val="0"/>
      <w:sz w:val="22"/>
      <w:szCs w:val="22"/>
      <w:u w:val="none"/>
      <w:shd w:val="clear" w:color="auto" w:fill="auto"/>
      <w:lang w:val="zh-TW" w:eastAsia="zh-TW" w:bidi="zh-TW"/>
    </w:rPr>
  </w:style>
  <w:style w:type="paragraph" w:customStyle="1" w:styleId="56">
    <w:name w:val="Heading #2|1"/>
    <w:basedOn w:val="1"/>
    <w:link w:val="55"/>
    <w:qFormat/>
    <w:uiPriority w:val="0"/>
    <w:pPr>
      <w:spacing w:after="110" w:line="276" w:lineRule="auto"/>
      <w:outlineLvl w:val="1"/>
    </w:pPr>
    <w:rPr>
      <w:rFonts w:ascii="宋体" w:hAnsi="宋体" w:eastAsia="宋体" w:cs="宋体"/>
      <w:sz w:val="22"/>
      <w:szCs w:val="22"/>
      <w:lang w:val="zh-TW" w:eastAsia="zh-TW" w:bidi="zh-TW"/>
    </w:rPr>
  </w:style>
  <w:style w:type="character" w:customStyle="1" w:styleId="57">
    <w:name w:val="Table caption|1_"/>
    <w:basedOn w:val="22"/>
    <w:link w:val="58"/>
    <w:qFormat/>
    <w:uiPriority w:val="0"/>
    <w:rPr>
      <w:rFonts w:ascii="宋体" w:hAnsi="宋体" w:eastAsia="宋体" w:cs="宋体"/>
      <w:color w:val="000000"/>
      <w:spacing w:val="0"/>
      <w:w w:val="100"/>
      <w:position w:val="0"/>
      <w:sz w:val="24"/>
      <w:szCs w:val="24"/>
      <w:u w:val="none"/>
      <w:shd w:val="clear" w:color="auto" w:fill="auto"/>
      <w:lang w:val="zh-TW" w:eastAsia="zh-TW" w:bidi="zh-TW"/>
    </w:rPr>
  </w:style>
  <w:style w:type="paragraph" w:customStyle="1" w:styleId="58">
    <w:name w:val="Table caption|1"/>
    <w:basedOn w:val="1"/>
    <w:link w:val="57"/>
    <w:qFormat/>
    <w:uiPriority w:val="0"/>
    <w:pPr>
      <w:spacing w:line="326" w:lineRule="exact"/>
      <w:ind w:left="1080"/>
    </w:pPr>
    <w:rPr>
      <w:rFonts w:ascii="宋体" w:hAnsi="宋体" w:eastAsia="宋体" w:cs="宋体"/>
      <w:lang w:val="zh-TW" w:eastAsia="zh-TW" w:bidi="zh-TW"/>
    </w:rPr>
  </w:style>
  <w:style w:type="character" w:customStyle="1" w:styleId="59">
    <w:name w:val="Other|1_"/>
    <w:basedOn w:val="22"/>
    <w:link w:val="60"/>
    <w:qFormat/>
    <w:uiPriority w:val="0"/>
    <w:rPr>
      <w:rFonts w:ascii="宋体" w:hAnsi="宋体" w:eastAsia="宋体" w:cs="宋体"/>
      <w:color w:val="000000"/>
      <w:spacing w:val="0"/>
      <w:w w:val="100"/>
      <w:position w:val="0"/>
      <w:sz w:val="22"/>
      <w:szCs w:val="22"/>
      <w:u w:val="none"/>
      <w:shd w:val="clear" w:color="auto" w:fill="auto"/>
      <w:lang w:val="zh-TW" w:eastAsia="zh-TW" w:bidi="zh-TW"/>
    </w:rPr>
  </w:style>
  <w:style w:type="paragraph" w:customStyle="1" w:styleId="60">
    <w:name w:val="Other|1"/>
    <w:basedOn w:val="1"/>
    <w:link w:val="59"/>
    <w:qFormat/>
    <w:uiPriority w:val="0"/>
    <w:pPr>
      <w:spacing w:line="442" w:lineRule="auto"/>
      <w:ind w:firstLine="400"/>
    </w:pPr>
    <w:rPr>
      <w:rFonts w:ascii="宋体" w:hAnsi="宋体" w:eastAsia="宋体" w:cs="宋体"/>
      <w:sz w:val="22"/>
      <w:szCs w:val="22"/>
      <w:lang w:val="zh-TW" w:eastAsia="zh-TW" w:bidi="zh-TW"/>
    </w:rPr>
  </w:style>
  <w:style w:type="character" w:customStyle="1" w:styleId="61">
    <w:name w:val="Header or footer|1_"/>
    <w:basedOn w:val="22"/>
    <w:link w:val="62"/>
    <w:qFormat/>
    <w:uiPriority w:val="0"/>
    <w:rPr>
      <w:rFonts w:ascii="Times New Roman" w:hAnsi="Times New Roman" w:eastAsia="Times New Roman" w:cs="Times New Roman"/>
      <w:color w:val="000000"/>
      <w:spacing w:val="0"/>
      <w:w w:val="100"/>
      <w:position w:val="0"/>
      <w:sz w:val="18"/>
      <w:szCs w:val="18"/>
      <w:u w:val="none"/>
      <w:shd w:val="clear" w:color="auto" w:fill="auto"/>
      <w:lang w:val="zh-TW" w:eastAsia="zh-TW" w:bidi="zh-TW"/>
    </w:rPr>
  </w:style>
  <w:style w:type="paragraph" w:customStyle="1" w:styleId="62">
    <w:name w:val="Header or footer|1"/>
    <w:basedOn w:val="1"/>
    <w:link w:val="61"/>
    <w:qFormat/>
    <w:uiPriority w:val="0"/>
    <w:rPr>
      <w:sz w:val="18"/>
      <w:szCs w:val="18"/>
      <w:lang w:val="zh-TW" w:eastAsia="zh-TW" w:bidi="zh-TW"/>
    </w:rPr>
  </w:style>
  <w:style w:type="character" w:customStyle="1" w:styleId="63">
    <w:name w:val="Body text|4_"/>
    <w:basedOn w:val="22"/>
    <w:link w:val="64"/>
    <w:qFormat/>
    <w:uiPriority w:val="0"/>
    <w:rPr>
      <w:rFonts w:ascii="Times New Roman" w:hAnsi="Times New Roman" w:eastAsia="Times New Roman" w:cs="Times New Roman"/>
      <w:color w:val="000000"/>
      <w:spacing w:val="0"/>
      <w:w w:val="100"/>
      <w:position w:val="0"/>
      <w:sz w:val="20"/>
      <w:szCs w:val="20"/>
      <w:u w:val="none"/>
      <w:shd w:val="clear" w:color="auto" w:fill="auto"/>
      <w:lang w:val="zh-TW" w:eastAsia="zh-TW" w:bidi="zh-TW"/>
    </w:rPr>
  </w:style>
  <w:style w:type="paragraph" w:customStyle="1" w:styleId="64">
    <w:name w:val="Body text|4"/>
    <w:basedOn w:val="1"/>
    <w:link w:val="63"/>
    <w:qFormat/>
    <w:uiPriority w:val="0"/>
    <w:pPr>
      <w:spacing w:after="200"/>
      <w:ind w:right="520"/>
      <w:jc w:val="right"/>
    </w:pPr>
    <w:rPr>
      <w:sz w:val="20"/>
      <w:szCs w:val="20"/>
      <w:lang w:val="zh-TW" w:eastAsia="zh-TW" w:bidi="zh-TW"/>
    </w:rPr>
  </w:style>
  <w:style w:type="character" w:customStyle="1" w:styleId="65">
    <w:name w:val="Heading #3|1_"/>
    <w:basedOn w:val="22"/>
    <w:link w:val="66"/>
    <w:qFormat/>
    <w:uiPriority w:val="0"/>
    <w:rPr>
      <w:rFonts w:ascii="宋体" w:hAnsi="宋体" w:eastAsia="宋体" w:cs="宋体"/>
      <w:b/>
      <w:bCs/>
      <w:color w:val="000000"/>
      <w:spacing w:val="0"/>
      <w:w w:val="100"/>
      <w:position w:val="0"/>
      <w:sz w:val="20"/>
      <w:szCs w:val="20"/>
      <w:u w:val="none"/>
      <w:shd w:val="clear" w:color="auto" w:fill="auto"/>
      <w:lang w:val="zh-TW" w:eastAsia="zh-TW" w:bidi="zh-TW"/>
    </w:rPr>
  </w:style>
  <w:style w:type="paragraph" w:customStyle="1" w:styleId="66">
    <w:name w:val="Heading #3|1"/>
    <w:basedOn w:val="1"/>
    <w:link w:val="65"/>
    <w:qFormat/>
    <w:uiPriority w:val="0"/>
    <w:pPr>
      <w:ind w:firstLine="140"/>
      <w:outlineLvl w:val="2"/>
    </w:pPr>
    <w:rPr>
      <w:rFonts w:ascii="宋体" w:hAnsi="宋体" w:eastAsia="宋体" w:cs="宋体"/>
      <w:b/>
      <w:bCs/>
      <w:sz w:val="20"/>
      <w:szCs w:val="20"/>
      <w:lang w:val="zh-TW" w:eastAsia="zh-TW" w:bidi="zh-TW"/>
    </w:rPr>
  </w:style>
  <w:style w:type="character" w:customStyle="1" w:styleId="67">
    <w:name w:val="Heading #4|1_"/>
    <w:basedOn w:val="22"/>
    <w:link w:val="68"/>
    <w:qFormat/>
    <w:uiPriority w:val="0"/>
    <w:rPr>
      <w:rFonts w:ascii="宋体" w:hAnsi="宋体" w:eastAsia="宋体" w:cs="宋体"/>
      <w:b/>
      <w:bCs/>
      <w:color w:val="000000"/>
      <w:spacing w:val="0"/>
      <w:w w:val="100"/>
      <w:position w:val="0"/>
      <w:sz w:val="32"/>
      <w:szCs w:val="32"/>
      <w:u w:val="none"/>
      <w:shd w:val="clear" w:color="auto" w:fill="auto"/>
      <w:lang w:val="zh-TW" w:eastAsia="zh-TW" w:bidi="zh-TW"/>
    </w:rPr>
  </w:style>
  <w:style w:type="paragraph" w:customStyle="1" w:styleId="68">
    <w:name w:val="Heading #4|1"/>
    <w:basedOn w:val="1"/>
    <w:link w:val="67"/>
    <w:qFormat/>
    <w:uiPriority w:val="0"/>
    <w:pPr>
      <w:spacing w:after="600"/>
      <w:jc w:val="center"/>
      <w:outlineLvl w:val="3"/>
    </w:pPr>
    <w:rPr>
      <w:rFonts w:ascii="宋体" w:hAnsi="宋体" w:eastAsia="宋体" w:cs="宋体"/>
      <w:b/>
      <w:bCs/>
      <w:sz w:val="32"/>
      <w:szCs w:val="32"/>
      <w:lang w:val="zh-TW" w:eastAsia="zh-TW" w:bidi="zh-TW"/>
    </w:rPr>
  </w:style>
  <w:style w:type="paragraph" w:customStyle="1" w:styleId="69">
    <w:name w:val="Table Paragraph"/>
    <w:basedOn w:val="1"/>
    <w:qFormat/>
    <w:uiPriority w:val="1"/>
    <w:rPr>
      <w:rFonts w:ascii="宋体" w:hAnsi="宋体" w:eastAsia="宋体" w:cs="宋体"/>
      <w:lang w:val="zh-CN" w:eastAsia="zh-CN" w:bidi="zh-CN"/>
    </w:rPr>
  </w:style>
  <w:style w:type="paragraph" w:styleId="70">
    <w:name w:val="List Paragraph"/>
    <w:basedOn w:val="1"/>
    <w:qFormat/>
    <w:uiPriority w:val="1"/>
    <w:pPr>
      <w:ind w:left="1224" w:hanging="368"/>
    </w:pPr>
    <w:rPr>
      <w:rFonts w:ascii="宋体" w:hAnsi="宋体" w:eastAsia="宋体" w:cs="宋体"/>
      <w:lang w:val="zh-CN" w:eastAsia="zh-CN" w:bidi="zh-CN"/>
    </w:rPr>
  </w:style>
  <w:style w:type="character" w:customStyle="1" w:styleId="71">
    <w:name w:val="font41"/>
    <w:basedOn w:val="22"/>
    <w:qFormat/>
    <w:uiPriority w:val="0"/>
    <w:rPr>
      <w:rFonts w:hint="default" w:ascii="Times New Roman" w:hAnsi="Times New Roman" w:eastAsia="Times New Roman" w:cs="Times New Roman"/>
      <w:color w:val="000000"/>
      <w:spacing w:val="0"/>
      <w:w w:val="100"/>
      <w:position w:val="0"/>
      <w:sz w:val="21"/>
      <w:szCs w:val="21"/>
      <w:u w:val="none"/>
      <w:shd w:val="clear" w:color="auto" w:fill="auto"/>
      <w:lang w:val="en-US" w:eastAsia="en-US" w:bidi="en-US"/>
    </w:rPr>
  </w:style>
  <w:style w:type="character" w:customStyle="1" w:styleId="72">
    <w:name w:val="font21"/>
    <w:basedOn w:val="22"/>
    <w:qFormat/>
    <w:uiPriority w:val="0"/>
    <w:rPr>
      <w:rFonts w:hint="eastAsia" w:ascii="宋体" w:hAnsi="宋体" w:eastAsia="宋体" w:cs="宋体"/>
      <w:color w:val="000000"/>
      <w:spacing w:val="0"/>
      <w:w w:val="100"/>
      <w:position w:val="0"/>
      <w:sz w:val="21"/>
      <w:szCs w:val="21"/>
      <w:u w:val="none"/>
      <w:shd w:val="clear" w:color="auto" w:fill="auto"/>
      <w:lang w:val="en-US" w:eastAsia="en-US" w:bidi="en-US"/>
    </w:rPr>
  </w:style>
  <w:style w:type="character" w:customStyle="1" w:styleId="73">
    <w:name w:val="font01"/>
    <w:basedOn w:val="22"/>
    <w:qFormat/>
    <w:uiPriority w:val="0"/>
    <w:rPr>
      <w:rFonts w:hint="default" w:ascii="Times New Roman" w:hAnsi="Times New Roman" w:eastAsia="Times New Roman" w:cs="Times New Roman"/>
      <w:color w:val="000000"/>
      <w:spacing w:val="0"/>
      <w:w w:val="100"/>
      <w:position w:val="0"/>
      <w:sz w:val="20"/>
      <w:szCs w:val="20"/>
      <w:u w:val="none"/>
      <w:shd w:val="clear" w:color="auto" w:fill="auto"/>
      <w:lang w:val="en-US" w:eastAsia="en-US" w:bidi="en-US"/>
    </w:rPr>
  </w:style>
  <w:style w:type="character" w:customStyle="1" w:styleId="74">
    <w:name w:val="font31"/>
    <w:basedOn w:val="22"/>
    <w:qFormat/>
    <w:uiPriority w:val="0"/>
    <w:rPr>
      <w:rFonts w:hint="eastAsia" w:ascii="宋体" w:hAnsi="宋体" w:eastAsia="宋体" w:cs="宋体"/>
      <w:color w:val="000000"/>
      <w:spacing w:val="0"/>
      <w:w w:val="100"/>
      <w:position w:val="0"/>
      <w:sz w:val="20"/>
      <w:szCs w:val="20"/>
      <w:u w:val="none"/>
      <w:shd w:val="clear" w:color="auto" w:fill="auto"/>
      <w:lang w:val="en-US" w:eastAsia="en-US" w:bidi="en-US"/>
    </w:rPr>
  </w:style>
  <w:style w:type="character" w:customStyle="1" w:styleId="75">
    <w:name w:val="font51"/>
    <w:basedOn w:val="22"/>
    <w:qFormat/>
    <w:uiPriority w:val="0"/>
    <w:rPr>
      <w:rFonts w:ascii="Arial" w:hAnsi="Arial" w:eastAsia="Times New Roman" w:cs="Arial"/>
      <w:color w:val="000000"/>
      <w:spacing w:val="0"/>
      <w:w w:val="100"/>
      <w:position w:val="0"/>
      <w:sz w:val="20"/>
      <w:szCs w:val="20"/>
      <w:u w:val="none"/>
      <w:shd w:val="clear" w:color="auto" w:fill="auto"/>
      <w:lang w:val="en-US" w:eastAsia="en-US" w:bidi="en-US"/>
    </w:rPr>
  </w:style>
  <w:style w:type="character" w:customStyle="1" w:styleId="76">
    <w:name w:val="font11"/>
    <w:basedOn w:val="22"/>
    <w:qFormat/>
    <w:uiPriority w:val="0"/>
    <w:rPr>
      <w:rFonts w:hint="default" w:ascii="Times New Roman" w:hAnsi="Times New Roman" w:eastAsia="Times New Roman" w:cs="Times New Roman"/>
      <w:color w:val="000000"/>
      <w:spacing w:val="0"/>
      <w:w w:val="100"/>
      <w:position w:val="0"/>
      <w:sz w:val="20"/>
      <w:szCs w:val="20"/>
      <w:u w:val="none"/>
      <w:shd w:val="clear" w:color="auto" w:fill="auto"/>
      <w:lang w:val="en-US" w:eastAsia="en-US" w:bidi="en-US"/>
    </w:rPr>
  </w:style>
  <w:style w:type="paragraph" w:customStyle="1" w:styleId="77">
    <w:name w:val="WPSOffice手动目录 1"/>
    <w:qFormat/>
    <w:uiPriority w:val="0"/>
    <w:rPr>
      <w:rFonts w:ascii="Times New Roman" w:hAnsi="Times New Roman" w:eastAsia="宋体" w:cs="Times New Roman"/>
      <w:lang w:val="en-US" w:eastAsia="zh-CN" w:bidi="ar-SA"/>
    </w:rPr>
  </w:style>
  <w:style w:type="paragraph" w:customStyle="1" w:styleId="78">
    <w:name w:val="Default"/>
    <w:next w:val="16"/>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9">
    <w:name w:val="HTML Markup"/>
    <w:qFormat/>
    <w:uiPriority w:val="0"/>
    <w:rPr>
      <w:vanish/>
      <w:color w:val="FF0000"/>
    </w:rPr>
  </w:style>
  <w:style w:type="paragraph" w:customStyle="1" w:styleId="80">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55</Pages>
  <Words>24305</Words>
  <Characters>26238</Characters>
  <Lines>193</Lines>
  <Paragraphs>54</Paragraphs>
  <TotalTime>72</TotalTime>
  <ScaleCrop>false</ScaleCrop>
  <LinksUpToDate>false</LinksUpToDate>
  <CharactersWithSpaces>27541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2023-07-05T02:20:00Z</dcterms:created>
  <dc:creator>Administrator</dc:creator>
  <cp:lastModifiedBy>聖</cp:lastModifiedBy>
  <cp:lastPrinted>2023-07-17T02:07:00Z</cp:lastPrinted>
  <dcterms:modified xsi:type="dcterms:W3CDTF">2023-08-24T07:55:41Z</dcterms:modified>
  <dc:title>市委北院院区道路维修工程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E4F6E0B19B984691BFECBA2429845E37</vt:lpwstr>
  </property>
  <property fmtid="{D5CDD505-2E9C-101B-9397-08002B2CF9AE}" pid="4" name="commondata">
    <vt:lpwstr>eyJoZGlkIjoiOGVhMzgwMmY2MmM4MGViMzA3NTJlMjhlNzhhOTU3MjAifQ==</vt:lpwstr>
  </property>
</Properties>
</file>