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numId w:val="0"/>
        </w:numPr>
        <w:wordWrap w:val="0"/>
        <w:topLinePunct/>
        <w:spacing w:before="312" w:beforeLines="100" w:after="312" w:afterLines="100" w:line="360" w:lineRule="auto"/>
        <w:ind w:leftChars="0"/>
        <w:jc w:val="center"/>
        <w:outlineLvl w:val="0"/>
        <w:rPr>
          <w:rFonts w:hint="eastAsia" w:ascii="宋体" w:hAnsi="Courier New" w:eastAsia="宋体" w:cs="Courier New"/>
          <w:b/>
          <w:bCs/>
          <w:kern w:val="2"/>
          <w:sz w:val="32"/>
          <w:szCs w:val="32"/>
          <w:lang w:val="en-US" w:eastAsia="zh-CN" w:bidi="ar-SA"/>
        </w:rPr>
      </w:pPr>
      <w:bookmarkStart w:id="4" w:name="_GoBack"/>
      <w:bookmarkEnd w:id="4"/>
      <w:bookmarkStart w:id="0" w:name="_Toc23967"/>
      <w:bookmarkStart w:id="1" w:name="_Toc14435"/>
      <w:bookmarkStart w:id="2" w:name="_Toc18536"/>
      <w:bookmarkStart w:id="3" w:name="_Toc25320"/>
      <w:r>
        <w:rPr>
          <w:rFonts w:hint="eastAsia" w:ascii="宋体" w:hAnsi="Courier New" w:eastAsia="宋体" w:cs="Courier New"/>
          <w:b/>
          <w:bCs/>
          <w:kern w:val="2"/>
          <w:sz w:val="32"/>
          <w:szCs w:val="32"/>
          <w:lang w:val="en-US" w:eastAsia="zh-CN" w:bidi="ar-SA"/>
        </w:rPr>
        <w:t>采购需求</w:t>
      </w:r>
      <w:bookmarkEnd w:id="0"/>
      <w:bookmarkEnd w:id="1"/>
      <w:bookmarkEnd w:id="2"/>
      <w:bookmarkEnd w:id="3"/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一、规划背景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为进一步落实《郑州市国土空间总体规划（2021-2035）》等上位规划，立足新时期新发展阶段的迫切需要，在以人民为中心、高质量发展理念指导下，更好地推动全民健身，加强郑州市公共体育设施的顶层设计，开展编制郑州市体育设施专项规划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二、规划范围与层次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规划范围为分两个层级，第一层级为郑州市域7567平方千米，第二层级为郑州市主城区1755.6平方公里。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三、规划依据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1.《中华人民共和国城乡规划法》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2.《城市规划编制办法》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3.《城市公共设施规划规范（GB 50442-2008）》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4.《城市居住区规划设计标准（GB 50180-2018）》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5.《公共文化体育设施条例》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6.《体育强国建设纲要》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7.《“十四五”体育发展规划》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8.《全民健身计划（2021-2025年）》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9.《关于促进全民健身和体育消费 推动体育产业高质量发展的意见（国办发【2019】43号）》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10.《关于推进体育公园建设的指导意见（发改设会【2021】1470号）》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11.《郑州市城市规划管理技术规定（试行）》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12.《郑州市国土空间总体规划（2021-2035年）》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13.各县市国土空间总体规划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14.其他相关规划、文件等。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四、规划主要内容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（一）规划思路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规划遵循《中华人民共和国城乡规划法》、《城市规划编制办法》、《郑州市城乡规划管理条例》、《郑州市城市规划管理技术规定（试行）》等相关法律、规范、规定，依据《郑州市国土空间总体规划（2021-2035）》等上位规划，从郑州市实际需求出发，站在全市角度统筹各类资源，促进体育设施均衡、充分发展。围绕公共体育设施体系构建、指标制定及分解、用地空间落实等方面构建更高水平的全民健身公共服务体系，为未来公共体育设施建设、管理工作提供可操作的依据与指导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（二）规划主要内容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1.现状分析研判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梳理明晰现状各类体育设施数量、分布、类型、质量等情况特征。采用问卷调查的方式，调查公众对于体育设施的需求。结合城市发展特征对全市公共体育设施发展进行综合分析评价，分析现状公共体育设施建设的成就与存在的问题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2.规划分析与经验借鉴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解读相关政策与上位规划，借鉴先进城市的公共体育设施规划建设经验，总结对郑州公共体育设施建设的要求与规划启示。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3.规划目标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充分落实上位规划要求，结合郑州城市发展特征和要求，明确公共体育设施的规划目标、指标体系等。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4.市域公共体育设施规划引导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市域层面提出公共体育设施体系、相关指标与设置标准，并明确重大公共体育设施的布局指引。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5.主城区公共体育设施规划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主城区层面落实并深化郑州市国土空间总体规划，与绿地系统专项规划、综合交通体系规划等相关规划衔接，确定公共体育设施空间结构，明确各级各类设施的设置标准和建设控制，落实区级以上用地及街道级点位。同时，加强体绿结合，指引市、区两级体育公园建设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6.近期建设规划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根据郑州市十四五发展规划要求，聚焦城乡全民健身设施完善与品质提升，提出公共体育设施近期建设项目。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7.规划实施保障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为保障公共体育设施建设实施，在规划传导、政策保障、运营模式等方面提出建议。</w:t>
      </w:r>
    </w:p>
    <w:p>
      <w:pPr>
        <w:wordWrap/>
        <w:topLinePunct w:val="0"/>
        <w:spacing w:line="360" w:lineRule="auto"/>
        <w:ind w:firstLine="420" w:firstLineChars="200"/>
        <w:rPr>
          <w:rFonts w:hint="eastAsia"/>
          <w:kern w:val="0"/>
          <w:lang w:bidi="ar"/>
        </w:rPr>
      </w:pPr>
      <w:r>
        <w:rPr>
          <w:rFonts w:hint="eastAsia"/>
          <w:kern w:val="0"/>
          <w:lang w:bidi="ar"/>
        </w:rPr>
        <w:t>五、成果要求</w:t>
      </w:r>
    </w:p>
    <w:p>
      <w:r>
        <w:rPr>
          <w:rFonts w:hint="eastAsia"/>
          <w:kern w:val="0"/>
          <w:lang w:bidi="ar"/>
        </w:rPr>
        <w:t>本项规划成果由文本、规划图纸及附件（含说明书及相关文件汇编）组成。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YjQzMzk2ODJjZjJkZWEyNzM4ODhmY2MyYzFjOTAifQ=="/>
  </w:docVars>
  <w:rsids>
    <w:rsidRoot w:val="5EDB0A3A"/>
    <w:rsid w:val="04F847F5"/>
    <w:rsid w:val="0B83051F"/>
    <w:rsid w:val="5EDB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topLinePunct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38" w:firstLineChars="192"/>
    </w:pPr>
    <w:rPr>
      <w:sz w:val="28"/>
      <w:szCs w:val="20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2024-10-11T03:31:00Z</dcterms:created>
  <dc:creator>刘英豪</dc:creator>
  <cp:lastModifiedBy>刘英豪</cp:lastModifiedBy>
  <dcterms:modified xsi:type="dcterms:W3CDTF">2024-10-11T03:31:40Z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5DE993D4B9CC48D28D64EA11D9D18338_11</vt:lpwstr>
  </property>
</Properties>
</file>