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C05220">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jc w:val="center"/>
        <w:textAlignment w:val="auto"/>
        <w:rPr>
          <w:rFonts w:hint="eastAsia" w:ascii="黑体" w:hAnsi="黑体" w:eastAsia="黑体" w:cstheme="majorEastAsia"/>
          <w:b/>
          <w:bCs/>
          <w:sz w:val="44"/>
          <w:szCs w:val="44"/>
          <w:lang w:val="en-US" w:eastAsia="zh-CN"/>
        </w:rPr>
      </w:pPr>
    </w:p>
    <w:p w14:paraId="259AF49B">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jc w:val="center"/>
        <w:textAlignment w:val="auto"/>
        <w:rPr>
          <w:rFonts w:hint="eastAsia" w:ascii="黑体" w:hAnsi="黑体" w:eastAsia="黑体" w:cstheme="majorEastAsia"/>
          <w:b/>
          <w:bCs/>
          <w:sz w:val="44"/>
          <w:szCs w:val="44"/>
        </w:rPr>
      </w:pPr>
      <w:r>
        <w:rPr>
          <w:rFonts w:hint="eastAsia" w:ascii="黑体" w:hAnsi="黑体" w:eastAsia="黑体" w:cstheme="majorEastAsia"/>
          <w:b/>
          <w:bCs/>
          <w:sz w:val="44"/>
          <w:szCs w:val="44"/>
          <w:lang w:val="en-US" w:eastAsia="zh-CN"/>
        </w:rPr>
        <w:t>禹州市人民医院后勤社会化管理（木工、杂工维修）服务项目</w:t>
      </w:r>
      <w:r>
        <w:rPr>
          <w:rFonts w:hint="eastAsia" w:ascii="黑体" w:hAnsi="黑体" w:eastAsia="黑体" w:cstheme="majorEastAsia"/>
          <w:b/>
          <w:bCs/>
          <w:sz w:val="44"/>
          <w:szCs w:val="44"/>
        </w:rPr>
        <w:t>（不见面开标）</w:t>
      </w:r>
    </w:p>
    <w:p w14:paraId="28FADF48">
      <w:pPr>
        <w:rPr>
          <w:rFonts w:ascii="微软简隶书" w:eastAsia="微软简隶书"/>
        </w:rPr>
      </w:pPr>
    </w:p>
    <w:p w14:paraId="178CA5DF">
      <w:pPr>
        <w:rPr>
          <w:rFonts w:ascii="微软简隶书" w:eastAsia="微软简隶书"/>
        </w:rPr>
      </w:pPr>
    </w:p>
    <w:p w14:paraId="16509E01">
      <w:pPr>
        <w:rPr>
          <w:rFonts w:ascii="微软简隶书" w:eastAsia="微软简隶书"/>
        </w:rPr>
      </w:pPr>
    </w:p>
    <w:p w14:paraId="3B409515">
      <w:pPr>
        <w:rPr>
          <w:rFonts w:ascii="微软简隶书" w:eastAsia="微软简隶书"/>
        </w:rPr>
      </w:pPr>
    </w:p>
    <w:p w14:paraId="5D089969">
      <w:pPr>
        <w:rPr>
          <w:rFonts w:ascii="微软简隶书" w:eastAsia="微软简隶书"/>
        </w:rPr>
      </w:pPr>
    </w:p>
    <w:p w14:paraId="5F31B5CB">
      <w:pPr>
        <w:rPr>
          <w:rFonts w:ascii="微软简隶书" w:eastAsia="微软简隶书"/>
        </w:rPr>
      </w:pPr>
    </w:p>
    <w:p w14:paraId="1649F469">
      <w:pPr>
        <w:jc w:val="center"/>
        <w:rPr>
          <w:rFonts w:hint="eastAsia" w:ascii="华文细黑" w:hAnsi="华文细黑" w:eastAsia="华文细黑" w:cs="华文细黑"/>
          <w:b/>
          <w:bCs w:val="0"/>
          <w:w w:val="90"/>
          <w:sz w:val="96"/>
        </w:rPr>
      </w:pPr>
    </w:p>
    <w:p w14:paraId="638452A9">
      <w:pPr>
        <w:jc w:val="center"/>
        <w:rPr>
          <w:rFonts w:hint="eastAsia" w:ascii="华文细黑" w:hAnsi="华文细黑" w:eastAsia="华文细黑" w:cs="华文细黑"/>
          <w:b/>
          <w:bCs w:val="0"/>
          <w:w w:val="90"/>
          <w:sz w:val="96"/>
        </w:rPr>
      </w:pPr>
      <w:r>
        <w:rPr>
          <w:rFonts w:hint="eastAsia" w:ascii="华文细黑" w:hAnsi="华文细黑" w:eastAsia="华文细黑" w:cs="华文细黑"/>
          <w:b/>
          <w:bCs w:val="0"/>
          <w:w w:val="90"/>
          <w:sz w:val="96"/>
        </w:rPr>
        <w:t>竞争性谈判文件</w:t>
      </w:r>
    </w:p>
    <w:p w14:paraId="1AC7A94C">
      <w:pPr>
        <w:rPr>
          <w:rFonts w:ascii="微软简隶书" w:eastAsia="微软简隶书"/>
        </w:rPr>
      </w:pPr>
    </w:p>
    <w:p w14:paraId="2CD3B9B5">
      <w:pPr>
        <w:rPr>
          <w:rFonts w:ascii="微软简隶书" w:eastAsia="微软简隶书"/>
        </w:rPr>
      </w:pPr>
    </w:p>
    <w:p w14:paraId="743F74E7">
      <w:pPr>
        <w:rPr>
          <w:rFonts w:ascii="微软简隶书" w:eastAsia="微软简隶书"/>
        </w:rPr>
      </w:pPr>
    </w:p>
    <w:p w14:paraId="0EA2C5C9">
      <w:pPr>
        <w:rPr>
          <w:rFonts w:ascii="微软简隶书" w:eastAsia="微软简隶书"/>
        </w:rPr>
      </w:pPr>
    </w:p>
    <w:p w14:paraId="3F781DE8">
      <w:pPr>
        <w:rPr>
          <w:rFonts w:ascii="微软简隶书" w:eastAsia="微软简隶书"/>
        </w:rPr>
      </w:pPr>
    </w:p>
    <w:p w14:paraId="397B6992">
      <w:pPr>
        <w:rPr>
          <w:rFonts w:ascii="微软简隶书" w:eastAsia="微软简隶书"/>
        </w:rPr>
      </w:pPr>
    </w:p>
    <w:p w14:paraId="1509DA46">
      <w:pPr>
        <w:rPr>
          <w:rFonts w:ascii="微软简隶书" w:eastAsia="微软简隶书"/>
        </w:rPr>
      </w:pPr>
    </w:p>
    <w:p w14:paraId="20F792D4">
      <w:pPr>
        <w:rPr>
          <w:rFonts w:ascii="微软简隶书" w:eastAsia="微软简隶书"/>
        </w:rPr>
      </w:pPr>
    </w:p>
    <w:p w14:paraId="36F5C2C4">
      <w:pPr>
        <w:rPr>
          <w:rFonts w:ascii="微软简隶书" w:eastAsia="微软简隶书"/>
        </w:rPr>
      </w:pPr>
    </w:p>
    <w:p w14:paraId="3A384891">
      <w:pPr>
        <w:rPr>
          <w:rFonts w:ascii="微软简隶书" w:eastAsia="微软简隶书"/>
        </w:rPr>
      </w:pPr>
    </w:p>
    <w:p w14:paraId="26727F38">
      <w:pPr>
        <w:rPr>
          <w:rFonts w:ascii="微软简隶书" w:eastAsia="微软简隶书"/>
        </w:rPr>
      </w:pPr>
    </w:p>
    <w:p w14:paraId="4B1BE0E5">
      <w:pPr>
        <w:rPr>
          <w:rFonts w:ascii="微软简隶书" w:eastAsia="微软简隶书"/>
        </w:rPr>
      </w:pPr>
    </w:p>
    <w:p w14:paraId="414311CD">
      <w:pPr>
        <w:rPr>
          <w:rFonts w:ascii="微软简隶书" w:eastAsia="微软简隶书"/>
        </w:rPr>
      </w:pPr>
    </w:p>
    <w:p w14:paraId="54D45E42">
      <w:pPr>
        <w:outlineLvl w:val="9"/>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 xml:space="preserve">     </w:t>
      </w:r>
    </w:p>
    <w:p w14:paraId="16D116FC">
      <w:pPr>
        <w:outlineLvl w:val="0"/>
        <w:rPr>
          <w:rFonts w:hint="eastAsia" w:asciiTheme="majorEastAsia" w:hAnsiTheme="majorEastAsia" w:eastAsiaTheme="majorEastAsia" w:cstheme="majorEastAsia"/>
          <w:b/>
          <w:bCs/>
          <w:sz w:val="36"/>
          <w:szCs w:val="36"/>
        </w:rPr>
      </w:pPr>
    </w:p>
    <w:p w14:paraId="2954FA16">
      <w:pPr>
        <w:outlineLvl w:val="9"/>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 xml:space="preserve"> </w:t>
      </w:r>
    </w:p>
    <w:p w14:paraId="54FC0F78">
      <w:pPr>
        <w:ind w:firstLine="1084" w:firstLineChars="300"/>
        <w:outlineLvl w:val="0"/>
        <w:rPr>
          <w:rFonts w:hint="default"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采购编号：</w:t>
      </w:r>
      <w:r>
        <w:rPr>
          <w:rFonts w:hint="eastAsia" w:asciiTheme="majorEastAsia" w:hAnsiTheme="majorEastAsia" w:eastAsiaTheme="majorEastAsia" w:cstheme="majorEastAsia"/>
          <w:b/>
          <w:bCs/>
          <w:color w:val="auto"/>
          <w:sz w:val="36"/>
          <w:szCs w:val="36"/>
        </w:rPr>
        <w:t>YZCG-</w:t>
      </w:r>
      <w:r>
        <w:rPr>
          <w:rFonts w:hint="eastAsia" w:asciiTheme="majorEastAsia" w:hAnsiTheme="majorEastAsia" w:eastAsiaTheme="majorEastAsia" w:cstheme="majorEastAsia"/>
          <w:b/>
          <w:bCs/>
          <w:color w:val="auto"/>
          <w:sz w:val="36"/>
          <w:szCs w:val="36"/>
          <w:lang w:eastAsia="zh-CN"/>
        </w:rPr>
        <w:t>DLT2025</w:t>
      </w:r>
      <w:r>
        <w:rPr>
          <w:rFonts w:hint="eastAsia" w:asciiTheme="majorEastAsia" w:hAnsiTheme="majorEastAsia" w:eastAsiaTheme="majorEastAsia" w:cstheme="majorEastAsia"/>
          <w:b/>
          <w:bCs/>
          <w:color w:val="auto"/>
          <w:sz w:val="36"/>
          <w:szCs w:val="36"/>
          <w:lang w:val="en-US" w:eastAsia="zh-CN"/>
        </w:rPr>
        <w:t>042</w:t>
      </w:r>
    </w:p>
    <w:p w14:paraId="02F27EC7">
      <w:pPr>
        <w:ind w:firstLine="1084" w:firstLineChars="300"/>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采购单位：</w:t>
      </w:r>
      <w:r>
        <w:rPr>
          <w:rFonts w:hint="eastAsia" w:asciiTheme="majorEastAsia" w:hAnsiTheme="majorEastAsia" w:eastAsiaTheme="majorEastAsia" w:cstheme="majorEastAsia"/>
          <w:b/>
          <w:bCs/>
          <w:sz w:val="36"/>
          <w:szCs w:val="36"/>
          <w:lang w:eastAsia="zh-CN"/>
        </w:rPr>
        <w:t>禹州市人民医院</w:t>
      </w:r>
    </w:p>
    <w:p w14:paraId="7D1179CA">
      <w:pPr>
        <w:ind w:firstLine="1084" w:firstLineChars="300"/>
        <w:rPr>
          <w:rFonts w:hint="eastAsia" w:asciiTheme="majorEastAsia" w:hAnsiTheme="majorEastAsia" w:eastAsiaTheme="majorEastAsia" w:cstheme="majorEastAsia"/>
          <w:b/>
          <w:bCs/>
          <w:sz w:val="36"/>
          <w:szCs w:val="36"/>
          <w:lang w:eastAsia="zh-CN"/>
        </w:rPr>
      </w:pPr>
      <w:r>
        <w:rPr>
          <w:rFonts w:hint="eastAsia" w:asciiTheme="majorEastAsia" w:hAnsiTheme="majorEastAsia" w:eastAsiaTheme="majorEastAsia" w:cstheme="majorEastAsia"/>
          <w:b/>
          <w:bCs/>
          <w:sz w:val="36"/>
          <w:szCs w:val="36"/>
        </w:rPr>
        <w:t>代理机构：</w:t>
      </w:r>
      <w:r>
        <w:rPr>
          <w:rFonts w:hint="eastAsia" w:asciiTheme="majorEastAsia" w:hAnsiTheme="majorEastAsia" w:eastAsiaTheme="majorEastAsia" w:cstheme="majorEastAsia"/>
          <w:b/>
          <w:bCs/>
          <w:sz w:val="36"/>
          <w:szCs w:val="36"/>
          <w:lang w:eastAsia="zh-CN"/>
        </w:rPr>
        <w:t>河南建威工程管理咨询有限公司</w:t>
      </w:r>
    </w:p>
    <w:p w14:paraId="52C0743B">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二〇二</w:t>
      </w:r>
      <w:r>
        <w:rPr>
          <w:rFonts w:hint="eastAsia" w:asciiTheme="majorEastAsia" w:hAnsiTheme="majorEastAsia" w:eastAsiaTheme="majorEastAsia" w:cstheme="majorEastAsia"/>
          <w:b/>
          <w:bCs/>
          <w:sz w:val="36"/>
          <w:szCs w:val="36"/>
          <w:lang w:val="en-US" w:eastAsia="zh-CN"/>
        </w:rPr>
        <w:t>五</w:t>
      </w:r>
      <w:r>
        <w:rPr>
          <w:rFonts w:hint="eastAsia" w:asciiTheme="majorEastAsia" w:hAnsiTheme="majorEastAsia" w:eastAsiaTheme="majorEastAsia" w:cstheme="majorEastAsia"/>
          <w:b/>
          <w:bCs/>
          <w:sz w:val="36"/>
          <w:szCs w:val="36"/>
        </w:rPr>
        <w:t>年</w:t>
      </w:r>
      <w:r>
        <w:rPr>
          <w:rFonts w:hint="eastAsia" w:asciiTheme="majorEastAsia" w:hAnsiTheme="majorEastAsia" w:eastAsiaTheme="majorEastAsia" w:cstheme="majorEastAsia"/>
          <w:b/>
          <w:bCs/>
          <w:sz w:val="36"/>
          <w:szCs w:val="36"/>
          <w:lang w:val="en-US" w:eastAsia="zh-CN"/>
        </w:rPr>
        <w:t>七</w:t>
      </w:r>
      <w:r>
        <w:rPr>
          <w:rFonts w:hint="eastAsia" w:asciiTheme="majorEastAsia" w:hAnsiTheme="majorEastAsia" w:eastAsiaTheme="majorEastAsia" w:cstheme="majorEastAsia"/>
          <w:b/>
          <w:bCs/>
          <w:sz w:val="36"/>
          <w:szCs w:val="36"/>
        </w:rPr>
        <w:t>月</w:t>
      </w:r>
    </w:p>
    <w:p w14:paraId="54FAEC72">
      <w:pPr>
        <w:autoSpaceDE w:val="0"/>
        <w:autoSpaceDN w:val="0"/>
        <w:adjustRightInd w:val="0"/>
        <w:spacing w:line="700" w:lineRule="exact"/>
        <w:jc w:val="center"/>
        <w:outlineLvl w:val="0"/>
        <w:rPr>
          <w:rFonts w:hint="eastAsia" w:cs="黑体" w:asciiTheme="minorEastAsia" w:hAnsiTheme="minorEastAsia"/>
          <w:b/>
          <w:bCs/>
          <w:sz w:val="44"/>
          <w:szCs w:val="44"/>
          <w:lang w:val="zh-CN"/>
        </w:rPr>
        <w:sectPr>
          <w:headerReference r:id="rId3" w:type="default"/>
          <w:footerReference r:id="rId4" w:type="default"/>
          <w:pgSz w:w="11020" w:h="15590"/>
          <w:pgMar w:top="1020" w:right="1290" w:bottom="1059" w:left="1260" w:header="1010" w:footer="941" w:gutter="0"/>
          <w:cols w:equalWidth="0" w:num="1">
            <w:col w:w="8470"/>
          </w:cols>
        </w:sectPr>
      </w:pPr>
    </w:p>
    <w:p w14:paraId="79E1539F">
      <w:pPr>
        <w:autoSpaceDE w:val="0"/>
        <w:autoSpaceDN w:val="0"/>
        <w:adjustRightInd w:val="0"/>
        <w:spacing w:line="700" w:lineRule="exact"/>
        <w:jc w:val="center"/>
        <w:outlineLvl w:val="0"/>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14:paraId="3B738DE0">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14:paraId="303F71A0">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14:paraId="18BAA535">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14:paraId="316ABE2B">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14:paraId="6A2BBB86">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14:paraId="3BFEAC04">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14:paraId="3B245A6D">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14:paraId="3D4FC120">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14:paraId="0F52A184">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14:paraId="1294AE4A">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14:paraId="75333A49">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14:paraId="1F7C65DA">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14:paraId="73F27F46">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对响应文件审查与评审</w:t>
      </w:r>
    </w:p>
    <w:p w14:paraId="3B5A4E5E">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拟签订的合同文本</w:t>
      </w:r>
    </w:p>
    <w:p w14:paraId="70B362B0">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14:paraId="587512D7">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14:paraId="2F767586">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14:paraId="2F1844EE">
      <w:pPr>
        <w:numPr>
          <w:ilvl w:val="0"/>
          <w:numId w:val="5"/>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14:paraId="7339CDFC">
      <w:pPr>
        <w:spacing w:line="440" w:lineRule="exact"/>
        <w:ind w:firstLine="420" w:firstLineChars="200"/>
        <w:jc w:val="left"/>
        <w:rPr>
          <w:rFonts w:ascii="宋体" w:hAnsi="宋体" w:eastAsia="宋体" w:cstheme="majorEastAsia"/>
          <w:color w:val="auto"/>
          <w:szCs w:val="21"/>
          <w:highlight w:val="none"/>
        </w:rPr>
      </w:pPr>
      <w:r>
        <w:rPr>
          <w:rFonts w:ascii="宋体" w:hAnsi="宋体" w:eastAsia="宋体" w:cstheme="majorEastAsia"/>
          <w:color w:val="auto"/>
          <w:szCs w:val="21"/>
          <w:highlight w:val="none"/>
        </w:rPr>
        <w:t>项目概况</w:t>
      </w:r>
    </w:p>
    <w:p w14:paraId="36D44419">
      <w:pPr>
        <w:wordWrap w:val="0"/>
        <w:spacing w:line="440" w:lineRule="exact"/>
        <w:ind w:firstLine="420" w:firstLineChars="200"/>
        <w:jc w:val="left"/>
        <w:rPr>
          <w:rFonts w:ascii="宋体" w:hAnsi="宋体" w:eastAsia="宋体" w:cstheme="majorEastAsia"/>
          <w:color w:val="auto"/>
          <w:szCs w:val="21"/>
          <w:highlight w:val="none"/>
        </w:rPr>
      </w:pPr>
      <w:r>
        <w:rPr>
          <w:rFonts w:hint="eastAsia" w:ascii="宋体" w:hAnsi="宋体" w:cs="宋体"/>
          <w:color w:val="auto"/>
          <w:kern w:val="2"/>
          <w:sz w:val="21"/>
          <w:szCs w:val="21"/>
          <w:highlight w:val="none"/>
          <w:lang w:val="en-US" w:eastAsia="zh-CN" w:bidi="ar-SA"/>
        </w:rPr>
        <w:t>禹州市人民医院后勤社会化管理（木工、杂工维修）服务项目的潜在投标人应在供应商使用 CA 数字证书或移动数字证书登录“全国公共资源交易平台（河南省·许昌市）”（下文所述“全国公共资源交易平台（河南省·许昌市）”的地址均为http://117.159.53.11:60632/）的“投标人”登录入口免费获取本项目采购文件。获取招标文件，并于2025年7月29日08时30分（北京时间）前递交响应文件。</w:t>
      </w:r>
    </w:p>
    <w:p w14:paraId="7369F086">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一、项目基本情况</w:t>
      </w:r>
    </w:p>
    <w:p w14:paraId="2CFCDE33">
      <w:pPr>
        <w:spacing w:line="440" w:lineRule="exact"/>
        <w:ind w:firstLine="420" w:firstLineChars="200"/>
        <w:jc w:val="left"/>
        <w:rPr>
          <w:rFonts w:hint="default" w:ascii="宋体" w:hAnsi="宋体" w:eastAsia="宋体" w:cstheme="majorEastAsia"/>
          <w:color w:val="auto"/>
          <w:szCs w:val="21"/>
          <w:highlight w:val="none"/>
          <w:lang w:val="en-US" w:eastAsia="zh-CN"/>
        </w:rPr>
      </w:pPr>
      <w:r>
        <w:rPr>
          <w:rFonts w:hint="eastAsia" w:ascii="宋体" w:hAnsi="宋体" w:eastAsia="宋体" w:cstheme="majorEastAsia"/>
          <w:color w:val="auto"/>
          <w:szCs w:val="21"/>
          <w:highlight w:val="none"/>
        </w:rPr>
        <w:t>1.项目编号：</w:t>
      </w:r>
      <w:r>
        <w:rPr>
          <w:rFonts w:hint="eastAsia" w:ascii="宋体" w:hAnsi="宋体" w:eastAsia="宋体" w:cstheme="majorEastAsia"/>
          <w:color w:val="auto"/>
          <w:szCs w:val="21"/>
          <w:highlight w:val="none"/>
          <w:lang w:val="en-US" w:eastAsia="zh-CN"/>
        </w:rPr>
        <w:t>禹财竞谈-2025-18</w:t>
      </w:r>
    </w:p>
    <w:p w14:paraId="003A6B1E">
      <w:pPr>
        <w:wordWrap w:val="0"/>
        <w:spacing w:line="440" w:lineRule="exact"/>
        <w:ind w:left="420" w:leftChars="200"/>
        <w:jc w:val="left"/>
        <w:rPr>
          <w:rFonts w:hint="eastAsia" w:ascii="宋体" w:hAnsi="宋体" w:eastAsia="宋体" w:cs="宋体"/>
          <w:color w:val="auto"/>
          <w:kern w:val="0"/>
          <w:szCs w:val="21"/>
          <w:highlight w:val="none"/>
          <w:lang w:eastAsia="zh-CN"/>
        </w:rPr>
      </w:pPr>
      <w:r>
        <w:rPr>
          <w:rFonts w:hint="eastAsia" w:ascii="宋体" w:hAnsi="宋体" w:eastAsia="宋体" w:cstheme="majorEastAsia"/>
          <w:color w:val="auto"/>
          <w:szCs w:val="21"/>
          <w:highlight w:val="none"/>
        </w:rPr>
        <w:t>2.项目名称：</w:t>
      </w:r>
      <w:r>
        <w:rPr>
          <w:rFonts w:hint="eastAsia" w:ascii="宋体" w:hAnsi="宋体" w:cs="宋体"/>
          <w:color w:val="auto"/>
          <w:kern w:val="2"/>
          <w:sz w:val="21"/>
          <w:szCs w:val="21"/>
          <w:highlight w:val="none"/>
          <w:lang w:val="en-US" w:eastAsia="zh-CN" w:bidi="ar-SA"/>
        </w:rPr>
        <w:t>禹州市人民医院后勤社会化管理（木工、杂工维修）服务项目</w:t>
      </w:r>
    </w:p>
    <w:p w14:paraId="581B57EF">
      <w:pPr>
        <w:wordWrap w:val="0"/>
        <w:spacing w:line="440" w:lineRule="exact"/>
        <w:ind w:left="420" w:leftChars="200"/>
        <w:jc w:val="left"/>
        <w:rPr>
          <w:rFonts w:hint="eastAsia" w:ascii="宋体" w:hAnsi="宋体" w:eastAsia="宋体" w:cstheme="majorEastAsia"/>
          <w:color w:val="auto"/>
          <w:szCs w:val="21"/>
          <w:highlight w:val="none"/>
          <w:lang w:eastAsia="zh-CN"/>
        </w:rPr>
      </w:pPr>
      <w:r>
        <w:rPr>
          <w:rFonts w:hint="eastAsia" w:ascii="宋体" w:hAnsi="宋体" w:eastAsia="宋体" w:cstheme="majorEastAsia"/>
          <w:color w:val="auto"/>
          <w:szCs w:val="21"/>
          <w:highlight w:val="none"/>
        </w:rPr>
        <w:t>3.采购方式：竞争性</w:t>
      </w:r>
      <w:r>
        <w:rPr>
          <w:rFonts w:hint="eastAsia" w:ascii="宋体" w:hAnsi="宋体" w:eastAsia="宋体" w:cstheme="majorEastAsia"/>
          <w:color w:val="auto"/>
          <w:szCs w:val="21"/>
          <w:highlight w:val="none"/>
          <w:lang w:eastAsia="zh-CN"/>
        </w:rPr>
        <w:t>谈判</w:t>
      </w:r>
    </w:p>
    <w:p w14:paraId="5A6A905B">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4.预算金额：</w:t>
      </w:r>
      <w:r>
        <w:rPr>
          <w:rFonts w:hint="eastAsia" w:ascii="宋体" w:hAnsi="宋体" w:eastAsia="宋体" w:cstheme="majorEastAsia"/>
          <w:color w:val="auto"/>
          <w:szCs w:val="21"/>
          <w:highlight w:val="none"/>
          <w:lang w:val="en-US" w:eastAsia="zh-CN"/>
        </w:rPr>
        <w:t>640000</w:t>
      </w:r>
      <w:r>
        <w:rPr>
          <w:rFonts w:hint="eastAsia" w:ascii="宋体" w:hAnsi="宋体" w:eastAsia="宋体" w:cstheme="majorEastAsia"/>
          <w:color w:val="auto"/>
          <w:szCs w:val="21"/>
          <w:highlight w:val="none"/>
        </w:rPr>
        <w:t>元</w:t>
      </w:r>
    </w:p>
    <w:p w14:paraId="199E1DEC">
      <w:pPr>
        <w:spacing w:line="440" w:lineRule="exact"/>
        <w:ind w:firstLine="630" w:firstLineChars="3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最高限价：</w:t>
      </w:r>
      <w:r>
        <w:rPr>
          <w:rFonts w:hint="eastAsia" w:ascii="宋体" w:hAnsi="宋体" w:eastAsia="宋体" w:cstheme="majorEastAsia"/>
          <w:color w:val="auto"/>
          <w:szCs w:val="21"/>
          <w:highlight w:val="none"/>
          <w:lang w:val="en-US" w:eastAsia="zh-CN"/>
        </w:rPr>
        <w:t>640000</w:t>
      </w:r>
      <w:r>
        <w:rPr>
          <w:rFonts w:hint="eastAsia" w:ascii="宋体" w:hAnsi="宋体" w:eastAsia="宋体" w:cstheme="majorEastAsia"/>
          <w:color w:val="auto"/>
          <w:szCs w:val="21"/>
          <w:highlight w:val="none"/>
        </w:rPr>
        <w:t xml:space="preserve">元 </w:t>
      </w:r>
    </w:p>
    <w:tbl>
      <w:tblPr>
        <w:tblStyle w:val="26"/>
        <w:tblW w:w="8844"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6"/>
        <w:gridCol w:w="1798"/>
        <w:gridCol w:w="1166"/>
        <w:gridCol w:w="1013"/>
        <w:gridCol w:w="1306"/>
        <w:gridCol w:w="1417"/>
        <w:gridCol w:w="1488"/>
      </w:tblGrid>
      <w:tr w14:paraId="4DB4B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6" w:hRule="atLeast"/>
          <w:tblCellSpacing w:w="0" w:type="dxa"/>
          <w:jc w:val="center"/>
        </w:trPr>
        <w:tc>
          <w:tcPr>
            <w:tcW w:w="656" w:type="dxa"/>
            <w:shd w:val="clear" w:color="auto" w:fill="auto"/>
            <w:vAlign w:val="center"/>
          </w:tcPr>
          <w:p w14:paraId="0E35441A">
            <w:pPr>
              <w:tabs>
                <w:tab w:val="left" w:pos="7095"/>
              </w:tabs>
              <w:spacing w:line="360" w:lineRule="auto"/>
              <w:contextualSpacing/>
              <w:jc w:val="center"/>
              <w:rPr>
                <w:rFonts w:ascii="宋体" w:hAnsi="宋体" w:eastAsia="宋体"/>
                <w:color w:val="auto"/>
                <w:szCs w:val="21"/>
                <w:highlight w:val="none"/>
              </w:rPr>
            </w:pPr>
            <w:r>
              <w:rPr>
                <w:rFonts w:hint="eastAsia" w:ascii="宋体" w:hAnsi="宋体" w:eastAsia="宋体"/>
                <w:color w:val="auto"/>
                <w:szCs w:val="21"/>
                <w:highlight w:val="none"/>
              </w:rPr>
              <w:t>序号</w:t>
            </w:r>
          </w:p>
        </w:tc>
        <w:tc>
          <w:tcPr>
            <w:tcW w:w="1798" w:type="dxa"/>
            <w:shd w:val="clear" w:color="auto" w:fill="auto"/>
            <w:vAlign w:val="center"/>
          </w:tcPr>
          <w:p w14:paraId="6B7A3360">
            <w:pPr>
              <w:tabs>
                <w:tab w:val="left" w:pos="7095"/>
              </w:tabs>
              <w:spacing w:line="360" w:lineRule="auto"/>
              <w:contextualSpacing/>
              <w:jc w:val="center"/>
              <w:rPr>
                <w:rFonts w:ascii="宋体" w:hAnsi="宋体" w:eastAsia="宋体"/>
                <w:color w:val="auto"/>
                <w:szCs w:val="21"/>
                <w:highlight w:val="none"/>
              </w:rPr>
            </w:pPr>
            <w:r>
              <w:rPr>
                <w:rFonts w:hint="eastAsia" w:ascii="宋体" w:hAnsi="宋体" w:eastAsia="宋体"/>
                <w:color w:val="auto"/>
                <w:szCs w:val="21"/>
                <w:highlight w:val="none"/>
              </w:rPr>
              <w:t>包号</w:t>
            </w:r>
          </w:p>
        </w:tc>
        <w:tc>
          <w:tcPr>
            <w:tcW w:w="1166" w:type="dxa"/>
            <w:shd w:val="clear" w:color="auto" w:fill="auto"/>
            <w:vAlign w:val="center"/>
          </w:tcPr>
          <w:p w14:paraId="6961D5D1">
            <w:pPr>
              <w:tabs>
                <w:tab w:val="left" w:pos="7095"/>
              </w:tabs>
              <w:spacing w:line="360" w:lineRule="auto"/>
              <w:contextualSpacing/>
              <w:jc w:val="center"/>
              <w:rPr>
                <w:rFonts w:ascii="宋体" w:hAnsi="宋体" w:eastAsia="宋体"/>
                <w:color w:val="auto"/>
                <w:szCs w:val="21"/>
                <w:highlight w:val="none"/>
              </w:rPr>
            </w:pPr>
            <w:r>
              <w:rPr>
                <w:rFonts w:hint="eastAsia" w:ascii="宋体" w:hAnsi="宋体" w:eastAsia="宋体"/>
                <w:color w:val="auto"/>
                <w:szCs w:val="21"/>
                <w:highlight w:val="none"/>
              </w:rPr>
              <w:t>包名称</w:t>
            </w:r>
          </w:p>
        </w:tc>
        <w:tc>
          <w:tcPr>
            <w:tcW w:w="1013" w:type="dxa"/>
            <w:shd w:val="clear" w:color="auto" w:fill="auto"/>
            <w:vAlign w:val="center"/>
          </w:tcPr>
          <w:p w14:paraId="7F1B963C">
            <w:pPr>
              <w:tabs>
                <w:tab w:val="left" w:pos="7095"/>
              </w:tabs>
              <w:spacing w:line="360" w:lineRule="auto"/>
              <w:contextualSpacing/>
              <w:jc w:val="center"/>
              <w:rPr>
                <w:rFonts w:hint="eastAsia" w:ascii="宋体" w:hAnsi="宋体" w:eastAsia="宋体"/>
                <w:color w:val="auto"/>
                <w:szCs w:val="21"/>
                <w:highlight w:val="none"/>
              </w:rPr>
            </w:pPr>
            <w:r>
              <w:rPr>
                <w:rFonts w:hint="eastAsia" w:ascii="宋体" w:hAnsi="宋体" w:eastAsia="宋体"/>
                <w:color w:val="auto"/>
                <w:szCs w:val="21"/>
                <w:highlight w:val="none"/>
              </w:rPr>
              <w:t>包预算</w:t>
            </w:r>
          </w:p>
          <w:p w14:paraId="174472F1">
            <w:pPr>
              <w:tabs>
                <w:tab w:val="left" w:pos="7095"/>
              </w:tabs>
              <w:spacing w:line="360" w:lineRule="auto"/>
              <w:contextualSpacing/>
              <w:jc w:val="center"/>
              <w:rPr>
                <w:rFonts w:ascii="宋体" w:hAnsi="宋体" w:eastAsia="宋体"/>
                <w:color w:val="auto"/>
                <w:szCs w:val="21"/>
                <w:highlight w:val="none"/>
              </w:rPr>
            </w:pPr>
            <w:r>
              <w:rPr>
                <w:rFonts w:hint="eastAsia" w:ascii="宋体" w:hAnsi="宋体" w:eastAsia="宋体"/>
                <w:color w:val="auto"/>
                <w:szCs w:val="21"/>
                <w:highlight w:val="none"/>
              </w:rPr>
              <w:t>（元）</w:t>
            </w:r>
          </w:p>
        </w:tc>
        <w:tc>
          <w:tcPr>
            <w:tcW w:w="1306" w:type="dxa"/>
            <w:shd w:val="clear" w:color="auto" w:fill="auto"/>
            <w:vAlign w:val="center"/>
          </w:tcPr>
          <w:p w14:paraId="71548139">
            <w:pPr>
              <w:tabs>
                <w:tab w:val="left" w:pos="7095"/>
              </w:tabs>
              <w:spacing w:line="360" w:lineRule="auto"/>
              <w:contextualSpacing/>
              <w:jc w:val="center"/>
              <w:rPr>
                <w:rFonts w:ascii="宋体" w:hAnsi="宋体" w:eastAsia="宋体"/>
                <w:color w:val="auto"/>
                <w:szCs w:val="21"/>
                <w:highlight w:val="none"/>
              </w:rPr>
            </w:pPr>
            <w:r>
              <w:rPr>
                <w:rFonts w:hint="eastAsia" w:ascii="宋体" w:hAnsi="宋体" w:eastAsia="宋体"/>
                <w:color w:val="auto"/>
                <w:szCs w:val="21"/>
                <w:highlight w:val="none"/>
              </w:rPr>
              <w:t>包最高限价（元）</w:t>
            </w:r>
          </w:p>
        </w:tc>
        <w:tc>
          <w:tcPr>
            <w:tcW w:w="1417" w:type="dxa"/>
            <w:shd w:val="clear" w:color="auto" w:fill="auto"/>
            <w:vAlign w:val="center"/>
          </w:tcPr>
          <w:p w14:paraId="562187F6">
            <w:pPr>
              <w:tabs>
                <w:tab w:val="left" w:pos="7095"/>
              </w:tabs>
              <w:spacing w:line="360" w:lineRule="auto"/>
              <w:contextualSpacing/>
              <w:jc w:val="center"/>
              <w:rPr>
                <w:rFonts w:hint="eastAsia" w:ascii="宋体" w:hAnsi="宋体" w:eastAsia="宋体"/>
                <w:color w:val="auto"/>
                <w:szCs w:val="21"/>
                <w:highlight w:val="none"/>
              </w:rPr>
            </w:pPr>
            <w:r>
              <w:rPr>
                <w:rFonts w:hint="eastAsia" w:ascii="宋体" w:hAnsi="宋体" w:eastAsia="宋体"/>
                <w:color w:val="auto"/>
                <w:szCs w:val="21"/>
                <w:highlight w:val="none"/>
              </w:rPr>
              <w:t>是否专门面向中小企业</w:t>
            </w:r>
          </w:p>
        </w:tc>
        <w:tc>
          <w:tcPr>
            <w:tcW w:w="1488" w:type="dxa"/>
            <w:shd w:val="clear" w:color="auto" w:fill="auto"/>
            <w:vAlign w:val="center"/>
          </w:tcPr>
          <w:p w14:paraId="5782BE1F">
            <w:pPr>
              <w:tabs>
                <w:tab w:val="left" w:pos="7095"/>
              </w:tabs>
              <w:spacing w:line="360" w:lineRule="auto"/>
              <w:contextualSpacing/>
              <w:jc w:val="center"/>
              <w:rPr>
                <w:rFonts w:hint="eastAsia" w:ascii="宋体" w:hAnsi="宋体" w:eastAsia="宋体"/>
                <w:color w:val="auto"/>
                <w:szCs w:val="21"/>
                <w:highlight w:val="none"/>
              </w:rPr>
            </w:pPr>
            <w:r>
              <w:rPr>
                <w:rFonts w:hint="eastAsia" w:ascii="宋体" w:hAnsi="宋体" w:eastAsia="宋体"/>
                <w:color w:val="auto"/>
                <w:szCs w:val="21"/>
                <w:highlight w:val="none"/>
              </w:rPr>
              <w:t>采购预留金额（元）</w:t>
            </w:r>
          </w:p>
        </w:tc>
      </w:tr>
      <w:tr w14:paraId="1F274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tblCellSpacing w:w="0" w:type="dxa"/>
          <w:jc w:val="center"/>
        </w:trPr>
        <w:tc>
          <w:tcPr>
            <w:tcW w:w="656" w:type="dxa"/>
            <w:shd w:val="clear" w:color="auto" w:fill="auto"/>
            <w:vAlign w:val="center"/>
          </w:tcPr>
          <w:p w14:paraId="35161FCC">
            <w:pPr>
              <w:tabs>
                <w:tab w:val="left" w:pos="7095"/>
              </w:tabs>
              <w:spacing w:line="360" w:lineRule="auto"/>
              <w:contextualSpacing/>
              <w:jc w:val="center"/>
              <w:rPr>
                <w:rFonts w:ascii="宋体" w:hAnsi="宋体" w:eastAsia="宋体"/>
                <w:color w:val="auto"/>
                <w:szCs w:val="21"/>
                <w:highlight w:val="none"/>
              </w:rPr>
            </w:pPr>
            <w:r>
              <w:rPr>
                <w:rFonts w:hint="eastAsia" w:ascii="宋体" w:hAnsi="宋体" w:eastAsia="宋体"/>
                <w:color w:val="auto"/>
                <w:szCs w:val="21"/>
                <w:highlight w:val="none"/>
              </w:rPr>
              <w:t>1</w:t>
            </w:r>
          </w:p>
        </w:tc>
        <w:tc>
          <w:tcPr>
            <w:tcW w:w="1798" w:type="dxa"/>
            <w:shd w:val="clear" w:color="auto" w:fill="auto"/>
            <w:vAlign w:val="center"/>
          </w:tcPr>
          <w:p w14:paraId="3DC31240">
            <w:pPr>
              <w:tabs>
                <w:tab w:val="left" w:pos="7095"/>
              </w:tabs>
              <w:spacing w:line="360" w:lineRule="auto"/>
              <w:contextualSpacing/>
              <w:jc w:val="left"/>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YZCG-DLT2025042</w:t>
            </w:r>
          </w:p>
        </w:tc>
        <w:tc>
          <w:tcPr>
            <w:tcW w:w="1166" w:type="dxa"/>
            <w:shd w:val="clear" w:color="auto" w:fill="auto"/>
            <w:vAlign w:val="center"/>
          </w:tcPr>
          <w:p w14:paraId="08D4DDB8">
            <w:pPr>
              <w:tabs>
                <w:tab w:val="left" w:pos="7095"/>
              </w:tabs>
              <w:spacing w:line="384" w:lineRule="auto"/>
              <w:contextualSpacing/>
              <w:jc w:val="center"/>
              <w:rPr>
                <w:rFonts w:ascii="宋体" w:hAnsi="宋体" w:eastAsia="宋体"/>
                <w:color w:val="auto"/>
                <w:szCs w:val="21"/>
                <w:highlight w:val="none"/>
              </w:rPr>
            </w:pPr>
            <w:r>
              <w:rPr>
                <w:rFonts w:hint="eastAsia" w:ascii="宋体" w:hAnsi="宋体" w:eastAsia="宋体"/>
                <w:color w:val="auto"/>
                <w:szCs w:val="21"/>
                <w:highlight w:val="none"/>
              </w:rPr>
              <w:t>第一标段</w:t>
            </w:r>
          </w:p>
        </w:tc>
        <w:tc>
          <w:tcPr>
            <w:tcW w:w="1013" w:type="dxa"/>
            <w:shd w:val="clear" w:color="auto" w:fill="auto"/>
            <w:vAlign w:val="center"/>
          </w:tcPr>
          <w:p w14:paraId="5CA77C99">
            <w:pPr>
              <w:tabs>
                <w:tab w:val="left" w:pos="7095"/>
              </w:tabs>
              <w:spacing w:line="360" w:lineRule="auto"/>
              <w:contextualSpacing/>
              <w:jc w:val="center"/>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640000</w:t>
            </w:r>
          </w:p>
        </w:tc>
        <w:tc>
          <w:tcPr>
            <w:tcW w:w="1306" w:type="dxa"/>
            <w:shd w:val="clear" w:color="auto" w:fill="auto"/>
            <w:vAlign w:val="center"/>
          </w:tcPr>
          <w:p w14:paraId="0D212F95">
            <w:pPr>
              <w:tabs>
                <w:tab w:val="left" w:pos="7095"/>
              </w:tabs>
              <w:spacing w:line="360" w:lineRule="auto"/>
              <w:contextualSpacing/>
              <w:jc w:val="center"/>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640000</w:t>
            </w:r>
          </w:p>
        </w:tc>
        <w:tc>
          <w:tcPr>
            <w:tcW w:w="1417" w:type="dxa"/>
            <w:shd w:val="clear" w:color="auto" w:fill="auto"/>
            <w:vAlign w:val="center"/>
          </w:tcPr>
          <w:p w14:paraId="44D10AEB">
            <w:pPr>
              <w:tabs>
                <w:tab w:val="left" w:pos="7095"/>
              </w:tabs>
              <w:spacing w:line="360" w:lineRule="auto"/>
              <w:contextualSpacing/>
              <w:jc w:val="center"/>
              <w:rPr>
                <w:rFonts w:hint="eastAsia" w:ascii="宋体" w:hAnsi="宋体" w:eastAsia="宋体" w:cstheme="majorEastAsia"/>
                <w:color w:val="auto"/>
                <w:szCs w:val="21"/>
                <w:highlight w:val="none"/>
                <w:lang w:eastAsia="zh-CN"/>
              </w:rPr>
            </w:pPr>
            <w:r>
              <w:rPr>
                <w:rFonts w:hint="eastAsia" w:ascii="宋体" w:hAnsi="宋体" w:eastAsia="宋体"/>
                <w:color w:val="auto"/>
                <w:szCs w:val="21"/>
                <w:highlight w:val="none"/>
              </w:rPr>
              <w:t>是</w:t>
            </w:r>
          </w:p>
        </w:tc>
        <w:tc>
          <w:tcPr>
            <w:tcW w:w="1488" w:type="dxa"/>
            <w:shd w:val="clear" w:color="auto" w:fill="auto"/>
            <w:vAlign w:val="center"/>
          </w:tcPr>
          <w:p w14:paraId="1411C34F">
            <w:pPr>
              <w:tabs>
                <w:tab w:val="left" w:pos="7095"/>
              </w:tabs>
              <w:spacing w:line="360" w:lineRule="auto"/>
              <w:contextualSpacing/>
              <w:jc w:val="center"/>
              <w:rPr>
                <w:rFonts w:hint="default" w:ascii="宋体" w:hAnsi="宋体" w:eastAsia="宋体" w:cstheme="majorEastAsia"/>
                <w:color w:val="auto"/>
                <w:szCs w:val="21"/>
                <w:highlight w:val="none"/>
                <w:lang w:val="en-US" w:eastAsia="zh-CN"/>
              </w:rPr>
            </w:pPr>
            <w:r>
              <w:rPr>
                <w:rFonts w:hint="eastAsia" w:ascii="宋体" w:hAnsi="宋体" w:eastAsia="宋体" w:cstheme="majorEastAsia"/>
                <w:color w:val="auto"/>
                <w:szCs w:val="21"/>
                <w:highlight w:val="none"/>
                <w:lang w:val="en-US" w:eastAsia="zh-CN"/>
              </w:rPr>
              <w:t>640000</w:t>
            </w:r>
          </w:p>
        </w:tc>
      </w:tr>
    </w:tbl>
    <w:p w14:paraId="49CC75EC">
      <w:pPr>
        <w:numPr>
          <w:ilvl w:val="0"/>
          <w:numId w:val="6"/>
        </w:numPr>
        <w:spacing w:line="440" w:lineRule="exact"/>
        <w:ind w:firstLine="420" w:firstLineChars="200"/>
        <w:jc w:val="left"/>
        <w:rPr>
          <w:rFonts w:hint="eastAsia" w:ascii="宋体" w:hAnsi="宋体" w:eastAsia="宋体" w:cstheme="majorEastAsia"/>
          <w:color w:val="auto"/>
          <w:szCs w:val="21"/>
          <w:highlight w:val="none"/>
          <w:lang w:eastAsia="zh-CN"/>
        </w:rPr>
      </w:pPr>
      <w:r>
        <w:rPr>
          <w:rFonts w:hint="eastAsia" w:ascii="宋体" w:hAnsi="宋体" w:eastAsia="宋体" w:cstheme="majorEastAsia"/>
          <w:color w:val="auto"/>
          <w:szCs w:val="21"/>
          <w:highlight w:val="none"/>
        </w:rPr>
        <w:t>采购需求（包括但不限于标的的名称、数量、简要技术需求或服务要求等）</w:t>
      </w:r>
      <w:r>
        <w:rPr>
          <w:rFonts w:hint="eastAsia" w:ascii="宋体" w:hAnsi="宋体" w:eastAsia="宋体" w:cstheme="majorEastAsia"/>
          <w:color w:val="auto"/>
          <w:szCs w:val="21"/>
          <w:highlight w:val="none"/>
          <w:lang w:eastAsia="zh-CN"/>
        </w:rPr>
        <w:t>：</w:t>
      </w:r>
    </w:p>
    <w:p w14:paraId="2037D948">
      <w:pPr>
        <w:spacing w:line="440" w:lineRule="exact"/>
        <w:ind w:firstLine="420" w:firstLineChars="200"/>
        <w:jc w:val="left"/>
        <w:rPr>
          <w:rFonts w:hint="eastAsia" w:ascii="宋体" w:hAnsi="宋体" w:eastAsia="宋体" w:cstheme="majorEastAsia"/>
          <w:color w:val="auto"/>
          <w:szCs w:val="21"/>
          <w:highlight w:val="none"/>
        </w:rPr>
      </w:pPr>
      <w:r>
        <w:rPr>
          <w:rFonts w:hint="eastAsia" w:ascii="宋体" w:hAnsi="宋体" w:eastAsia="宋体" w:cstheme="majorEastAsia"/>
          <w:color w:val="auto"/>
          <w:szCs w:val="21"/>
          <w:highlight w:val="none"/>
        </w:rPr>
        <w:t>禹州市人民医院后勤社会化管理（木工、杂工）服务采购项目（不见面开标），共划分一个标段（详见</w:t>
      </w:r>
      <w:r>
        <w:rPr>
          <w:rFonts w:hint="eastAsia" w:ascii="宋体" w:hAnsi="宋体" w:eastAsia="宋体" w:cstheme="majorEastAsia"/>
          <w:color w:val="auto"/>
          <w:szCs w:val="21"/>
          <w:highlight w:val="none"/>
          <w:lang w:val="en-US" w:eastAsia="zh-CN"/>
        </w:rPr>
        <w:t>谈判</w:t>
      </w:r>
      <w:r>
        <w:rPr>
          <w:rFonts w:hint="eastAsia" w:ascii="宋体" w:hAnsi="宋体" w:eastAsia="宋体" w:cstheme="majorEastAsia"/>
          <w:color w:val="auto"/>
          <w:szCs w:val="21"/>
          <w:highlight w:val="none"/>
        </w:rPr>
        <w:t>文件 ）</w:t>
      </w:r>
    </w:p>
    <w:p w14:paraId="47C2E136">
      <w:pPr>
        <w:spacing w:line="440" w:lineRule="exact"/>
        <w:ind w:firstLine="420" w:firstLineChars="200"/>
        <w:jc w:val="left"/>
        <w:rPr>
          <w:rFonts w:hint="eastAsia" w:ascii="宋体" w:hAnsi="宋体" w:eastAsia="宋体" w:cstheme="majorEastAsia"/>
          <w:color w:val="auto"/>
          <w:szCs w:val="21"/>
          <w:highlight w:val="none"/>
          <w:lang w:eastAsia="zh-CN"/>
        </w:rPr>
      </w:pPr>
      <w:r>
        <w:rPr>
          <w:rFonts w:hint="eastAsia" w:ascii="宋体" w:hAnsi="宋体" w:eastAsia="宋体" w:cstheme="majorEastAsia"/>
          <w:color w:val="auto"/>
          <w:szCs w:val="21"/>
          <w:highlight w:val="none"/>
        </w:rPr>
        <w:t>6.合同履行期限：</w:t>
      </w:r>
      <w:r>
        <w:rPr>
          <w:rFonts w:hint="eastAsia" w:ascii="宋体" w:hAnsi="宋体" w:eastAsia="宋体" w:cstheme="majorEastAsia"/>
          <w:color w:val="auto"/>
          <w:szCs w:val="21"/>
          <w:highlight w:val="none"/>
          <w:lang w:eastAsia="zh-CN"/>
        </w:rPr>
        <w:t>自合同生效之日起一年</w:t>
      </w:r>
    </w:p>
    <w:p w14:paraId="0F99F05D">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7.本项目是否接受联合体投标：否</w:t>
      </w:r>
    </w:p>
    <w:p w14:paraId="359E5F5B">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8.是否接受进口产品：否</w:t>
      </w:r>
    </w:p>
    <w:p w14:paraId="7D76ACC0">
      <w:pPr>
        <w:spacing w:line="440" w:lineRule="exact"/>
        <w:ind w:firstLine="420" w:firstLineChars="200"/>
        <w:jc w:val="left"/>
        <w:rPr>
          <w:rFonts w:ascii="宋体" w:hAnsi="宋体" w:eastAsia="宋体"/>
          <w:color w:val="auto"/>
          <w:szCs w:val="21"/>
          <w:highlight w:val="none"/>
        </w:rPr>
      </w:pPr>
      <w:r>
        <w:rPr>
          <w:rFonts w:hint="eastAsia" w:ascii="宋体" w:hAnsi="宋体" w:eastAsia="宋体" w:cstheme="majorEastAsia"/>
          <w:color w:val="auto"/>
          <w:szCs w:val="21"/>
          <w:highlight w:val="none"/>
        </w:rPr>
        <w:t>9.是否专门面向中小企业：是</w:t>
      </w:r>
    </w:p>
    <w:p w14:paraId="522EB4E5">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二、申请人资格要求：</w:t>
      </w:r>
    </w:p>
    <w:p w14:paraId="2192F00C">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1.满足《中华人民共和国政府采购法》第二十二条规定。</w:t>
      </w:r>
    </w:p>
    <w:p w14:paraId="17C23CD0">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2.落实政府采购政策满足的资格要求：</w:t>
      </w:r>
    </w:p>
    <w:p w14:paraId="25D9870C">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本项目落实节约能源、保护环境、扶持不发达地区和少数民族地区、促进中小企业、监狱企业发展等政府采购政策。（本项目专门面向中</w:t>
      </w:r>
      <w:r>
        <w:rPr>
          <w:rFonts w:hint="eastAsia" w:ascii="宋体" w:hAnsi="宋体" w:eastAsia="宋体" w:cstheme="majorEastAsia"/>
          <w:color w:val="auto"/>
          <w:szCs w:val="21"/>
          <w:highlight w:val="none"/>
          <w:lang w:eastAsia="zh-CN"/>
        </w:rPr>
        <w:t>、</w:t>
      </w:r>
      <w:r>
        <w:rPr>
          <w:rFonts w:hint="eastAsia" w:ascii="宋体" w:hAnsi="宋体" w:eastAsia="宋体" w:cstheme="majorEastAsia"/>
          <w:color w:val="auto"/>
          <w:szCs w:val="21"/>
          <w:highlight w:val="none"/>
        </w:rPr>
        <w:t>小</w:t>
      </w:r>
      <w:r>
        <w:rPr>
          <w:rFonts w:hint="eastAsia" w:ascii="宋体" w:hAnsi="宋体" w:eastAsia="宋体" w:cstheme="majorEastAsia"/>
          <w:color w:val="auto"/>
          <w:szCs w:val="21"/>
          <w:highlight w:val="none"/>
          <w:lang w:eastAsia="zh-CN"/>
        </w:rPr>
        <w:t>、微</w:t>
      </w:r>
      <w:r>
        <w:rPr>
          <w:rFonts w:hint="eastAsia" w:ascii="宋体" w:hAnsi="宋体" w:eastAsia="宋体" w:cstheme="majorEastAsia"/>
          <w:color w:val="auto"/>
          <w:szCs w:val="21"/>
          <w:highlight w:val="none"/>
        </w:rPr>
        <w:t>企业采购）</w:t>
      </w:r>
    </w:p>
    <w:p w14:paraId="78D1D541">
      <w:pPr>
        <w:numPr>
          <w:ilvl w:val="0"/>
          <w:numId w:val="7"/>
        </w:numPr>
        <w:spacing w:line="440" w:lineRule="exact"/>
        <w:ind w:firstLine="420" w:firstLineChars="200"/>
        <w:jc w:val="left"/>
        <w:rPr>
          <w:rFonts w:hint="eastAsia" w:ascii="宋体" w:hAnsi="宋体" w:eastAsia="宋体" w:cs="仿宋_GB2312"/>
          <w:color w:val="auto"/>
          <w:szCs w:val="21"/>
          <w:highlight w:val="none"/>
          <w:lang w:eastAsia="zh-CN"/>
        </w:rPr>
      </w:pPr>
      <w:r>
        <w:rPr>
          <w:rFonts w:hint="eastAsia" w:ascii="宋体" w:hAnsi="宋体" w:eastAsia="宋体" w:cstheme="majorEastAsia"/>
          <w:color w:val="auto"/>
          <w:szCs w:val="21"/>
          <w:highlight w:val="none"/>
        </w:rPr>
        <w:t>本项目的特定资格要求</w:t>
      </w:r>
      <w:r>
        <w:rPr>
          <w:rFonts w:hint="eastAsia" w:ascii="宋体" w:hAnsi="宋体" w:eastAsia="宋体" w:cs="仿宋_GB2312"/>
          <w:color w:val="auto"/>
          <w:szCs w:val="21"/>
          <w:highlight w:val="none"/>
          <w:lang w:eastAsia="zh-CN"/>
        </w:rPr>
        <w:t>：</w:t>
      </w:r>
    </w:p>
    <w:p w14:paraId="5F5E75D2">
      <w:pPr>
        <w:spacing w:line="440" w:lineRule="exact"/>
        <w:ind w:firstLine="420" w:firstLineChars="200"/>
        <w:jc w:val="left"/>
        <w:rPr>
          <w:rFonts w:hint="eastAsia" w:ascii="宋体" w:hAnsi="宋体" w:eastAsia="宋体" w:cstheme="majorEastAsia"/>
          <w:color w:val="auto"/>
          <w:szCs w:val="21"/>
          <w:highlight w:val="none"/>
        </w:rPr>
      </w:pPr>
      <w:r>
        <w:rPr>
          <w:rFonts w:hint="eastAsia" w:ascii="宋体" w:hAnsi="宋体" w:eastAsia="宋体" w:cstheme="majorEastAsia"/>
          <w:color w:val="auto"/>
          <w:szCs w:val="21"/>
          <w:highlight w:val="none"/>
        </w:rPr>
        <w:t>3.1、供应商须具有独立法人资格（以营业执照为准）；</w:t>
      </w:r>
    </w:p>
    <w:p w14:paraId="229959A0">
      <w:pPr>
        <w:spacing w:line="440" w:lineRule="exact"/>
        <w:ind w:firstLine="420" w:firstLineChars="200"/>
        <w:jc w:val="left"/>
        <w:rPr>
          <w:rFonts w:hint="eastAsia" w:ascii="宋体" w:hAnsi="宋体" w:eastAsia="宋体" w:cstheme="majorEastAsia"/>
          <w:color w:val="auto"/>
          <w:szCs w:val="21"/>
          <w:highlight w:val="none"/>
        </w:rPr>
      </w:pPr>
      <w:r>
        <w:rPr>
          <w:rFonts w:hint="eastAsia" w:ascii="宋体" w:hAnsi="宋体" w:eastAsia="宋体" w:cstheme="majorEastAsia"/>
          <w:color w:val="auto"/>
          <w:szCs w:val="21"/>
          <w:highlight w:val="none"/>
        </w:rPr>
        <w:t>3.2、供应商须具有履行合同所必需的设备和专业技术能力；</w:t>
      </w:r>
    </w:p>
    <w:p w14:paraId="39CA3387">
      <w:pPr>
        <w:spacing w:line="440" w:lineRule="exact"/>
        <w:ind w:firstLine="420" w:firstLineChars="200"/>
        <w:jc w:val="left"/>
        <w:rPr>
          <w:rFonts w:hint="eastAsia" w:ascii="宋体" w:hAnsi="宋体" w:eastAsia="宋体" w:cstheme="majorEastAsia"/>
          <w:color w:val="auto"/>
          <w:szCs w:val="21"/>
          <w:highlight w:val="none"/>
        </w:rPr>
      </w:pPr>
      <w:r>
        <w:rPr>
          <w:rFonts w:hint="eastAsia" w:ascii="宋体" w:hAnsi="宋体" w:eastAsia="宋体" w:cstheme="majorEastAsia"/>
          <w:color w:val="auto"/>
          <w:szCs w:val="21"/>
          <w:highlight w:val="none"/>
        </w:rPr>
        <w:t>3.3、</w:t>
      </w:r>
      <w:r>
        <w:rPr>
          <w:rFonts w:hint="eastAsia" w:ascii="宋体" w:hAnsi="宋体" w:eastAsia="宋体" w:cs="宋体"/>
          <w:szCs w:val="21"/>
        </w:rPr>
        <w:t>拟派技术人员中至少包含电工两名（须有电工证）、制冷工一名（须具有制冷证）、</w:t>
      </w:r>
      <w:r>
        <w:rPr>
          <w:rFonts w:hint="eastAsia" w:ascii="宋体" w:hAnsi="宋体" w:eastAsia="宋体" w:cs="宋体"/>
          <w:szCs w:val="21"/>
          <w:lang w:eastAsia="zh-CN"/>
        </w:rPr>
        <w:t>电焊工两名</w:t>
      </w:r>
      <w:r>
        <w:rPr>
          <w:rFonts w:hint="eastAsia" w:ascii="宋体" w:hAnsi="宋体" w:eastAsia="宋体" w:cs="宋体"/>
          <w:szCs w:val="21"/>
        </w:rPr>
        <w:t>（须具有焊工证）、管道工一名（须具有管道工证）、木工一名（须具有木工证）</w:t>
      </w:r>
      <w:r>
        <w:rPr>
          <w:rFonts w:hint="eastAsia" w:ascii="宋体" w:hAnsi="宋体" w:eastAsia="宋体" w:cs="宋体"/>
          <w:szCs w:val="21"/>
          <w:lang w:eastAsia="zh-CN"/>
        </w:rPr>
        <w:t>、信息管理员一名</w:t>
      </w:r>
      <w:r>
        <w:rPr>
          <w:rFonts w:hint="eastAsia" w:ascii="宋体" w:hAnsi="宋体" w:eastAsia="宋体" w:cstheme="majorEastAsia"/>
          <w:color w:val="auto"/>
          <w:szCs w:val="21"/>
          <w:highlight w:val="none"/>
        </w:rPr>
        <w:t>。</w:t>
      </w:r>
    </w:p>
    <w:p w14:paraId="7F1522FB">
      <w:pPr>
        <w:spacing w:line="440" w:lineRule="exact"/>
        <w:ind w:firstLine="420" w:firstLineChars="200"/>
        <w:jc w:val="left"/>
        <w:rPr>
          <w:rFonts w:hint="eastAsia" w:ascii="宋体" w:hAnsi="宋体" w:eastAsia="宋体" w:cstheme="majorEastAsia"/>
          <w:color w:val="auto"/>
          <w:szCs w:val="21"/>
          <w:highlight w:val="none"/>
        </w:rPr>
      </w:pPr>
      <w:r>
        <w:rPr>
          <w:rFonts w:hint="eastAsia" w:ascii="宋体" w:hAnsi="宋体" w:eastAsia="宋体" w:cstheme="majorEastAsia"/>
          <w:color w:val="auto"/>
          <w:szCs w:val="21"/>
          <w:highlight w:val="none"/>
        </w:rPr>
        <w:t>3.4、被委托人须是本单位职工，须提供公司为本人缴纳社会保险证明；</w:t>
      </w:r>
    </w:p>
    <w:p w14:paraId="3E8F95A6">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三、获取采购文件</w:t>
      </w:r>
    </w:p>
    <w:p w14:paraId="656D1D3D">
      <w:pPr>
        <w:tabs>
          <w:tab w:val="left" w:pos="7095"/>
        </w:tabs>
        <w:spacing w:line="384" w:lineRule="auto"/>
        <w:ind w:firstLine="420" w:firstLineChars="200"/>
        <w:contextualSpacing/>
        <w:rPr>
          <w:rFonts w:ascii="宋体" w:hAnsi="宋体" w:eastAsia="宋体"/>
          <w:color w:val="auto"/>
          <w:szCs w:val="21"/>
          <w:highlight w:val="none"/>
        </w:rPr>
      </w:pPr>
      <w:r>
        <w:rPr>
          <w:rFonts w:hint="eastAsia" w:ascii="宋体" w:hAnsi="宋体" w:eastAsia="宋体"/>
          <w:color w:val="auto"/>
          <w:szCs w:val="21"/>
          <w:highlight w:val="none"/>
        </w:rPr>
        <w:t>1.时间：202</w:t>
      </w:r>
      <w:r>
        <w:rPr>
          <w:rFonts w:hint="eastAsia" w:ascii="宋体" w:hAnsi="宋体" w:eastAsia="宋体"/>
          <w:color w:val="auto"/>
          <w:szCs w:val="21"/>
          <w:highlight w:val="none"/>
          <w:lang w:val="en-US" w:eastAsia="zh-CN"/>
        </w:rPr>
        <w:t>5</w:t>
      </w:r>
      <w:r>
        <w:rPr>
          <w:rFonts w:hint="eastAsia" w:ascii="宋体" w:hAnsi="宋体" w:eastAsia="宋体"/>
          <w:color w:val="auto"/>
          <w:szCs w:val="21"/>
          <w:highlight w:val="none"/>
        </w:rPr>
        <w:t>年</w:t>
      </w:r>
      <w:r>
        <w:rPr>
          <w:rFonts w:hint="eastAsia" w:ascii="宋体" w:hAnsi="宋体" w:eastAsia="宋体"/>
          <w:color w:val="auto"/>
          <w:szCs w:val="21"/>
          <w:highlight w:val="none"/>
          <w:lang w:val="en-US" w:eastAsia="zh-CN"/>
        </w:rPr>
        <w:t>7</w:t>
      </w:r>
      <w:r>
        <w:rPr>
          <w:rFonts w:hint="eastAsia" w:ascii="宋体" w:hAnsi="宋体" w:eastAsia="宋体"/>
          <w:color w:val="auto"/>
          <w:szCs w:val="21"/>
          <w:highlight w:val="none"/>
        </w:rPr>
        <w:t>月</w:t>
      </w:r>
      <w:r>
        <w:rPr>
          <w:rFonts w:hint="eastAsia" w:ascii="宋体" w:hAnsi="宋体" w:eastAsia="宋体"/>
          <w:color w:val="auto"/>
          <w:szCs w:val="21"/>
          <w:highlight w:val="none"/>
          <w:lang w:val="en-US" w:eastAsia="zh-CN"/>
        </w:rPr>
        <w:t>22</w:t>
      </w:r>
      <w:r>
        <w:rPr>
          <w:rFonts w:hint="eastAsia" w:ascii="宋体" w:hAnsi="宋体" w:eastAsia="宋体"/>
          <w:color w:val="auto"/>
          <w:szCs w:val="21"/>
          <w:highlight w:val="none"/>
        </w:rPr>
        <w:t>日至 202</w:t>
      </w:r>
      <w:r>
        <w:rPr>
          <w:rFonts w:hint="eastAsia" w:ascii="宋体" w:hAnsi="宋体" w:eastAsia="宋体"/>
          <w:color w:val="auto"/>
          <w:szCs w:val="21"/>
          <w:highlight w:val="none"/>
          <w:lang w:val="en-US" w:eastAsia="zh-CN"/>
        </w:rPr>
        <w:t>5</w:t>
      </w:r>
      <w:r>
        <w:rPr>
          <w:rFonts w:hint="eastAsia" w:ascii="宋体" w:hAnsi="宋体" w:eastAsia="宋体"/>
          <w:color w:val="auto"/>
          <w:szCs w:val="21"/>
          <w:highlight w:val="none"/>
        </w:rPr>
        <w:t>年</w:t>
      </w:r>
      <w:r>
        <w:rPr>
          <w:rFonts w:hint="eastAsia" w:ascii="宋体" w:hAnsi="宋体" w:eastAsia="宋体"/>
          <w:color w:val="auto"/>
          <w:szCs w:val="21"/>
          <w:highlight w:val="none"/>
          <w:lang w:val="en-US" w:eastAsia="zh-CN"/>
        </w:rPr>
        <w:t>7</w:t>
      </w:r>
      <w:r>
        <w:rPr>
          <w:rFonts w:hint="eastAsia" w:ascii="宋体" w:hAnsi="宋体" w:eastAsia="宋体"/>
          <w:color w:val="auto"/>
          <w:szCs w:val="21"/>
          <w:highlight w:val="none"/>
        </w:rPr>
        <w:t>月</w:t>
      </w:r>
      <w:r>
        <w:rPr>
          <w:rFonts w:hint="eastAsia" w:ascii="宋体" w:hAnsi="宋体" w:eastAsia="宋体"/>
          <w:color w:val="auto"/>
          <w:szCs w:val="21"/>
          <w:highlight w:val="none"/>
          <w:lang w:val="en-US" w:eastAsia="zh-CN"/>
        </w:rPr>
        <w:t>24</w:t>
      </w:r>
      <w:r>
        <w:rPr>
          <w:rFonts w:hint="eastAsia" w:ascii="宋体" w:hAnsi="宋体" w:eastAsia="宋体"/>
          <w:color w:val="auto"/>
          <w:szCs w:val="21"/>
          <w:highlight w:val="none"/>
        </w:rPr>
        <w:t>日，每天上午00:00至12:00，下午12:01至23:59（北京时间，法定节假日除外）</w:t>
      </w:r>
    </w:p>
    <w:p w14:paraId="4AD6B686">
      <w:pPr>
        <w:tabs>
          <w:tab w:val="left" w:pos="7095"/>
        </w:tabs>
        <w:spacing w:line="384" w:lineRule="auto"/>
        <w:ind w:firstLine="420" w:firstLineChars="200"/>
        <w:contextualSpacing/>
        <w:rPr>
          <w:rFonts w:ascii="宋体" w:hAnsi="宋体" w:eastAsia="宋体"/>
          <w:color w:val="auto"/>
          <w:szCs w:val="21"/>
          <w:highlight w:val="none"/>
        </w:rPr>
      </w:pPr>
      <w:r>
        <w:rPr>
          <w:rFonts w:hint="eastAsia" w:ascii="宋体" w:hAnsi="宋体" w:eastAsia="宋体"/>
          <w:color w:val="auto"/>
          <w:szCs w:val="21"/>
          <w:highlight w:val="none"/>
        </w:rPr>
        <w:t>2.地点：</w:t>
      </w:r>
      <w:r>
        <w:rPr>
          <w:rFonts w:hint="eastAsia" w:ascii="宋体" w:hAnsi="宋体" w:eastAsia="宋体"/>
          <w:color w:val="auto"/>
          <w:szCs w:val="21"/>
          <w:highlight w:val="none"/>
          <w:lang w:eastAsia="zh-CN"/>
        </w:rPr>
        <w:t>谈判</w:t>
      </w:r>
      <w:r>
        <w:rPr>
          <w:rFonts w:hint="eastAsia" w:ascii="宋体" w:hAnsi="宋体" w:eastAsia="宋体"/>
          <w:color w:val="auto"/>
          <w:szCs w:val="21"/>
          <w:highlight w:val="none"/>
        </w:rPr>
        <w:t>响应截止时间前均可登录《全国公共资源交易平台（河南省·许昌市）》（下文所述“全国公共资源交易平台（河南省•许昌市）”的地址均为</w:t>
      </w:r>
      <w:r>
        <w:rPr>
          <w:rFonts w:ascii="宋体" w:hAnsi="宋体" w:eastAsia="宋体"/>
          <w:color w:val="auto"/>
          <w:szCs w:val="21"/>
          <w:highlight w:val="none"/>
        </w:rPr>
        <w:t>http://117.159.53.11:60632/）</w:t>
      </w:r>
      <w:r>
        <w:rPr>
          <w:rFonts w:hint="eastAsia" w:ascii="宋体" w:hAnsi="宋体" w:eastAsia="宋体"/>
          <w:color w:val="auto"/>
          <w:szCs w:val="21"/>
          <w:highlight w:val="none"/>
        </w:rPr>
        <w:t>“投标人</w:t>
      </w:r>
      <w:r>
        <w:rPr>
          <w:rFonts w:ascii="宋体" w:hAnsi="宋体" w:eastAsia="宋体"/>
          <w:color w:val="auto"/>
          <w:szCs w:val="21"/>
          <w:highlight w:val="none"/>
        </w:rPr>
        <w:t>登录”入口自行免费下载竞争性</w:t>
      </w:r>
      <w:r>
        <w:rPr>
          <w:rFonts w:hint="eastAsia" w:ascii="宋体" w:hAnsi="宋体" w:eastAsia="宋体"/>
          <w:color w:val="auto"/>
          <w:szCs w:val="21"/>
          <w:highlight w:val="none"/>
          <w:lang w:eastAsia="zh-CN"/>
        </w:rPr>
        <w:t>谈判</w:t>
      </w:r>
      <w:r>
        <w:rPr>
          <w:rFonts w:ascii="宋体" w:hAnsi="宋体" w:eastAsia="宋体"/>
          <w:color w:val="auto"/>
          <w:szCs w:val="21"/>
          <w:highlight w:val="none"/>
        </w:rPr>
        <w:t>文件。</w:t>
      </w:r>
    </w:p>
    <w:p w14:paraId="72A91118">
      <w:pPr>
        <w:tabs>
          <w:tab w:val="left" w:pos="7095"/>
        </w:tabs>
        <w:spacing w:line="384" w:lineRule="auto"/>
        <w:ind w:firstLine="420" w:firstLineChars="200"/>
        <w:contextualSpacing/>
        <w:rPr>
          <w:rFonts w:ascii="宋体" w:hAnsi="宋体" w:eastAsia="宋体"/>
          <w:color w:val="auto"/>
          <w:szCs w:val="21"/>
          <w:highlight w:val="none"/>
        </w:rPr>
      </w:pPr>
      <w:r>
        <w:rPr>
          <w:rFonts w:hint="eastAsia" w:ascii="宋体" w:hAnsi="宋体" w:eastAsia="宋体"/>
          <w:color w:val="auto"/>
          <w:szCs w:val="21"/>
          <w:highlight w:val="none"/>
        </w:rPr>
        <w:t>3.方式：网上自行下载</w:t>
      </w:r>
    </w:p>
    <w:p w14:paraId="69649B00">
      <w:pPr>
        <w:tabs>
          <w:tab w:val="left" w:pos="7095"/>
        </w:tabs>
        <w:spacing w:line="384" w:lineRule="auto"/>
        <w:ind w:firstLine="420" w:firstLineChars="200"/>
        <w:contextualSpacing/>
        <w:rPr>
          <w:rFonts w:ascii="宋体" w:hAnsi="宋体" w:eastAsia="宋体"/>
          <w:color w:val="auto"/>
          <w:sz w:val="21"/>
          <w:szCs w:val="21"/>
          <w:highlight w:val="none"/>
        </w:rPr>
      </w:pPr>
      <w:r>
        <w:rPr>
          <w:rFonts w:hint="eastAsia" w:ascii="宋体" w:hAnsi="宋体" w:eastAsia="宋体"/>
          <w:color w:val="auto"/>
          <w:szCs w:val="21"/>
          <w:highlight w:val="none"/>
        </w:rPr>
        <w:t>4.售价：0元</w:t>
      </w:r>
    </w:p>
    <w:p w14:paraId="3CEEF670">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四、响应文件提交</w:t>
      </w:r>
    </w:p>
    <w:p w14:paraId="2DCD318A">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1.截止时间：202</w:t>
      </w:r>
      <w:r>
        <w:rPr>
          <w:rFonts w:hint="eastAsia" w:ascii="宋体" w:hAnsi="宋体" w:eastAsia="宋体" w:cstheme="majorEastAsia"/>
          <w:color w:val="auto"/>
          <w:szCs w:val="21"/>
          <w:highlight w:val="none"/>
          <w:lang w:val="en-US" w:eastAsia="zh-CN"/>
        </w:rPr>
        <w:t>5</w:t>
      </w:r>
      <w:r>
        <w:rPr>
          <w:rFonts w:hint="eastAsia" w:ascii="宋体" w:hAnsi="宋体" w:eastAsia="宋体" w:cstheme="majorEastAsia"/>
          <w:color w:val="auto"/>
          <w:szCs w:val="21"/>
          <w:highlight w:val="none"/>
        </w:rPr>
        <w:t>年</w:t>
      </w:r>
      <w:r>
        <w:rPr>
          <w:rFonts w:hint="eastAsia" w:ascii="宋体" w:hAnsi="宋体" w:eastAsia="宋体" w:cstheme="majorEastAsia"/>
          <w:color w:val="auto"/>
          <w:szCs w:val="21"/>
          <w:highlight w:val="none"/>
          <w:lang w:val="en-US" w:eastAsia="zh-CN"/>
        </w:rPr>
        <w:t>7</w:t>
      </w:r>
      <w:r>
        <w:rPr>
          <w:rFonts w:hint="eastAsia" w:ascii="宋体" w:hAnsi="宋体" w:eastAsia="宋体" w:cstheme="majorEastAsia"/>
          <w:color w:val="auto"/>
          <w:szCs w:val="21"/>
          <w:highlight w:val="none"/>
        </w:rPr>
        <w:t>月</w:t>
      </w:r>
      <w:r>
        <w:rPr>
          <w:rFonts w:hint="eastAsia" w:ascii="宋体" w:hAnsi="宋体" w:eastAsia="宋体" w:cstheme="majorEastAsia"/>
          <w:color w:val="auto"/>
          <w:szCs w:val="21"/>
          <w:highlight w:val="none"/>
          <w:lang w:val="en-US" w:eastAsia="zh-CN"/>
        </w:rPr>
        <w:t>29</w:t>
      </w:r>
      <w:r>
        <w:rPr>
          <w:rFonts w:hint="eastAsia" w:ascii="宋体" w:hAnsi="宋体" w:eastAsia="宋体" w:cstheme="majorEastAsia"/>
          <w:color w:val="auto"/>
          <w:szCs w:val="21"/>
          <w:highlight w:val="none"/>
        </w:rPr>
        <w:t>日08时30分（北京时间）</w:t>
      </w:r>
    </w:p>
    <w:p w14:paraId="2B5CF616">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2.地点：本项目为全流程电子化交易项目，供应商须提交电子响应文件。</w:t>
      </w:r>
    </w:p>
    <w:p w14:paraId="7C4A06D9">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本项目为全流程电子化交易项目，供应商必须通过许昌公共资源交易系统下载“新点投标文件制作软件（河南省版）”的最新版本制作并上传加密电子响应文件（后缀格式为</w:t>
      </w:r>
      <w:r>
        <w:rPr>
          <w:rFonts w:ascii="宋体" w:hAnsi="宋体" w:eastAsia="宋体" w:cstheme="majorEastAsia"/>
          <w:color w:val="auto"/>
          <w:szCs w:val="21"/>
          <w:highlight w:val="none"/>
        </w:rPr>
        <w:t>.XCSTF）。截至投标截止时间，交易系统投标通道将关闭，供应商未完成电子响应文件上传的，投标将被拒绝。</w:t>
      </w:r>
    </w:p>
    <w:p w14:paraId="55CB1E8F">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五、响应文件开启</w:t>
      </w:r>
    </w:p>
    <w:p w14:paraId="1F531079">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1.时间：202</w:t>
      </w:r>
      <w:r>
        <w:rPr>
          <w:rFonts w:hint="eastAsia" w:ascii="宋体" w:hAnsi="宋体" w:eastAsia="宋体" w:cstheme="majorEastAsia"/>
          <w:color w:val="auto"/>
          <w:szCs w:val="21"/>
          <w:highlight w:val="none"/>
          <w:lang w:val="en-US" w:eastAsia="zh-CN"/>
        </w:rPr>
        <w:t>5</w:t>
      </w:r>
      <w:r>
        <w:rPr>
          <w:rFonts w:hint="eastAsia" w:ascii="宋体" w:hAnsi="宋体" w:eastAsia="宋体" w:cstheme="majorEastAsia"/>
          <w:color w:val="auto"/>
          <w:szCs w:val="21"/>
          <w:highlight w:val="none"/>
        </w:rPr>
        <w:t>年</w:t>
      </w:r>
      <w:r>
        <w:rPr>
          <w:rFonts w:hint="eastAsia" w:ascii="宋体" w:hAnsi="宋体" w:eastAsia="宋体" w:cstheme="majorEastAsia"/>
          <w:color w:val="auto"/>
          <w:szCs w:val="21"/>
          <w:highlight w:val="none"/>
          <w:lang w:val="en-US" w:eastAsia="zh-CN"/>
        </w:rPr>
        <w:t>7</w:t>
      </w:r>
      <w:r>
        <w:rPr>
          <w:rFonts w:hint="eastAsia" w:ascii="宋体" w:hAnsi="宋体" w:eastAsia="宋体" w:cstheme="majorEastAsia"/>
          <w:color w:val="auto"/>
          <w:szCs w:val="21"/>
          <w:highlight w:val="none"/>
        </w:rPr>
        <w:t>月</w:t>
      </w:r>
      <w:r>
        <w:rPr>
          <w:rFonts w:hint="eastAsia" w:ascii="宋体" w:hAnsi="宋体" w:eastAsia="宋体" w:cstheme="majorEastAsia"/>
          <w:color w:val="auto"/>
          <w:szCs w:val="21"/>
          <w:highlight w:val="none"/>
          <w:lang w:val="en-US" w:eastAsia="zh-CN"/>
        </w:rPr>
        <w:t>29</w:t>
      </w:r>
      <w:r>
        <w:rPr>
          <w:rFonts w:hint="eastAsia" w:ascii="宋体" w:hAnsi="宋体" w:eastAsia="宋体" w:cstheme="majorEastAsia"/>
          <w:color w:val="auto"/>
          <w:szCs w:val="21"/>
          <w:highlight w:val="none"/>
        </w:rPr>
        <w:t>日08时30分（北京时间）</w:t>
      </w:r>
    </w:p>
    <w:p w14:paraId="5AFBC019">
      <w:pPr>
        <w:wordWrap w:val="0"/>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2.地点：供应商进入“全国公共资源交易平台（河南省•许昌市）”——点击“平台导航”下方左侧的“网上开标大厅”进入不见面大厅登录页面——选择“投标人”身份，使用</w:t>
      </w:r>
      <w:r>
        <w:rPr>
          <w:rFonts w:ascii="宋体" w:hAnsi="宋体" w:eastAsia="宋体" w:cstheme="majorEastAsia"/>
          <w:color w:val="auto"/>
          <w:szCs w:val="21"/>
          <w:highlight w:val="none"/>
        </w:rPr>
        <w:t>CA数字证书或移动数字证书登录——在“今日开标项目”中找到已投标的项目——鼠标点击该项目即可进入开标操作界面，在规定的开标时间内进行解密开标。</w:t>
      </w:r>
    </w:p>
    <w:p w14:paraId="204B70CB">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六、发布公告的媒介及招标公告期限</w:t>
      </w:r>
    </w:p>
    <w:p w14:paraId="0A235B46">
      <w:pPr>
        <w:wordWrap w:val="0"/>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本次招标公告在《河南省政府采购网》《许昌市政府采购网》《全国公共资源交易平台（河南省·许昌市）》上发布。招标公告期限为三个工作日。</w:t>
      </w:r>
    </w:p>
    <w:p w14:paraId="55D9643F">
      <w:pPr>
        <w:numPr>
          <w:ilvl w:val="0"/>
          <w:numId w:val="8"/>
        </w:numPr>
        <w:wordWrap w:val="0"/>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其他补充事宜</w:t>
      </w:r>
    </w:p>
    <w:p w14:paraId="31458F0F">
      <w:pPr>
        <w:wordWrap w:val="0"/>
        <w:spacing w:line="440" w:lineRule="exact"/>
        <w:ind w:left="630" w:leftChars="300"/>
        <w:jc w:val="left"/>
        <w:rPr>
          <w:rFonts w:hint="default" w:ascii="宋体" w:hAnsi="宋体" w:eastAsia="宋体" w:cstheme="majorEastAsia"/>
          <w:color w:val="auto"/>
          <w:szCs w:val="21"/>
          <w:highlight w:val="none"/>
          <w:lang w:val="en-US" w:eastAsia="zh-CN"/>
        </w:rPr>
      </w:pPr>
      <w:r>
        <w:rPr>
          <w:rFonts w:hint="eastAsia" w:ascii="宋体" w:hAnsi="宋体" w:eastAsia="宋体" w:cstheme="majorEastAsia"/>
          <w:color w:val="auto"/>
          <w:szCs w:val="21"/>
          <w:highlight w:val="none"/>
        </w:rPr>
        <w:t>1.监督单位：禹州市政府采购监督管理办公室</w:t>
      </w:r>
      <w:r>
        <w:rPr>
          <w:rFonts w:hint="eastAsia" w:ascii="宋体" w:hAnsi="宋体" w:eastAsia="宋体" w:cstheme="majorEastAsia"/>
          <w:color w:val="auto"/>
          <w:szCs w:val="21"/>
          <w:highlight w:val="none"/>
        </w:rPr>
        <w:br w:type="textWrapping"/>
      </w:r>
      <w:r>
        <w:rPr>
          <w:rFonts w:hint="eastAsia" w:ascii="宋体" w:hAnsi="宋体" w:eastAsia="宋体" w:cstheme="majorEastAsia"/>
          <w:color w:val="auto"/>
          <w:szCs w:val="21"/>
          <w:highlight w:val="none"/>
        </w:rPr>
        <w:t>2.电话：0374-8112523</w:t>
      </w:r>
      <w:r>
        <w:rPr>
          <w:rFonts w:hint="eastAsia" w:ascii="宋体" w:hAnsi="宋体" w:eastAsia="宋体" w:cstheme="majorEastAsia"/>
          <w:color w:val="auto"/>
          <w:szCs w:val="21"/>
          <w:highlight w:val="none"/>
        </w:rPr>
        <w:br w:type="textWrapping"/>
      </w:r>
      <w:r>
        <w:rPr>
          <w:rFonts w:hint="eastAsia" w:ascii="宋体" w:hAnsi="宋体" w:eastAsia="宋体" w:cstheme="majorEastAsia"/>
          <w:color w:val="auto"/>
          <w:szCs w:val="21"/>
          <w:highlight w:val="none"/>
        </w:rPr>
        <w:t>3.项目编号以本</w:t>
      </w:r>
      <w:r>
        <w:rPr>
          <w:rFonts w:hint="eastAsia" w:ascii="宋体" w:hAnsi="宋体" w:eastAsia="宋体" w:cstheme="majorEastAsia"/>
          <w:color w:val="auto"/>
          <w:szCs w:val="21"/>
          <w:highlight w:val="none"/>
          <w:lang w:val="en-US" w:eastAsia="zh-CN"/>
        </w:rPr>
        <w:t>谈判</w:t>
      </w:r>
      <w:r>
        <w:rPr>
          <w:rFonts w:hint="eastAsia" w:ascii="宋体" w:hAnsi="宋体" w:eastAsia="宋体" w:cstheme="majorEastAsia"/>
          <w:color w:val="auto"/>
          <w:szCs w:val="21"/>
          <w:highlight w:val="none"/>
        </w:rPr>
        <w:t>文件中的采购编号为准，采购编号：</w:t>
      </w:r>
      <w:r>
        <w:rPr>
          <w:rFonts w:hint="eastAsia" w:ascii="宋体" w:hAnsi="宋体" w:eastAsia="宋体"/>
          <w:color w:val="auto"/>
          <w:szCs w:val="21"/>
          <w:highlight w:val="none"/>
          <w:lang w:val="en-US" w:eastAsia="zh-CN"/>
        </w:rPr>
        <w:t>YZCG-DLT2025042</w:t>
      </w:r>
    </w:p>
    <w:p w14:paraId="222E92DD">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八、凡对本次招标提出询问，请按照以下方式联系</w:t>
      </w:r>
    </w:p>
    <w:p w14:paraId="057386BA">
      <w:pPr>
        <w:spacing w:line="440" w:lineRule="exact"/>
        <w:ind w:firstLine="420" w:firstLineChars="200"/>
        <w:rPr>
          <w:rFonts w:hint="eastAsia" w:ascii="宋体" w:hAnsi="宋体" w:eastAsia="宋体" w:cstheme="majorEastAsia"/>
          <w:color w:val="auto"/>
          <w:szCs w:val="21"/>
          <w:highlight w:val="none"/>
          <w:lang w:val="zh-CN"/>
        </w:rPr>
      </w:pPr>
      <w:r>
        <w:rPr>
          <w:rFonts w:hint="eastAsia" w:ascii="宋体" w:hAnsi="宋体" w:eastAsia="宋体" w:cstheme="majorEastAsia"/>
          <w:color w:val="auto"/>
          <w:szCs w:val="21"/>
          <w:highlight w:val="none"/>
          <w:lang w:val="zh-CN" w:eastAsia="zh-CN"/>
        </w:rPr>
        <w:t>采购单位：禹州市人民医院</w:t>
      </w:r>
    </w:p>
    <w:p w14:paraId="0F7C2B63">
      <w:pPr>
        <w:spacing w:line="440" w:lineRule="exact"/>
        <w:ind w:firstLine="420" w:firstLineChars="200"/>
        <w:rPr>
          <w:rFonts w:hint="eastAsia" w:ascii="宋体" w:hAnsi="宋体" w:eastAsia="宋体" w:cstheme="majorEastAsia"/>
          <w:color w:val="auto"/>
          <w:szCs w:val="21"/>
          <w:highlight w:val="none"/>
          <w:lang w:val="en-US" w:eastAsia="zh-CN"/>
        </w:rPr>
      </w:pPr>
      <w:r>
        <w:rPr>
          <w:rFonts w:hint="eastAsia" w:ascii="宋体" w:hAnsi="宋体" w:eastAsia="宋体" w:cstheme="majorEastAsia"/>
          <w:color w:val="auto"/>
          <w:szCs w:val="21"/>
          <w:highlight w:val="none"/>
          <w:lang w:val="zh-CN"/>
        </w:rPr>
        <w:t>地  址：禹州市康复路1号</w:t>
      </w:r>
    </w:p>
    <w:p w14:paraId="2AB4ECE9">
      <w:pPr>
        <w:spacing w:line="440" w:lineRule="exact"/>
        <w:ind w:firstLine="420" w:firstLineChars="200"/>
        <w:rPr>
          <w:rFonts w:hint="eastAsia" w:ascii="宋体" w:hAnsi="宋体" w:eastAsia="宋体" w:cstheme="majorEastAsia"/>
          <w:color w:val="auto"/>
          <w:szCs w:val="21"/>
          <w:highlight w:val="none"/>
          <w:lang w:val="en-US" w:eastAsia="zh-CN"/>
        </w:rPr>
      </w:pPr>
      <w:r>
        <w:rPr>
          <w:rFonts w:hint="eastAsia" w:ascii="宋体" w:hAnsi="宋体" w:eastAsia="宋体" w:cstheme="majorEastAsia"/>
          <w:color w:val="auto"/>
          <w:szCs w:val="21"/>
          <w:highlight w:val="none"/>
          <w:lang w:val="zh-CN"/>
        </w:rPr>
        <w:t>联系人：</w:t>
      </w:r>
      <w:r>
        <w:rPr>
          <w:rFonts w:hint="eastAsia" w:ascii="宋体" w:hAnsi="宋体" w:eastAsia="宋体" w:cstheme="majorEastAsia"/>
          <w:color w:val="auto"/>
          <w:szCs w:val="21"/>
          <w:highlight w:val="none"/>
          <w:lang w:val="en-US" w:eastAsia="zh-CN"/>
        </w:rPr>
        <w:t>林女士</w:t>
      </w:r>
    </w:p>
    <w:p w14:paraId="51593264">
      <w:pPr>
        <w:spacing w:line="440" w:lineRule="exact"/>
        <w:ind w:firstLine="420" w:firstLineChars="200"/>
        <w:rPr>
          <w:rFonts w:hint="eastAsia" w:ascii="宋体" w:hAnsi="宋体" w:eastAsia="宋体" w:cstheme="majorEastAsia"/>
          <w:color w:val="auto"/>
          <w:szCs w:val="21"/>
          <w:highlight w:val="none"/>
          <w:lang w:val="en-US" w:eastAsia="zh-CN"/>
        </w:rPr>
      </w:pPr>
      <w:r>
        <w:rPr>
          <w:rFonts w:hint="eastAsia" w:ascii="宋体" w:hAnsi="宋体" w:eastAsia="宋体" w:cstheme="majorEastAsia"/>
          <w:color w:val="auto"/>
          <w:szCs w:val="21"/>
          <w:highlight w:val="none"/>
          <w:lang w:val="zh-CN"/>
        </w:rPr>
        <w:t>联系电话：</w:t>
      </w:r>
      <w:r>
        <w:rPr>
          <w:rFonts w:ascii="宋体"/>
          <w:color w:val="000000"/>
          <w:spacing w:val="0"/>
          <w:sz w:val="21"/>
        </w:rPr>
        <w:t>0374-6068569</w:t>
      </w:r>
    </w:p>
    <w:p w14:paraId="405CB7A0">
      <w:pPr>
        <w:spacing w:line="440" w:lineRule="exact"/>
        <w:ind w:firstLine="420" w:firstLineChars="200"/>
        <w:rPr>
          <w:rFonts w:hint="eastAsia" w:ascii="宋体" w:hAnsi="宋体" w:cs="仿宋_GB2312"/>
          <w:color w:val="auto"/>
          <w:szCs w:val="21"/>
          <w:highlight w:val="none"/>
          <w:lang w:val="zh-CN"/>
        </w:rPr>
      </w:pPr>
      <w:r>
        <w:rPr>
          <w:rFonts w:hint="eastAsia" w:ascii="宋体" w:hAnsi="宋体" w:cs="仿宋_GB2312"/>
          <w:color w:val="auto"/>
          <w:szCs w:val="21"/>
          <w:highlight w:val="none"/>
          <w:lang w:val="zh-CN" w:eastAsia="zh-CN"/>
        </w:rPr>
        <w:t>代理机构</w:t>
      </w:r>
      <w:r>
        <w:rPr>
          <w:rFonts w:hint="eastAsia" w:ascii="宋体" w:hAnsi="宋体" w:cs="仿宋_GB2312"/>
          <w:color w:val="auto"/>
          <w:szCs w:val="21"/>
          <w:highlight w:val="none"/>
          <w:lang w:val="zh-CN"/>
        </w:rPr>
        <w:t xml:space="preserve">：河南建威工程管理咨询有限公司  </w:t>
      </w:r>
    </w:p>
    <w:p w14:paraId="45F1EAB2">
      <w:pPr>
        <w:spacing w:line="440" w:lineRule="exact"/>
        <w:ind w:firstLine="420" w:firstLineChars="200"/>
        <w:rPr>
          <w:rFonts w:hint="eastAsia" w:ascii="宋体" w:hAnsi="宋体" w:cs="仿宋_GB2312"/>
          <w:color w:val="auto"/>
          <w:szCs w:val="21"/>
          <w:highlight w:val="none"/>
          <w:lang w:val="zh-CN" w:eastAsia="zh-CN"/>
        </w:rPr>
      </w:pPr>
      <w:r>
        <w:rPr>
          <w:rFonts w:hint="eastAsia" w:ascii="宋体" w:hAnsi="宋体" w:cs="仿宋_GB2312"/>
          <w:color w:val="auto"/>
          <w:szCs w:val="21"/>
          <w:highlight w:val="none"/>
          <w:lang w:val="zh-CN"/>
        </w:rPr>
        <w:t>地址：</w:t>
      </w:r>
      <w:r>
        <w:rPr>
          <w:rFonts w:hint="eastAsia" w:ascii="宋体" w:hAnsi="宋体" w:eastAsia="宋体" w:cs="Times New Roman"/>
          <w:b w:val="0"/>
          <w:bCs w:val="0"/>
          <w:color w:val="auto"/>
          <w:sz w:val="21"/>
          <w:szCs w:val="21"/>
          <w:highlight w:val="none"/>
        </w:rPr>
        <w:t>郑州市芦医庙大街粤浦科技郑州白沙科创中心3号楼一楼</w:t>
      </w:r>
    </w:p>
    <w:p w14:paraId="55113436">
      <w:pPr>
        <w:spacing w:line="440" w:lineRule="exact"/>
        <w:ind w:firstLine="420" w:firstLineChars="200"/>
        <w:rPr>
          <w:rFonts w:hint="eastAsia" w:ascii="宋体" w:hAnsi="宋体" w:cs="仿宋_GB2312"/>
          <w:color w:val="auto"/>
          <w:szCs w:val="21"/>
          <w:highlight w:val="none"/>
          <w:lang w:val="zh-CN" w:eastAsia="zh-CN"/>
        </w:rPr>
      </w:pPr>
      <w:r>
        <w:rPr>
          <w:rFonts w:hint="eastAsia" w:ascii="宋体" w:hAnsi="宋体" w:cs="仿宋_GB2312"/>
          <w:color w:val="auto"/>
          <w:szCs w:val="21"/>
          <w:highlight w:val="none"/>
          <w:lang w:val="zh-CN"/>
        </w:rPr>
        <w:t>联系人：</w:t>
      </w:r>
      <w:r>
        <w:rPr>
          <w:rFonts w:hint="eastAsia" w:ascii="宋体" w:hAnsi="宋体" w:cs="仿宋_GB2312"/>
          <w:color w:val="auto"/>
          <w:szCs w:val="21"/>
          <w:highlight w:val="none"/>
          <w:lang w:val="en-US" w:eastAsia="zh-CN"/>
        </w:rPr>
        <w:t>王</w:t>
      </w:r>
      <w:r>
        <w:rPr>
          <w:rFonts w:hint="eastAsia" w:ascii="宋体" w:hAnsi="宋体" w:cs="仿宋_GB2312"/>
          <w:color w:val="auto"/>
          <w:szCs w:val="21"/>
          <w:highlight w:val="none"/>
          <w:lang w:val="zh-CN" w:eastAsia="zh-CN"/>
        </w:rPr>
        <w:t>先生</w:t>
      </w:r>
    </w:p>
    <w:p w14:paraId="076F460E">
      <w:pPr>
        <w:spacing w:line="440" w:lineRule="exact"/>
        <w:ind w:firstLine="420" w:firstLineChars="200"/>
        <w:rPr>
          <w:rFonts w:hint="default" w:ascii="宋体" w:hAnsi="宋体" w:cs="仿宋_GB2312"/>
          <w:color w:val="auto"/>
          <w:szCs w:val="21"/>
          <w:highlight w:val="none"/>
          <w:lang w:val="en-US"/>
        </w:rPr>
      </w:pPr>
      <w:r>
        <w:rPr>
          <w:rFonts w:hint="eastAsia" w:ascii="宋体" w:hAnsi="宋体" w:cs="仿宋_GB2312"/>
          <w:color w:val="auto"/>
          <w:szCs w:val="21"/>
          <w:highlight w:val="none"/>
          <w:lang w:val="zh-CN"/>
        </w:rPr>
        <w:t>联系方式：</w:t>
      </w:r>
      <w:r>
        <w:rPr>
          <w:rFonts w:hint="eastAsia" w:ascii="宋体" w:hAnsi="宋体" w:cs="仿宋_GB2312"/>
          <w:color w:val="auto"/>
          <w:szCs w:val="21"/>
          <w:highlight w:val="none"/>
          <w:lang w:val="en-US" w:eastAsia="zh-CN"/>
        </w:rPr>
        <w:t>15890616061</w:t>
      </w:r>
    </w:p>
    <w:p w14:paraId="3E476E8E">
      <w:pPr>
        <w:spacing w:line="440" w:lineRule="exact"/>
        <w:ind w:firstLine="420" w:firstLineChars="200"/>
        <w:rPr>
          <w:rFonts w:ascii="宋体" w:hAnsi="宋体" w:cs="仿宋_GB2312"/>
          <w:color w:val="auto"/>
          <w:szCs w:val="21"/>
          <w:highlight w:val="none"/>
          <w:lang w:val="zh-CN"/>
        </w:rPr>
      </w:pPr>
      <w:r>
        <w:rPr>
          <w:rFonts w:hint="eastAsia" w:ascii="宋体" w:hAnsi="宋体" w:cs="仿宋_GB2312"/>
          <w:color w:val="auto"/>
          <w:szCs w:val="21"/>
          <w:highlight w:val="none"/>
          <w:lang w:val="zh-CN"/>
        </w:rPr>
        <w:t>监督单位：禹州市政府采购监督管理办公室</w:t>
      </w:r>
    </w:p>
    <w:p w14:paraId="54E0E7FF">
      <w:pPr>
        <w:spacing w:line="440" w:lineRule="exact"/>
        <w:ind w:firstLine="420" w:firstLineChars="200"/>
        <w:rPr>
          <w:color w:val="auto"/>
          <w:highlight w:val="none"/>
        </w:rPr>
      </w:pPr>
      <w:r>
        <w:rPr>
          <w:rFonts w:hint="eastAsia" w:ascii="宋体" w:hAnsi="宋体" w:cs="仿宋_GB2312"/>
          <w:color w:val="auto"/>
          <w:szCs w:val="21"/>
          <w:highlight w:val="none"/>
          <w:lang w:val="zh-CN"/>
        </w:rPr>
        <w:t>联系电话：</w:t>
      </w:r>
      <w:r>
        <w:rPr>
          <w:rFonts w:ascii="宋体" w:hAnsi="宋体" w:cs="仿宋_GB2312"/>
          <w:color w:val="auto"/>
          <w:szCs w:val="21"/>
          <w:highlight w:val="none"/>
          <w:lang w:val="zh-CN"/>
        </w:rPr>
        <w:t>0374-8112523</w:t>
      </w:r>
    </w:p>
    <w:p w14:paraId="2CE41806">
      <w:pPr>
        <w:spacing w:line="360" w:lineRule="auto"/>
        <w:rPr>
          <w:rFonts w:hint="eastAsia" w:asciiTheme="minorEastAsia" w:hAnsiTheme="minorEastAsia" w:eastAsiaTheme="minorEastAsia" w:cstheme="minorEastAsia"/>
          <w:b/>
          <w:sz w:val="28"/>
          <w:szCs w:val="28"/>
        </w:rPr>
      </w:pPr>
    </w:p>
    <w:p w14:paraId="403A1C6D">
      <w:pPr>
        <w:pStyle w:val="23"/>
        <w:keepNext w:val="0"/>
        <w:keepLines w:val="0"/>
        <w:widowControl/>
        <w:suppressLineNumbers w:val="0"/>
        <w:spacing w:before="0" w:beforeAutospacing="0" w:after="0" w:afterAutospacing="0" w:line="23" w:lineRule="atLeast"/>
        <w:ind w:left="0" w:right="0"/>
        <w:jc w:val="both"/>
        <w:rPr>
          <w:rFonts w:hint="eastAsia" w:asciiTheme="minorEastAsia" w:hAnsiTheme="minorEastAsia" w:eastAsiaTheme="minorEastAsia" w:cstheme="minorEastAsia"/>
          <w:b/>
          <w:bCs/>
          <w:i w:val="0"/>
          <w:iCs w:val="0"/>
          <w:color w:val="000000"/>
          <w:spacing w:val="0"/>
          <w:w w:val="100"/>
          <w:sz w:val="28"/>
          <w:szCs w:val="28"/>
          <w:vertAlign w:val="baseline"/>
        </w:rPr>
      </w:pPr>
    </w:p>
    <w:p w14:paraId="71D622DC">
      <w:pPr>
        <w:pStyle w:val="23"/>
        <w:keepNext w:val="0"/>
        <w:keepLines w:val="0"/>
        <w:widowControl/>
        <w:suppressLineNumbers w:val="0"/>
        <w:spacing w:before="0" w:beforeAutospacing="0" w:after="0" w:afterAutospacing="0" w:line="23" w:lineRule="atLeast"/>
        <w:ind w:left="0" w:right="0"/>
        <w:jc w:val="both"/>
        <w:rPr>
          <w:rFonts w:hint="eastAsia" w:asciiTheme="minorEastAsia" w:hAnsiTheme="minorEastAsia" w:eastAsiaTheme="minorEastAsia" w:cstheme="minorEastAsia"/>
          <w:b/>
          <w:bCs/>
          <w:i w:val="0"/>
          <w:iCs w:val="0"/>
          <w:color w:val="000000"/>
          <w:spacing w:val="0"/>
          <w:w w:val="100"/>
          <w:sz w:val="28"/>
          <w:szCs w:val="28"/>
          <w:vertAlign w:val="baseline"/>
        </w:rPr>
      </w:pPr>
    </w:p>
    <w:p w14:paraId="1506B698"/>
    <w:p w14:paraId="7F70D954">
      <w:pPr>
        <w:rPr>
          <w:rFonts w:hint="eastAsia" w:asciiTheme="minorEastAsia" w:hAnsiTheme="minorEastAsia" w:eastAsiaTheme="minorEastAsia" w:cstheme="minorEastAsia"/>
          <w:b/>
          <w:bCs/>
          <w:i w:val="0"/>
          <w:iCs w:val="0"/>
          <w:color w:val="000000"/>
          <w:spacing w:val="0"/>
          <w:w w:val="100"/>
          <w:sz w:val="28"/>
          <w:szCs w:val="28"/>
          <w:vertAlign w:val="baseline"/>
        </w:rPr>
      </w:pPr>
      <w:r>
        <w:rPr>
          <w:rFonts w:hint="eastAsia" w:asciiTheme="minorEastAsia" w:hAnsiTheme="minorEastAsia" w:eastAsiaTheme="minorEastAsia" w:cstheme="minorEastAsia"/>
          <w:b/>
          <w:bCs/>
          <w:i w:val="0"/>
          <w:iCs w:val="0"/>
          <w:color w:val="000000"/>
          <w:spacing w:val="0"/>
          <w:w w:val="100"/>
          <w:sz w:val="28"/>
          <w:szCs w:val="28"/>
          <w:vertAlign w:val="baseline"/>
        </w:rPr>
        <w:br w:type="page"/>
      </w:r>
    </w:p>
    <w:p w14:paraId="4F3FDEAA">
      <w:pPr>
        <w:pStyle w:val="23"/>
        <w:keepNext w:val="0"/>
        <w:keepLines w:val="0"/>
        <w:widowControl/>
        <w:suppressLineNumbers w:val="0"/>
        <w:spacing w:before="0" w:beforeAutospacing="0" w:after="0" w:afterAutospacing="0" w:line="23" w:lineRule="atLeast"/>
        <w:ind w:left="0" w:right="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b/>
          <w:bCs/>
          <w:i w:val="0"/>
          <w:iCs w:val="0"/>
          <w:color w:val="000000"/>
          <w:spacing w:val="0"/>
          <w:w w:val="100"/>
          <w:sz w:val="28"/>
          <w:szCs w:val="28"/>
          <w:vertAlign w:val="baseline"/>
        </w:rPr>
        <w:t>温馨提示：</w:t>
      </w:r>
    </w:p>
    <w:p w14:paraId="4AC66DBE">
      <w:pPr>
        <w:pStyle w:val="23"/>
        <w:keepNext w:val="0"/>
        <w:keepLines w:val="0"/>
        <w:widowControl/>
        <w:suppressLineNumbers w:val="0"/>
        <w:spacing w:before="0" w:beforeAutospacing="0" w:after="0" w:afterAutospacing="0" w:line="23" w:lineRule="atLeast"/>
        <w:ind w:left="0" w:right="0" w:firstLine="42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bCs/>
          <w:i w:val="0"/>
          <w:iCs w:val="0"/>
          <w:color w:val="auto"/>
          <w:spacing w:val="0"/>
          <w:w w:val="100"/>
          <w:sz w:val="28"/>
          <w:szCs w:val="28"/>
          <w:vertAlign w:val="baseline"/>
        </w:rPr>
        <w:t>本项目为全流程电子化交易项目，请注意以下事项。</w:t>
      </w:r>
    </w:p>
    <w:p w14:paraId="03143769">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val="0"/>
          <w:bCs w:val="0"/>
          <w:i w:val="0"/>
          <w:iCs w:val="0"/>
          <w:color w:val="auto"/>
          <w:spacing w:val="0"/>
          <w:w w:val="100"/>
          <w:sz w:val="21"/>
          <w:szCs w:val="21"/>
          <w:vertAlign w:val="baseline"/>
          <w:lang w:val="en-US" w:eastAsia="zh-CN"/>
        </w:rPr>
        <w:t>1.</w:t>
      </w:r>
      <w:r>
        <w:rPr>
          <w:rFonts w:hint="eastAsia" w:asciiTheme="minorEastAsia" w:hAnsiTheme="minorEastAsia" w:eastAsiaTheme="minorEastAsia" w:cstheme="minorEastAsia"/>
          <w:b w:val="0"/>
          <w:bCs w:val="0"/>
          <w:i w:val="0"/>
          <w:iCs w:val="0"/>
          <w:color w:val="auto"/>
          <w:spacing w:val="0"/>
          <w:w w:val="100"/>
          <w:sz w:val="21"/>
          <w:szCs w:val="21"/>
          <w:vertAlign w:val="baseline"/>
        </w:rPr>
        <w:t>供应商参加本项目投标，需提前自行联系CA数字证书</w:t>
      </w:r>
      <w:r>
        <w:rPr>
          <w:rFonts w:hint="eastAsia" w:asciiTheme="minorEastAsia" w:hAnsiTheme="minorEastAsia" w:eastAsiaTheme="minorEastAsia" w:cstheme="minorEastAsia"/>
          <w:b w:val="0"/>
          <w:bCs w:val="0"/>
          <w:i w:val="0"/>
          <w:iCs w:val="0"/>
          <w:color w:val="auto"/>
          <w:spacing w:val="0"/>
          <w:w w:val="100"/>
          <w:sz w:val="21"/>
          <w:szCs w:val="21"/>
          <w:shd w:val="clear" w:color="auto" w:fill="FFFFFF"/>
          <w:vertAlign w:val="baseline"/>
        </w:rPr>
        <w:t>或移动数字证书</w:t>
      </w:r>
      <w:r>
        <w:rPr>
          <w:rFonts w:hint="eastAsia" w:asciiTheme="minorEastAsia" w:hAnsiTheme="minorEastAsia" w:eastAsiaTheme="minorEastAsia" w:cstheme="minorEastAsia"/>
          <w:b w:val="0"/>
          <w:bCs w:val="0"/>
          <w:i w:val="0"/>
          <w:iCs w:val="0"/>
          <w:color w:val="auto"/>
          <w:spacing w:val="0"/>
          <w:w w:val="100"/>
          <w:sz w:val="21"/>
          <w:szCs w:val="21"/>
          <w:vertAlign w:val="baseline"/>
        </w:rPr>
        <w:t>服务机构办理数字认证证书并进行电子签章。</w:t>
      </w:r>
    </w:p>
    <w:p w14:paraId="429DD740">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b w:val="0"/>
          <w:bCs w:val="0"/>
          <w:i w:val="0"/>
          <w:iCs w:val="0"/>
          <w:color w:val="auto"/>
          <w:spacing w:val="0"/>
          <w:w w:val="100"/>
          <w:sz w:val="21"/>
          <w:szCs w:val="21"/>
          <w:vertAlign w:val="baseline"/>
          <w:lang w:val="en-US" w:eastAsia="zh-CN"/>
        </w:rPr>
      </w:pPr>
      <w:r>
        <w:rPr>
          <w:rFonts w:hint="eastAsia" w:asciiTheme="minorEastAsia" w:hAnsiTheme="minorEastAsia" w:eastAsiaTheme="minorEastAsia" w:cstheme="minorEastAsia"/>
          <w:b w:val="0"/>
          <w:bCs w:val="0"/>
          <w:i w:val="0"/>
          <w:iCs w:val="0"/>
          <w:color w:val="auto"/>
          <w:spacing w:val="0"/>
          <w:w w:val="100"/>
          <w:sz w:val="21"/>
          <w:szCs w:val="21"/>
          <w:vertAlign w:val="baseline"/>
          <w:lang w:val="en-US" w:eastAsia="zh-CN"/>
        </w:rPr>
        <w:t>2.谈判文件下载、响应文件制作、提交、远程不见面开标（电子投标文件的解密）环节，供应商须使用同一个CA数字证书或移动数字证书（证书须在有效期内并可正常使用）。</w:t>
      </w:r>
    </w:p>
    <w:p w14:paraId="0E1ABD9C">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both"/>
        <w:textAlignment w:val="auto"/>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bCs/>
          <w:i w:val="0"/>
          <w:iCs w:val="0"/>
          <w:color w:val="auto"/>
          <w:spacing w:val="0"/>
          <w:w w:val="100"/>
          <w:sz w:val="21"/>
          <w:szCs w:val="21"/>
          <w:vertAlign w:val="baseline"/>
        </w:rPr>
        <w:t>3.电子响应文件的制作</w:t>
      </w:r>
    </w:p>
    <w:p w14:paraId="0D11170A">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val="0"/>
          <w:bCs w:val="0"/>
          <w:i w:val="0"/>
          <w:iCs w:val="0"/>
          <w:color w:val="auto"/>
          <w:spacing w:val="0"/>
          <w:w w:val="100"/>
          <w:sz w:val="21"/>
          <w:szCs w:val="21"/>
          <w:vertAlign w:val="baseline"/>
          <w:lang w:val="en-US" w:eastAsia="zh-CN"/>
        </w:rPr>
        <w:t>3.1</w:t>
      </w:r>
      <w:r>
        <w:rPr>
          <w:rFonts w:hint="eastAsia" w:asciiTheme="minorEastAsia" w:hAnsiTheme="minorEastAsia" w:eastAsiaTheme="minorEastAsia" w:cstheme="minorEastAsia"/>
          <w:b w:val="0"/>
          <w:bCs w:val="0"/>
          <w:i w:val="0"/>
          <w:iCs w:val="0"/>
          <w:color w:val="auto"/>
          <w:spacing w:val="0"/>
          <w:w w:val="100"/>
          <w:sz w:val="21"/>
          <w:szCs w:val="21"/>
          <w:vertAlign w:val="baseline"/>
        </w:rPr>
        <w:t>供应商登录“</w:t>
      </w:r>
      <w:r>
        <w:rPr>
          <w:rFonts w:hint="eastAsia" w:asciiTheme="minorEastAsia" w:hAnsiTheme="minorEastAsia" w:eastAsiaTheme="minorEastAsia" w:cstheme="minorEastAsia"/>
          <w:b w:val="0"/>
          <w:bCs w:val="0"/>
          <w:i w:val="0"/>
          <w:iCs w:val="0"/>
          <w:color w:val="auto"/>
          <w:spacing w:val="0"/>
          <w:w w:val="100"/>
          <w:sz w:val="21"/>
          <w:szCs w:val="21"/>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auto"/>
          <w:spacing w:val="0"/>
          <w:w w:val="100"/>
          <w:sz w:val="21"/>
          <w:szCs w:val="21"/>
          <w:vertAlign w:val="baseline"/>
        </w:rPr>
        <w:t>下载</w:t>
      </w:r>
      <w:r>
        <w:rPr>
          <w:rFonts w:hint="eastAsia" w:asciiTheme="minorEastAsia" w:hAnsiTheme="minorEastAsia" w:eastAsiaTheme="minorEastAsia" w:cstheme="minorEastAsia"/>
          <w:b w:val="0"/>
          <w:bCs w:val="0"/>
          <w:i w:val="0"/>
          <w:iCs w:val="0"/>
          <w:color w:val="auto"/>
          <w:spacing w:val="0"/>
          <w:w w:val="100"/>
          <w:sz w:val="21"/>
          <w:szCs w:val="21"/>
          <w:shd w:val="clear" w:color="auto" w:fill="FFFFFF"/>
          <w:vertAlign w:val="baseline"/>
        </w:rPr>
        <w:t>“新点投标文件制作软件（河南省版）”的最新版本制作电子响应文件</w:t>
      </w:r>
      <w:r>
        <w:rPr>
          <w:rFonts w:hint="eastAsia" w:asciiTheme="minorEastAsia" w:hAnsiTheme="minorEastAsia" w:eastAsiaTheme="minorEastAsia" w:cstheme="minorEastAsia"/>
          <w:b w:val="0"/>
          <w:bCs w:val="0"/>
          <w:i w:val="0"/>
          <w:iCs w:val="0"/>
          <w:color w:val="auto"/>
          <w:spacing w:val="0"/>
          <w:w w:val="100"/>
          <w:sz w:val="21"/>
          <w:szCs w:val="21"/>
          <w:vertAlign w:val="baseline"/>
        </w:rPr>
        <w:t>。</w:t>
      </w:r>
    </w:p>
    <w:p w14:paraId="41F537E2">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val="0"/>
          <w:bCs w:val="0"/>
          <w:i w:val="0"/>
          <w:iCs w:val="0"/>
          <w:color w:val="auto"/>
          <w:spacing w:val="0"/>
          <w:w w:val="100"/>
          <w:sz w:val="21"/>
          <w:szCs w:val="21"/>
          <w:vertAlign w:val="baseline"/>
          <w:lang w:val="en-US" w:eastAsia="zh-CN"/>
        </w:rPr>
        <w:t>3.2</w:t>
      </w:r>
      <w:r>
        <w:rPr>
          <w:rFonts w:hint="eastAsia" w:asciiTheme="minorEastAsia" w:hAnsiTheme="minorEastAsia" w:eastAsiaTheme="minorEastAsia" w:cstheme="minorEastAsia"/>
          <w:b w:val="0"/>
          <w:bCs w:val="0"/>
          <w:i w:val="0"/>
          <w:iCs w:val="0"/>
          <w:color w:val="auto"/>
          <w:spacing w:val="0"/>
          <w:w w:val="100"/>
          <w:sz w:val="21"/>
          <w:szCs w:val="21"/>
          <w:vertAlign w:val="baseline"/>
        </w:rPr>
        <w:t>供应商对同一项目多个标段进行响应的，应分别下载所投标段的</w:t>
      </w:r>
      <w:r>
        <w:rPr>
          <w:rFonts w:hint="eastAsia" w:asciiTheme="minorEastAsia" w:hAnsiTheme="minorEastAsia" w:eastAsiaTheme="minorEastAsia" w:cstheme="minorEastAsia"/>
          <w:b w:val="0"/>
          <w:bCs w:val="0"/>
          <w:i w:val="0"/>
          <w:iCs w:val="0"/>
          <w:color w:val="auto"/>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auto"/>
          <w:spacing w:val="0"/>
          <w:w w:val="100"/>
          <w:sz w:val="21"/>
          <w:szCs w:val="21"/>
          <w:vertAlign w:val="baseline"/>
        </w:rPr>
        <w:t>文件，按标段制作响应文件。一个标段对应生成2份电子响应文件（后缀格式为.XCSTF和.nXCSTF）,其中后缀格式为“.XCSTF”的加密电子响应文件用于上传至交易系统中投标。</w:t>
      </w:r>
    </w:p>
    <w:p w14:paraId="2D69AFAD">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2" w:firstLineChars="200"/>
        <w:jc w:val="both"/>
        <w:textAlignment w:val="auto"/>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bCs/>
          <w:i w:val="0"/>
          <w:iCs w:val="0"/>
          <w:color w:val="auto"/>
          <w:spacing w:val="0"/>
          <w:w w:val="100"/>
          <w:sz w:val="21"/>
          <w:szCs w:val="21"/>
          <w:vertAlign w:val="baseline"/>
          <w:lang w:val="en-US" w:eastAsia="zh-CN"/>
        </w:rPr>
        <w:t>4.</w:t>
      </w:r>
      <w:r>
        <w:rPr>
          <w:rFonts w:hint="eastAsia" w:asciiTheme="minorEastAsia" w:hAnsiTheme="minorEastAsia" w:eastAsiaTheme="minorEastAsia" w:cstheme="minorEastAsia"/>
          <w:b/>
          <w:bCs/>
          <w:i w:val="0"/>
          <w:iCs w:val="0"/>
          <w:color w:val="auto"/>
          <w:spacing w:val="0"/>
          <w:w w:val="100"/>
          <w:sz w:val="21"/>
          <w:szCs w:val="21"/>
          <w:vertAlign w:val="baseline"/>
        </w:rPr>
        <w:t>加密电子响应文件的提交</w:t>
      </w:r>
    </w:p>
    <w:p w14:paraId="00C7C751">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val="0"/>
          <w:bCs w:val="0"/>
          <w:i w:val="0"/>
          <w:iCs w:val="0"/>
          <w:color w:val="auto"/>
          <w:spacing w:val="0"/>
          <w:w w:val="100"/>
          <w:sz w:val="21"/>
          <w:szCs w:val="21"/>
          <w:vertAlign w:val="baseline"/>
          <w:lang w:val="en-US" w:eastAsia="zh-CN"/>
        </w:rPr>
        <w:t>4.1</w:t>
      </w:r>
      <w:r>
        <w:rPr>
          <w:rFonts w:hint="eastAsia" w:asciiTheme="minorEastAsia" w:hAnsiTheme="minorEastAsia" w:eastAsiaTheme="minorEastAsia" w:cstheme="minorEastAsia"/>
          <w:b w:val="0"/>
          <w:bCs w:val="0"/>
          <w:i w:val="0"/>
          <w:iCs w:val="0"/>
          <w:color w:val="auto"/>
          <w:spacing w:val="0"/>
          <w:w w:val="100"/>
          <w:sz w:val="21"/>
          <w:szCs w:val="21"/>
          <w:vertAlign w:val="baseline"/>
        </w:rPr>
        <w:t>供应商对同一项目多个标段进行响应的，加密电子响应文件应按标段分别提交。</w:t>
      </w:r>
    </w:p>
    <w:p w14:paraId="624EC204">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val="0"/>
          <w:bCs w:val="0"/>
          <w:i w:val="0"/>
          <w:iCs w:val="0"/>
          <w:color w:val="auto"/>
          <w:spacing w:val="0"/>
          <w:w w:val="100"/>
          <w:sz w:val="21"/>
          <w:szCs w:val="21"/>
          <w:vertAlign w:val="baseline"/>
          <w:lang w:val="en-US" w:eastAsia="zh-CN"/>
        </w:rPr>
        <w:t>4.2</w:t>
      </w:r>
      <w:r>
        <w:rPr>
          <w:rFonts w:hint="eastAsia" w:asciiTheme="minorEastAsia" w:hAnsiTheme="minorEastAsia" w:eastAsiaTheme="minorEastAsia" w:cstheme="minorEastAsia"/>
          <w:b w:val="0"/>
          <w:bCs w:val="0"/>
          <w:i w:val="0"/>
          <w:iCs w:val="0"/>
          <w:color w:val="auto"/>
          <w:spacing w:val="0"/>
          <w:w w:val="100"/>
          <w:sz w:val="21"/>
          <w:szCs w:val="21"/>
          <w:vertAlign w:val="baseline"/>
        </w:rPr>
        <w:t>加密电子响应文件成功上传至“</w:t>
      </w:r>
      <w:r>
        <w:rPr>
          <w:rFonts w:hint="eastAsia" w:asciiTheme="minorEastAsia" w:hAnsiTheme="minorEastAsia" w:eastAsiaTheme="minorEastAsia" w:cstheme="minorEastAsia"/>
          <w:b w:val="0"/>
          <w:bCs w:val="0"/>
          <w:i w:val="0"/>
          <w:iCs w:val="0"/>
          <w:color w:val="auto"/>
          <w:spacing w:val="0"/>
          <w:w w:val="100"/>
          <w:sz w:val="21"/>
          <w:szCs w:val="21"/>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auto"/>
          <w:spacing w:val="0"/>
          <w:w w:val="100"/>
          <w:sz w:val="21"/>
          <w:szCs w:val="21"/>
          <w:vertAlign w:val="baseline"/>
        </w:rPr>
        <w:t>后，应在上传页面进行模拟解密，以验证是否能够成功解密。</w:t>
      </w:r>
    </w:p>
    <w:p w14:paraId="3EB0CFE2">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both"/>
        <w:textAlignment w:val="auto"/>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bCs/>
          <w:i w:val="0"/>
          <w:iCs w:val="0"/>
          <w:color w:val="auto"/>
          <w:spacing w:val="0"/>
          <w:w w:val="100"/>
          <w:sz w:val="21"/>
          <w:szCs w:val="21"/>
          <w:vertAlign w:val="baseline"/>
          <w:lang w:val="en-US" w:eastAsia="zh-CN"/>
        </w:rPr>
        <w:t>5.</w:t>
      </w:r>
      <w:r>
        <w:rPr>
          <w:rFonts w:hint="eastAsia" w:asciiTheme="minorEastAsia" w:hAnsiTheme="minorEastAsia" w:eastAsiaTheme="minorEastAsia" w:cstheme="minorEastAsia"/>
          <w:b/>
          <w:bCs/>
          <w:i w:val="0"/>
          <w:iCs w:val="0"/>
          <w:color w:val="auto"/>
          <w:spacing w:val="0"/>
          <w:w w:val="100"/>
          <w:sz w:val="21"/>
          <w:szCs w:val="21"/>
          <w:vertAlign w:val="baseline"/>
        </w:rPr>
        <w:t>远程不见面开标（电子响应文件的解密）</w:t>
      </w:r>
    </w:p>
    <w:p w14:paraId="053D1017">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val="0"/>
          <w:bCs w:val="0"/>
          <w:i w:val="0"/>
          <w:iCs w:val="0"/>
          <w:color w:val="auto"/>
          <w:spacing w:val="0"/>
          <w:w w:val="100"/>
          <w:sz w:val="21"/>
          <w:szCs w:val="21"/>
          <w:vertAlign w:val="baseline"/>
          <w:lang w:val="en-US" w:eastAsia="zh-CN"/>
        </w:rPr>
        <w:t>5.1</w:t>
      </w:r>
      <w:r>
        <w:rPr>
          <w:rFonts w:hint="eastAsia" w:asciiTheme="minorEastAsia" w:hAnsiTheme="minorEastAsia" w:eastAsiaTheme="minorEastAsia" w:cstheme="minorEastAsia"/>
          <w:b w:val="0"/>
          <w:bCs w:val="0"/>
          <w:i w:val="0"/>
          <w:iCs w:val="0"/>
          <w:color w:val="auto"/>
          <w:spacing w:val="0"/>
          <w:w w:val="100"/>
          <w:sz w:val="21"/>
          <w:szCs w:val="21"/>
          <w:vertAlign w:val="baseline"/>
        </w:rPr>
        <w:t>本项目采用远程不见面开标方式，投标前请详细阅读“</w:t>
      </w:r>
      <w:r>
        <w:rPr>
          <w:rFonts w:hint="eastAsia" w:asciiTheme="minorEastAsia" w:hAnsiTheme="minorEastAsia" w:eastAsiaTheme="minorEastAsia" w:cstheme="minorEastAsia"/>
          <w:b w:val="0"/>
          <w:bCs w:val="0"/>
          <w:i w:val="0"/>
          <w:iCs w:val="0"/>
          <w:color w:val="auto"/>
          <w:spacing w:val="0"/>
          <w:w w:val="100"/>
          <w:sz w:val="21"/>
          <w:szCs w:val="21"/>
          <w:shd w:val="clear" w:color="auto" w:fill="FFFFFF"/>
          <w:vertAlign w:val="baseline"/>
        </w:rPr>
        <w:t>全国公共资源交易平台（河南省·许昌市）”的</w:t>
      </w:r>
      <w:r>
        <w:rPr>
          <w:rFonts w:hint="eastAsia" w:asciiTheme="minorEastAsia" w:hAnsiTheme="minorEastAsia" w:eastAsiaTheme="minorEastAsia" w:cstheme="minorEastAsia"/>
          <w:b w:val="0"/>
          <w:bCs w:val="0"/>
          <w:i w:val="0"/>
          <w:iCs w:val="0"/>
          <w:color w:val="auto"/>
          <w:spacing w:val="0"/>
          <w:w w:val="100"/>
          <w:sz w:val="21"/>
          <w:szCs w:val="21"/>
          <w:vertAlign w:val="baseline"/>
        </w:rPr>
        <w:t>“服务指南”栏目下《必看！新交易平台使用手册》中的相关内容。</w:t>
      </w:r>
    </w:p>
    <w:p w14:paraId="770CE917">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val="0"/>
          <w:bCs w:val="0"/>
          <w:i w:val="0"/>
          <w:iCs w:val="0"/>
          <w:color w:val="auto"/>
          <w:spacing w:val="0"/>
          <w:w w:val="100"/>
          <w:sz w:val="21"/>
          <w:szCs w:val="21"/>
          <w:vertAlign w:val="baseline"/>
          <w:lang w:val="en-US" w:eastAsia="zh-CN"/>
        </w:rPr>
        <w:t>5.2</w:t>
      </w:r>
      <w:r>
        <w:rPr>
          <w:rFonts w:hint="eastAsia" w:asciiTheme="minorEastAsia" w:hAnsiTheme="minorEastAsia" w:eastAsiaTheme="minorEastAsia" w:cstheme="minorEastAsia"/>
          <w:b w:val="0"/>
          <w:bCs w:val="0"/>
          <w:i w:val="0"/>
          <w:iCs w:val="0"/>
          <w:color w:val="auto"/>
          <w:spacing w:val="0"/>
          <w:w w:val="100"/>
          <w:sz w:val="21"/>
          <w:szCs w:val="21"/>
          <w:vertAlign w:val="baseline"/>
        </w:rPr>
        <w:t>供应商应按新交易平台使用手册提前设置好浏览器，并于开标时间前登录本项目网上开标大厅，按照规定的开标时间准时参加网上开标。</w:t>
      </w:r>
    </w:p>
    <w:p w14:paraId="5CEC0DDC">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val="0"/>
          <w:bCs w:val="0"/>
          <w:i w:val="0"/>
          <w:iCs w:val="0"/>
          <w:color w:val="auto"/>
          <w:spacing w:val="0"/>
          <w:w w:val="100"/>
          <w:sz w:val="21"/>
          <w:szCs w:val="21"/>
          <w:vertAlign w:val="baseline"/>
          <w:lang w:val="en-US" w:eastAsia="zh-CN"/>
        </w:rPr>
        <w:t>5.3</w:t>
      </w:r>
      <w:r>
        <w:rPr>
          <w:rFonts w:hint="eastAsia" w:asciiTheme="minorEastAsia" w:hAnsiTheme="minorEastAsia" w:eastAsiaTheme="minorEastAsia" w:cstheme="minorEastAsia"/>
          <w:b w:val="0"/>
          <w:bCs w:val="0"/>
          <w:i w:val="0"/>
          <w:iCs w:val="0"/>
          <w:color w:val="auto"/>
          <w:spacing w:val="0"/>
          <w:w w:val="100"/>
          <w:sz w:val="21"/>
          <w:szCs w:val="21"/>
          <w:vertAlign w:val="baseline"/>
        </w:rPr>
        <w:t>根据开标大厅界面右侧“公告栏”中的系统提示，供应商应在“标书解密”环节完成解密操作。供应商未解密或因供应商原因解密失败的，其响应文件将被退回。</w:t>
      </w:r>
    </w:p>
    <w:p w14:paraId="6ACE98B4">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val="0"/>
          <w:bCs w:val="0"/>
          <w:i w:val="0"/>
          <w:iCs w:val="0"/>
          <w:color w:val="auto"/>
          <w:spacing w:val="0"/>
          <w:w w:val="100"/>
          <w:sz w:val="21"/>
          <w:szCs w:val="21"/>
          <w:vertAlign w:val="baseline"/>
          <w:lang w:val="en-US" w:eastAsia="zh-CN"/>
        </w:rPr>
        <w:t>5.4</w:t>
      </w:r>
      <w:r>
        <w:rPr>
          <w:rFonts w:hint="eastAsia" w:asciiTheme="minorEastAsia" w:hAnsiTheme="minorEastAsia" w:eastAsiaTheme="minorEastAsia" w:cstheme="minorEastAsia"/>
          <w:b w:val="0"/>
          <w:bCs w:val="0"/>
          <w:i w:val="0"/>
          <w:iCs w:val="0"/>
          <w:color w:val="auto"/>
          <w:spacing w:val="0"/>
          <w:w w:val="100"/>
          <w:sz w:val="21"/>
          <w:szCs w:val="21"/>
          <w:vertAlign w:val="baseline"/>
        </w:rPr>
        <w:t>在“唱标”环节，供应商应对唱标信息进行确认，供应商未进行唱标确认操作的，视同认可唱标结果。</w:t>
      </w:r>
    </w:p>
    <w:p w14:paraId="158408D9">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Theme="minorEastAsia" w:hAnsiTheme="minorEastAsia" w:eastAsiaTheme="minorEastAsia" w:cstheme="minorEastAsia"/>
          <w:b w:val="0"/>
          <w:bCs w:val="0"/>
          <w:i w:val="0"/>
          <w:iCs w:val="0"/>
          <w:color w:val="auto"/>
          <w:spacing w:val="0"/>
          <w:w w:val="100"/>
          <w:sz w:val="21"/>
          <w:szCs w:val="21"/>
          <w:vertAlign w:val="baseline"/>
        </w:rPr>
      </w:pPr>
      <w:r>
        <w:rPr>
          <w:rFonts w:hint="eastAsia" w:asciiTheme="minorEastAsia" w:hAnsiTheme="minorEastAsia" w:eastAsiaTheme="minorEastAsia" w:cstheme="minorEastAsia"/>
          <w:b w:val="0"/>
          <w:bCs w:val="0"/>
          <w:i w:val="0"/>
          <w:iCs w:val="0"/>
          <w:color w:val="auto"/>
          <w:spacing w:val="0"/>
          <w:w w:val="100"/>
          <w:sz w:val="21"/>
          <w:szCs w:val="21"/>
          <w:vertAlign w:val="baseline"/>
          <w:lang w:val="en-US" w:eastAsia="zh-CN"/>
        </w:rPr>
        <w:t>5.5</w:t>
      </w:r>
      <w:r>
        <w:rPr>
          <w:rFonts w:hint="eastAsia" w:asciiTheme="minorEastAsia" w:hAnsiTheme="minorEastAsia" w:eastAsiaTheme="minorEastAsia" w:cstheme="minorEastAsia"/>
          <w:b w:val="0"/>
          <w:bCs w:val="0"/>
          <w:i w:val="0"/>
          <w:iCs w:val="0"/>
          <w:color w:val="auto"/>
          <w:spacing w:val="0"/>
          <w:w w:val="100"/>
          <w:sz w:val="21"/>
          <w:szCs w:val="21"/>
          <w:vertAlign w:val="baseline"/>
        </w:rPr>
        <w:t>在“开标结束”环节，供应商应在《开标情况记录表》上进行电子签章。供应商未签章的，视同认可开标结果。</w:t>
      </w:r>
    </w:p>
    <w:p w14:paraId="10A9B61D">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1" w:right="0" w:hanging="425"/>
        <w:jc w:val="both"/>
        <w:textAlignment w:val="auto"/>
        <w:rPr>
          <w:rFonts w:hint="eastAsia" w:asciiTheme="minorEastAsia" w:hAnsiTheme="minorEastAsia" w:eastAsiaTheme="minorEastAsia" w:cstheme="minorEastAsia"/>
          <w:b w:val="0"/>
          <w:bCs w:val="0"/>
          <w:i w:val="0"/>
          <w:iCs w:val="0"/>
          <w:color w:val="auto"/>
          <w:spacing w:val="0"/>
          <w:w w:val="100"/>
          <w:sz w:val="21"/>
          <w:szCs w:val="21"/>
          <w:vertAlign w:val="baseline"/>
        </w:rPr>
      </w:pPr>
    </w:p>
    <w:p w14:paraId="7B4CC513">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val="0"/>
          <w:bCs w:val="0"/>
          <w:i w:val="0"/>
          <w:iCs w:val="0"/>
          <w:color w:val="auto"/>
          <w:spacing w:val="0"/>
          <w:w w:val="100"/>
          <w:sz w:val="21"/>
          <w:szCs w:val="21"/>
          <w:vertAlign w:val="baseline"/>
          <w:lang w:val="en-US" w:eastAsia="zh-CN"/>
        </w:rPr>
        <w:t>5.6</w:t>
      </w:r>
      <w:r>
        <w:rPr>
          <w:rFonts w:hint="eastAsia" w:asciiTheme="minorEastAsia" w:hAnsiTheme="minorEastAsia" w:eastAsiaTheme="minorEastAsia" w:cstheme="minorEastAsia"/>
          <w:b w:val="0"/>
          <w:bCs w:val="0"/>
          <w:i w:val="0"/>
          <w:iCs w:val="0"/>
          <w:color w:val="auto"/>
          <w:spacing w:val="0"/>
          <w:w w:val="100"/>
          <w:sz w:val="21"/>
          <w:szCs w:val="21"/>
          <w:vertAlign w:val="baseline"/>
        </w:rPr>
        <w:t>供应商对开标过程和开标记录如有异议，可在本项目开标大厅界面右下方“发起异议”中提出提出异议。</w:t>
      </w:r>
    </w:p>
    <w:p w14:paraId="19F64441">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both"/>
        <w:textAlignment w:val="auto"/>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6.</w:t>
      </w: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b/>
          <w:bCs/>
          <w:i w:val="0"/>
          <w:iCs w:val="0"/>
          <w:color w:val="auto"/>
          <w:spacing w:val="0"/>
          <w:w w:val="100"/>
          <w:sz w:val="21"/>
          <w:szCs w:val="21"/>
          <w:vertAlign w:val="baseline"/>
        </w:rPr>
        <w:t>评标依据</w:t>
      </w:r>
    </w:p>
    <w:p w14:paraId="237BF0BC">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val="0"/>
          <w:bCs w:val="0"/>
          <w:i w:val="0"/>
          <w:iCs w:val="0"/>
          <w:color w:val="auto"/>
          <w:spacing w:val="0"/>
          <w:w w:val="100"/>
          <w:sz w:val="21"/>
          <w:szCs w:val="21"/>
          <w:vertAlign w:val="baseline"/>
          <w:lang w:val="en-US" w:eastAsia="zh-CN"/>
        </w:rPr>
        <w:t>6.1</w:t>
      </w:r>
      <w:r>
        <w:rPr>
          <w:rFonts w:hint="eastAsia" w:asciiTheme="minorEastAsia" w:hAnsiTheme="minorEastAsia" w:eastAsiaTheme="minorEastAsia" w:cstheme="minorEastAsia"/>
          <w:b w:val="0"/>
          <w:bCs w:val="0"/>
          <w:i w:val="0"/>
          <w:iCs w:val="0"/>
          <w:color w:val="auto"/>
          <w:spacing w:val="0"/>
          <w:w w:val="100"/>
          <w:sz w:val="21"/>
          <w:szCs w:val="21"/>
          <w:vertAlign w:val="baseline"/>
        </w:rPr>
        <w:t>全流程电子化交易（不见面开标）项目，</w:t>
      </w:r>
      <w:r>
        <w:rPr>
          <w:rFonts w:hint="eastAsia" w:asciiTheme="minorEastAsia" w:hAnsiTheme="minorEastAsia" w:eastAsiaTheme="minorEastAsia" w:cstheme="minorEastAsia"/>
          <w:b w:val="0"/>
          <w:bCs w:val="0"/>
          <w:i w:val="0"/>
          <w:iCs w:val="0"/>
          <w:color w:val="auto"/>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auto"/>
          <w:spacing w:val="0"/>
          <w:w w:val="100"/>
          <w:sz w:val="21"/>
          <w:szCs w:val="21"/>
          <w:vertAlign w:val="baseline"/>
        </w:rPr>
        <w:t>小组以成功上传、解密的电子响应文件为评审依据。</w:t>
      </w:r>
    </w:p>
    <w:p w14:paraId="3A204B19">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val="0"/>
          <w:bCs w:val="0"/>
          <w:i w:val="0"/>
          <w:iCs w:val="0"/>
          <w:color w:val="auto"/>
          <w:spacing w:val="0"/>
          <w:w w:val="100"/>
          <w:sz w:val="21"/>
          <w:szCs w:val="21"/>
          <w:vertAlign w:val="baseline"/>
          <w:lang w:val="en-US" w:eastAsia="zh-CN"/>
        </w:rPr>
        <w:t>6.2</w:t>
      </w:r>
      <w:r>
        <w:rPr>
          <w:rFonts w:hint="eastAsia" w:asciiTheme="minorEastAsia" w:hAnsiTheme="minorEastAsia" w:eastAsiaTheme="minorEastAsia" w:cstheme="minorEastAsia"/>
          <w:b w:val="0"/>
          <w:bCs w:val="0"/>
          <w:i w:val="0"/>
          <w:iCs w:val="0"/>
          <w:color w:val="auto"/>
          <w:spacing w:val="0"/>
          <w:w w:val="100"/>
          <w:sz w:val="21"/>
          <w:szCs w:val="21"/>
          <w:vertAlign w:val="baseline"/>
        </w:rPr>
        <w:t>评审期间，供应商（参加</w:t>
      </w:r>
      <w:r>
        <w:rPr>
          <w:rFonts w:hint="eastAsia" w:asciiTheme="minorEastAsia" w:hAnsiTheme="minorEastAsia" w:eastAsiaTheme="minorEastAsia" w:cstheme="minorEastAsia"/>
          <w:b w:val="0"/>
          <w:bCs w:val="0"/>
          <w:i w:val="0"/>
          <w:iCs w:val="0"/>
          <w:color w:val="auto"/>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auto"/>
          <w:spacing w:val="0"/>
          <w:w w:val="100"/>
          <w:sz w:val="21"/>
          <w:szCs w:val="21"/>
          <w:vertAlign w:val="baseline"/>
        </w:rPr>
        <w:t>的法定代表人或其授权代表）应保持通讯手机畅通，并根据</w:t>
      </w:r>
      <w:r>
        <w:rPr>
          <w:rFonts w:hint="eastAsia" w:asciiTheme="minorEastAsia" w:hAnsiTheme="minorEastAsia" w:eastAsiaTheme="minorEastAsia" w:cstheme="minorEastAsia"/>
          <w:b w:val="0"/>
          <w:bCs w:val="0"/>
          <w:i w:val="0"/>
          <w:iCs w:val="0"/>
          <w:color w:val="auto"/>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auto"/>
          <w:spacing w:val="0"/>
          <w:w w:val="100"/>
          <w:sz w:val="21"/>
          <w:szCs w:val="21"/>
          <w:vertAlign w:val="baseline"/>
        </w:rPr>
        <w:t>小组要求在规定时间内提供：</w:t>
      </w:r>
    </w:p>
    <w:p w14:paraId="74A63060">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val="0"/>
          <w:bCs w:val="0"/>
          <w:i w:val="0"/>
          <w:iCs w:val="0"/>
          <w:color w:val="auto"/>
          <w:spacing w:val="0"/>
          <w:w w:val="100"/>
          <w:sz w:val="21"/>
          <w:szCs w:val="21"/>
          <w:vertAlign w:val="baseline"/>
        </w:rPr>
        <w:t>（1）最后报价（加盖公章，或者由法定代表人或其授权的代表签字）；</w:t>
      </w:r>
    </w:p>
    <w:p w14:paraId="69933653">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val="0"/>
          <w:bCs w:val="0"/>
          <w:i w:val="0"/>
          <w:iCs w:val="0"/>
          <w:color w:val="auto"/>
          <w:spacing w:val="0"/>
          <w:w w:val="100"/>
          <w:sz w:val="21"/>
          <w:szCs w:val="21"/>
          <w:vertAlign w:val="baseline"/>
        </w:rPr>
        <w:t>提交方式：供应商须使用CA数字证书</w:t>
      </w:r>
      <w:r>
        <w:rPr>
          <w:rFonts w:hint="eastAsia" w:asciiTheme="minorEastAsia" w:hAnsiTheme="minorEastAsia" w:eastAsiaTheme="minorEastAsia" w:cstheme="minorEastAsia"/>
          <w:b w:val="0"/>
          <w:bCs w:val="0"/>
          <w:i w:val="0"/>
          <w:iCs w:val="0"/>
          <w:color w:val="auto"/>
          <w:spacing w:val="0"/>
          <w:w w:val="100"/>
          <w:sz w:val="21"/>
          <w:szCs w:val="21"/>
          <w:shd w:val="clear" w:color="auto" w:fill="FFFFFF"/>
          <w:vertAlign w:val="baseline"/>
        </w:rPr>
        <w:t>或移动数字证书</w:t>
      </w:r>
      <w:r>
        <w:rPr>
          <w:rFonts w:hint="eastAsia" w:asciiTheme="minorEastAsia" w:hAnsiTheme="minorEastAsia" w:eastAsiaTheme="minorEastAsia" w:cstheme="minorEastAsia"/>
          <w:b w:val="0"/>
          <w:bCs w:val="0"/>
          <w:i w:val="0"/>
          <w:iCs w:val="0"/>
          <w:color w:val="auto"/>
          <w:spacing w:val="0"/>
          <w:w w:val="100"/>
          <w:sz w:val="21"/>
          <w:szCs w:val="21"/>
          <w:vertAlign w:val="baseline"/>
        </w:rPr>
        <w:t>登录“</w:t>
      </w:r>
      <w:r>
        <w:rPr>
          <w:rFonts w:hint="eastAsia" w:asciiTheme="minorEastAsia" w:hAnsiTheme="minorEastAsia" w:eastAsiaTheme="minorEastAsia" w:cstheme="minorEastAsia"/>
          <w:b w:val="0"/>
          <w:bCs w:val="0"/>
          <w:i w:val="0"/>
          <w:iCs w:val="0"/>
          <w:color w:val="auto"/>
          <w:spacing w:val="0"/>
          <w:w w:val="100"/>
          <w:sz w:val="21"/>
          <w:szCs w:val="21"/>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auto"/>
          <w:spacing w:val="0"/>
          <w:w w:val="100"/>
          <w:sz w:val="21"/>
          <w:szCs w:val="21"/>
          <w:vertAlign w:val="baseline"/>
        </w:rPr>
        <w:t>进行最后报价，最后报价应包括：①总报价②分项报价。</w:t>
      </w:r>
    </w:p>
    <w:p w14:paraId="557277C8">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11" w:firstLine="480" w:firstLineChars="200"/>
        <w:jc w:val="both"/>
        <w:textAlignment w:val="auto"/>
        <w:rPr>
          <w:rFonts w:hint="eastAsia" w:asciiTheme="minorEastAsia" w:hAnsiTheme="minorEastAsia" w:eastAsiaTheme="minorEastAsia" w:cstheme="minorEastAsia"/>
          <w:b w:val="0"/>
          <w:bCs w:val="0"/>
          <w:i w:val="0"/>
          <w:iCs w:val="0"/>
          <w:color w:val="auto"/>
          <w:spacing w:val="0"/>
          <w:w w:val="100"/>
          <w:sz w:val="21"/>
          <w:szCs w:val="21"/>
          <w:vertAlign w:val="baseline"/>
        </w:rPr>
      </w:pPr>
      <w:r>
        <w:rPr>
          <w:rFonts w:hint="eastAsia" w:asciiTheme="minorEastAsia" w:hAnsiTheme="minorEastAsia" w:eastAsiaTheme="minorEastAsia" w:cstheme="minorEastAsia"/>
          <w:b w:val="0"/>
          <w:bCs w:val="0"/>
          <w:i w:val="0"/>
          <w:iCs w:val="0"/>
          <w:color w:val="auto"/>
          <w:spacing w:val="0"/>
          <w:w w:val="100"/>
          <w:sz w:val="24"/>
          <w:szCs w:val="24"/>
          <w:vertAlign w:val="baseline"/>
        </w:rPr>
        <w:t>注：①</w:t>
      </w:r>
      <w:r>
        <w:rPr>
          <w:rFonts w:hint="eastAsia" w:asciiTheme="minorEastAsia" w:hAnsiTheme="minorEastAsia" w:eastAsiaTheme="minorEastAsia" w:cstheme="minorEastAsia"/>
          <w:b w:val="0"/>
          <w:bCs w:val="0"/>
          <w:i w:val="0"/>
          <w:iCs w:val="0"/>
          <w:color w:val="auto"/>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auto"/>
          <w:spacing w:val="0"/>
          <w:w w:val="100"/>
          <w:sz w:val="21"/>
          <w:szCs w:val="21"/>
          <w:vertAlign w:val="baseline"/>
        </w:rPr>
        <w:t>小组要求供应商提交最后报价时，在</w:t>
      </w:r>
      <w:r>
        <w:rPr>
          <w:rFonts w:hint="eastAsia" w:asciiTheme="minorEastAsia" w:hAnsiTheme="minorEastAsia" w:eastAsiaTheme="minorEastAsia" w:cstheme="minorEastAsia"/>
          <w:b w:val="0"/>
          <w:bCs w:val="0"/>
          <w:i w:val="0"/>
          <w:iCs w:val="0"/>
          <w:color w:val="auto"/>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auto"/>
          <w:spacing w:val="0"/>
          <w:w w:val="100"/>
          <w:sz w:val="21"/>
          <w:szCs w:val="21"/>
          <w:vertAlign w:val="baseline"/>
        </w:rPr>
        <w:t>小组规定时间内，供应商应提交最后报价（包括总报价及分项报价）。最后报价是供应商响应文件的有效组成部分。</w:t>
      </w:r>
    </w:p>
    <w:p w14:paraId="60E8651E">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11" w:firstLine="420" w:firstLineChars="200"/>
        <w:jc w:val="both"/>
        <w:textAlignment w:val="auto"/>
        <w:rPr>
          <w:rFonts w:hint="eastAsia" w:asciiTheme="minorEastAsia" w:hAnsiTheme="minorEastAsia" w:eastAsiaTheme="minorEastAsia" w:cstheme="minorEastAsia"/>
          <w:b w:val="0"/>
          <w:bCs w:val="0"/>
          <w:i w:val="0"/>
          <w:iCs w:val="0"/>
          <w:color w:val="auto"/>
          <w:spacing w:val="0"/>
          <w:w w:val="100"/>
          <w:sz w:val="21"/>
          <w:szCs w:val="21"/>
          <w:vertAlign w:val="baseline"/>
        </w:rPr>
      </w:pPr>
      <w:r>
        <w:rPr>
          <w:rFonts w:hint="eastAsia" w:asciiTheme="minorEastAsia" w:hAnsiTheme="minorEastAsia" w:eastAsiaTheme="minorEastAsia" w:cstheme="minorEastAsia"/>
          <w:b w:val="0"/>
          <w:bCs w:val="0"/>
          <w:i w:val="0"/>
          <w:iCs w:val="0"/>
          <w:color w:val="auto"/>
          <w:spacing w:val="0"/>
          <w:w w:val="100"/>
          <w:sz w:val="21"/>
          <w:szCs w:val="21"/>
          <w:vertAlign w:val="baseline"/>
        </w:rPr>
        <w:t>②</w:t>
      </w:r>
      <w:r>
        <w:rPr>
          <w:rFonts w:hint="eastAsia" w:asciiTheme="minorEastAsia" w:hAnsiTheme="minorEastAsia" w:eastAsiaTheme="minorEastAsia" w:cstheme="minorEastAsia"/>
          <w:b w:val="0"/>
          <w:bCs w:val="0"/>
          <w:i w:val="0"/>
          <w:iCs w:val="0"/>
          <w:color w:val="auto"/>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auto"/>
          <w:spacing w:val="0"/>
          <w:w w:val="100"/>
          <w:sz w:val="21"/>
          <w:szCs w:val="21"/>
          <w:vertAlign w:val="baseline"/>
        </w:rPr>
        <w:t>文件第二章“采购需求”中“采购清单”以工程量清单提供的，供应商应以工程量清单方式提交最后报价。</w:t>
      </w:r>
    </w:p>
    <w:p w14:paraId="5D736C46">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11" w:firstLine="420" w:firstLineChars="200"/>
        <w:jc w:val="both"/>
        <w:textAlignment w:val="auto"/>
        <w:outlineLvl w:val="3"/>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val="0"/>
          <w:bCs w:val="0"/>
          <w:i w:val="0"/>
          <w:iCs w:val="0"/>
          <w:color w:val="auto"/>
          <w:spacing w:val="0"/>
          <w:w w:val="100"/>
          <w:sz w:val="21"/>
          <w:szCs w:val="21"/>
          <w:vertAlign w:val="baseline"/>
        </w:rPr>
        <w:t>③请供应商根据项目情况，可提前准备分项报价。</w:t>
      </w:r>
    </w:p>
    <w:p w14:paraId="5020F932">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val="0"/>
          <w:bCs w:val="0"/>
          <w:i w:val="0"/>
          <w:iCs w:val="0"/>
          <w:color w:val="auto"/>
          <w:spacing w:val="0"/>
          <w:w w:val="100"/>
          <w:sz w:val="21"/>
          <w:szCs w:val="21"/>
          <w:vertAlign w:val="baseline"/>
        </w:rPr>
        <w:t>（2）</w:t>
      </w:r>
      <w:r>
        <w:rPr>
          <w:rFonts w:hint="eastAsia" w:asciiTheme="minorEastAsia" w:hAnsiTheme="minorEastAsia" w:eastAsiaTheme="minorEastAsia" w:cstheme="minorEastAsia"/>
          <w:b w:val="0"/>
          <w:bCs w:val="0"/>
          <w:i w:val="0"/>
          <w:iCs w:val="0"/>
          <w:color w:val="auto"/>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auto"/>
          <w:spacing w:val="0"/>
          <w:w w:val="100"/>
          <w:sz w:val="21"/>
          <w:szCs w:val="21"/>
          <w:vertAlign w:val="baseline"/>
        </w:rPr>
        <w:t>小组如要求供应商提供“澄清、说明或者更正”；“按照</w:t>
      </w:r>
      <w:r>
        <w:rPr>
          <w:rFonts w:hint="eastAsia" w:asciiTheme="minorEastAsia" w:hAnsiTheme="minorEastAsia" w:eastAsiaTheme="minorEastAsia" w:cstheme="minorEastAsia"/>
          <w:b w:val="0"/>
          <w:bCs w:val="0"/>
          <w:i w:val="0"/>
          <w:iCs w:val="0"/>
          <w:color w:val="auto"/>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auto"/>
          <w:spacing w:val="0"/>
          <w:w w:val="100"/>
          <w:sz w:val="21"/>
          <w:szCs w:val="21"/>
          <w:vertAlign w:val="baseline"/>
        </w:rPr>
        <w:t>文件的变动情况和</w:t>
      </w:r>
      <w:r>
        <w:rPr>
          <w:rFonts w:hint="eastAsia" w:asciiTheme="minorEastAsia" w:hAnsiTheme="minorEastAsia" w:eastAsiaTheme="minorEastAsia" w:cstheme="minorEastAsia"/>
          <w:b w:val="0"/>
          <w:bCs w:val="0"/>
          <w:i w:val="0"/>
          <w:iCs w:val="0"/>
          <w:color w:val="auto"/>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auto"/>
          <w:spacing w:val="0"/>
          <w:w w:val="100"/>
          <w:sz w:val="21"/>
          <w:szCs w:val="21"/>
          <w:vertAlign w:val="baseline"/>
        </w:rPr>
        <w:t>小组的要求重新提交响应文件”；“最终设计方案或解决方案”的，供应商提供的书面材料应加盖公章，或者由法定代表人或其授权的代表签字后通过电子邮件形式提供。</w:t>
      </w:r>
    </w:p>
    <w:p w14:paraId="517F7F20">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val="0"/>
          <w:bCs w:val="0"/>
          <w:i w:val="0"/>
          <w:iCs w:val="0"/>
          <w:color w:val="auto"/>
          <w:spacing w:val="0"/>
          <w:w w:val="100"/>
          <w:sz w:val="21"/>
          <w:szCs w:val="21"/>
          <w:vertAlign w:val="baseline"/>
          <w:lang w:val="en-US" w:eastAsia="zh-CN"/>
        </w:rPr>
        <w:t>6.3</w:t>
      </w:r>
      <w:r>
        <w:rPr>
          <w:rFonts w:hint="eastAsia" w:asciiTheme="minorEastAsia" w:hAnsiTheme="minorEastAsia" w:eastAsiaTheme="minorEastAsia" w:cstheme="minorEastAsia"/>
          <w:b w:val="0"/>
          <w:bCs w:val="0"/>
          <w:i w:val="0"/>
          <w:iCs w:val="0"/>
          <w:color w:val="auto"/>
          <w:spacing w:val="0"/>
          <w:w w:val="100"/>
          <w:sz w:val="21"/>
          <w:szCs w:val="21"/>
          <w:vertAlign w:val="baseline"/>
        </w:rPr>
        <w:t>如因供应商（参加</w:t>
      </w:r>
      <w:r>
        <w:rPr>
          <w:rFonts w:hint="eastAsia" w:asciiTheme="minorEastAsia" w:hAnsiTheme="minorEastAsia" w:eastAsiaTheme="minorEastAsia" w:cstheme="minorEastAsia"/>
          <w:b w:val="0"/>
          <w:bCs w:val="0"/>
          <w:i w:val="0"/>
          <w:iCs w:val="0"/>
          <w:color w:val="auto"/>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auto"/>
          <w:spacing w:val="0"/>
          <w:w w:val="100"/>
          <w:sz w:val="21"/>
          <w:szCs w:val="21"/>
          <w:vertAlign w:val="baseline"/>
        </w:rPr>
        <w:t>的法定代表人或其授权代表）未按照本项目</w:t>
      </w:r>
      <w:r>
        <w:rPr>
          <w:rFonts w:hint="eastAsia" w:asciiTheme="minorEastAsia" w:hAnsiTheme="minorEastAsia" w:eastAsiaTheme="minorEastAsia" w:cstheme="minorEastAsia"/>
          <w:b w:val="0"/>
          <w:bCs w:val="0"/>
          <w:i w:val="0"/>
          <w:iCs w:val="0"/>
          <w:color w:val="auto"/>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auto"/>
          <w:spacing w:val="0"/>
          <w:w w:val="100"/>
          <w:sz w:val="21"/>
          <w:szCs w:val="21"/>
          <w:vertAlign w:val="baseline"/>
        </w:rPr>
        <w:t>文件第八章“响应文件有关格式”二“报价一览表”要求，在响应文件中未预留手机号码或因供应商自身原因导致</w:t>
      </w:r>
      <w:r>
        <w:rPr>
          <w:rFonts w:hint="eastAsia" w:asciiTheme="minorEastAsia" w:hAnsiTheme="minorEastAsia" w:eastAsiaTheme="minorEastAsia" w:cstheme="minorEastAsia"/>
          <w:b w:val="0"/>
          <w:bCs w:val="0"/>
          <w:i w:val="0"/>
          <w:iCs w:val="0"/>
          <w:color w:val="auto"/>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auto"/>
          <w:spacing w:val="0"/>
          <w:w w:val="100"/>
          <w:sz w:val="21"/>
          <w:szCs w:val="21"/>
          <w:vertAlign w:val="baseline"/>
        </w:rPr>
        <w:t>小组无法联系供应商参加</w:t>
      </w:r>
      <w:r>
        <w:rPr>
          <w:rFonts w:hint="eastAsia" w:asciiTheme="minorEastAsia" w:hAnsiTheme="minorEastAsia" w:eastAsiaTheme="minorEastAsia" w:cstheme="minorEastAsia"/>
          <w:b w:val="0"/>
          <w:bCs w:val="0"/>
          <w:i w:val="0"/>
          <w:iCs w:val="0"/>
          <w:color w:val="auto"/>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auto"/>
          <w:spacing w:val="0"/>
          <w:w w:val="100"/>
          <w:sz w:val="21"/>
          <w:szCs w:val="21"/>
          <w:vertAlign w:val="baseline"/>
        </w:rPr>
        <w:t>最后报价）的，其风险由供应商自行承担，采购人与集中采购机构不承担任何责任。</w:t>
      </w:r>
    </w:p>
    <w:p w14:paraId="68D7A878">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7.</w:t>
      </w: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b/>
          <w:bCs/>
          <w:i w:val="0"/>
          <w:iCs w:val="0"/>
          <w:color w:val="auto"/>
          <w:spacing w:val="0"/>
          <w:w w:val="100"/>
          <w:sz w:val="21"/>
          <w:szCs w:val="21"/>
          <w:vertAlign w:val="baseline"/>
        </w:rPr>
        <w:t>相关事项</w:t>
      </w:r>
    </w:p>
    <w:p w14:paraId="41442D00">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b w:val="0"/>
          <w:bCs w:val="0"/>
          <w:i w:val="0"/>
          <w:iCs w:val="0"/>
          <w:color w:val="auto"/>
          <w:spacing w:val="0"/>
          <w:w w:val="100"/>
          <w:sz w:val="21"/>
          <w:szCs w:val="21"/>
          <w:vertAlign w:val="baseline"/>
        </w:rPr>
      </w:pPr>
      <w:r>
        <w:rPr>
          <w:rFonts w:hint="eastAsia" w:asciiTheme="minorEastAsia" w:hAnsiTheme="minorEastAsia" w:eastAsiaTheme="minorEastAsia" w:cstheme="minorEastAsia"/>
          <w:b w:val="0"/>
          <w:bCs w:val="0"/>
          <w:i w:val="0"/>
          <w:iCs w:val="0"/>
          <w:color w:val="auto"/>
          <w:spacing w:val="0"/>
          <w:w w:val="100"/>
          <w:sz w:val="21"/>
          <w:szCs w:val="21"/>
          <w:vertAlign w:val="baseline"/>
          <w:lang w:val="en-US" w:eastAsia="zh-CN"/>
        </w:rPr>
        <w:t>7.1</w:t>
      </w:r>
      <w:r>
        <w:rPr>
          <w:rFonts w:hint="eastAsia" w:asciiTheme="minorEastAsia" w:hAnsiTheme="minorEastAsia" w:eastAsiaTheme="minorEastAsia" w:cstheme="minorEastAsia"/>
          <w:b w:val="0"/>
          <w:bCs w:val="0"/>
          <w:i w:val="0"/>
          <w:iCs w:val="0"/>
          <w:color w:val="auto"/>
          <w:spacing w:val="0"/>
          <w:w w:val="100"/>
          <w:sz w:val="21"/>
          <w:szCs w:val="21"/>
          <w:vertAlign w:val="baseline"/>
        </w:rPr>
        <w:t>为使更多供应商能参加投标，本项目招标文件公告期限届满后仍允许下载</w:t>
      </w:r>
      <w:r>
        <w:rPr>
          <w:rFonts w:hint="eastAsia" w:asciiTheme="minorEastAsia" w:hAnsiTheme="minorEastAsia" w:eastAsiaTheme="minorEastAsia" w:cstheme="minorEastAsia"/>
          <w:b w:val="0"/>
          <w:bCs w:val="0"/>
          <w:i w:val="0"/>
          <w:iCs w:val="0"/>
          <w:color w:val="auto"/>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auto"/>
          <w:spacing w:val="0"/>
          <w:w w:val="100"/>
          <w:sz w:val="21"/>
          <w:szCs w:val="21"/>
          <w:vertAlign w:val="baseline"/>
        </w:rPr>
        <w:t>文件参加投标，但为提高采购效率，在公告期限届满之后下载</w:t>
      </w:r>
      <w:r>
        <w:rPr>
          <w:rFonts w:hint="eastAsia" w:asciiTheme="minorEastAsia" w:hAnsiTheme="minorEastAsia" w:eastAsiaTheme="minorEastAsia" w:cstheme="minorEastAsia"/>
          <w:b w:val="0"/>
          <w:bCs w:val="0"/>
          <w:i w:val="0"/>
          <w:iCs w:val="0"/>
          <w:color w:val="auto"/>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auto"/>
          <w:spacing w:val="0"/>
          <w:w w:val="100"/>
          <w:sz w:val="21"/>
          <w:szCs w:val="21"/>
          <w:vertAlign w:val="baseline"/>
        </w:rPr>
        <w:t>文件的，对</w:t>
      </w:r>
      <w:r>
        <w:rPr>
          <w:rFonts w:hint="eastAsia" w:asciiTheme="minorEastAsia" w:hAnsiTheme="minorEastAsia" w:eastAsiaTheme="minorEastAsia" w:cstheme="minorEastAsia"/>
          <w:b w:val="0"/>
          <w:bCs w:val="0"/>
          <w:i w:val="0"/>
          <w:iCs w:val="0"/>
          <w:color w:val="auto"/>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auto"/>
          <w:spacing w:val="0"/>
          <w:w w:val="100"/>
          <w:sz w:val="21"/>
          <w:szCs w:val="21"/>
          <w:vertAlign w:val="baseline"/>
        </w:rPr>
        <w:t>文件的质疑期限从公告期限届满之日起计算；在公告期限届满之前下载</w:t>
      </w:r>
      <w:r>
        <w:rPr>
          <w:rFonts w:hint="eastAsia" w:asciiTheme="minorEastAsia" w:hAnsiTheme="minorEastAsia" w:eastAsiaTheme="minorEastAsia" w:cstheme="minorEastAsia"/>
          <w:b w:val="0"/>
          <w:bCs w:val="0"/>
          <w:i w:val="0"/>
          <w:iCs w:val="0"/>
          <w:color w:val="auto"/>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auto"/>
          <w:spacing w:val="0"/>
          <w:w w:val="100"/>
          <w:sz w:val="21"/>
          <w:szCs w:val="21"/>
          <w:vertAlign w:val="baseline"/>
        </w:rPr>
        <w:t>文件的，对</w:t>
      </w:r>
      <w:r>
        <w:rPr>
          <w:rFonts w:hint="eastAsia" w:asciiTheme="minorEastAsia" w:hAnsiTheme="minorEastAsia" w:eastAsiaTheme="minorEastAsia" w:cstheme="minorEastAsia"/>
          <w:b w:val="0"/>
          <w:bCs w:val="0"/>
          <w:i w:val="0"/>
          <w:iCs w:val="0"/>
          <w:color w:val="auto"/>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auto"/>
          <w:spacing w:val="0"/>
          <w:w w:val="100"/>
          <w:sz w:val="21"/>
          <w:szCs w:val="21"/>
          <w:vertAlign w:val="baseline"/>
        </w:rPr>
        <w:t>文件的质疑期限从下载之日起计算。</w:t>
      </w:r>
    </w:p>
    <w:p w14:paraId="4C39EFDC">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val="0"/>
          <w:bCs w:val="0"/>
          <w:i w:val="0"/>
          <w:iCs w:val="0"/>
          <w:color w:val="auto"/>
          <w:spacing w:val="0"/>
          <w:w w:val="100"/>
          <w:sz w:val="21"/>
          <w:szCs w:val="21"/>
          <w:vertAlign w:val="baseline"/>
          <w:lang w:val="en-US" w:eastAsia="zh-CN"/>
        </w:rPr>
        <w:t>7.2</w:t>
      </w:r>
      <w:r>
        <w:rPr>
          <w:rFonts w:hint="eastAsia" w:asciiTheme="minorEastAsia" w:hAnsiTheme="minorEastAsia" w:eastAsiaTheme="minorEastAsia" w:cstheme="minorEastAsia"/>
          <w:b w:val="0"/>
          <w:bCs w:val="0"/>
          <w:i w:val="0"/>
          <w:iCs w:val="0"/>
          <w:color w:val="auto"/>
          <w:spacing w:val="0"/>
          <w:w w:val="100"/>
          <w:sz w:val="21"/>
          <w:szCs w:val="21"/>
          <w:vertAlign w:val="baseline"/>
        </w:rPr>
        <w:t>“</w:t>
      </w:r>
      <w:r>
        <w:rPr>
          <w:rFonts w:hint="eastAsia" w:asciiTheme="minorEastAsia" w:hAnsiTheme="minorEastAsia" w:eastAsiaTheme="minorEastAsia" w:cstheme="minorEastAsia"/>
          <w:b w:val="0"/>
          <w:bCs w:val="0"/>
          <w:i w:val="0"/>
          <w:iCs w:val="0"/>
          <w:color w:val="auto"/>
          <w:spacing w:val="0"/>
          <w:w w:val="100"/>
          <w:sz w:val="21"/>
          <w:szCs w:val="21"/>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auto"/>
          <w:spacing w:val="0"/>
          <w:w w:val="100"/>
          <w:sz w:val="21"/>
          <w:szCs w:val="21"/>
          <w:vertAlign w:val="baseline"/>
        </w:rPr>
        <w:t>采购公告栏提供的</w:t>
      </w:r>
      <w:r>
        <w:rPr>
          <w:rFonts w:hint="eastAsia" w:asciiTheme="minorEastAsia" w:hAnsiTheme="minorEastAsia" w:eastAsiaTheme="minorEastAsia" w:cstheme="minorEastAsia"/>
          <w:b w:val="0"/>
          <w:bCs w:val="0"/>
          <w:i w:val="0"/>
          <w:iCs w:val="0"/>
          <w:color w:val="auto"/>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auto"/>
          <w:spacing w:val="0"/>
          <w:w w:val="100"/>
          <w:sz w:val="21"/>
          <w:szCs w:val="21"/>
          <w:vertAlign w:val="baseline"/>
        </w:rPr>
        <w:t>文件仅供浏览。供应商下载</w:t>
      </w:r>
      <w:r>
        <w:rPr>
          <w:rFonts w:hint="eastAsia" w:asciiTheme="minorEastAsia" w:hAnsiTheme="minorEastAsia" w:eastAsiaTheme="minorEastAsia" w:cstheme="minorEastAsia"/>
          <w:b w:val="0"/>
          <w:bCs w:val="0"/>
          <w:i w:val="0"/>
          <w:iCs w:val="0"/>
          <w:color w:val="auto"/>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auto"/>
          <w:spacing w:val="0"/>
          <w:w w:val="100"/>
          <w:sz w:val="21"/>
          <w:szCs w:val="21"/>
          <w:vertAlign w:val="baseline"/>
        </w:rPr>
        <w:t>文件应使用 CA数字证书</w:t>
      </w:r>
      <w:r>
        <w:rPr>
          <w:rFonts w:hint="eastAsia" w:asciiTheme="minorEastAsia" w:hAnsiTheme="minorEastAsia" w:eastAsiaTheme="minorEastAsia" w:cstheme="minorEastAsia"/>
          <w:b w:val="0"/>
          <w:bCs w:val="0"/>
          <w:i w:val="0"/>
          <w:iCs w:val="0"/>
          <w:color w:val="auto"/>
          <w:spacing w:val="0"/>
          <w:w w:val="100"/>
          <w:sz w:val="21"/>
          <w:szCs w:val="21"/>
          <w:shd w:val="clear" w:color="auto" w:fill="FFFFFF"/>
          <w:vertAlign w:val="baseline"/>
        </w:rPr>
        <w:t>或移动数字证书</w:t>
      </w:r>
      <w:r>
        <w:rPr>
          <w:rFonts w:hint="eastAsia" w:asciiTheme="minorEastAsia" w:hAnsiTheme="minorEastAsia" w:eastAsiaTheme="minorEastAsia" w:cstheme="minorEastAsia"/>
          <w:b w:val="0"/>
          <w:bCs w:val="0"/>
          <w:i w:val="0"/>
          <w:iCs w:val="0"/>
          <w:color w:val="auto"/>
          <w:spacing w:val="0"/>
          <w:w w:val="100"/>
          <w:sz w:val="21"/>
          <w:szCs w:val="21"/>
          <w:vertAlign w:val="baseline"/>
        </w:rPr>
        <w:t>从</w:t>
      </w:r>
      <w:r>
        <w:rPr>
          <w:rFonts w:hint="eastAsia" w:asciiTheme="minorEastAsia" w:hAnsiTheme="minorEastAsia" w:eastAsiaTheme="minorEastAsia" w:cstheme="minorEastAsia"/>
          <w:b w:val="0"/>
          <w:bCs w:val="0"/>
          <w:i w:val="0"/>
          <w:iCs w:val="0"/>
          <w:color w:val="auto"/>
          <w:spacing w:val="0"/>
          <w:w w:val="100"/>
          <w:sz w:val="21"/>
          <w:szCs w:val="21"/>
          <w:shd w:val="clear" w:color="auto" w:fill="FFFFFF"/>
          <w:vertAlign w:val="baseline"/>
        </w:rPr>
        <w:t>“全国公共资源交易平台（河南省·许昌市）”的“</w:t>
      </w:r>
      <w:r>
        <w:rPr>
          <w:rFonts w:hint="eastAsia" w:asciiTheme="minorEastAsia" w:hAnsiTheme="minorEastAsia" w:eastAsiaTheme="minorEastAsia" w:cstheme="minorEastAsia"/>
          <w:b w:val="0"/>
          <w:bCs w:val="0"/>
          <w:i w:val="0"/>
          <w:iCs w:val="0"/>
          <w:color w:val="auto"/>
          <w:spacing w:val="0"/>
          <w:w w:val="100"/>
          <w:sz w:val="21"/>
          <w:szCs w:val="21"/>
          <w:shd w:val="clear" w:color="auto" w:fill="FFFFFF"/>
          <w:vertAlign w:val="baseline"/>
          <w:lang w:eastAsia="zh-CN"/>
        </w:rPr>
        <w:t>供应商</w:t>
      </w:r>
      <w:r>
        <w:rPr>
          <w:rFonts w:hint="eastAsia" w:asciiTheme="minorEastAsia" w:hAnsiTheme="minorEastAsia" w:eastAsiaTheme="minorEastAsia" w:cstheme="minorEastAsia"/>
          <w:b w:val="0"/>
          <w:bCs w:val="0"/>
          <w:i w:val="0"/>
          <w:iCs w:val="0"/>
          <w:color w:val="auto"/>
          <w:spacing w:val="0"/>
          <w:w w:val="100"/>
          <w:sz w:val="21"/>
          <w:szCs w:val="21"/>
          <w:shd w:val="clear" w:color="auto" w:fill="FFFFFF"/>
          <w:vertAlign w:val="baseline"/>
        </w:rPr>
        <w:t>”登录入口获取本项目招标文件。</w:t>
      </w:r>
    </w:p>
    <w:p w14:paraId="65EED14C">
      <w:pPr>
        <w:pStyle w:val="57"/>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color w:val="FF0000"/>
          <w:kern w:val="0"/>
          <w:sz w:val="32"/>
          <w:szCs w:val="32"/>
        </w:rPr>
      </w:pPr>
    </w:p>
    <w:p w14:paraId="73A24722">
      <w:pPr>
        <w:pStyle w:val="57"/>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22E09E7B">
      <w:pPr>
        <w:pStyle w:val="57"/>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66FEAA83">
      <w:pPr>
        <w:pStyle w:val="57"/>
        <w:widowControl/>
        <w:ind w:left="0" w:leftChars="0" w:firstLine="3213" w:firstLineChars="1000"/>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14:paraId="68F0118A">
      <w:pPr>
        <w:pStyle w:val="57"/>
        <w:widowControl/>
        <w:numPr>
          <w:ilvl w:val="0"/>
          <w:numId w:val="9"/>
        </w:numPr>
        <w:shd w:val="clear" w:color="auto" w:fill="FFFFFF"/>
        <w:spacing w:line="360" w:lineRule="auto"/>
        <w:ind w:firstLineChars="0"/>
        <w:contextualSpacing/>
        <w:jc w:val="left"/>
        <w:rPr>
          <w:rFonts w:ascii="宋体" w:hAnsi="宋体" w:eastAsia="宋体" w:cs="黑体"/>
          <w:b/>
          <w:bCs/>
          <w:color w:val="000000"/>
          <w:sz w:val="24"/>
          <w:szCs w:val="24"/>
          <w:shd w:val="clear" w:color="auto" w:fill="FFFFFF"/>
        </w:rPr>
      </w:pPr>
      <w:r>
        <w:rPr>
          <w:rFonts w:hint="eastAsia" w:ascii="宋体" w:hAnsi="宋体" w:eastAsia="宋体" w:cs="黑体"/>
          <w:b/>
          <w:bCs/>
          <w:color w:val="000000"/>
          <w:sz w:val="24"/>
          <w:szCs w:val="24"/>
          <w:shd w:val="clear" w:color="auto" w:fill="FFFFFF"/>
        </w:rPr>
        <w:t>本项目需实现的功能或者目标</w:t>
      </w:r>
    </w:p>
    <w:p w14:paraId="602AB05A">
      <w:pPr>
        <w:widowControl/>
        <w:shd w:val="clear" w:color="auto" w:fill="FFFFFF"/>
        <w:spacing w:line="360" w:lineRule="auto"/>
        <w:ind w:left="482" w:firstLine="210" w:firstLineChars="100"/>
        <w:contextualSpacing/>
        <w:jc w:val="left"/>
        <w:rPr>
          <w:rFonts w:ascii="Times New Roman" w:hAnsi="宋体" w:eastAsia="宋体" w:cs="Times New Roman"/>
          <w:color w:val="000000"/>
          <w:szCs w:val="21"/>
        </w:rPr>
      </w:pPr>
      <w:r>
        <w:rPr>
          <w:rFonts w:hint="eastAsia" w:ascii="宋体" w:hAnsi="Times New Roman" w:eastAsia="宋体" w:cs="宋体"/>
          <w:szCs w:val="21"/>
          <w:lang w:val="zh-CN"/>
        </w:rPr>
        <w:t>为提升禹州市人民医院后勤服务能力，面向社会选取一家企业对禹州市人民医院及儿童分院所需木工、杂工维修服务。</w:t>
      </w:r>
    </w:p>
    <w:p w14:paraId="20CA1806">
      <w:pPr>
        <w:spacing w:after="120" w:line="360" w:lineRule="auto"/>
        <w:rPr>
          <w:rFonts w:ascii="仿宋" w:hAnsi="仿宋" w:eastAsia="仿宋" w:cs="宋体"/>
          <w:b/>
          <w:color w:val="000000"/>
          <w:kern w:val="0"/>
          <w:sz w:val="24"/>
          <w:szCs w:val="24"/>
        </w:rPr>
      </w:pPr>
      <w:r>
        <w:rPr>
          <w:rFonts w:hint="eastAsia" w:ascii="宋体" w:hAnsi="宋体" w:eastAsia="宋体" w:cs="黑体"/>
          <w:b/>
          <w:bCs/>
          <w:color w:val="000000"/>
          <w:sz w:val="24"/>
          <w:szCs w:val="24"/>
          <w:shd w:val="clear" w:color="auto" w:fill="FFFFFF"/>
        </w:rPr>
        <w:t>二、服务内容及相关要求</w:t>
      </w:r>
    </w:p>
    <w:p w14:paraId="4088F532">
      <w:pPr>
        <w:widowControl/>
        <w:shd w:val="clear" w:color="auto" w:fill="FFFFFF"/>
        <w:spacing w:line="360" w:lineRule="auto"/>
        <w:contextualSpacing/>
        <w:jc w:val="left"/>
        <w:rPr>
          <w:rFonts w:ascii="宋体" w:hAnsi="宋体" w:eastAsia="宋体" w:cs="黑体"/>
          <w:b/>
          <w:bCs/>
          <w:color w:val="000000"/>
          <w:szCs w:val="21"/>
          <w:shd w:val="clear" w:color="auto" w:fill="FFFFFF"/>
        </w:rPr>
      </w:pPr>
      <w:r>
        <w:rPr>
          <w:rFonts w:ascii="宋体" w:hAnsi="宋体" w:eastAsia="宋体" w:cs="黑体"/>
          <w:b/>
          <w:bCs/>
          <w:color w:val="000000"/>
          <w:szCs w:val="21"/>
          <w:shd w:val="clear" w:color="auto" w:fill="FFFFFF"/>
        </w:rPr>
        <w:t>1</w:t>
      </w:r>
      <w:r>
        <w:rPr>
          <w:rFonts w:hint="eastAsia" w:ascii="宋体" w:hAnsi="宋体" w:eastAsia="宋体" w:cs="黑体"/>
          <w:b/>
          <w:bCs/>
          <w:color w:val="000000"/>
          <w:szCs w:val="21"/>
          <w:shd w:val="clear" w:color="auto" w:fill="FFFFFF"/>
        </w:rPr>
        <w:t>、服务内容</w:t>
      </w:r>
    </w:p>
    <w:p w14:paraId="048C3296">
      <w:pPr>
        <w:pStyle w:val="24"/>
        <w:ind w:firstLine="304" w:firstLineChars="145"/>
        <w:rPr>
          <w:sz w:val="21"/>
          <w:szCs w:val="21"/>
        </w:rPr>
      </w:pPr>
      <w:r>
        <w:rPr>
          <w:rFonts w:hint="eastAsia"/>
          <w:sz w:val="21"/>
          <w:szCs w:val="21"/>
        </w:rPr>
        <w:t xml:space="preserve"> 1.1、禹州市人民医院后勤社会化管理（室内木工、杂工及其他相关维修）项目。</w:t>
      </w:r>
    </w:p>
    <w:p w14:paraId="29188B63">
      <w:pPr>
        <w:pStyle w:val="24"/>
        <w:ind w:firstLineChars="200"/>
        <w:rPr>
          <w:sz w:val="21"/>
          <w:szCs w:val="21"/>
        </w:rPr>
      </w:pPr>
      <w:r>
        <w:rPr>
          <w:rFonts w:hint="eastAsia"/>
          <w:sz w:val="21"/>
          <w:szCs w:val="21"/>
        </w:rPr>
        <w:t>1.2、禹州市人民医院儿童分院杂工服务。</w:t>
      </w:r>
    </w:p>
    <w:p w14:paraId="4497ECE9">
      <w:pPr>
        <w:pStyle w:val="24"/>
        <w:ind w:firstLine="304" w:firstLineChars="145"/>
        <w:rPr>
          <w:sz w:val="21"/>
          <w:szCs w:val="21"/>
        </w:rPr>
      </w:pPr>
      <w:r>
        <w:rPr>
          <w:rFonts w:hint="eastAsia"/>
          <w:sz w:val="21"/>
          <w:szCs w:val="21"/>
        </w:rPr>
        <w:t>注：若需更换配件，医院负责购买配件，中标方提供人工安装及工具。</w:t>
      </w:r>
    </w:p>
    <w:p w14:paraId="15D8E7C8">
      <w:pPr>
        <w:widowControl/>
        <w:shd w:val="clear" w:color="auto" w:fill="FFFFFF"/>
        <w:spacing w:line="360" w:lineRule="auto"/>
        <w:contextualSpacing/>
        <w:jc w:val="left"/>
        <w:rPr>
          <w:rFonts w:ascii="宋体" w:hAnsi="宋体" w:eastAsia="宋体" w:cs="黑体"/>
          <w:b/>
          <w:bCs/>
          <w:color w:val="000000"/>
          <w:szCs w:val="21"/>
          <w:shd w:val="clear" w:color="auto" w:fill="FFFFFF"/>
        </w:rPr>
      </w:pPr>
      <w:r>
        <w:rPr>
          <w:rFonts w:hint="eastAsia" w:ascii="宋体" w:hAnsi="宋体" w:eastAsia="宋体" w:cs="黑体"/>
          <w:b/>
          <w:bCs/>
          <w:color w:val="000000"/>
          <w:szCs w:val="21"/>
          <w:shd w:val="clear" w:color="auto" w:fill="FFFFFF"/>
        </w:rPr>
        <w:t>2、服务范围</w:t>
      </w:r>
    </w:p>
    <w:p w14:paraId="3218DC50">
      <w:pPr>
        <w:widowControl/>
        <w:shd w:val="clear" w:color="auto" w:fill="FFFFFF"/>
        <w:spacing w:line="360" w:lineRule="auto"/>
        <w:ind w:firstLine="420" w:firstLineChars="200"/>
        <w:contextualSpacing/>
        <w:jc w:val="left"/>
        <w:rPr>
          <w:rFonts w:ascii="宋体" w:hAnsi="宋体" w:eastAsia="宋体" w:cs="黑体"/>
          <w:color w:val="000000"/>
          <w:szCs w:val="21"/>
          <w:shd w:val="clear" w:color="auto" w:fill="FFFFFF"/>
        </w:rPr>
      </w:pPr>
      <w:r>
        <w:rPr>
          <w:rFonts w:hint="eastAsia" w:ascii="宋体" w:hAnsi="宋体" w:eastAsia="宋体" w:cs="黑体"/>
          <w:color w:val="000000"/>
          <w:szCs w:val="21"/>
          <w:shd w:val="clear" w:color="auto" w:fill="FFFFFF"/>
        </w:rPr>
        <w:t>木工、杂工室内维修内容包含：门、柜子、桌椅板凳各类家具、病床、窗户、屏风、隔帘、推车、平车、各种搬运、电气类维修及拆装、堵塞疏通、给排水维修不包括阀门井、墙体修复、吊顶更换《不包括石膏顶大面积修复》地板砖修复、台阶维修、其他杂工及院方安排的临时性工作。</w:t>
      </w:r>
    </w:p>
    <w:p w14:paraId="74DC5390">
      <w:pPr>
        <w:widowControl/>
        <w:shd w:val="clear" w:color="auto" w:fill="FFFFFF"/>
        <w:spacing w:line="360" w:lineRule="auto"/>
        <w:ind w:firstLine="210" w:firstLineChars="100"/>
        <w:contextualSpacing/>
        <w:jc w:val="left"/>
        <w:rPr>
          <w:rFonts w:ascii="宋体" w:hAnsi="宋体" w:eastAsia="宋体" w:cs="黑体"/>
          <w:color w:val="000000"/>
          <w:szCs w:val="21"/>
          <w:shd w:val="clear" w:color="auto" w:fill="FFFFFF"/>
        </w:rPr>
      </w:pPr>
      <w:r>
        <w:rPr>
          <w:rFonts w:hint="eastAsia" w:ascii="宋体" w:hAnsi="宋体" w:eastAsia="宋体" w:cs="黑体"/>
          <w:color w:val="000000"/>
          <w:szCs w:val="21"/>
          <w:shd w:val="clear" w:color="auto" w:fill="FFFFFF"/>
        </w:rPr>
        <w:t>（1）门维修：维修翻新整体门体、门框脱落加固、刷漆，开锁、更换锁具，锁体加固、更换手柄、合页，门打地、门关不严、玻璃门错位等问题处理。</w:t>
      </w:r>
    </w:p>
    <w:p w14:paraId="75391DF5">
      <w:pPr>
        <w:widowControl/>
        <w:shd w:val="clear" w:color="auto" w:fill="FFFFFF"/>
        <w:spacing w:line="360" w:lineRule="auto"/>
        <w:ind w:firstLine="210" w:firstLineChars="100"/>
        <w:contextualSpacing/>
        <w:jc w:val="left"/>
        <w:rPr>
          <w:rFonts w:ascii="宋体" w:hAnsi="宋体" w:eastAsia="宋体" w:cs="黑体"/>
          <w:color w:val="000000"/>
          <w:szCs w:val="21"/>
          <w:shd w:val="clear" w:color="auto" w:fill="FFFFFF"/>
        </w:rPr>
      </w:pPr>
      <w:r>
        <w:rPr>
          <w:rFonts w:hint="eastAsia" w:ascii="宋体" w:hAnsi="宋体" w:eastAsia="宋体" w:cs="黑体"/>
          <w:color w:val="000000"/>
          <w:szCs w:val="21"/>
          <w:shd w:val="clear" w:color="auto" w:fill="FFFFFF"/>
        </w:rPr>
        <w:t>（2）</w:t>
      </w:r>
      <w:r>
        <w:rPr>
          <w:rFonts w:hint="eastAsia" w:ascii="宋体" w:hAnsi="宋体" w:eastAsia="宋体" w:cs="黑体"/>
          <w:color w:val="000000"/>
          <w:spacing w:val="-6"/>
          <w:szCs w:val="21"/>
          <w:shd w:val="clear" w:color="auto" w:fill="FFFFFF"/>
        </w:rPr>
        <w:t>柜子维修：柜体整体修复，更换滑道，松动加固，更换合页，锁具、更换玻璃、抽屉等。</w:t>
      </w:r>
    </w:p>
    <w:p w14:paraId="2A921530">
      <w:pPr>
        <w:widowControl/>
        <w:shd w:val="clear" w:color="auto" w:fill="FFFFFF"/>
        <w:spacing w:line="360" w:lineRule="auto"/>
        <w:ind w:firstLine="210" w:firstLineChars="100"/>
        <w:contextualSpacing/>
        <w:jc w:val="left"/>
        <w:rPr>
          <w:rFonts w:ascii="宋体" w:hAnsi="宋体" w:eastAsia="宋体" w:cs="黑体"/>
          <w:color w:val="000000"/>
          <w:szCs w:val="21"/>
          <w:shd w:val="clear" w:color="auto" w:fill="FFFFFF"/>
        </w:rPr>
      </w:pPr>
      <w:r>
        <w:rPr>
          <w:rFonts w:hint="eastAsia" w:ascii="宋体" w:hAnsi="宋体" w:eastAsia="宋体" w:cs="黑体"/>
          <w:color w:val="000000"/>
          <w:szCs w:val="21"/>
          <w:shd w:val="clear" w:color="auto" w:fill="FFFFFF"/>
        </w:rPr>
        <w:t>（3）桌椅板凳维修：焊接，更换滑道，更换三连锁、锁芯，喷漆，电脑椅扶手松动加固维修等。</w:t>
      </w:r>
    </w:p>
    <w:p w14:paraId="7AC9D489">
      <w:pPr>
        <w:widowControl/>
        <w:shd w:val="clear" w:color="auto" w:fill="FFFFFF"/>
        <w:spacing w:line="360" w:lineRule="auto"/>
        <w:ind w:firstLine="210" w:firstLineChars="100"/>
        <w:contextualSpacing/>
        <w:jc w:val="left"/>
        <w:rPr>
          <w:rFonts w:ascii="宋体" w:hAnsi="宋体" w:eastAsia="宋体" w:cs="黑体"/>
          <w:color w:val="000000"/>
          <w:szCs w:val="21"/>
          <w:shd w:val="clear" w:color="auto" w:fill="FFFFFF"/>
        </w:rPr>
      </w:pPr>
      <w:r>
        <w:rPr>
          <w:rFonts w:hint="eastAsia" w:ascii="宋体" w:hAnsi="宋体" w:eastAsia="宋体" w:cs="黑体"/>
          <w:color w:val="000000"/>
          <w:szCs w:val="21"/>
          <w:shd w:val="clear" w:color="auto" w:fill="FFFFFF"/>
        </w:rPr>
        <w:t>（4）病床维修：整体床体拼装、拆卸、焊接喷漆、床档安装维修、床摇把维修，床尾挡板焊接、加固，喷漆。</w:t>
      </w:r>
    </w:p>
    <w:p w14:paraId="28DD5B81">
      <w:pPr>
        <w:widowControl/>
        <w:shd w:val="clear" w:color="auto" w:fill="FFFFFF"/>
        <w:spacing w:line="360" w:lineRule="auto"/>
        <w:ind w:firstLine="210" w:firstLineChars="100"/>
        <w:contextualSpacing/>
        <w:jc w:val="left"/>
        <w:rPr>
          <w:rFonts w:ascii="宋体" w:hAnsi="宋体" w:eastAsia="宋体" w:cs="黑体"/>
          <w:color w:val="000000"/>
          <w:szCs w:val="21"/>
          <w:shd w:val="clear" w:color="auto" w:fill="FFFFFF"/>
        </w:rPr>
      </w:pPr>
      <w:r>
        <w:rPr>
          <w:rFonts w:hint="eastAsia" w:ascii="宋体" w:hAnsi="宋体" w:eastAsia="宋体" w:cs="黑体"/>
          <w:color w:val="000000"/>
          <w:szCs w:val="21"/>
          <w:shd w:val="clear" w:color="auto" w:fill="FFFFFF"/>
        </w:rPr>
        <w:t>（5）窗户维修：更换普通玻璃，纱窗，锁具，合页，滑道、窗把手。</w:t>
      </w:r>
    </w:p>
    <w:p w14:paraId="1B470D79">
      <w:pPr>
        <w:widowControl/>
        <w:shd w:val="clear" w:color="auto" w:fill="FFFFFF"/>
        <w:spacing w:line="360" w:lineRule="auto"/>
        <w:ind w:firstLine="210" w:firstLineChars="100"/>
        <w:contextualSpacing/>
        <w:jc w:val="left"/>
        <w:rPr>
          <w:rFonts w:ascii="宋体" w:hAnsi="宋体" w:eastAsia="宋体" w:cs="黑体"/>
          <w:color w:val="000000"/>
          <w:szCs w:val="21"/>
          <w:shd w:val="clear" w:color="auto" w:fill="FFFFFF"/>
        </w:rPr>
      </w:pPr>
      <w:r>
        <w:rPr>
          <w:rFonts w:hint="eastAsia" w:ascii="宋体" w:hAnsi="宋体" w:eastAsia="宋体" w:cs="黑体"/>
          <w:color w:val="000000"/>
          <w:szCs w:val="21"/>
          <w:shd w:val="clear" w:color="auto" w:fill="FFFFFF"/>
        </w:rPr>
        <w:t>（6）推车维修：平板车、轮椅车、药品车等局部拆装、焊接、更换配件、轮胎补胎充气、加固束缚带、加固车轮、调试、维护。</w:t>
      </w:r>
    </w:p>
    <w:p w14:paraId="04FB8DA5">
      <w:pPr>
        <w:widowControl/>
        <w:shd w:val="clear" w:color="auto" w:fill="FFFFFF"/>
        <w:spacing w:line="360" w:lineRule="auto"/>
        <w:ind w:firstLine="210" w:firstLineChars="100"/>
        <w:contextualSpacing/>
        <w:jc w:val="left"/>
        <w:rPr>
          <w:rFonts w:ascii="宋体" w:hAnsi="宋体" w:eastAsia="宋体" w:cs="黑体"/>
          <w:color w:val="000000"/>
          <w:szCs w:val="21"/>
          <w:shd w:val="clear" w:color="auto" w:fill="FFFFFF"/>
        </w:rPr>
      </w:pPr>
      <w:r>
        <w:rPr>
          <w:rFonts w:hint="eastAsia" w:ascii="宋体" w:hAnsi="宋体" w:eastAsia="宋体" w:cs="黑体"/>
          <w:color w:val="000000"/>
          <w:szCs w:val="21"/>
          <w:shd w:val="clear" w:color="auto" w:fill="FFFFFF"/>
        </w:rPr>
        <w:t>（7）院区内各种设施搬运：各种设施搬运（病床、桌椅板凳、物资）、各类设备搬运。</w:t>
      </w:r>
    </w:p>
    <w:p w14:paraId="100B638D">
      <w:pPr>
        <w:widowControl/>
        <w:shd w:val="clear" w:color="auto" w:fill="FFFFFF"/>
        <w:spacing w:line="360" w:lineRule="auto"/>
        <w:ind w:firstLine="210" w:firstLineChars="100"/>
        <w:contextualSpacing/>
        <w:jc w:val="left"/>
        <w:rPr>
          <w:rFonts w:ascii="宋体" w:hAnsi="宋体" w:eastAsia="宋体" w:cs="黑体"/>
          <w:color w:val="000000"/>
          <w:szCs w:val="21"/>
          <w:shd w:val="clear" w:color="auto" w:fill="FFFFFF"/>
        </w:rPr>
      </w:pPr>
      <w:r>
        <w:rPr>
          <w:rFonts w:hint="eastAsia" w:ascii="宋体" w:hAnsi="宋体" w:eastAsia="宋体" w:cs="黑体"/>
          <w:color w:val="000000"/>
          <w:szCs w:val="21"/>
          <w:shd w:val="clear" w:color="auto" w:fill="FFFFFF"/>
        </w:rPr>
        <w:t>（8）电气类：洗衣机、冰箱、排风扇、电话线、电话、茶水炉、热水器、电茶壶、线路等的安装、维修、易损易耗配件更换及维修。</w:t>
      </w:r>
    </w:p>
    <w:p w14:paraId="0969927B">
      <w:pPr>
        <w:widowControl/>
        <w:shd w:val="clear" w:color="auto" w:fill="FFFFFF"/>
        <w:spacing w:line="360" w:lineRule="auto"/>
        <w:ind w:firstLine="210" w:firstLineChars="100"/>
        <w:contextualSpacing/>
        <w:jc w:val="left"/>
        <w:rPr>
          <w:rFonts w:ascii="宋体" w:hAnsi="宋体" w:eastAsia="宋体" w:cs="黑体"/>
          <w:color w:val="000000"/>
          <w:szCs w:val="21"/>
          <w:shd w:val="clear" w:color="auto" w:fill="FFFFFF"/>
        </w:rPr>
      </w:pPr>
      <w:r>
        <w:rPr>
          <w:rFonts w:hint="eastAsia" w:ascii="宋体" w:hAnsi="宋体" w:eastAsia="宋体" w:cs="黑体"/>
          <w:color w:val="000000"/>
          <w:szCs w:val="21"/>
          <w:shd w:val="clear" w:color="auto" w:fill="FFFFFF"/>
        </w:rPr>
        <w:t>（9）堵塞类：下水管、马桶、便池、洗手池、拖布池、地漏。</w:t>
      </w:r>
    </w:p>
    <w:p w14:paraId="0FBEA0BA">
      <w:pPr>
        <w:widowControl/>
        <w:shd w:val="clear" w:color="auto" w:fill="FFFFFF"/>
        <w:spacing w:line="360" w:lineRule="auto"/>
        <w:ind w:firstLine="210" w:firstLineChars="100"/>
        <w:contextualSpacing/>
        <w:jc w:val="left"/>
        <w:rPr>
          <w:rFonts w:ascii="宋体" w:hAnsi="宋体" w:eastAsia="宋体" w:cs="黑体"/>
          <w:color w:val="000000"/>
          <w:szCs w:val="21"/>
          <w:shd w:val="clear" w:color="auto" w:fill="FFFFFF"/>
        </w:rPr>
      </w:pPr>
      <w:r>
        <w:rPr>
          <w:rFonts w:hint="eastAsia" w:ascii="宋体" w:hAnsi="宋体" w:eastAsia="宋体" w:cs="黑体"/>
          <w:color w:val="000000"/>
          <w:szCs w:val="21"/>
          <w:shd w:val="clear" w:color="auto" w:fill="FFFFFF"/>
        </w:rPr>
        <w:t>（10）空调类：拆装分体空调、空调移机、加氟利昂及配件更换维修及保养。</w:t>
      </w:r>
    </w:p>
    <w:p w14:paraId="26608994">
      <w:pPr>
        <w:widowControl/>
        <w:shd w:val="clear" w:color="auto" w:fill="FFFFFF"/>
        <w:spacing w:line="360" w:lineRule="auto"/>
        <w:ind w:firstLine="210" w:firstLineChars="100"/>
        <w:contextualSpacing/>
        <w:jc w:val="left"/>
        <w:rPr>
          <w:rFonts w:ascii="宋体" w:hAnsi="宋体" w:eastAsia="宋体" w:cs="黑体"/>
          <w:color w:val="000000"/>
          <w:szCs w:val="21"/>
          <w:shd w:val="clear" w:color="auto" w:fill="FFFFFF"/>
        </w:rPr>
      </w:pPr>
      <w:r>
        <w:rPr>
          <w:rFonts w:hint="eastAsia" w:ascii="宋体" w:hAnsi="宋体" w:eastAsia="宋体" w:cs="黑体"/>
          <w:color w:val="000000"/>
          <w:szCs w:val="21"/>
          <w:shd w:val="clear" w:color="auto" w:fill="FFFFFF"/>
        </w:rPr>
        <w:t>（11）漏水类：给水、排水管道维修。</w:t>
      </w:r>
    </w:p>
    <w:p w14:paraId="718C760A">
      <w:pPr>
        <w:widowControl/>
        <w:shd w:val="clear" w:color="auto" w:fill="FFFFFF"/>
        <w:spacing w:line="360" w:lineRule="auto"/>
        <w:ind w:firstLine="210" w:firstLineChars="100"/>
        <w:contextualSpacing/>
        <w:jc w:val="left"/>
        <w:rPr>
          <w:rFonts w:ascii="宋体" w:hAnsi="宋体" w:eastAsia="宋体" w:cs="黑体"/>
          <w:color w:val="000000"/>
          <w:szCs w:val="21"/>
          <w:shd w:val="clear" w:color="auto" w:fill="FFFFFF"/>
        </w:rPr>
      </w:pPr>
      <w:r>
        <w:rPr>
          <w:rFonts w:hint="eastAsia" w:ascii="宋体" w:hAnsi="宋体" w:eastAsia="宋体" w:cs="黑体"/>
          <w:color w:val="000000"/>
          <w:szCs w:val="21"/>
          <w:shd w:val="clear" w:color="auto" w:fill="FFFFFF"/>
        </w:rPr>
        <w:t>（12）墙面类：墙体发霉、裂纹、脱皮、松动、补洞的修复。</w:t>
      </w:r>
    </w:p>
    <w:p w14:paraId="41F213B1">
      <w:pPr>
        <w:widowControl/>
        <w:shd w:val="clear" w:color="auto" w:fill="FFFFFF"/>
        <w:spacing w:line="360" w:lineRule="auto"/>
        <w:ind w:firstLine="210" w:firstLineChars="100"/>
        <w:contextualSpacing/>
        <w:jc w:val="left"/>
        <w:rPr>
          <w:rFonts w:ascii="宋体" w:hAnsi="宋体" w:eastAsia="宋体" w:cs="黑体"/>
          <w:color w:val="000000"/>
          <w:szCs w:val="21"/>
          <w:shd w:val="clear" w:color="auto" w:fill="FFFFFF"/>
        </w:rPr>
      </w:pPr>
      <w:r>
        <w:rPr>
          <w:rFonts w:hint="eastAsia" w:ascii="宋体" w:hAnsi="宋体" w:eastAsia="宋体" w:cs="黑体"/>
          <w:color w:val="000000"/>
          <w:szCs w:val="21"/>
          <w:shd w:val="clear" w:color="auto" w:fill="FFFFFF"/>
        </w:rPr>
        <w:t>（13）吊顶类：吊顶发霉、发黄、裂纹、补缺及修饰。</w:t>
      </w:r>
    </w:p>
    <w:p w14:paraId="726C625D">
      <w:pPr>
        <w:widowControl/>
        <w:shd w:val="clear" w:color="auto" w:fill="FFFFFF"/>
        <w:spacing w:line="360" w:lineRule="auto"/>
        <w:ind w:firstLine="210" w:firstLineChars="100"/>
        <w:contextualSpacing/>
        <w:jc w:val="left"/>
        <w:rPr>
          <w:rFonts w:ascii="宋体" w:hAnsi="宋体" w:eastAsia="宋体" w:cs="黑体"/>
          <w:color w:val="000000"/>
          <w:szCs w:val="21"/>
          <w:shd w:val="clear" w:color="auto" w:fill="FFFFFF"/>
        </w:rPr>
      </w:pPr>
      <w:r>
        <w:rPr>
          <w:rFonts w:hint="eastAsia" w:ascii="宋体" w:hAnsi="宋体" w:eastAsia="宋体" w:cs="黑体"/>
          <w:color w:val="000000"/>
          <w:szCs w:val="21"/>
          <w:shd w:val="clear" w:color="auto" w:fill="FFFFFF"/>
        </w:rPr>
        <w:t>（14）地面类：地砖维修及更换。</w:t>
      </w:r>
    </w:p>
    <w:p w14:paraId="1CD4EC78">
      <w:pPr>
        <w:widowControl/>
        <w:shd w:val="clear" w:color="auto" w:fill="FFFFFF"/>
        <w:spacing w:line="360" w:lineRule="auto"/>
        <w:ind w:firstLine="210" w:firstLineChars="100"/>
        <w:contextualSpacing/>
        <w:jc w:val="left"/>
        <w:rPr>
          <w:rFonts w:ascii="宋体" w:hAnsi="宋体" w:eastAsia="宋体" w:cs="黑体"/>
          <w:color w:val="000000"/>
          <w:szCs w:val="21"/>
          <w:shd w:val="clear" w:color="auto" w:fill="FFFFFF"/>
        </w:rPr>
      </w:pPr>
      <w:r>
        <w:rPr>
          <w:rFonts w:hint="eastAsia" w:ascii="宋体" w:hAnsi="宋体" w:eastAsia="宋体" w:cs="黑体"/>
          <w:color w:val="000000"/>
          <w:szCs w:val="21"/>
          <w:shd w:val="clear" w:color="auto" w:fill="FFFFFF"/>
        </w:rPr>
        <w:t>（15）其他杂活：玻璃贴膜的清除重贴、广告宣传设施画面的拆装维修等各类杂活。</w:t>
      </w:r>
    </w:p>
    <w:p w14:paraId="38E14C44">
      <w:pPr>
        <w:widowControl/>
        <w:shd w:val="clear" w:color="auto" w:fill="FFFFFF"/>
        <w:spacing w:line="360" w:lineRule="auto"/>
        <w:contextualSpacing/>
        <w:jc w:val="left"/>
        <w:rPr>
          <w:rFonts w:ascii="宋体" w:hAnsi="宋体" w:eastAsia="宋体" w:cs="黑体"/>
          <w:color w:val="000000"/>
          <w:szCs w:val="21"/>
          <w:shd w:val="clear" w:color="auto" w:fill="FFFFFF"/>
        </w:rPr>
      </w:pPr>
      <w:r>
        <w:rPr>
          <w:rFonts w:hint="eastAsia" w:ascii="宋体" w:hAnsi="宋体" w:eastAsia="宋体" w:cs="黑体"/>
          <w:color w:val="000000"/>
          <w:szCs w:val="21"/>
          <w:shd w:val="clear" w:color="auto" w:fill="FFFFFF"/>
        </w:rPr>
        <w:t xml:space="preserve">  （16）院方根据工作需要临时安排的工作内容。</w:t>
      </w:r>
    </w:p>
    <w:p w14:paraId="603A742C">
      <w:pPr>
        <w:widowControl/>
        <w:shd w:val="clear" w:color="auto" w:fill="FFFFFF"/>
        <w:spacing w:line="360" w:lineRule="auto"/>
        <w:contextualSpacing/>
        <w:jc w:val="left"/>
        <w:rPr>
          <w:rFonts w:ascii="宋体" w:hAnsi="宋体" w:eastAsia="宋体" w:cs="黑体"/>
          <w:color w:val="000000"/>
          <w:szCs w:val="21"/>
          <w:shd w:val="clear" w:color="auto" w:fill="FFFFFF"/>
        </w:rPr>
      </w:pPr>
      <w:r>
        <w:rPr>
          <w:rFonts w:hint="eastAsia" w:ascii="宋体" w:hAnsi="宋体" w:eastAsia="宋体" w:cs="黑体"/>
          <w:color w:val="000000"/>
          <w:szCs w:val="21"/>
          <w:shd w:val="clear" w:color="auto" w:fill="FFFFFF"/>
        </w:rPr>
        <w:t>3、服务要求及人员配备</w:t>
      </w:r>
    </w:p>
    <w:p w14:paraId="57B782B1">
      <w:pPr>
        <w:widowControl/>
        <w:shd w:val="clear" w:color="auto" w:fill="FFFFFF"/>
        <w:spacing w:line="360" w:lineRule="auto"/>
        <w:ind w:firstLine="420" w:firstLineChars="200"/>
        <w:contextualSpacing/>
        <w:jc w:val="left"/>
        <w:rPr>
          <w:rFonts w:ascii="宋体" w:hAnsi="宋体" w:eastAsia="宋体" w:cs="黑体"/>
          <w:color w:val="000000"/>
          <w:szCs w:val="21"/>
          <w:shd w:val="clear" w:color="auto" w:fill="FFFFFF"/>
        </w:rPr>
      </w:pPr>
      <w:r>
        <w:rPr>
          <w:rFonts w:hint="eastAsia" w:ascii="宋体" w:hAnsi="宋体" w:eastAsia="宋体" w:cs="黑体"/>
          <w:color w:val="000000"/>
          <w:szCs w:val="21"/>
          <w:shd w:val="clear" w:color="auto" w:fill="FFFFFF"/>
        </w:rPr>
        <w:t>3.1 供应商须承诺接到医院通知后1小时内响应并到达现场，24小时内解决故障；若因中标方原因未能及时维修的，中标方及时与报修人沟通，得到报修方的理解，中标方须在48小时内完成维修任务，如果是采购方原因（购买配件）不能24小时内完成维修任务的，采购方委托中标方与报修人做好沟通，待配件购买到位，中标方应24小时内完成维修。</w:t>
      </w:r>
    </w:p>
    <w:p w14:paraId="68C17BB6">
      <w:pPr>
        <w:widowControl/>
        <w:shd w:val="clear" w:color="auto" w:fill="FFFFFF"/>
        <w:spacing w:line="360" w:lineRule="auto"/>
        <w:ind w:firstLine="420" w:firstLineChars="200"/>
        <w:contextualSpacing/>
        <w:jc w:val="left"/>
        <w:rPr>
          <w:rFonts w:ascii="宋体" w:hAnsi="宋体" w:eastAsia="宋体" w:cs="黑体"/>
          <w:color w:val="000000"/>
          <w:szCs w:val="21"/>
          <w:shd w:val="clear" w:color="auto" w:fill="FFFFFF"/>
        </w:rPr>
      </w:pPr>
      <w:r>
        <w:rPr>
          <w:rFonts w:hint="eastAsia" w:ascii="宋体" w:hAnsi="宋体" w:eastAsia="宋体" w:cs="黑体"/>
          <w:color w:val="000000"/>
          <w:szCs w:val="21"/>
          <w:shd w:val="clear" w:color="auto" w:fill="FFFFFF"/>
        </w:rPr>
        <w:t>3.2 中标方上门维修没有次数限制，直至修好。</w:t>
      </w:r>
    </w:p>
    <w:p w14:paraId="7FA57EC3">
      <w:pPr>
        <w:widowControl/>
        <w:shd w:val="clear" w:color="auto" w:fill="FFFFFF"/>
        <w:spacing w:line="360" w:lineRule="auto"/>
        <w:ind w:firstLine="420" w:firstLineChars="200"/>
        <w:contextualSpacing/>
        <w:jc w:val="left"/>
        <w:rPr>
          <w:rFonts w:ascii="宋体" w:hAnsi="宋体" w:eastAsia="宋体" w:cs="黑体"/>
          <w:color w:val="000000"/>
          <w:szCs w:val="21"/>
          <w:shd w:val="clear" w:color="auto" w:fill="FFFFFF"/>
        </w:rPr>
      </w:pPr>
      <w:r>
        <w:rPr>
          <w:rFonts w:hint="eastAsia" w:ascii="宋体" w:hAnsi="宋体" w:eastAsia="宋体" w:cs="黑体"/>
          <w:color w:val="000000"/>
          <w:szCs w:val="21"/>
          <w:shd w:val="clear" w:color="auto" w:fill="FFFFFF"/>
        </w:rPr>
        <w:t>3.3 中标方根据医院情况，制定月、季度巡检保养计划，并上报给医院负责人。在没有医院报修通知的情况下，中标方按维护保养计划维护。</w:t>
      </w:r>
    </w:p>
    <w:p w14:paraId="1955E411">
      <w:pPr>
        <w:widowControl/>
        <w:shd w:val="clear" w:color="auto" w:fill="FFFFFF"/>
        <w:spacing w:line="360" w:lineRule="auto"/>
        <w:ind w:firstLine="420" w:firstLineChars="200"/>
        <w:contextualSpacing/>
        <w:jc w:val="left"/>
        <w:rPr>
          <w:rFonts w:ascii="宋体" w:hAnsi="宋体" w:eastAsia="宋体" w:cs="黑体"/>
          <w:color w:val="000000"/>
          <w:szCs w:val="21"/>
          <w:shd w:val="clear" w:color="auto" w:fill="FFFFFF"/>
        </w:rPr>
      </w:pPr>
      <w:r>
        <w:rPr>
          <w:rFonts w:hint="eastAsia" w:ascii="宋体" w:hAnsi="宋体" w:eastAsia="宋体" w:cs="黑体"/>
          <w:color w:val="000000"/>
          <w:szCs w:val="21"/>
          <w:shd w:val="clear" w:color="auto" w:fill="FFFFFF"/>
        </w:rPr>
        <w:t>3.4 中标方如果对医院内设施设备造成损坏的，应恢复原状或赔偿医院经济损失。</w:t>
      </w:r>
    </w:p>
    <w:p w14:paraId="55344DF5">
      <w:pPr>
        <w:widowControl/>
        <w:shd w:val="clear" w:color="auto" w:fill="FFFFFF"/>
        <w:spacing w:line="360" w:lineRule="auto"/>
        <w:ind w:firstLine="420" w:firstLineChars="200"/>
        <w:contextualSpacing/>
        <w:jc w:val="left"/>
        <w:rPr>
          <w:rFonts w:ascii="宋体" w:hAnsi="宋体" w:eastAsia="宋体" w:cs="黑体"/>
          <w:color w:val="000000"/>
          <w:szCs w:val="21"/>
          <w:shd w:val="clear" w:color="auto" w:fill="FFFFFF"/>
        </w:rPr>
      </w:pPr>
      <w:r>
        <w:rPr>
          <w:rFonts w:hint="eastAsia" w:ascii="宋体" w:hAnsi="宋体" w:eastAsia="宋体" w:cs="黑体"/>
          <w:color w:val="000000"/>
          <w:szCs w:val="21"/>
          <w:shd w:val="clear" w:color="auto" w:fill="FFFFFF"/>
        </w:rPr>
        <w:t>3.5 中标方需根据院方的工作要求，制定维护方案，并每月提供详实的记录及维修记录。</w:t>
      </w:r>
    </w:p>
    <w:p w14:paraId="2E5A4CED">
      <w:pPr>
        <w:widowControl/>
        <w:shd w:val="clear" w:color="auto" w:fill="FFFFFF"/>
        <w:spacing w:line="360" w:lineRule="auto"/>
        <w:ind w:firstLine="420" w:firstLineChars="200"/>
        <w:contextualSpacing/>
        <w:jc w:val="left"/>
        <w:rPr>
          <w:rFonts w:ascii="宋体" w:hAnsi="宋体" w:eastAsia="宋体" w:cs="黑体"/>
          <w:color w:val="000000"/>
          <w:szCs w:val="21"/>
          <w:shd w:val="clear" w:color="auto" w:fill="FFFFFF"/>
        </w:rPr>
      </w:pPr>
      <w:r>
        <w:rPr>
          <w:rFonts w:hint="eastAsia" w:ascii="宋体" w:hAnsi="宋体" w:eastAsia="宋体" w:cs="黑体"/>
          <w:color w:val="000000"/>
          <w:szCs w:val="21"/>
          <w:shd w:val="clear" w:color="auto" w:fill="FFFFFF"/>
        </w:rPr>
        <w:t>3.6 中标人自签订合同之日起至合同终止，根据招标人需要须无限次上门维修、维护，招标人不承担任何上门费和工时费。</w:t>
      </w:r>
    </w:p>
    <w:p w14:paraId="5A0CAA4A">
      <w:pPr>
        <w:widowControl/>
        <w:shd w:val="clear" w:color="auto" w:fill="FFFFFF"/>
        <w:spacing w:line="360" w:lineRule="auto"/>
        <w:ind w:firstLine="420" w:firstLineChars="200"/>
        <w:contextualSpacing/>
        <w:jc w:val="left"/>
        <w:rPr>
          <w:rFonts w:ascii="宋体" w:hAnsi="宋体" w:eastAsia="宋体" w:cs="黑体"/>
          <w:color w:val="000000"/>
          <w:szCs w:val="21"/>
          <w:shd w:val="clear" w:color="auto" w:fill="FFFFFF"/>
        </w:rPr>
      </w:pPr>
      <w:r>
        <w:rPr>
          <w:rFonts w:hint="eastAsia" w:ascii="宋体" w:hAnsi="宋体" w:eastAsia="宋体" w:cs="黑体"/>
          <w:color w:val="000000"/>
          <w:szCs w:val="21"/>
          <w:shd w:val="clear" w:color="auto" w:fill="FFFFFF"/>
        </w:rPr>
        <w:t>3.7 不限定技术人员人数，24小时满足医院用工需求，每月满意度调查需大于或等于90%。</w:t>
      </w:r>
    </w:p>
    <w:p w14:paraId="2EDF1EA4">
      <w:pPr>
        <w:widowControl/>
        <w:shd w:val="clear" w:color="auto" w:fill="FFFFFF"/>
        <w:spacing w:line="360" w:lineRule="auto"/>
        <w:ind w:firstLine="420" w:firstLineChars="200"/>
        <w:contextualSpacing/>
        <w:jc w:val="left"/>
        <w:rPr>
          <w:rFonts w:ascii="宋体" w:hAnsi="宋体" w:eastAsia="宋体" w:cs="黑体"/>
          <w:color w:val="000000"/>
          <w:szCs w:val="21"/>
          <w:shd w:val="clear" w:color="auto" w:fill="FFFFFF"/>
        </w:rPr>
      </w:pPr>
      <w:r>
        <w:rPr>
          <w:rFonts w:hint="eastAsia" w:ascii="宋体" w:hAnsi="宋体" w:eastAsia="宋体" w:cs="黑体"/>
          <w:color w:val="000000"/>
          <w:szCs w:val="21"/>
          <w:shd w:val="clear" w:color="auto" w:fill="FFFFFF"/>
        </w:rPr>
        <w:t>3.8 中标人合同期内进行维护、维修过程中出现的任何人员安全事故，均由中标方承担所有责任和费用，招标方不承担任何责任和费用。</w:t>
      </w:r>
    </w:p>
    <w:p w14:paraId="27CD562B">
      <w:pPr>
        <w:widowControl/>
        <w:shd w:val="clear" w:color="auto" w:fill="FFFFFF"/>
        <w:spacing w:line="360" w:lineRule="auto"/>
        <w:ind w:firstLine="420" w:firstLineChars="200"/>
        <w:contextualSpacing/>
        <w:jc w:val="left"/>
        <w:rPr>
          <w:rFonts w:ascii="宋体" w:hAnsi="宋体" w:eastAsia="宋体" w:cs="黑体"/>
          <w:color w:val="000000"/>
          <w:szCs w:val="21"/>
          <w:shd w:val="clear" w:color="auto" w:fill="FFFFFF"/>
        </w:rPr>
      </w:pPr>
      <w:r>
        <w:rPr>
          <w:rFonts w:hint="eastAsia" w:ascii="宋体" w:hAnsi="宋体" w:eastAsia="宋体" w:cs="黑体"/>
          <w:color w:val="000000"/>
          <w:szCs w:val="21"/>
          <w:shd w:val="clear" w:color="auto" w:fill="FFFFFF"/>
        </w:rPr>
        <w:t>3.9 投标人可以参考20</w:t>
      </w:r>
      <w:r>
        <w:rPr>
          <w:rFonts w:ascii="宋体" w:hAnsi="宋体" w:eastAsia="宋体" w:cs="黑体"/>
          <w:color w:val="000000"/>
          <w:szCs w:val="21"/>
          <w:shd w:val="clear" w:color="auto" w:fill="FFFFFF"/>
        </w:rPr>
        <w:t>22</w:t>
      </w:r>
      <w:r>
        <w:rPr>
          <w:rFonts w:hint="eastAsia" w:ascii="宋体" w:hAnsi="宋体" w:eastAsia="宋体" w:cs="黑体"/>
          <w:color w:val="000000"/>
          <w:szCs w:val="21"/>
          <w:shd w:val="clear" w:color="auto" w:fill="FFFFFF"/>
        </w:rPr>
        <w:t>年最高用工人数为</w:t>
      </w:r>
      <w:r>
        <w:rPr>
          <w:rFonts w:ascii="宋体" w:hAnsi="宋体" w:eastAsia="宋体" w:cs="黑体"/>
          <w:color w:val="000000"/>
          <w:szCs w:val="21"/>
          <w:shd w:val="clear" w:color="auto" w:fill="FFFFFF"/>
        </w:rPr>
        <w:t>15</w:t>
      </w:r>
      <w:r>
        <w:rPr>
          <w:rFonts w:hint="eastAsia" w:ascii="宋体" w:hAnsi="宋体" w:eastAsia="宋体" w:cs="黑体"/>
          <w:color w:val="000000"/>
          <w:szCs w:val="21"/>
          <w:shd w:val="clear" w:color="auto" w:fill="FFFFFF"/>
        </w:rPr>
        <w:t>人。</w:t>
      </w:r>
    </w:p>
    <w:tbl>
      <w:tblPr>
        <w:tblStyle w:val="26"/>
        <w:tblW w:w="8916" w:type="dxa"/>
        <w:tblInd w:w="96" w:type="dxa"/>
        <w:tblLayout w:type="fixed"/>
        <w:tblCellMar>
          <w:top w:w="0" w:type="dxa"/>
          <w:left w:w="108" w:type="dxa"/>
          <w:bottom w:w="0" w:type="dxa"/>
          <w:right w:w="108" w:type="dxa"/>
        </w:tblCellMar>
      </w:tblPr>
      <w:tblGrid>
        <w:gridCol w:w="426"/>
        <w:gridCol w:w="1275"/>
        <w:gridCol w:w="5257"/>
        <w:gridCol w:w="1347"/>
        <w:gridCol w:w="611"/>
      </w:tblGrid>
      <w:tr w14:paraId="6444D48B">
        <w:tblPrEx>
          <w:tblCellMar>
            <w:top w:w="0" w:type="dxa"/>
            <w:left w:w="108" w:type="dxa"/>
            <w:bottom w:w="0" w:type="dxa"/>
            <w:right w:w="108" w:type="dxa"/>
          </w:tblCellMar>
        </w:tblPrEx>
        <w:trPr>
          <w:trHeight w:val="459" w:hRule="atLeast"/>
        </w:trPr>
        <w:tc>
          <w:tcPr>
            <w:tcW w:w="8916" w:type="dxa"/>
            <w:gridSpan w:val="5"/>
            <w:tcBorders>
              <w:top w:val="nil"/>
              <w:left w:val="nil"/>
              <w:bottom w:val="nil"/>
              <w:right w:val="nil"/>
            </w:tcBorders>
            <w:shd w:val="clear" w:color="auto" w:fill="auto"/>
            <w:vAlign w:val="center"/>
          </w:tcPr>
          <w:p w14:paraId="0B60C4AE">
            <w:pPr>
              <w:widowControl/>
              <w:jc w:val="center"/>
              <w:textAlignment w:val="center"/>
              <w:rPr>
                <w:rFonts w:ascii="宋体" w:hAnsi="宋体" w:eastAsia="宋体" w:cs="宋体"/>
                <w:b/>
                <w:bCs/>
                <w:color w:val="000000"/>
                <w:sz w:val="32"/>
                <w:szCs w:val="32"/>
              </w:rPr>
            </w:pPr>
            <w:r>
              <w:rPr>
                <w:rFonts w:hint="eastAsia" w:ascii="宋体" w:hAnsi="宋体" w:eastAsia="宋体" w:cs="宋体"/>
                <w:b/>
                <w:bCs/>
                <w:color w:val="0000FF"/>
                <w:kern w:val="0"/>
                <w:sz w:val="32"/>
                <w:szCs w:val="32"/>
                <w:lang w:bidi="ar"/>
              </w:rPr>
              <w:t>202</w:t>
            </w:r>
            <w:r>
              <w:rPr>
                <w:rFonts w:hint="eastAsia" w:ascii="宋体" w:hAnsi="宋体" w:eastAsia="宋体" w:cs="宋体"/>
                <w:b/>
                <w:bCs/>
                <w:color w:val="0000FF"/>
                <w:kern w:val="0"/>
                <w:sz w:val="32"/>
                <w:szCs w:val="32"/>
                <w:lang w:val="en-US" w:eastAsia="zh-CN" w:bidi="ar"/>
              </w:rPr>
              <w:t>4</w:t>
            </w:r>
            <w:r>
              <w:rPr>
                <w:rFonts w:hint="eastAsia" w:ascii="宋体" w:hAnsi="宋体" w:eastAsia="宋体" w:cs="宋体"/>
                <w:b/>
                <w:bCs/>
                <w:color w:val="0000FF"/>
                <w:kern w:val="0"/>
                <w:sz w:val="32"/>
                <w:szCs w:val="32"/>
                <w:lang w:bidi="ar"/>
              </w:rPr>
              <w:t>年维修记录表</w:t>
            </w:r>
          </w:p>
        </w:tc>
      </w:tr>
      <w:tr w14:paraId="09304EA1">
        <w:tblPrEx>
          <w:tblCellMar>
            <w:top w:w="0" w:type="dxa"/>
            <w:left w:w="108" w:type="dxa"/>
            <w:bottom w:w="0" w:type="dxa"/>
            <w:right w:w="108" w:type="dxa"/>
          </w:tblCellMar>
        </w:tblPrEx>
        <w:trPr>
          <w:trHeight w:val="303" w:hRule="atLeast"/>
        </w:trPr>
        <w:tc>
          <w:tcPr>
            <w:tcW w:w="426" w:type="dxa"/>
            <w:tcBorders>
              <w:top w:val="single" w:color="000000" w:sz="8" w:space="0"/>
              <w:left w:val="single" w:color="000000" w:sz="8" w:space="0"/>
              <w:bottom w:val="nil"/>
              <w:right w:val="single" w:color="000000" w:sz="8" w:space="0"/>
            </w:tcBorders>
            <w:shd w:val="clear" w:color="auto" w:fill="auto"/>
            <w:vAlign w:val="center"/>
          </w:tcPr>
          <w:p w14:paraId="660FFF21">
            <w:pPr>
              <w:widowControl/>
              <w:jc w:val="center"/>
              <w:textAlignment w:val="center"/>
              <w:rPr>
                <w:rFonts w:ascii="宋体" w:hAnsi="宋体" w:eastAsia="宋体" w:cs="宋体"/>
                <w:color w:val="000000"/>
                <w:szCs w:val="21"/>
              </w:rPr>
            </w:pPr>
            <w:r>
              <w:rPr>
                <w:rFonts w:ascii="宋体" w:hAnsi="宋体" w:eastAsia="宋体" w:cs="宋体"/>
                <w:color w:val="000000"/>
                <w:szCs w:val="21"/>
                <w:lang w:bidi="ar"/>
              </w:rPr>
              <w:t>序</w:t>
            </w:r>
          </w:p>
        </w:tc>
        <w:tc>
          <w:tcPr>
            <w:tcW w:w="1275" w:type="dxa"/>
            <w:vMerge w:val="restart"/>
            <w:tcBorders>
              <w:top w:val="single" w:color="000000" w:sz="8" w:space="0"/>
              <w:left w:val="nil"/>
              <w:bottom w:val="single" w:color="000000" w:sz="8" w:space="0"/>
              <w:right w:val="single" w:color="000000" w:sz="8" w:space="0"/>
            </w:tcBorders>
            <w:shd w:val="clear" w:color="auto" w:fill="auto"/>
            <w:vAlign w:val="center"/>
          </w:tcPr>
          <w:p w14:paraId="64E718A8">
            <w:pPr>
              <w:widowControl/>
              <w:jc w:val="center"/>
              <w:textAlignment w:val="center"/>
              <w:rPr>
                <w:rFonts w:ascii="宋体" w:hAnsi="宋体" w:eastAsia="宋体" w:cs="宋体"/>
                <w:color w:val="000000"/>
                <w:szCs w:val="21"/>
              </w:rPr>
            </w:pPr>
            <w:r>
              <w:rPr>
                <w:rFonts w:ascii="宋体" w:hAnsi="宋体" w:eastAsia="宋体" w:cs="宋体"/>
                <w:color w:val="000000"/>
                <w:szCs w:val="21"/>
                <w:lang w:bidi="ar"/>
              </w:rPr>
              <w:t>维修项目</w:t>
            </w:r>
          </w:p>
        </w:tc>
        <w:tc>
          <w:tcPr>
            <w:tcW w:w="5257" w:type="dxa"/>
            <w:vMerge w:val="restart"/>
            <w:tcBorders>
              <w:top w:val="single" w:color="000000" w:sz="8" w:space="0"/>
              <w:left w:val="nil"/>
              <w:bottom w:val="single" w:color="000000" w:sz="8" w:space="0"/>
              <w:right w:val="single" w:color="000000" w:sz="8" w:space="0"/>
            </w:tcBorders>
            <w:shd w:val="clear" w:color="auto" w:fill="auto"/>
            <w:vAlign w:val="center"/>
          </w:tcPr>
          <w:p w14:paraId="17AF298D">
            <w:pPr>
              <w:widowControl/>
              <w:jc w:val="center"/>
              <w:textAlignment w:val="center"/>
              <w:rPr>
                <w:rFonts w:ascii="宋体" w:hAnsi="宋体" w:eastAsia="宋体" w:cs="宋体"/>
                <w:color w:val="000000"/>
                <w:szCs w:val="21"/>
              </w:rPr>
            </w:pPr>
            <w:r>
              <w:rPr>
                <w:rFonts w:ascii="宋体" w:hAnsi="宋体" w:eastAsia="宋体" w:cs="宋体"/>
                <w:color w:val="000000"/>
                <w:szCs w:val="21"/>
                <w:lang w:bidi="ar"/>
              </w:rPr>
              <w:t>维修内容</w:t>
            </w:r>
          </w:p>
        </w:tc>
        <w:tc>
          <w:tcPr>
            <w:tcW w:w="1347" w:type="dxa"/>
            <w:vMerge w:val="restart"/>
            <w:tcBorders>
              <w:top w:val="single" w:color="000000" w:sz="8" w:space="0"/>
              <w:left w:val="nil"/>
              <w:right w:val="single" w:color="000000" w:sz="8" w:space="0"/>
            </w:tcBorders>
            <w:shd w:val="clear" w:color="auto" w:fill="auto"/>
            <w:vAlign w:val="center"/>
          </w:tcPr>
          <w:p w14:paraId="014E9C2A">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2022年度</w:t>
            </w:r>
          </w:p>
          <w:p w14:paraId="25843BB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维修</w:t>
            </w:r>
            <w:r>
              <w:rPr>
                <w:rFonts w:ascii="宋体" w:hAnsi="宋体" w:eastAsia="宋体" w:cs="宋体"/>
                <w:color w:val="000000"/>
                <w:szCs w:val="21"/>
                <w:lang w:bidi="ar"/>
              </w:rPr>
              <w:t>总数量（项）</w:t>
            </w:r>
          </w:p>
        </w:tc>
        <w:tc>
          <w:tcPr>
            <w:tcW w:w="611" w:type="dxa"/>
            <w:vMerge w:val="restart"/>
            <w:tcBorders>
              <w:top w:val="single" w:color="000000" w:sz="8" w:space="0"/>
              <w:left w:val="nil"/>
              <w:bottom w:val="single" w:color="000000" w:sz="8" w:space="0"/>
              <w:right w:val="single" w:color="000000" w:sz="8" w:space="0"/>
            </w:tcBorders>
            <w:shd w:val="clear" w:color="auto" w:fill="auto"/>
            <w:vAlign w:val="center"/>
          </w:tcPr>
          <w:p w14:paraId="45E3951D">
            <w:pPr>
              <w:widowControl/>
              <w:jc w:val="center"/>
              <w:textAlignment w:val="center"/>
              <w:rPr>
                <w:rFonts w:ascii="宋体" w:hAnsi="宋体" w:eastAsia="宋体" w:cs="宋体"/>
                <w:color w:val="000000"/>
                <w:szCs w:val="21"/>
              </w:rPr>
            </w:pPr>
            <w:r>
              <w:rPr>
                <w:rFonts w:ascii="宋体" w:hAnsi="宋体" w:eastAsia="宋体" w:cs="宋体"/>
                <w:color w:val="000000"/>
                <w:szCs w:val="21"/>
                <w:lang w:bidi="ar"/>
              </w:rPr>
              <w:t>备注</w:t>
            </w:r>
          </w:p>
        </w:tc>
      </w:tr>
      <w:tr w14:paraId="766B8563">
        <w:tblPrEx>
          <w:tblCellMar>
            <w:top w:w="0" w:type="dxa"/>
            <w:left w:w="108" w:type="dxa"/>
            <w:bottom w:w="0" w:type="dxa"/>
            <w:right w:w="108" w:type="dxa"/>
          </w:tblCellMar>
        </w:tblPrEx>
        <w:trPr>
          <w:trHeight w:val="303" w:hRule="atLeast"/>
        </w:trPr>
        <w:tc>
          <w:tcPr>
            <w:tcW w:w="426" w:type="dxa"/>
            <w:tcBorders>
              <w:top w:val="nil"/>
              <w:left w:val="single" w:color="000000" w:sz="8" w:space="0"/>
              <w:bottom w:val="single" w:color="000000" w:sz="8" w:space="0"/>
              <w:right w:val="single" w:color="000000" w:sz="8" w:space="0"/>
            </w:tcBorders>
            <w:shd w:val="clear" w:color="auto" w:fill="auto"/>
            <w:vAlign w:val="center"/>
          </w:tcPr>
          <w:p w14:paraId="0464823D">
            <w:pPr>
              <w:widowControl/>
              <w:jc w:val="center"/>
              <w:textAlignment w:val="center"/>
              <w:rPr>
                <w:rFonts w:ascii="宋体" w:hAnsi="宋体" w:eastAsia="宋体" w:cs="宋体"/>
                <w:color w:val="000000"/>
                <w:szCs w:val="21"/>
              </w:rPr>
            </w:pPr>
            <w:r>
              <w:rPr>
                <w:rFonts w:ascii="宋体" w:hAnsi="宋体" w:eastAsia="宋体" w:cs="宋体"/>
                <w:color w:val="000000"/>
                <w:szCs w:val="21"/>
                <w:lang w:bidi="ar"/>
              </w:rPr>
              <w:t>号</w:t>
            </w:r>
          </w:p>
        </w:tc>
        <w:tc>
          <w:tcPr>
            <w:tcW w:w="1275" w:type="dxa"/>
            <w:vMerge w:val="continue"/>
            <w:tcBorders>
              <w:top w:val="single" w:color="000000" w:sz="8" w:space="0"/>
              <w:left w:val="nil"/>
              <w:bottom w:val="single" w:color="000000" w:sz="8" w:space="0"/>
              <w:right w:val="single" w:color="000000" w:sz="8" w:space="0"/>
            </w:tcBorders>
            <w:shd w:val="clear" w:color="auto" w:fill="auto"/>
            <w:vAlign w:val="center"/>
          </w:tcPr>
          <w:p w14:paraId="1B2426BB">
            <w:pPr>
              <w:jc w:val="center"/>
              <w:rPr>
                <w:rFonts w:ascii="宋体" w:hAnsi="宋体" w:eastAsia="宋体" w:cs="宋体"/>
                <w:color w:val="000000"/>
                <w:szCs w:val="21"/>
              </w:rPr>
            </w:pPr>
          </w:p>
        </w:tc>
        <w:tc>
          <w:tcPr>
            <w:tcW w:w="5257" w:type="dxa"/>
            <w:vMerge w:val="continue"/>
            <w:tcBorders>
              <w:top w:val="single" w:color="000000" w:sz="8" w:space="0"/>
              <w:left w:val="nil"/>
              <w:bottom w:val="single" w:color="000000" w:sz="8" w:space="0"/>
              <w:right w:val="single" w:color="000000" w:sz="8" w:space="0"/>
            </w:tcBorders>
            <w:shd w:val="clear" w:color="auto" w:fill="auto"/>
            <w:vAlign w:val="center"/>
          </w:tcPr>
          <w:p w14:paraId="2F07AEAA">
            <w:pPr>
              <w:jc w:val="center"/>
              <w:rPr>
                <w:rFonts w:ascii="宋体" w:hAnsi="宋体" w:eastAsia="宋体" w:cs="宋体"/>
                <w:color w:val="000000"/>
                <w:szCs w:val="21"/>
              </w:rPr>
            </w:pPr>
          </w:p>
        </w:tc>
        <w:tc>
          <w:tcPr>
            <w:tcW w:w="1347" w:type="dxa"/>
            <w:vMerge w:val="continue"/>
            <w:tcBorders>
              <w:left w:val="nil"/>
              <w:bottom w:val="single" w:color="000000" w:sz="8" w:space="0"/>
              <w:right w:val="single" w:color="000000" w:sz="8" w:space="0"/>
            </w:tcBorders>
            <w:shd w:val="clear" w:color="auto" w:fill="auto"/>
            <w:vAlign w:val="center"/>
          </w:tcPr>
          <w:p w14:paraId="52A7B1AE">
            <w:pPr>
              <w:widowControl/>
              <w:jc w:val="center"/>
              <w:textAlignment w:val="center"/>
              <w:rPr>
                <w:rFonts w:ascii="宋体" w:hAnsi="宋体" w:eastAsia="宋体" w:cs="宋体"/>
                <w:color w:val="000000"/>
                <w:szCs w:val="21"/>
              </w:rPr>
            </w:pPr>
          </w:p>
        </w:tc>
        <w:tc>
          <w:tcPr>
            <w:tcW w:w="611" w:type="dxa"/>
            <w:vMerge w:val="continue"/>
            <w:tcBorders>
              <w:top w:val="single" w:color="000000" w:sz="8" w:space="0"/>
              <w:left w:val="nil"/>
              <w:bottom w:val="single" w:color="000000" w:sz="8" w:space="0"/>
              <w:right w:val="single" w:color="000000" w:sz="8" w:space="0"/>
            </w:tcBorders>
            <w:shd w:val="clear" w:color="auto" w:fill="auto"/>
            <w:vAlign w:val="center"/>
          </w:tcPr>
          <w:p w14:paraId="14AD5F46">
            <w:pPr>
              <w:jc w:val="center"/>
              <w:rPr>
                <w:rFonts w:ascii="宋体" w:hAnsi="宋体" w:eastAsia="宋体" w:cs="宋体"/>
                <w:color w:val="000000"/>
                <w:szCs w:val="21"/>
              </w:rPr>
            </w:pPr>
          </w:p>
        </w:tc>
      </w:tr>
      <w:tr w14:paraId="7976FE16">
        <w:tblPrEx>
          <w:tblCellMar>
            <w:top w:w="0" w:type="dxa"/>
            <w:left w:w="108" w:type="dxa"/>
            <w:bottom w:w="0" w:type="dxa"/>
            <w:right w:w="108" w:type="dxa"/>
          </w:tblCellMar>
        </w:tblPrEx>
        <w:trPr>
          <w:trHeight w:val="1254" w:hRule="atLeast"/>
        </w:trPr>
        <w:tc>
          <w:tcPr>
            <w:tcW w:w="426" w:type="dxa"/>
            <w:tcBorders>
              <w:top w:val="nil"/>
              <w:left w:val="single" w:color="000000" w:sz="8" w:space="0"/>
              <w:bottom w:val="single" w:color="000000" w:sz="8" w:space="0"/>
              <w:right w:val="single" w:color="000000" w:sz="8" w:space="0"/>
            </w:tcBorders>
            <w:shd w:val="clear" w:color="auto" w:fill="auto"/>
            <w:vAlign w:val="center"/>
          </w:tcPr>
          <w:p w14:paraId="03581BCD">
            <w:pPr>
              <w:widowControl/>
              <w:jc w:val="center"/>
              <w:textAlignment w:val="center"/>
              <w:rPr>
                <w:rFonts w:ascii="宋体" w:hAnsi="宋体" w:eastAsia="宋体" w:cs="微软雅黑"/>
                <w:color w:val="000000"/>
                <w:szCs w:val="21"/>
              </w:rPr>
            </w:pPr>
            <w:r>
              <w:rPr>
                <w:rFonts w:hint="eastAsia" w:ascii="宋体" w:hAnsi="宋体" w:eastAsia="宋体" w:cs="微软雅黑"/>
                <w:color w:val="000000"/>
                <w:kern w:val="0"/>
                <w:szCs w:val="21"/>
                <w:lang w:bidi="ar"/>
              </w:rPr>
              <w:t>1</w:t>
            </w:r>
          </w:p>
        </w:tc>
        <w:tc>
          <w:tcPr>
            <w:tcW w:w="1275" w:type="dxa"/>
            <w:tcBorders>
              <w:top w:val="nil"/>
              <w:left w:val="nil"/>
              <w:bottom w:val="single" w:color="000000" w:sz="8" w:space="0"/>
              <w:right w:val="single" w:color="000000" w:sz="8" w:space="0"/>
            </w:tcBorders>
            <w:shd w:val="clear" w:color="auto" w:fill="auto"/>
            <w:vAlign w:val="center"/>
          </w:tcPr>
          <w:p w14:paraId="5B01859C">
            <w:pPr>
              <w:keepNext w:val="0"/>
              <w:keepLines w:val="0"/>
              <w:widowControl/>
              <w:suppressLineNumbers w:val="0"/>
              <w:jc w:val="center"/>
              <w:textAlignment w:val="center"/>
              <w:rPr>
                <w:rFonts w:ascii="宋体" w:hAnsi="宋体" w:eastAsia="宋体" w:cs="微软雅黑"/>
                <w:color w:val="000000"/>
                <w:szCs w:val="21"/>
              </w:rPr>
            </w:pPr>
            <w:r>
              <w:rPr>
                <w:rFonts w:hint="eastAsia" w:ascii="宋体" w:hAnsi="宋体" w:eastAsia="宋体" w:cs="宋体"/>
                <w:i w:val="0"/>
                <w:iCs w:val="0"/>
                <w:color w:val="000000"/>
                <w:kern w:val="0"/>
                <w:sz w:val="21"/>
                <w:szCs w:val="21"/>
                <w:u w:val="none"/>
                <w:lang w:val="en-US" w:eastAsia="zh-CN" w:bidi="ar"/>
              </w:rPr>
              <w:t>门维修</w:t>
            </w:r>
          </w:p>
        </w:tc>
        <w:tc>
          <w:tcPr>
            <w:tcW w:w="5257" w:type="dxa"/>
            <w:tcBorders>
              <w:top w:val="nil"/>
              <w:left w:val="nil"/>
              <w:bottom w:val="single" w:color="000000" w:sz="8" w:space="0"/>
              <w:right w:val="single" w:color="000000" w:sz="8" w:space="0"/>
            </w:tcBorders>
            <w:shd w:val="clear" w:color="auto" w:fill="auto"/>
            <w:vAlign w:val="center"/>
          </w:tcPr>
          <w:p w14:paraId="17D8D899">
            <w:pPr>
              <w:keepNext w:val="0"/>
              <w:keepLines w:val="0"/>
              <w:widowControl/>
              <w:suppressLineNumbers w:val="0"/>
              <w:jc w:val="left"/>
              <w:textAlignment w:val="center"/>
              <w:rPr>
                <w:rFonts w:ascii="宋体" w:hAnsi="宋体" w:eastAsia="宋体" w:cs="微软雅黑"/>
                <w:color w:val="000000"/>
                <w:szCs w:val="21"/>
              </w:rPr>
            </w:pPr>
            <w:r>
              <w:rPr>
                <w:rFonts w:hint="eastAsia" w:ascii="宋体" w:hAnsi="宋体" w:eastAsia="宋体" w:cs="宋体"/>
                <w:i w:val="0"/>
                <w:iCs w:val="0"/>
                <w:color w:val="000000"/>
                <w:kern w:val="0"/>
                <w:sz w:val="21"/>
                <w:szCs w:val="21"/>
                <w:u w:val="none"/>
                <w:lang w:val="en-US" w:eastAsia="zh-CN" w:bidi="ar"/>
              </w:rPr>
              <w:t>整体维修翻新门体、门框脱落加固、刷漆，开锁、更换锁具，锁体加固、更换手柄、合页，门打地、门关不严、玻璃门错位等问题处理</w:t>
            </w:r>
          </w:p>
        </w:tc>
        <w:tc>
          <w:tcPr>
            <w:tcW w:w="1347" w:type="dxa"/>
            <w:tcBorders>
              <w:top w:val="nil"/>
              <w:left w:val="nil"/>
              <w:bottom w:val="single" w:color="000000" w:sz="8" w:space="0"/>
              <w:right w:val="single" w:color="000000" w:sz="8" w:space="0"/>
            </w:tcBorders>
            <w:shd w:val="clear" w:color="auto" w:fill="auto"/>
            <w:vAlign w:val="center"/>
          </w:tcPr>
          <w:p w14:paraId="549E3BA9">
            <w:pPr>
              <w:keepNext w:val="0"/>
              <w:keepLines w:val="0"/>
              <w:widowControl/>
              <w:suppressLineNumbers w:val="0"/>
              <w:jc w:val="center"/>
              <w:textAlignment w:val="center"/>
              <w:rPr>
                <w:rFonts w:ascii="宋体" w:hAnsi="宋体" w:eastAsia="宋体" w:cs="微软雅黑"/>
                <w:color w:val="000000"/>
                <w:szCs w:val="21"/>
              </w:rPr>
            </w:pPr>
            <w:r>
              <w:rPr>
                <w:rFonts w:hint="eastAsia" w:ascii="宋体" w:hAnsi="宋体" w:eastAsia="宋体" w:cs="宋体"/>
                <w:i w:val="0"/>
                <w:iCs w:val="0"/>
                <w:color w:val="000000"/>
                <w:kern w:val="0"/>
                <w:sz w:val="21"/>
                <w:szCs w:val="21"/>
                <w:u w:val="none"/>
                <w:lang w:val="en-US" w:eastAsia="zh-CN" w:bidi="ar"/>
              </w:rPr>
              <w:t>2059</w:t>
            </w:r>
          </w:p>
        </w:tc>
        <w:tc>
          <w:tcPr>
            <w:tcW w:w="611" w:type="dxa"/>
            <w:tcBorders>
              <w:top w:val="nil"/>
              <w:left w:val="nil"/>
              <w:bottom w:val="single" w:color="000000" w:sz="8" w:space="0"/>
              <w:right w:val="single" w:color="000000" w:sz="8" w:space="0"/>
            </w:tcBorders>
            <w:shd w:val="clear" w:color="auto" w:fill="auto"/>
            <w:vAlign w:val="center"/>
          </w:tcPr>
          <w:p w14:paraId="379719BB">
            <w:pPr>
              <w:jc w:val="center"/>
              <w:rPr>
                <w:rFonts w:ascii="宋体" w:hAnsi="宋体" w:eastAsia="宋体" w:cs="微软雅黑"/>
                <w:color w:val="000000"/>
                <w:szCs w:val="21"/>
              </w:rPr>
            </w:pPr>
          </w:p>
        </w:tc>
      </w:tr>
      <w:tr w14:paraId="4005010D">
        <w:tblPrEx>
          <w:tblCellMar>
            <w:top w:w="0" w:type="dxa"/>
            <w:left w:w="108" w:type="dxa"/>
            <w:bottom w:w="0" w:type="dxa"/>
            <w:right w:w="108" w:type="dxa"/>
          </w:tblCellMar>
        </w:tblPrEx>
        <w:trPr>
          <w:trHeight w:val="550" w:hRule="atLeast"/>
        </w:trPr>
        <w:tc>
          <w:tcPr>
            <w:tcW w:w="426" w:type="dxa"/>
            <w:tcBorders>
              <w:top w:val="nil"/>
              <w:left w:val="single" w:color="000000" w:sz="8" w:space="0"/>
              <w:bottom w:val="single" w:color="000000" w:sz="8" w:space="0"/>
              <w:right w:val="single" w:color="000000" w:sz="8" w:space="0"/>
            </w:tcBorders>
            <w:shd w:val="clear" w:color="auto" w:fill="auto"/>
            <w:vAlign w:val="center"/>
          </w:tcPr>
          <w:p w14:paraId="21A02E51">
            <w:pPr>
              <w:widowControl/>
              <w:jc w:val="center"/>
              <w:textAlignment w:val="center"/>
              <w:rPr>
                <w:rFonts w:ascii="宋体" w:hAnsi="宋体" w:eastAsia="宋体" w:cs="微软雅黑"/>
                <w:color w:val="000000"/>
                <w:szCs w:val="21"/>
              </w:rPr>
            </w:pPr>
            <w:r>
              <w:rPr>
                <w:rFonts w:hint="eastAsia" w:ascii="宋体" w:hAnsi="宋体" w:eastAsia="宋体" w:cs="微软雅黑"/>
                <w:color w:val="000000"/>
                <w:kern w:val="0"/>
                <w:szCs w:val="21"/>
                <w:lang w:bidi="ar"/>
              </w:rPr>
              <w:t>2</w:t>
            </w:r>
          </w:p>
        </w:tc>
        <w:tc>
          <w:tcPr>
            <w:tcW w:w="1275" w:type="dxa"/>
            <w:tcBorders>
              <w:top w:val="nil"/>
              <w:left w:val="nil"/>
              <w:bottom w:val="single" w:color="000000" w:sz="8" w:space="0"/>
              <w:right w:val="single" w:color="000000" w:sz="8" w:space="0"/>
            </w:tcBorders>
            <w:shd w:val="clear" w:color="auto" w:fill="auto"/>
            <w:vAlign w:val="center"/>
          </w:tcPr>
          <w:p w14:paraId="774D498A">
            <w:pPr>
              <w:keepNext w:val="0"/>
              <w:keepLines w:val="0"/>
              <w:widowControl/>
              <w:suppressLineNumbers w:val="0"/>
              <w:jc w:val="center"/>
              <w:textAlignment w:val="center"/>
              <w:rPr>
                <w:rFonts w:ascii="宋体" w:hAnsi="宋体" w:eastAsia="宋体" w:cs="微软雅黑"/>
                <w:color w:val="000000"/>
                <w:szCs w:val="21"/>
              </w:rPr>
            </w:pPr>
            <w:r>
              <w:rPr>
                <w:rFonts w:hint="eastAsia" w:ascii="宋体" w:hAnsi="宋体" w:eastAsia="宋体" w:cs="宋体"/>
                <w:i w:val="0"/>
                <w:iCs w:val="0"/>
                <w:color w:val="000000"/>
                <w:kern w:val="0"/>
                <w:sz w:val="21"/>
                <w:szCs w:val="21"/>
                <w:u w:val="none"/>
                <w:lang w:val="en-US" w:eastAsia="zh-CN" w:bidi="ar"/>
              </w:rPr>
              <w:t>柜子维修</w:t>
            </w:r>
          </w:p>
        </w:tc>
        <w:tc>
          <w:tcPr>
            <w:tcW w:w="5257" w:type="dxa"/>
            <w:tcBorders>
              <w:top w:val="nil"/>
              <w:left w:val="nil"/>
              <w:bottom w:val="single" w:color="000000" w:sz="8" w:space="0"/>
              <w:right w:val="single" w:color="000000" w:sz="8" w:space="0"/>
            </w:tcBorders>
            <w:shd w:val="clear" w:color="auto" w:fill="auto"/>
            <w:vAlign w:val="center"/>
          </w:tcPr>
          <w:p w14:paraId="10E3351C">
            <w:pPr>
              <w:keepNext w:val="0"/>
              <w:keepLines w:val="0"/>
              <w:widowControl/>
              <w:suppressLineNumbers w:val="0"/>
              <w:jc w:val="left"/>
              <w:textAlignment w:val="center"/>
              <w:rPr>
                <w:rFonts w:ascii="宋体" w:hAnsi="宋体" w:eastAsia="宋体" w:cs="微软雅黑"/>
                <w:color w:val="000000"/>
                <w:szCs w:val="21"/>
              </w:rPr>
            </w:pPr>
            <w:r>
              <w:rPr>
                <w:rFonts w:hint="eastAsia" w:ascii="宋体" w:hAnsi="宋体" w:eastAsia="宋体" w:cs="宋体"/>
                <w:i w:val="0"/>
                <w:iCs w:val="0"/>
                <w:color w:val="000000"/>
                <w:kern w:val="0"/>
                <w:sz w:val="21"/>
                <w:szCs w:val="21"/>
                <w:u w:val="none"/>
                <w:lang w:val="en-US" w:eastAsia="zh-CN" w:bidi="ar"/>
              </w:rPr>
              <w:t>柜体整体修复，更换滑道，松动加固，更换合页，锁具、更换玻璃、抽屉等</w:t>
            </w:r>
          </w:p>
        </w:tc>
        <w:tc>
          <w:tcPr>
            <w:tcW w:w="1347" w:type="dxa"/>
            <w:tcBorders>
              <w:top w:val="nil"/>
              <w:left w:val="nil"/>
              <w:bottom w:val="single" w:color="000000" w:sz="8" w:space="0"/>
              <w:right w:val="single" w:color="000000" w:sz="8" w:space="0"/>
            </w:tcBorders>
            <w:shd w:val="clear" w:color="auto" w:fill="auto"/>
            <w:vAlign w:val="center"/>
          </w:tcPr>
          <w:p w14:paraId="5CC47EC6">
            <w:pPr>
              <w:keepNext w:val="0"/>
              <w:keepLines w:val="0"/>
              <w:widowControl/>
              <w:suppressLineNumbers w:val="0"/>
              <w:jc w:val="center"/>
              <w:textAlignment w:val="center"/>
              <w:rPr>
                <w:rFonts w:ascii="宋体" w:hAnsi="宋体" w:eastAsia="宋体" w:cs="微软雅黑"/>
                <w:color w:val="000000"/>
                <w:szCs w:val="21"/>
              </w:rPr>
            </w:pPr>
            <w:r>
              <w:rPr>
                <w:rFonts w:hint="eastAsia" w:ascii="宋体" w:hAnsi="宋体" w:eastAsia="宋体" w:cs="宋体"/>
                <w:i w:val="0"/>
                <w:iCs w:val="0"/>
                <w:color w:val="000000"/>
                <w:kern w:val="0"/>
                <w:sz w:val="21"/>
                <w:szCs w:val="21"/>
                <w:u w:val="none"/>
                <w:lang w:val="en-US" w:eastAsia="zh-CN" w:bidi="ar"/>
              </w:rPr>
              <w:t>908</w:t>
            </w:r>
          </w:p>
        </w:tc>
        <w:tc>
          <w:tcPr>
            <w:tcW w:w="611" w:type="dxa"/>
            <w:tcBorders>
              <w:top w:val="nil"/>
              <w:left w:val="nil"/>
              <w:bottom w:val="single" w:color="000000" w:sz="8" w:space="0"/>
              <w:right w:val="single" w:color="000000" w:sz="8" w:space="0"/>
            </w:tcBorders>
            <w:shd w:val="clear" w:color="auto" w:fill="auto"/>
            <w:vAlign w:val="center"/>
          </w:tcPr>
          <w:p w14:paraId="27A15705">
            <w:pPr>
              <w:jc w:val="center"/>
              <w:rPr>
                <w:rFonts w:ascii="宋体" w:hAnsi="宋体" w:eastAsia="宋体" w:cs="微软雅黑"/>
                <w:color w:val="000000"/>
                <w:szCs w:val="21"/>
              </w:rPr>
            </w:pPr>
          </w:p>
        </w:tc>
      </w:tr>
      <w:tr w14:paraId="3196C3CF">
        <w:tblPrEx>
          <w:tblCellMar>
            <w:top w:w="0" w:type="dxa"/>
            <w:left w:w="108" w:type="dxa"/>
            <w:bottom w:w="0" w:type="dxa"/>
            <w:right w:w="108" w:type="dxa"/>
          </w:tblCellMar>
        </w:tblPrEx>
        <w:trPr>
          <w:trHeight w:val="688" w:hRule="atLeast"/>
        </w:trPr>
        <w:tc>
          <w:tcPr>
            <w:tcW w:w="426" w:type="dxa"/>
            <w:tcBorders>
              <w:top w:val="nil"/>
              <w:left w:val="single" w:color="000000" w:sz="8" w:space="0"/>
              <w:bottom w:val="single" w:color="000000" w:sz="8" w:space="0"/>
              <w:right w:val="single" w:color="000000" w:sz="8" w:space="0"/>
            </w:tcBorders>
            <w:shd w:val="clear" w:color="auto" w:fill="auto"/>
            <w:vAlign w:val="center"/>
          </w:tcPr>
          <w:p w14:paraId="4D606D3E">
            <w:pPr>
              <w:widowControl/>
              <w:jc w:val="center"/>
              <w:textAlignment w:val="center"/>
              <w:rPr>
                <w:rFonts w:ascii="宋体" w:hAnsi="宋体" w:eastAsia="宋体" w:cs="微软雅黑"/>
                <w:color w:val="000000"/>
                <w:szCs w:val="21"/>
              </w:rPr>
            </w:pPr>
            <w:r>
              <w:rPr>
                <w:rFonts w:hint="eastAsia" w:ascii="宋体" w:hAnsi="宋体" w:eastAsia="宋体" w:cs="微软雅黑"/>
                <w:color w:val="000000"/>
                <w:kern w:val="0"/>
                <w:szCs w:val="21"/>
                <w:lang w:bidi="ar"/>
              </w:rPr>
              <w:t>3</w:t>
            </w:r>
          </w:p>
        </w:tc>
        <w:tc>
          <w:tcPr>
            <w:tcW w:w="1275" w:type="dxa"/>
            <w:tcBorders>
              <w:top w:val="nil"/>
              <w:left w:val="nil"/>
              <w:bottom w:val="single" w:color="000000" w:sz="8" w:space="0"/>
              <w:right w:val="single" w:color="000000" w:sz="8" w:space="0"/>
            </w:tcBorders>
            <w:shd w:val="clear" w:color="auto" w:fill="auto"/>
            <w:vAlign w:val="center"/>
          </w:tcPr>
          <w:p w14:paraId="68866186">
            <w:pPr>
              <w:keepNext w:val="0"/>
              <w:keepLines w:val="0"/>
              <w:widowControl/>
              <w:suppressLineNumbers w:val="0"/>
              <w:jc w:val="center"/>
              <w:textAlignment w:val="center"/>
              <w:rPr>
                <w:rFonts w:ascii="宋体" w:hAnsi="宋体" w:eastAsia="宋体" w:cs="微软雅黑"/>
                <w:color w:val="000000"/>
                <w:szCs w:val="21"/>
              </w:rPr>
            </w:pPr>
            <w:r>
              <w:rPr>
                <w:rFonts w:hint="eastAsia" w:ascii="宋体" w:hAnsi="宋体" w:eastAsia="宋体" w:cs="宋体"/>
                <w:i w:val="0"/>
                <w:iCs w:val="0"/>
                <w:color w:val="000000"/>
                <w:kern w:val="0"/>
                <w:sz w:val="21"/>
                <w:szCs w:val="21"/>
                <w:u w:val="none"/>
                <w:lang w:val="en-US" w:eastAsia="zh-CN" w:bidi="ar"/>
              </w:rPr>
              <w:t>桌椅板凳维修</w:t>
            </w:r>
          </w:p>
        </w:tc>
        <w:tc>
          <w:tcPr>
            <w:tcW w:w="5257" w:type="dxa"/>
            <w:tcBorders>
              <w:top w:val="nil"/>
              <w:left w:val="nil"/>
              <w:bottom w:val="single" w:color="000000" w:sz="8" w:space="0"/>
              <w:right w:val="single" w:color="000000" w:sz="8" w:space="0"/>
            </w:tcBorders>
            <w:shd w:val="clear" w:color="auto" w:fill="auto"/>
            <w:vAlign w:val="center"/>
          </w:tcPr>
          <w:p w14:paraId="1D6C9ECB">
            <w:pPr>
              <w:keepNext w:val="0"/>
              <w:keepLines w:val="0"/>
              <w:widowControl/>
              <w:suppressLineNumbers w:val="0"/>
              <w:jc w:val="left"/>
              <w:textAlignment w:val="center"/>
              <w:rPr>
                <w:rFonts w:ascii="宋体" w:hAnsi="宋体" w:eastAsia="宋体" w:cs="微软雅黑"/>
                <w:color w:val="000000"/>
                <w:szCs w:val="21"/>
              </w:rPr>
            </w:pPr>
            <w:r>
              <w:rPr>
                <w:rFonts w:hint="eastAsia" w:ascii="宋体" w:hAnsi="宋体" w:eastAsia="宋体" w:cs="宋体"/>
                <w:i w:val="0"/>
                <w:iCs w:val="0"/>
                <w:color w:val="000000"/>
                <w:kern w:val="0"/>
                <w:sz w:val="21"/>
                <w:szCs w:val="21"/>
                <w:u w:val="none"/>
                <w:lang w:val="en-US" w:eastAsia="zh-CN" w:bidi="ar"/>
              </w:rPr>
              <w:t>焊接，更换滑道，更换三连锁、锁芯，喷漆，电脑椅扶手松动加固维修等</w:t>
            </w:r>
          </w:p>
        </w:tc>
        <w:tc>
          <w:tcPr>
            <w:tcW w:w="1347" w:type="dxa"/>
            <w:tcBorders>
              <w:top w:val="nil"/>
              <w:left w:val="nil"/>
              <w:bottom w:val="single" w:color="000000" w:sz="8" w:space="0"/>
              <w:right w:val="single" w:color="000000" w:sz="8" w:space="0"/>
            </w:tcBorders>
            <w:shd w:val="clear" w:color="auto" w:fill="auto"/>
            <w:vAlign w:val="center"/>
          </w:tcPr>
          <w:p w14:paraId="22426A4E">
            <w:pPr>
              <w:keepNext w:val="0"/>
              <w:keepLines w:val="0"/>
              <w:widowControl/>
              <w:suppressLineNumbers w:val="0"/>
              <w:jc w:val="center"/>
              <w:textAlignment w:val="center"/>
              <w:rPr>
                <w:rFonts w:ascii="宋体" w:hAnsi="宋体" w:eastAsia="宋体" w:cs="微软雅黑"/>
                <w:color w:val="000000"/>
                <w:szCs w:val="21"/>
              </w:rPr>
            </w:pPr>
            <w:r>
              <w:rPr>
                <w:rFonts w:hint="eastAsia" w:ascii="宋体" w:hAnsi="宋体" w:eastAsia="宋体" w:cs="宋体"/>
                <w:i w:val="0"/>
                <w:iCs w:val="0"/>
                <w:color w:val="000000"/>
                <w:kern w:val="0"/>
                <w:sz w:val="21"/>
                <w:szCs w:val="21"/>
                <w:u w:val="none"/>
                <w:lang w:val="en-US" w:eastAsia="zh-CN" w:bidi="ar"/>
              </w:rPr>
              <w:t>524</w:t>
            </w:r>
          </w:p>
        </w:tc>
        <w:tc>
          <w:tcPr>
            <w:tcW w:w="611" w:type="dxa"/>
            <w:tcBorders>
              <w:top w:val="nil"/>
              <w:left w:val="nil"/>
              <w:bottom w:val="single" w:color="000000" w:sz="8" w:space="0"/>
              <w:right w:val="single" w:color="000000" w:sz="8" w:space="0"/>
            </w:tcBorders>
            <w:shd w:val="clear" w:color="auto" w:fill="auto"/>
            <w:vAlign w:val="center"/>
          </w:tcPr>
          <w:p w14:paraId="2330DBF2">
            <w:pPr>
              <w:jc w:val="center"/>
              <w:rPr>
                <w:rFonts w:ascii="宋体" w:hAnsi="宋体" w:eastAsia="宋体" w:cs="微软雅黑"/>
                <w:color w:val="000000"/>
                <w:szCs w:val="21"/>
              </w:rPr>
            </w:pPr>
          </w:p>
        </w:tc>
      </w:tr>
      <w:tr w14:paraId="69788049">
        <w:tblPrEx>
          <w:tblCellMar>
            <w:top w:w="0" w:type="dxa"/>
            <w:left w:w="108" w:type="dxa"/>
            <w:bottom w:w="0" w:type="dxa"/>
            <w:right w:w="108" w:type="dxa"/>
          </w:tblCellMar>
        </w:tblPrEx>
        <w:trPr>
          <w:trHeight w:val="839" w:hRule="atLeast"/>
        </w:trPr>
        <w:tc>
          <w:tcPr>
            <w:tcW w:w="426" w:type="dxa"/>
            <w:tcBorders>
              <w:top w:val="nil"/>
              <w:left w:val="single" w:color="000000" w:sz="8" w:space="0"/>
              <w:bottom w:val="single" w:color="000000" w:sz="8" w:space="0"/>
              <w:right w:val="single" w:color="000000" w:sz="8" w:space="0"/>
            </w:tcBorders>
            <w:shd w:val="clear" w:color="auto" w:fill="auto"/>
            <w:vAlign w:val="center"/>
          </w:tcPr>
          <w:p w14:paraId="5CCD1F6A">
            <w:pPr>
              <w:widowControl/>
              <w:jc w:val="center"/>
              <w:textAlignment w:val="center"/>
              <w:rPr>
                <w:rFonts w:ascii="宋体" w:hAnsi="宋体" w:eastAsia="宋体" w:cs="微软雅黑"/>
                <w:color w:val="000000"/>
                <w:szCs w:val="21"/>
              </w:rPr>
            </w:pPr>
            <w:r>
              <w:rPr>
                <w:rFonts w:hint="eastAsia" w:ascii="宋体" w:hAnsi="宋体" w:eastAsia="宋体" w:cs="微软雅黑"/>
                <w:color w:val="000000"/>
                <w:kern w:val="0"/>
                <w:szCs w:val="21"/>
                <w:lang w:bidi="ar"/>
              </w:rPr>
              <w:t>4</w:t>
            </w:r>
          </w:p>
        </w:tc>
        <w:tc>
          <w:tcPr>
            <w:tcW w:w="1275" w:type="dxa"/>
            <w:tcBorders>
              <w:top w:val="nil"/>
              <w:left w:val="nil"/>
              <w:bottom w:val="single" w:color="000000" w:sz="8" w:space="0"/>
              <w:right w:val="single" w:color="000000" w:sz="8" w:space="0"/>
            </w:tcBorders>
            <w:shd w:val="clear" w:color="auto" w:fill="auto"/>
            <w:vAlign w:val="center"/>
          </w:tcPr>
          <w:p w14:paraId="684F0F7C">
            <w:pPr>
              <w:keepNext w:val="0"/>
              <w:keepLines w:val="0"/>
              <w:widowControl/>
              <w:suppressLineNumbers w:val="0"/>
              <w:jc w:val="center"/>
              <w:textAlignment w:val="center"/>
              <w:rPr>
                <w:rFonts w:ascii="宋体" w:hAnsi="宋体" w:eastAsia="宋体" w:cs="微软雅黑"/>
                <w:color w:val="000000"/>
                <w:szCs w:val="21"/>
              </w:rPr>
            </w:pPr>
            <w:r>
              <w:rPr>
                <w:rFonts w:hint="eastAsia" w:ascii="宋体" w:hAnsi="宋体" w:eastAsia="宋体" w:cs="宋体"/>
                <w:i w:val="0"/>
                <w:iCs w:val="0"/>
                <w:color w:val="000000"/>
                <w:kern w:val="0"/>
                <w:sz w:val="21"/>
                <w:szCs w:val="21"/>
                <w:u w:val="none"/>
                <w:lang w:val="en-US" w:eastAsia="zh-CN" w:bidi="ar"/>
              </w:rPr>
              <w:t>病床维修</w:t>
            </w:r>
          </w:p>
        </w:tc>
        <w:tc>
          <w:tcPr>
            <w:tcW w:w="5257" w:type="dxa"/>
            <w:tcBorders>
              <w:top w:val="nil"/>
              <w:left w:val="nil"/>
              <w:bottom w:val="single" w:color="000000" w:sz="8" w:space="0"/>
              <w:right w:val="single" w:color="000000" w:sz="8" w:space="0"/>
            </w:tcBorders>
            <w:shd w:val="clear" w:color="auto" w:fill="auto"/>
            <w:vAlign w:val="center"/>
          </w:tcPr>
          <w:p w14:paraId="687354FC">
            <w:pPr>
              <w:keepNext w:val="0"/>
              <w:keepLines w:val="0"/>
              <w:widowControl/>
              <w:suppressLineNumbers w:val="0"/>
              <w:jc w:val="left"/>
              <w:textAlignment w:val="center"/>
              <w:rPr>
                <w:rFonts w:ascii="宋体" w:hAnsi="宋体" w:eastAsia="宋体" w:cs="微软雅黑"/>
                <w:color w:val="000000"/>
                <w:szCs w:val="21"/>
              </w:rPr>
            </w:pPr>
            <w:r>
              <w:rPr>
                <w:rFonts w:hint="eastAsia" w:ascii="宋体" w:hAnsi="宋体" w:eastAsia="宋体" w:cs="宋体"/>
                <w:i w:val="0"/>
                <w:iCs w:val="0"/>
                <w:color w:val="000000"/>
                <w:kern w:val="0"/>
                <w:sz w:val="21"/>
                <w:szCs w:val="21"/>
                <w:u w:val="none"/>
                <w:lang w:val="en-US" w:eastAsia="zh-CN" w:bidi="ar"/>
              </w:rPr>
              <w:t>整体床体拼装、拆卸、焊接喷漆、床档安装维修、床摇把维修，床尾挡板焊接、加固，喷漆</w:t>
            </w:r>
          </w:p>
        </w:tc>
        <w:tc>
          <w:tcPr>
            <w:tcW w:w="1347" w:type="dxa"/>
            <w:tcBorders>
              <w:top w:val="nil"/>
              <w:left w:val="nil"/>
              <w:bottom w:val="single" w:color="000000" w:sz="8" w:space="0"/>
              <w:right w:val="single" w:color="000000" w:sz="8" w:space="0"/>
            </w:tcBorders>
            <w:shd w:val="clear" w:color="auto" w:fill="auto"/>
            <w:vAlign w:val="center"/>
          </w:tcPr>
          <w:p w14:paraId="7466E766">
            <w:pPr>
              <w:keepNext w:val="0"/>
              <w:keepLines w:val="0"/>
              <w:widowControl/>
              <w:suppressLineNumbers w:val="0"/>
              <w:jc w:val="center"/>
              <w:textAlignment w:val="center"/>
              <w:rPr>
                <w:rFonts w:ascii="宋体" w:hAnsi="宋体" w:eastAsia="宋体" w:cs="微软雅黑"/>
                <w:color w:val="000000"/>
                <w:szCs w:val="21"/>
              </w:rPr>
            </w:pPr>
            <w:r>
              <w:rPr>
                <w:rFonts w:hint="eastAsia" w:ascii="宋体" w:hAnsi="宋体" w:eastAsia="宋体" w:cs="宋体"/>
                <w:i w:val="0"/>
                <w:iCs w:val="0"/>
                <w:color w:val="000000"/>
                <w:kern w:val="0"/>
                <w:sz w:val="21"/>
                <w:szCs w:val="21"/>
                <w:u w:val="none"/>
                <w:lang w:val="en-US" w:eastAsia="zh-CN" w:bidi="ar"/>
              </w:rPr>
              <w:t>628</w:t>
            </w:r>
          </w:p>
        </w:tc>
        <w:tc>
          <w:tcPr>
            <w:tcW w:w="611" w:type="dxa"/>
            <w:tcBorders>
              <w:top w:val="nil"/>
              <w:left w:val="nil"/>
              <w:bottom w:val="single" w:color="000000" w:sz="8" w:space="0"/>
              <w:right w:val="single" w:color="000000" w:sz="8" w:space="0"/>
            </w:tcBorders>
            <w:shd w:val="clear" w:color="auto" w:fill="auto"/>
            <w:vAlign w:val="center"/>
          </w:tcPr>
          <w:p w14:paraId="5AC9C304">
            <w:pPr>
              <w:jc w:val="center"/>
              <w:rPr>
                <w:rFonts w:ascii="宋体" w:hAnsi="宋体" w:eastAsia="宋体" w:cs="微软雅黑"/>
                <w:color w:val="000000"/>
                <w:szCs w:val="21"/>
              </w:rPr>
            </w:pPr>
          </w:p>
        </w:tc>
      </w:tr>
      <w:tr w14:paraId="2471D354">
        <w:tblPrEx>
          <w:tblCellMar>
            <w:top w:w="0" w:type="dxa"/>
            <w:left w:w="108" w:type="dxa"/>
            <w:bottom w:w="0" w:type="dxa"/>
            <w:right w:w="108" w:type="dxa"/>
          </w:tblCellMar>
        </w:tblPrEx>
        <w:trPr>
          <w:trHeight w:val="679" w:hRule="atLeast"/>
        </w:trPr>
        <w:tc>
          <w:tcPr>
            <w:tcW w:w="426" w:type="dxa"/>
            <w:tcBorders>
              <w:top w:val="nil"/>
              <w:left w:val="single" w:color="000000" w:sz="8" w:space="0"/>
              <w:bottom w:val="single" w:color="000000" w:sz="8" w:space="0"/>
              <w:right w:val="single" w:color="000000" w:sz="8" w:space="0"/>
            </w:tcBorders>
            <w:shd w:val="clear" w:color="auto" w:fill="auto"/>
            <w:vAlign w:val="center"/>
          </w:tcPr>
          <w:p w14:paraId="5E6735EF">
            <w:pPr>
              <w:widowControl/>
              <w:jc w:val="center"/>
              <w:textAlignment w:val="center"/>
              <w:rPr>
                <w:rFonts w:ascii="宋体" w:hAnsi="宋体" w:eastAsia="宋体" w:cs="微软雅黑"/>
                <w:color w:val="000000"/>
                <w:szCs w:val="21"/>
              </w:rPr>
            </w:pPr>
            <w:r>
              <w:rPr>
                <w:rFonts w:hint="eastAsia" w:ascii="宋体" w:hAnsi="宋体" w:eastAsia="宋体" w:cs="微软雅黑"/>
                <w:color w:val="000000"/>
                <w:kern w:val="0"/>
                <w:szCs w:val="21"/>
                <w:lang w:bidi="ar"/>
              </w:rPr>
              <w:t>5</w:t>
            </w:r>
          </w:p>
        </w:tc>
        <w:tc>
          <w:tcPr>
            <w:tcW w:w="1275" w:type="dxa"/>
            <w:tcBorders>
              <w:top w:val="nil"/>
              <w:left w:val="nil"/>
              <w:bottom w:val="single" w:color="000000" w:sz="8" w:space="0"/>
              <w:right w:val="single" w:color="000000" w:sz="8" w:space="0"/>
            </w:tcBorders>
            <w:shd w:val="clear" w:color="auto" w:fill="auto"/>
            <w:vAlign w:val="center"/>
          </w:tcPr>
          <w:p w14:paraId="439379A6">
            <w:pPr>
              <w:keepNext w:val="0"/>
              <w:keepLines w:val="0"/>
              <w:widowControl/>
              <w:suppressLineNumbers w:val="0"/>
              <w:jc w:val="center"/>
              <w:textAlignment w:val="center"/>
              <w:rPr>
                <w:rFonts w:ascii="宋体" w:hAnsi="宋体" w:eastAsia="宋体" w:cs="微软雅黑"/>
                <w:color w:val="000000"/>
                <w:szCs w:val="21"/>
              </w:rPr>
            </w:pPr>
            <w:r>
              <w:rPr>
                <w:rFonts w:hint="eastAsia" w:ascii="宋体" w:hAnsi="宋体" w:eastAsia="宋体" w:cs="宋体"/>
                <w:i w:val="0"/>
                <w:iCs w:val="0"/>
                <w:color w:val="000000"/>
                <w:kern w:val="0"/>
                <w:sz w:val="21"/>
                <w:szCs w:val="21"/>
                <w:u w:val="none"/>
                <w:lang w:val="en-US" w:eastAsia="zh-CN" w:bidi="ar"/>
              </w:rPr>
              <w:t>窗户维修</w:t>
            </w:r>
          </w:p>
        </w:tc>
        <w:tc>
          <w:tcPr>
            <w:tcW w:w="5257" w:type="dxa"/>
            <w:tcBorders>
              <w:top w:val="nil"/>
              <w:left w:val="nil"/>
              <w:bottom w:val="single" w:color="000000" w:sz="8" w:space="0"/>
              <w:right w:val="single" w:color="000000" w:sz="8" w:space="0"/>
            </w:tcBorders>
            <w:shd w:val="clear" w:color="auto" w:fill="auto"/>
            <w:vAlign w:val="center"/>
          </w:tcPr>
          <w:p w14:paraId="0681DFCE">
            <w:pPr>
              <w:keepNext w:val="0"/>
              <w:keepLines w:val="0"/>
              <w:widowControl/>
              <w:suppressLineNumbers w:val="0"/>
              <w:jc w:val="left"/>
              <w:textAlignment w:val="center"/>
              <w:rPr>
                <w:rFonts w:ascii="宋体" w:hAnsi="宋体" w:eastAsia="宋体" w:cs="微软雅黑"/>
                <w:color w:val="000000"/>
                <w:szCs w:val="21"/>
              </w:rPr>
            </w:pPr>
            <w:r>
              <w:rPr>
                <w:rFonts w:hint="eastAsia" w:ascii="宋体" w:hAnsi="宋体" w:eastAsia="宋体" w:cs="宋体"/>
                <w:i w:val="0"/>
                <w:iCs w:val="0"/>
                <w:color w:val="000000"/>
                <w:kern w:val="0"/>
                <w:sz w:val="21"/>
                <w:szCs w:val="21"/>
                <w:u w:val="none"/>
                <w:lang w:val="en-US" w:eastAsia="zh-CN" w:bidi="ar"/>
              </w:rPr>
              <w:t>更换玻璃，纱窗，锁具，合页，滑道、窗把手</w:t>
            </w:r>
          </w:p>
        </w:tc>
        <w:tc>
          <w:tcPr>
            <w:tcW w:w="1347" w:type="dxa"/>
            <w:tcBorders>
              <w:top w:val="nil"/>
              <w:left w:val="nil"/>
              <w:bottom w:val="single" w:color="000000" w:sz="8" w:space="0"/>
              <w:right w:val="single" w:color="000000" w:sz="8" w:space="0"/>
            </w:tcBorders>
            <w:shd w:val="clear" w:color="auto" w:fill="auto"/>
            <w:vAlign w:val="center"/>
          </w:tcPr>
          <w:p w14:paraId="64A5BF00">
            <w:pPr>
              <w:keepNext w:val="0"/>
              <w:keepLines w:val="0"/>
              <w:widowControl/>
              <w:suppressLineNumbers w:val="0"/>
              <w:jc w:val="center"/>
              <w:textAlignment w:val="center"/>
              <w:rPr>
                <w:rFonts w:ascii="宋体" w:hAnsi="宋体" w:eastAsia="宋体" w:cs="微软雅黑"/>
                <w:color w:val="000000"/>
                <w:szCs w:val="21"/>
              </w:rPr>
            </w:pPr>
            <w:r>
              <w:rPr>
                <w:rFonts w:hint="eastAsia" w:ascii="宋体" w:hAnsi="宋体" w:eastAsia="宋体" w:cs="宋体"/>
                <w:i w:val="0"/>
                <w:iCs w:val="0"/>
                <w:color w:val="000000"/>
                <w:kern w:val="0"/>
                <w:sz w:val="21"/>
                <w:szCs w:val="21"/>
                <w:u w:val="none"/>
                <w:lang w:val="en-US" w:eastAsia="zh-CN" w:bidi="ar"/>
              </w:rPr>
              <w:t>353</w:t>
            </w:r>
          </w:p>
        </w:tc>
        <w:tc>
          <w:tcPr>
            <w:tcW w:w="611" w:type="dxa"/>
            <w:tcBorders>
              <w:top w:val="nil"/>
              <w:left w:val="nil"/>
              <w:bottom w:val="single" w:color="000000" w:sz="8" w:space="0"/>
              <w:right w:val="single" w:color="000000" w:sz="8" w:space="0"/>
            </w:tcBorders>
            <w:shd w:val="clear" w:color="auto" w:fill="auto"/>
            <w:vAlign w:val="center"/>
          </w:tcPr>
          <w:p w14:paraId="02FB01D7">
            <w:pPr>
              <w:jc w:val="center"/>
              <w:rPr>
                <w:rFonts w:ascii="宋体" w:hAnsi="宋体" w:eastAsia="宋体" w:cs="微软雅黑"/>
                <w:color w:val="000000"/>
                <w:szCs w:val="21"/>
              </w:rPr>
            </w:pPr>
          </w:p>
        </w:tc>
      </w:tr>
      <w:tr w14:paraId="074CE3BB">
        <w:tblPrEx>
          <w:tblCellMar>
            <w:top w:w="0" w:type="dxa"/>
            <w:left w:w="108" w:type="dxa"/>
            <w:bottom w:w="0" w:type="dxa"/>
            <w:right w:w="108" w:type="dxa"/>
          </w:tblCellMar>
        </w:tblPrEx>
        <w:trPr>
          <w:trHeight w:val="686" w:hRule="atLeast"/>
        </w:trPr>
        <w:tc>
          <w:tcPr>
            <w:tcW w:w="426" w:type="dxa"/>
            <w:tcBorders>
              <w:top w:val="nil"/>
              <w:left w:val="single" w:color="000000" w:sz="8" w:space="0"/>
              <w:bottom w:val="single" w:color="000000" w:sz="8" w:space="0"/>
              <w:right w:val="single" w:color="000000" w:sz="8" w:space="0"/>
            </w:tcBorders>
            <w:shd w:val="clear" w:color="auto" w:fill="auto"/>
            <w:vAlign w:val="center"/>
          </w:tcPr>
          <w:p w14:paraId="7CE24314">
            <w:pPr>
              <w:widowControl/>
              <w:jc w:val="center"/>
              <w:textAlignment w:val="center"/>
              <w:rPr>
                <w:rFonts w:ascii="宋体" w:hAnsi="宋体" w:eastAsia="宋体" w:cs="微软雅黑"/>
                <w:color w:val="000000"/>
                <w:szCs w:val="21"/>
              </w:rPr>
            </w:pPr>
            <w:r>
              <w:rPr>
                <w:rFonts w:hint="eastAsia" w:ascii="宋体" w:hAnsi="宋体" w:eastAsia="宋体" w:cs="微软雅黑"/>
                <w:color w:val="000000"/>
                <w:kern w:val="0"/>
                <w:szCs w:val="21"/>
                <w:lang w:bidi="ar"/>
              </w:rPr>
              <w:t>6</w:t>
            </w:r>
          </w:p>
        </w:tc>
        <w:tc>
          <w:tcPr>
            <w:tcW w:w="1275" w:type="dxa"/>
            <w:tcBorders>
              <w:top w:val="nil"/>
              <w:left w:val="nil"/>
              <w:bottom w:val="single" w:color="000000" w:sz="8" w:space="0"/>
              <w:right w:val="single" w:color="000000" w:sz="8" w:space="0"/>
            </w:tcBorders>
            <w:shd w:val="clear" w:color="auto" w:fill="auto"/>
            <w:vAlign w:val="center"/>
          </w:tcPr>
          <w:p w14:paraId="501CF1AD">
            <w:pPr>
              <w:keepNext w:val="0"/>
              <w:keepLines w:val="0"/>
              <w:widowControl/>
              <w:suppressLineNumbers w:val="0"/>
              <w:jc w:val="center"/>
              <w:textAlignment w:val="center"/>
              <w:rPr>
                <w:rFonts w:ascii="宋体" w:hAnsi="宋体" w:eastAsia="宋体" w:cs="微软雅黑"/>
                <w:color w:val="000000"/>
                <w:szCs w:val="21"/>
              </w:rPr>
            </w:pPr>
            <w:r>
              <w:rPr>
                <w:rFonts w:hint="eastAsia" w:ascii="宋体" w:hAnsi="宋体" w:eastAsia="宋体" w:cs="宋体"/>
                <w:i w:val="0"/>
                <w:iCs w:val="0"/>
                <w:color w:val="000000"/>
                <w:kern w:val="0"/>
                <w:sz w:val="21"/>
                <w:szCs w:val="21"/>
                <w:u w:val="none"/>
                <w:lang w:val="en-US" w:eastAsia="zh-CN" w:bidi="ar"/>
              </w:rPr>
              <w:t>推车维修</w:t>
            </w:r>
          </w:p>
        </w:tc>
        <w:tc>
          <w:tcPr>
            <w:tcW w:w="5257" w:type="dxa"/>
            <w:tcBorders>
              <w:top w:val="nil"/>
              <w:left w:val="nil"/>
              <w:bottom w:val="single" w:color="000000" w:sz="8" w:space="0"/>
              <w:right w:val="single" w:color="000000" w:sz="8" w:space="0"/>
            </w:tcBorders>
            <w:shd w:val="clear" w:color="auto" w:fill="auto"/>
            <w:vAlign w:val="center"/>
          </w:tcPr>
          <w:p w14:paraId="087B57EC">
            <w:pPr>
              <w:keepNext w:val="0"/>
              <w:keepLines w:val="0"/>
              <w:widowControl/>
              <w:suppressLineNumbers w:val="0"/>
              <w:jc w:val="left"/>
              <w:textAlignment w:val="center"/>
              <w:rPr>
                <w:rFonts w:ascii="宋体" w:hAnsi="宋体" w:eastAsia="宋体" w:cs="微软雅黑"/>
                <w:color w:val="000000"/>
                <w:szCs w:val="21"/>
              </w:rPr>
            </w:pPr>
            <w:r>
              <w:rPr>
                <w:rFonts w:hint="eastAsia" w:ascii="宋体" w:hAnsi="宋体" w:eastAsia="宋体" w:cs="宋体"/>
                <w:i w:val="0"/>
                <w:iCs w:val="0"/>
                <w:color w:val="000000"/>
                <w:kern w:val="0"/>
                <w:sz w:val="21"/>
                <w:szCs w:val="21"/>
                <w:u w:val="none"/>
                <w:lang w:val="en-US" w:eastAsia="zh-CN" w:bidi="ar"/>
              </w:rPr>
              <w:t>平板车、轮椅车、药品车等局部拆装、焊接、更换配件、轮胎补胎充气、加固束缚带、加固车轮、调试、维护</w:t>
            </w:r>
          </w:p>
        </w:tc>
        <w:tc>
          <w:tcPr>
            <w:tcW w:w="1347" w:type="dxa"/>
            <w:tcBorders>
              <w:top w:val="nil"/>
              <w:left w:val="nil"/>
              <w:bottom w:val="single" w:color="000000" w:sz="8" w:space="0"/>
              <w:right w:val="single" w:color="000000" w:sz="8" w:space="0"/>
            </w:tcBorders>
            <w:shd w:val="clear" w:color="auto" w:fill="auto"/>
            <w:vAlign w:val="center"/>
          </w:tcPr>
          <w:p w14:paraId="1AFE7A28">
            <w:pPr>
              <w:keepNext w:val="0"/>
              <w:keepLines w:val="0"/>
              <w:widowControl/>
              <w:suppressLineNumbers w:val="0"/>
              <w:jc w:val="center"/>
              <w:textAlignment w:val="center"/>
              <w:rPr>
                <w:rFonts w:ascii="宋体" w:hAnsi="宋体" w:eastAsia="宋体" w:cs="微软雅黑"/>
                <w:color w:val="000000"/>
                <w:szCs w:val="21"/>
              </w:rPr>
            </w:pPr>
            <w:r>
              <w:rPr>
                <w:rFonts w:hint="eastAsia" w:ascii="宋体" w:hAnsi="宋体" w:eastAsia="宋体" w:cs="宋体"/>
                <w:i w:val="0"/>
                <w:iCs w:val="0"/>
                <w:color w:val="000000"/>
                <w:kern w:val="0"/>
                <w:sz w:val="21"/>
                <w:szCs w:val="21"/>
                <w:u w:val="none"/>
                <w:lang w:val="en-US" w:eastAsia="zh-CN" w:bidi="ar"/>
              </w:rPr>
              <w:t>352</w:t>
            </w:r>
          </w:p>
        </w:tc>
        <w:tc>
          <w:tcPr>
            <w:tcW w:w="611" w:type="dxa"/>
            <w:tcBorders>
              <w:top w:val="nil"/>
              <w:left w:val="nil"/>
              <w:bottom w:val="single" w:color="000000" w:sz="8" w:space="0"/>
              <w:right w:val="single" w:color="000000" w:sz="8" w:space="0"/>
            </w:tcBorders>
            <w:shd w:val="clear" w:color="auto" w:fill="auto"/>
            <w:vAlign w:val="center"/>
          </w:tcPr>
          <w:p w14:paraId="18D1F320">
            <w:pPr>
              <w:jc w:val="center"/>
              <w:rPr>
                <w:rFonts w:ascii="宋体" w:hAnsi="宋体" w:eastAsia="宋体" w:cs="微软雅黑"/>
                <w:color w:val="000000"/>
                <w:szCs w:val="21"/>
              </w:rPr>
            </w:pPr>
          </w:p>
        </w:tc>
      </w:tr>
      <w:tr w14:paraId="17D53E01">
        <w:tblPrEx>
          <w:tblCellMar>
            <w:top w:w="0" w:type="dxa"/>
            <w:left w:w="108" w:type="dxa"/>
            <w:bottom w:w="0" w:type="dxa"/>
            <w:right w:w="108" w:type="dxa"/>
          </w:tblCellMar>
        </w:tblPrEx>
        <w:trPr>
          <w:trHeight w:val="686" w:hRule="atLeast"/>
        </w:trPr>
        <w:tc>
          <w:tcPr>
            <w:tcW w:w="426" w:type="dxa"/>
            <w:tcBorders>
              <w:top w:val="nil"/>
              <w:left w:val="single" w:color="000000" w:sz="8" w:space="0"/>
              <w:bottom w:val="single" w:color="000000" w:sz="8" w:space="0"/>
              <w:right w:val="single" w:color="000000" w:sz="8" w:space="0"/>
            </w:tcBorders>
            <w:shd w:val="clear" w:color="auto" w:fill="auto"/>
            <w:vAlign w:val="center"/>
          </w:tcPr>
          <w:p w14:paraId="4B2D5172">
            <w:pPr>
              <w:widowControl/>
              <w:jc w:val="center"/>
              <w:textAlignment w:val="center"/>
              <w:rPr>
                <w:rFonts w:ascii="宋体" w:hAnsi="宋体" w:eastAsia="宋体" w:cs="微软雅黑"/>
                <w:color w:val="000000"/>
                <w:szCs w:val="21"/>
              </w:rPr>
            </w:pPr>
            <w:r>
              <w:rPr>
                <w:rFonts w:hint="eastAsia" w:ascii="宋体" w:hAnsi="宋体" w:eastAsia="宋体" w:cs="微软雅黑"/>
                <w:color w:val="000000"/>
                <w:kern w:val="0"/>
                <w:szCs w:val="21"/>
                <w:lang w:bidi="ar"/>
              </w:rPr>
              <w:t>7</w:t>
            </w:r>
          </w:p>
        </w:tc>
        <w:tc>
          <w:tcPr>
            <w:tcW w:w="1275" w:type="dxa"/>
            <w:tcBorders>
              <w:top w:val="nil"/>
              <w:left w:val="nil"/>
              <w:bottom w:val="single" w:color="000000" w:sz="8" w:space="0"/>
              <w:right w:val="single" w:color="000000" w:sz="8" w:space="0"/>
            </w:tcBorders>
            <w:shd w:val="clear" w:color="auto" w:fill="auto"/>
            <w:vAlign w:val="center"/>
          </w:tcPr>
          <w:p w14:paraId="185BBD67">
            <w:pPr>
              <w:keepNext w:val="0"/>
              <w:keepLines w:val="0"/>
              <w:widowControl/>
              <w:suppressLineNumbers w:val="0"/>
              <w:jc w:val="center"/>
              <w:textAlignment w:val="center"/>
              <w:rPr>
                <w:rFonts w:ascii="宋体" w:hAnsi="宋体" w:eastAsia="宋体" w:cs="微软雅黑"/>
                <w:color w:val="000000"/>
                <w:szCs w:val="21"/>
              </w:rPr>
            </w:pPr>
            <w:r>
              <w:rPr>
                <w:rFonts w:hint="eastAsia" w:ascii="宋体" w:hAnsi="宋体" w:eastAsia="宋体" w:cs="宋体"/>
                <w:i w:val="0"/>
                <w:iCs w:val="0"/>
                <w:color w:val="000000"/>
                <w:kern w:val="0"/>
                <w:sz w:val="21"/>
                <w:szCs w:val="21"/>
                <w:u w:val="none"/>
                <w:lang w:val="en-US" w:eastAsia="zh-CN" w:bidi="ar"/>
              </w:rPr>
              <w:t>各种设施搬运</w:t>
            </w:r>
          </w:p>
        </w:tc>
        <w:tc>
          <w:tcPr>
            <w:tcW w:w="5257" w:type="dxa"/>
            <w:tcBorders>
              <w:top w:val="nil"/>
              <w:left w:val="nil"/>
              <w:bottom w:val="single" w:color="000000" w:sz="8" w:space="0"/>
              <w:right w:val="single" w:color="000000" w:sz="8" w:space="0"/>
            </w:tcBorders>
            <w:shd w:val="clear" w:color="auto" w:fill="auto"/>
            <w:vAlign w:val="center"/>
          </w:tcPr>
          <w:p w14:paraId="2E111ECB">
            <w:pPr>
              <w:keepNext w:val="0"/>
              <w:keepLines w:val="0"/>
              <w:widowControl/>
              <w:suppressLineNumbers w:val="0"/>
              <w:jc w:val="left"/>
              <w:textAlignment w:val="center"/>
              <w:rPr>
                <w:rFonts w:ascii="宋体" w:hAnsi="宋体" w:eastAsia="宋体" w:cs="微软雅黑"/>
                <w:color w:val="000000"/>
                <w:szCs w:val="21"/>
              </w:rPr>
            </w:pPr>
            <w:r>
              <w:rPr>
                <w:rFonts w:hint="eastAsia" w:ascii="宋体" w:hAnsi="宋体" w:eastAsia="宋体" w:cs="宋体"/>
                <w:i w:val="0"/>
                <w:iCs w:val="0"/>
                <w:color w:val="000000"/>
                <w:kern w:val="0"/>
                <w:sz w:val="21"/>
                <w:szCs w:val="21"/>
                <w:u w:val="none"/>
                <w:lang w:val="en-US" w:eastAsia="zh-CN" w:bidi="ar"/>
              </w:rPr>
              <w:t>各种设施搬运病床、桌椅板凳、捐赠物资、各类设施设备的搬运</w:t>
            </w:r>
          </w:p>
        </w:tc>
        <w:tc>
          <w:tcPr>
            <w:tcW w:w="1347" w:type="dxa"/>
            <w:tcBorders>
              <w:top w:val="nil"/>
              <w:left w:val="nil"/>
              <w:bottom w:val="single" w:color="000000" w:sz="8" w:space="0"/>
              <w:right w:val="single" w:color="000000" w:sz="8" w:space="0"/>
            </w:tcBorders>
            <w:shd w:val="clear" w:color="auto" w:fill="auto"/>
            <w:vAlign w:val="center"/>
          </w:tcPr>
          <w:p w14:paraId="7BE95FA2">
            <w:pPr>
              <w:keepNext w:val="0"/>
              <w:keepLines w:val="0"/>
              <w:widowControl/>
              <w:suppressLineNumbers w:val="0"/>
              <w:jc w:val="center"/>
              <w:textAlignment w:val="center"/>
              <w:rPr>
                <w:rFonts w:ascii="宋体" w:hAnsi="宋体" w:eastAsia="宋体" w:cs="微软雅黑"/>
                <w:color w:val="000000"/>
                <w:szCs w:val="21"/>
              </w:rPr>
            </w:pPr>
            <w:r>
              <w:rPr>
                <w:rFonts w:hint="eastAsia" w:ascii="宋体" w:hAnsi="宋体" w:eastAsia="宋体" w:cs="宋体"/>
                <w:i w:val="0"/>
                <w:iCs w:val="0"/>
                <w:color w:val="000000"/>
                <w:kern w:val="0"/>
                <w:sz w:val="21"/>
                <w:szCs w:val="21"/>
                <w:u w:val="none"/>
                <w:lang w:val="en-US" w:eastAsia="zh-CN" w:bidi="ar"/>
              </w:rPr>
              <w:t>794</w:t>
            </w:r>
          </w:p>
        </w:tc>
        <w:tc>
          <w:tcPr>
            <w:tcW w:w="611" w:type="dxa"/>
            <w:tcBorders>
              <w:top w:val="nil"/>
              <w:left w:val="nil"/>
              <w:bottom w:val="single" w:color="000000" w:sz="8" w:space="0"/>
              <w:right w:val="single" w:color="000000" w:sz="8" w:space="0"/>
            </w:tcBorders>
            <w:shd w:val="clear" w:color="auto" w:fill="auto"/>
            <w:vAlign w:val="center"/>
          </w:tcPr>
          <w:p w14:paraId="1C77BE7D">
            <w:pPr>
              <w:jc w:val="center"/>
              <w:rPr>
                <w:rFonts w:ascii="宋体" w:hAnsi="宋体" w:eastAsia="宋体" w:cs="微软雅黑"/>
                <w:color w:val="000000"/>
                <w:szCs w:val="21"/>
              </w:rPr>
            </w:pPr>
          </w:p>
        </w:tc>
      </w:tr>
      <w:tr w14:paraId="7710BC1A">
        <w:tblPrEx>
          <w:tblCellMar>
            <w:top w:w="0" w:type="dxa"/>
            <w:left w:w="108" w:type="dxa"/>
            <w:bottom w:w="0" w:type="dxa"/>
            <w:right w:w="108" w:type="dxa"/>
          </w:tblCellMar>
        </w:tblPrEx>
        <w:trPr>
          <w:trHeight w:val="569" w:hRule="atLeast"/>
        </w:trPr>
        <w:tc>
          <w:tcPr>
            <w:tcW w:w="426" w:type="dxa"/>
            <w:tcBorders>
              <w:top w:val="nil"/>
              <w:left w:val="single" w:color="000000" w:sz="8" w:space="0"/>
              <w:bottom w:val="single" w:color="000000" w:sz="8" w:space="0"/>
              <w:right w:val="single" w:color="000000" w:sz="8" w:space="0"/>
            </w:tcBorders>
            <w:shd w:val="clear" w:color="auto" w:fill="auto"/>
            <w:vAlign w:val="center"/>
          </w:tcPr>
          <w:p w14:paraId="2295D08D">
            <w:pPr>
              <w:widowControl/>
              <w:jc w:val="center"/>
              <w:textAlignment w:val="center"/>
              <w:rPr>
                <w:rFonts w:ascii="宋体" w:hAnsi="宋体" w:eastAsia="宋体" w:cs="微软雅黑"/>
                <w:color w:val="000000"/>
                <w:szCs w:val="21"/>
              </w:rPr>
            </w:pPr>
            <w:r>
              <w:rPr>
                <w:rFonts w:hint="eastAsia" w:ascii="宋体" w:hAnsi="宋体" w:eastAsia="宋体" w:cs="微软雅黑"/>
                <w:color w:val="000000"/>
                <w:kern w:val="0"/>
                <w:szCs w:val="21"/>
                <w:lang w:bidi="ar"/>
              </w:rPr>
              <w:t>8</w:t>
            </w:r>
          </w:p>
        </w:tc>
        <w:tc>
          <w:tcPr>
            <w:tcW w:w="1275" w:type="dxa"/>
            <w:tcBorders>
              <w:top w:val="nil"/>
              <w:left w:val="nil"/>
              <w:bottom w:val="single" w:color="000000" w:sz="8" w:space="0"/>
              <w:right w:val="single" w:color="000000" w:sz="8" w:space="0"/>
            </w:tcBorders>
            <w:shd w:val="clear" w:color="auto" w:fill="auto"/>
            <w:vAlign w:val="center"/>
          </w:tcPr>
          <w:p w14:paraId="6512C3D6">
            <w:pPr>
              <w:keepNext w:val="0"/>
              <w:keepLines w:val="0"/>
              <w:widowControl/>
              <w:suppressLineNumbers w:val="0"/>
              <w:jc w:val="center"/>
              <w:textAlignment w:val="center"/>
              <w:rPr>
                <w:rFonts w:ascii="宋体" w:hAnsi="宋体" w:eastAsia="宋体" w:cs="微软雅黑"/>
                <w:color w:val="000000"/>
                <w:szCs w:val="21"/>
              </w:rPr>
            </w:pPr>
            <w:r>
              <w:rPr>
                <w:rFonts w:hint="eastAsia" w:ascii="宋体" w:hAnsi="宋体" w:eastAsia="宋体" w:cs="宋体"/>
                <w:i w:val="0"/>
                <w:iCs w:val="0"/>
                <w:color w:val="000000"/>
                <w:kern w:val="0"/>
                <w:sz w:val="21"/>
                <w:szCs w:val="21"/>
                <w:u w:val="none"/>
                <w:lang w:val="en-US" w:eastAsia="zh-CN" w:bidi="ar"/>
              </w:rPr>
              <w:t>其他杂活</w:t>
            </w:r>
          </w:p>
        </w:tc>
        <w:tc>
          <w:tcPr>
            <w:tcW w:w="5257" w:type="dxa"/>
            <w:tcBorders>
              <w:top w:val="nil"/>
              <w:left w:val="nil"/>
              <w:bottom w:val="single" w:color="000000" w:sz="8" w:space="0"/>
              <w:right w:val="single" w:color="000000" w:sz="8" w:space="0"/>
            </w:tcBorders>
            <w:shd w:val="clear" w:color="auto" w:fill="auto"/>
            <w:vAlign w:val="center"/>
          </w:tcPr>
          <w:p w14:paraId="32561CD8">
            <w:pPr>
              <w:keepNext w:val="0"/>
              <w:keepLines w:val="0"/>
              <w:widowControl/>
              <w:suppressLineNumbers w:val="0"/>
              <w:jc w:val="left"/>
              <w:textAlignment w:val="center"/>
              <w:rPr>
                <w:rFonts w:ascii="宋体" w:hAnsi="宋体" w:eastAsia="宋体" w:cs="微软雅黑"/>
                <w:color w:val="000000"/>
                <w:szCs w:val="21"/>
              </w:rPr>
            </w:pPr>
            <w:r>
              <w:rPr>
                <w:rFonts w:hint="eastAsia" w:ascii="宋体" w:hAnsi="宋体" w:eastAsia="宋体" w:cs="宋体"/>
                <w:i w:val="0"/>
                <w:iCs w:val="0"/>
                <w:color w:val="000000"/>
                <w:kern w:val="0"/>
                <w:sz w:val="21"/>
                <w:szCs w:val="21"/>
                <w:u w:val="none"/>
                <w:lang w:val="en-US" w:eastAsia="zh-CN" w:bidi="ar"/>
              </w:rPr>
              <w:t>玻璃贴膜的清除重贴、广告宣传设施画面的拆装维修等各类杂活</w:t>
            </w:r>
          </w:p>
        </w:tc>
        <w:tc>
          <w:tcPr>
            <w:tcW w:w="1347" w:type="dxa"/>
            <w:tcBorders>
              <w:top w:val="nil"/>
              <w:left w:val="nil"/>
              <w:bottom w:val="single" w:color="000000" w:sz="8" w:space="0"/>
              <w:right w:val="single" w:color="000000" w:sz="8" w:space="0"/>
            </w:tcBorders>
            <w:shd w:val="clear" w:color="auto" w:fill="auto"/>
            <w:vAlign w:val="center"/>
          </w:tcPr>
          <w:p w14:paraId="0BA55F5F">
            <w:pPr>
              <w:keepNext w:val="0"/>
              <w:keepLines w:val="0"/>
              <w:widowControl/>
              <w:suppressLineNumbers w:val="0"/>
              <w:jc w:val="center"/>
              <w:textAlignment w:val="center"/>
              <w:rPr>
                <w:rFonts w:ascii="宋体" w:hAnsi="宋体" w:eastAsia="宋体" w:cs="微软雅黑"/>
                <w:color w:val="000000"/>
                <w:szCs w:val="21"/>
              </w:rPr>
            </w:pPr>
            <w:r>
              <w:rPr>
                <w:rFonts w:hint="eastAsia" w:ascii="宋体" w:hAnsi="宋体" w:eastAsia="宋体" w:cs="宋体"/>
                <w:i w:val="0"/>
                <w:iCs w:val="0"/>
                <w:color w:val="000000"/>
                <w:kern w:val="0"/>
                <w:sz w:val="21"/>
                <w:szCs w:val="21"/>
                <w:u w:val="none"/>
                <w:lang w:val="en-US" w:eastAsia="zh-CN" w:bidi="ar"/>
              </w:rPr>
              <w:t>872</w:t>
            </w:r>
          </w:p>
        </w:tc>
        <w:tc>
          <w:tcPr>
            <w:tcW w:w="611" w:type="dxa"/>
            <w:tcBorders>
              <w:top w:val="nil"/>
              <w:left w:val="nil"/>
              <w:bottom w:val="single" w:color="000000" w:sz="8" w:space="0"/>
              <w:right w:val="single" w:color="000000" w:sz="8" w:space="0"/>
            </w:tcBorders>
            <w:shd w:val="clear" w:color="auto" w:fill="auto"/>
            <w:vAlign w:val="center"/>
          </w:tcPr>
          <w:p w14:paraId="7568A6D5">
            <w:pPr>
              <w:jc w:val="center"/>
              <w:rPr>
                <w:rFonts w:ascii="宋体" w:hAnsi="宋体" w:eastAsia="宋体" w:cs="微软雅黑"/>
                <w:color w:val="000000"/>
                <w:szCs w:val="21"/>
              </w:rPr>
            </w:pPr>
          </w:p>
        </w:tc>
      </w:tr>
      <w:tr w14:paraId="3C179341">
        <w:tblPrEx>
          <w:tblCellMar>
            <w:top w:w="0" w:type="dxa"/>
            <w:left w:w="108" w:type="dxa"/>
            <w:bottom w:w="0" w:type="dxa"/>
            <w:right w:w="108" w:type="dxa"/>
          </w:tblCellMar>
        </w:tblPrEx>
        <w:trPr>
          <w:trHeight w:val="1000" w:hRule="atLeast"/>
        </w:trPr>
        <w:tc>
          <w:tcPr>
            <w:tcW w:w="426" w:type="dxa"/>
            <w:tcBorders>
              <w:top w:val="nil"/>
              <w:left w:val="single" w:color="000000" w:sz="8" w:space="0"/>
              <w:bottom w:val="single" w:color="000000" w:sz="8" w:space="0"/>
              <w:right w:val="single" w:color="000000" w:sz="8" w:space="0"/>
            </w:tcBorders>
            <w:shd w:val="clear" w:color="auto" w:fill="auto"/>
            <w:vAlign w:val="center"/>
          </w:tcPr>
          <w:p w14:paraId="07A34F52">
            <w:pPr>
              <w:widowControl/>
              <w:jc w:val="center"/>
              <w:textAlignment w:val="center"/>
              <w:rPr>
                <w:rFonts w:ascii="宋体" w:hAnsi="宋体" w:eastAsia="宋体" w:cs="微软雅黑"/>
                <w:color w:val="000000"/>
                <w:szCs w:val="21"/>
              </w:rPr>
            </w:pPr>
            <w:r>
              <w:rPr>
                <w:rFonts w:hint="eastAsia" w:ascii="宋体" w:hAnsi="宋体" w:eastAsia="宋体" w:cs="微软雅黑"/>
                <w:color w:val="000000"/>
                <w:kern w:val="0"/>
                <w:szCs w:val="21"/>
                <w:lang w:bidi="ar"/>
              </w:rPr>
              <w:t>9</w:t>
            </w:r>
          </w:p>
        </w:tc>
        <w:tc>
          <w:tcPr>
            <w:tcW w:w="1275" w:type="dxa"/>
            <w:tcBorders>
              <w:top w:val="nil"/>
              <w:left w:val="nil"/>
              <w:bottom w:val="single" w:color="000000" w:sz="8" w:space="0"/>
              <w:right w:val="single" w:color="000000" w:sz="8" w:space="0"/>
            </w:tcBorders>
            <w:shd w:val="clear" w:color="auto" w:fill="auto"/>
            <w:vAlign w:val="center"/>
          </w:tcPr>
          <w:p w14:paraId="497E1B9A">
            <w:pPr>
              <w:keepNext w:val="0"/>
              <w:keepLines w:val="0"/>
              <w:widowControl/>
              <w:suppressLineNumbers w:val="0"/>
              <w:jc w:val="center"/>
              <w:textAlignment w:val="center"/>
              <w:rPr>
                <w:rFonts w:ascii="宋体" w:hAnsi="宋体" w:eastAsia="宋体" w:cs="微软雅黑"/>
                <w:color w:val="000000"/>
                <w:szCs w:val="21"/>
              </w:rPr>
            </w:pPr>
            <w:r>
              <w:rPr>
                <w:rFonts w:hint="eastAsia" w:ascii="宋体" w:hAnsi="宋体" w:eastAsia="宋体" w:cs="宋体"/>
                <w:i w:val="0"/>
                <w:iCs w:val="0"/>
                <w:color w:val="000000"/>
                <w:kern w:val="0"/>
                <w:sz w:val="21"/>
                <w:szCs w:val="21"/>
                <w:u w:val="none"/>
                <w:lang w:val="en-US" w:eastAsia="zh-CN" w:bidi="ar"/>
              </w:rPr>
              <w:t>电气类</w:t>
            </w:r>
          </w:p>
        </w:tc>
        <w:tc>
          <w:tcPr>
            <w:tcW w:w="5257" w:type="dxa"/>
            <w:tcBorders>
              <w:top w:val="nil"/>
              <w:left w:val="nil"/>
              <w:bottom w:val="single" w:color="000000" w:sz="8" w:space="0"/>
              <w:right w:val="single" w:color="000000" w:sz="8" w:space="0"/>
            </w:tcBorders>
            <w:shd w:val="clear" w:color="auto" w:fill="auto"/>
            <w:vAlign w:val="center"/>
          </w:tcPr>
          <w:p w14:paraId="38B157C9">
            <w:pPr>
              <w:keepNext w:val="0"/>
              <w:keepLines w:val="0"/>
              <w:widowControl/>
              <w:suppressLineNumbers w:val="0"/>
              <w:jc w:val="left"/>
              <w:textAlignment w:val="center"/>
              <w:rPr>
                <w:rFonts w:ascii="宋体" w:hAnsi="宋体" w:eastAsia="宋体" w:cs="微软雅黑"/>
                <w:color w:val="000000"/>
                <w:szCs w:val="21"/>
              </w:rPr>
            </w:pPr>
            <w:r>
              <w:rPr>
                <w:rFonts w:hint="eastAsia" w:ascii="宋体" w:hAnsi="宋体" w:eastAsia="宋体" w:cs="宋体"/>
                <w:i w:val="0"/>
                <w:iCs w:val="0"/>
                <w:color w:val="000000"/>
                <w:kern w:val="0"/>
                <w:sz w:val="21"/>
                <w:szCs w:val="21"/>
                <w:u w:val="none"/>
                <w:lang w:val="en-US" w:eastAsia="zh-CN" w:bidi="ar"/>
              </w:rPr>
              <w:t>分体空调、洗衣机、冰箱、排风扇、电话线、电话、线路等的安装、维修、易损易耗配件更换及维修</w:t>
            </w:r>
          </w:p>
        </w:tc>
        <w:tc>
          <w:tcPr>
            <w:tcW w:w="1347" w:type="dxa"/>
            <w:tcBorders>
              <w:top w:val="nil"/>
              <w:left w:val="nil"/>
              <w:bottom w:val="single" w:color="000000" w:sz="8" w:space="0"/>
              <w:right w:val="single" w:color="000000" w:sz="8" w:space="0"/>
            </w:tcBorders>
            <w:shd w:val="clear" w:color="auto" w:fill="auto"/>
            <w:vAlign w:val="center"/>
          </w:tcPr>
          <w:p w14:paraId="56A5D0B8">
            <w:pPr>
              <w:keepNext w:val="0"/>
              <w:keepLines w:val="0"/>
              <w:widowControl/>
              <w:suppressLineNumbers w:val="0"/>
              <w:jc w:val="center"/>
              <w:textAlignment w:val="center"/>
              <w:rPr>
                <w:rFonts w:ascii="宋体" w:hAnsi="宋体" w:eastAsia="宋体" w:cs="微软雅黑"/>
                <w:color w:val="000000"/>
                <w:szCs w:val="21"/>
              </w:rPr>
            </w:pPr>
            <w:r>
              <w:rPr>
                <w:rFonts w:hint="eastAsia" w:ascii="宋体" w:hAnsi="宋体" w:eastAsia="宋体" w:cs="宋体"/>
                <w:i w:val="0"/>
                <w:iCs w:val="0"/>
                <w:color w:val="000000"/>
                <w:kern w:val="0"/>
                <w:sz w:val="21"/>
                <w:szCs w:val="21"/>
                <w:u w:val="none"/>
                <w:lang w:val="en-US" w:eastAsia="zh-CN" w:bidi="ar"/>
              </w:rPr>
              <w:t>879</w:t>
            </w:r>
          </w:p>
        </w:tc>
        <w:tc>
          <w:tcPr>
            <w:tcW w:w="611" w:type="dxa"/>
            <w:tcBorders>
              <w:top w:val="nil"/>
              <w:left w:val="nil"/>
              <w:bottom w:val="single" w:color="000000" w:sz="8" w:space="0"/>
              <w:right w:val="single" w:color="000000" w:sz="8" w:space="0"/>
            </w:tcBorders>
            <w:shd w:val="clear" w:color="auto" w:fill="auto"/>
            <w:vAlign w:val="center"/>
          </w:tcPr>
          <w:p w14:paraId="6A12494D">
            <w:pPr>
              <w:jc w:val="center"/>
              <w:rPr>
                <w:rFonts w:ascii="宋体" w:hAnsi="宋体" w:eastAsia="宋体" w:cs="微软雅黑"/>
                <w:color w:val="000000"/>
                <w:szCs w:val="21"/>
              </w:rPr>
            </w:pPr>
          </w:p>
        </w:tc>
      </w:tr>
      <w:tr w14:paraId="2EA44CEC">
        <w:tblPrEx>
          <w:tblCellMar>
            <w:top w:w="0" w:type="dxa"/>
            <w:left w:w="108" w:type="dxa"/>
            <w:bottom w:w="0" w:type="dxa"/>
            <w:right w:w="108" w:type="dxa"/>
          </w:tblCellMar>
        </w:tblPrEx>
        <w:trPr>
          <w:trHeight w:val="661" w:hRule="atLeast"/>
        </w:trPr>
        <w:tc>
          <w:tcPr>
            <w:tcW w:w="426" w:type="dxa"/>
            <w:tcBorders>
              <w:top w:val="nil"/>
              <w:left w:val="single" w:color="000000" w:sz="8" w:space="0"/>
              <w:bottom w:val="single" w:color="000000" w:sz="8" w:space="0"/>
              <w:right w:val="single" w:color="000000" w:sz="8" w:space="0"/>
            </w:tcBorders>
            <w:shd w:val="clear" w:color="auto" w:fill="auto"/>
            <w:vAlign w:val="center"/>
          </w:tcPr>
          <w:p w14:paraId="1A43D875">
            <w:pPr>
              <w:widowControl/>
              <w:jc w:val="center"/>
              <w:textAlignment w:val="center"/>
              <w:rPr>
                <w:rFonts w:ascii="宋体" w:hAnsi="宋体" w:eastAsia="宋体" w:cs="微软雅黑"/>
                <w:color w:val="000000"/>
                <w:szCs w:val="21"/>
              </w:rPr>
            </w:pPr>
            <w:r>
              <w:rPr>
                <w:rFonts w:hint="eastAsia" w:ascii="宋体" w:hAnsi="宋体" w:eastAsia="宋体" w:cs="微软雅黑"/>
                <w:color w:val="000000"/>
                <w:kern w:val="0"/>
                <w:szCs w:val="21"/>
                <w:lang w:bidi="ar"/>
              </w:rPr>
              <w:t>10</w:t>
            </w:r>
          </w:p>
        </w:tc>
        <w:tc>
          <w:tcPr>
            <w:tcW w:w="1275" w:type="dxa"/>
            <w:tcBorders>
              <w:top w:val="nil"/>
              <w:left w:val="nil"/>
              <w:bottom w:val="single" w:color="000000" w:sz="8" w:space="0"/>
              <w:right w:val="single" w:color="000000" w:sz="8" w:space="0"/>
            </w:tcBorders>
            <w:shd w:val="clear" w:color="auto" w:fill="auto"/>
            <w:vAlign w:val="center"/>
          </w:tcPr>
          <w:p w14:paraId="5A4BACD8">
            <w:pPr>
              <w:keepNext w:val="0"/>
              <w:keepLines w:val="0"/>
              <w:widowControl/>
              <w:suppressLineNumbers w:val="0"/>
              <w:jc w:val="center"/>
              <w:textAlignment w:val="center"/>
              <w:rPr>
                <w:rFonts w:ascii="宋体" w:hAnsi="宋体" w:eastAsia="宋体" w:cs="微软雅黑"/>
                <w:color w:val="000000"/>
                <w:szCs w:val="21"/>
              </w:rPr>
            </w:pPr>
            <w:r>
              <w:rPr>
                <w:rFonts w:hint="eastAsia" w:ascii="宋体" w:hAnsi="宋体" w:eastAsia="宋体" w:cs="宋体"/>
                <w:i w:val="0"/>
                <w:iCs w:val="0"/>
                <w:color w:val="000000"/>
                <w:kern w:val="0"/>
                <w:sz w:val="21"/>
                <w:szCs w:val="21"/>
                <w:u w:val="none"/>
                <w:lang w:val="en-US" w:eastAsia="zh-CN" w:bidi="ar"/>
              </w:rPr>
              <w:t>堵塞</w:t>
            </w:r>
          </w:p>
        </w:tc>
        <w:tc>
          <w:tcPr>
            <w:tcW w:w="5257" w:type="dxa"/>
            <w:tcBorders>
              <w:top w:val="nil"/>
              <w:left w:val="nil"/>
              <w:bottom w:val="single" w:color="000000" w:sz="8" w:space="0"/>
              <w:right w:val="single" w:color="000000" w:sz="8" w:space="0"/>
            </w:tcBorders>
            <w:shd w:val="clear" w:color="auto" w:fill="auto"/>
            <w:vAlign w:val="center"/>
          </w:tcPr>
          <w:p w14:paraId="25C806CF">
            <w:pPr>
              <w:keepNext w:val="0"/>
              <w:keepLines w:val="0"/>
              <w:widowControl/>
              <w:suppressLineNumbers w:val="0"/>
              <w:jc w:val="left"/>
              <w:textAlignment w:val="center"/>
              <w:rPr>
                <w:rFonts w:ascii="宋体" w:hAnsi="宋体" w:eastAsia="宋体" w:cs="微软雅黑"/>
                <w:color w:val="000000"/>
                <w:szCs w:val="21"/>
              </w:rPr>
            </w:pPr>
            <w:r>
              <w:rPr>
                <w:rFonts w:hint="eastAsia" w:ascii="宋体" w:hAnsi="宋体" w:eastAsia="宋体" w:cs="宋体"/>
                <w:i w:val="0"/>
                <w:iCs w:val="0"/>
                <w:color w:val="000000"/>
                <w:kern w:val="0"/>
                <w:sz w:val="21"/>
                <w:szCs w:val="21"/>
                <w:u w:val="none"/>
                <w:lang w:val="en-US" w:eastAsia="zh-CN" w:bidi="ar"/>
              </w:rPr>
              <w:t>下水管、马桶、便池、洗手池、拖布池、地漏</w:t>
            </w:r>
          </w:p>
        </w:tc>
        <w:tc>
          <w:tcPr>
            <w:tcW w:w="1347" w:type="dxa"/>
            <w:tcBorders>
              <w:top w:val="nil"/>
              <w:left w:val="nil"/>
              <w:bottom w:val="single" w:color="000000" w:sz="8" w:space="0"/>
              <w:right w:val="single" w:color="000000" w:sz="8" w:space="0"/>
            </w:tcBorders>
            <w:shd w:val="clear" w:color="auto" w:fill="auto"/>
            <w:vAlign w:val="center"/>
          </w:tcPr>
          <w:p w14:paraId="0ED4FA2F">
            <w:pPr>
              <w:keepNext w:val="0"/>
              <w:keepLines w:val="0"/>
              <w:widowControl/>
              <w:suppressLineNumbers w:val="0"/>
              <w:jc w:val="center"/>
              <w:textAlignment w:val="center"/>
              <w:rPr>
                <w:rFonts w:ascii="宋体" w:hAnsi="宋体" w:eastAsia="宋体" w:cs="微软雅黑"/>
                <w:color w:val="000000"/>
                <w:szCs w:val="21"/>
              </w:rPr>
            </w:pPr>
            <w:r>
              <w:rPr>
                <w:rFonts w:hint="eastAsia" w:ascii="宋体" w:hAnsi="宋体" w:eastAsia="宋体" w:cs="宋体"/>
                <w:i w:val="0"/>
                <w:iCs w:val="0"/>
                <w:color w:val="000000"/>
                <w:kern w:val="0"/>
                <w:sz w:val="21"/>
                <w:szCs w:val="21"/>
                <w:u w:val="none"/>
                <w:lang w:val="en-US" w:eastAsia="zh-CN" w:bidi="ar"/>
              </w:rPr>
              <w:t>370</w:t>
            </w:r>
          </w:p>
        </w:tc>
        <w:tc>
          <w:tcPr>
            <w:tcW w:w="611" w:type="dxa"/>
            <w:tcBorders>
              <w:top w:val="nil"/>
              <w:left w:val="nil"/>
              <w:bottom w:val="single" w:color="000000" w:sz="8" w:space="0"/>
              <w:right w:val="single" w:color="000000" w:sz="8" w:space="0"/>
            </w:tcBorders>
            <w:shd w:val="clear" w:color="auto" w:fill="auto"/>
            <w:vAlign w:val="center"/>
          </w:tcPr>
          <w:p w14:paraId="6E004263">
            <w:pPr>
              <w:jc w:val="center"/>
              <w:rPr>
                <w:rFonts w:ascii="宋体" w:hAnsi="宋体" w:eastAsia="宋体" w:cs="微软雅黑"/>
                <w:color w:val="000000"/>
                <w:szCs w:val="21"/>
              </w:rPr>
            </w:pPr>
          </w:p>
        </w:tc>
      </w:tr>
      <w:tr w14:paraId="64C77752">
        <w:tblPrEx>
          <w:tblCellMar>
            <w:top w:w="0" w:type="dxa"/>
            <w:left w:w="108" w:type="dxa"/>
            <w:bottom w:w="0" w:type="dxa"/>
            <w:right w:w="108" w:type="dxa"/>
          </w:tblCellMar>
        </w:tblPrEx>
        <w:trPr>
          <w:trHeight w:val="700" w:hRule="atLeast"/>
        </w:trPr>
        <w:tc>
          <w:tcPr>
            <w:tcW w:w="426" w:type="dxa"/>
            <w:tcBorders>
              <w:top w:val="nil"/>
              <w:left w:val="single" w:color="000000" w:sz="8" w:space="0"/>
              <w:bottom w:val="single" w:color="000000" w:sz="8" w:space="0"/>
              <w:right w:val="single" w:color="000000" w:sz="8" w:space="0"/>
            </w:tcBorders>
            <w:shd w:val="clear" w:color="auto" w:fill="auto"/>
            <w:vAlign w:val="center"/>
          </w:tcPr>
          <w:p w14:paraId="21A65684">
            <w:pPr>
              <w:widowControl/>
              <w:jc w:val="center"/>
              <w:textAlignment w:val="center"/>
              <w:rPr>
                <w:rFonts w:ascii="宋体" w:hAnsi="宋体" w:eastAsia="宋体" w:cs="微软雅黑"/>
                <w:color w:val="000000"/>
                <w:szCs w:val="21"/>
              </w:rPr>
            </w:pPr>
            <w:r>
              <w:rPr>
                <w:rFonts w:hint="eastAsia" w:ascii="宋体" w:hAnsi="宋体" w:eastAsia="宋体" w:cs="微软雅黑"/>
                <w:color w:val="000000"/>
                <w:kern w:val="0"/>
                <w:szCs w:val="21"/>
                <w:lang w:bidi="ar"/>
              </w:rPr>
              <w:t>11</w:t>
            </w:r>
          </w:p>
        </w:tc>
        <w:tc>
          <w:tcPr>
            <w:tcW w:w="1275" w:type="dxa"/>
            <w:tcBorders>
              <w:top w:val="nil"/>
              <w:left w:val="nil"/>
              <w:bottom w:val="single" w:color="000000" w:sz="8" w:space="0"/>
              <w:right w:val="single" w:color="000000" w:sz="8" w:space="0"/>
            </w:tcBorders>
            <w:shd w:val="clear" w:color="auto" w:fill="auto"/>
            <w:vAlign w:val="center"/>
          </w:tcPr>
          <w:p w14:paraId="262AF730">
            <w:pPr>
              <w:keepNext w:val="0"/>
              <w:keepLines w:val="0"/>
              <w:widowControl/>
              <w:suppressLineNumbers w:val="0"/>
              <w:jc w:val="center"/>
              <w:textAlignment w:val="center"/>
              <w:rPr>
                <w:rFonts w:ascii="宋体" w:hAnsi="宋体" w:eastAsia="宋体" w:cs="微软雅黑"/>
                <w:color w:val="000000"/>
                <w:szCs w:val="21"/>
              </w:rPr>
            </w:pPr>
            <w:r>
              <w:rPr>
                <w:rFonts w:hint="eastAsia" w:ascii="宋体" w:hAnsi="宋体" w:eastAsia="宋体" w:cs="宋体"/>
                <w:i w:val="0"/>
                <w:iCs w:val="0"/>
                <w:color w:val="000000"/>
                <w:kern w:val="0"/>
                <w:sz w:val="21"/>
                <w:szCs w:val="21"/>
                <w:u w:val="none"/>
                <w:lang w:val="en-US" w:eastAsia="zh-CN" w:bidi="ar"/>
              </w:rPr>
              <w:t>卫生器具类</w:t>
            </w:r>
          </w:p>
        </w:tc>
        <w:tc>
          <w:tcPr>
            <w:tcW w:w="5257" w:type="dxa"/>
            <w:tcBorders>
              <w:top w:val="nil"/>
              <w:left w:val="nil"/>
              <w:bottom w:val="single" w:color="000000" w:sz="8" w:space="0"/>
              <w:right w:val="single" w:color="000000" w:sz="8" w:space="0"/>
            </w:tcBorders>
            <w:shd w:val="clear" w:color="auto" w:fill="auto"/>
            <w:vAlign w:val="center"/>
          </w:tcPr>
          <w:p w14:paraId="7ECE2B7F">
            <w:pPr>
              <w:keepNext w:val="0"/>
              <w:keepLines w:val="0"/>
              <w:widowControl/>
              <w:suppressLineNumbers w:val="0"/>
              <w:jc w:val="left"/>
              <w:textAlignment w:val="center"/>
              <w:rPr>
                <w:rFonts w:ascii="宋体" w:hAnsi="宋体" w:eastAsia="宋体" w:cs="微软雅黑"/>
                <w:color w:val="000000"/>
                <w:szCs w:val="21"/>
              </w:rPr>
            </w:pPr>
            <w:r>
              <w:rPr>
                <w:rFonts w:hint="eastAsia" w:ascii="宋体" w:hAnsi="宋体" w:eastAsia="宋体" w:cs="宋体"/>
                <w:i w:val="0"/>
                <w:iCs w:val="0"/>
                <w:color w:val="000000"/>
                <w:kern w:val="0"/>
                <w:sz w:val="21"/>
                <w:szCs w:val="21"/>
                <w:u w:val="none"/>
                <w:lang w:val="en-US" w:eastAsia="zh-CN" w:bidi="ar"/>
              </w:rPr>
              <w:t>洗手池、便池、拖布池、马桶、小便池、水龙头拆卸安装、维修及更换配件</w:t>
            </w:r>
          </w:p>
        </w:tc>
        <w:tc>
          <w:tcPr>
            <w:tcW w:w="1347" w:type="dxa"/>
            <w:tcBorders>
              <w:top w:val="nil"/>
              <w:left w:val="nil"/>
              <w:bottom w:val="single" w:color="000000" w:sz="8" w:space="0"/>
              <w:right w:val="single" w:color="000000" w:sz="8" w:space="0"/>
            </w:tcBorders>
            <w:shd w:val="clear" w:color="auto" w:fill="auto"/>
            <w:vAlign w:val="center"/>
          </w:tcPr>
          <w:p w14:paraId="24517BCD">
            <w:pPr>
              <w:keepNext w:val="0"/>
              <w:keepLines w:val="0"/>
              <w:widowControl/>
              <w:suppressLineNumbers w:val="0"/>
              <w:jc w:val="center"/>
              <w:textAlignment w:val="center"/>
              <w:rPr>
                <w:rFonts w:ascii="宋体" w:hAnsi="宋体" w:eastAsia="宋体" w:cs="微软雅黑"/>
                <w:color w:val="000000"/>
                <w:szCs w:val="21"/>
              </w:rPr>
            </w:pPr>
            <w:r>
              <w:rPr>
                <w:rFonts w:hint="eastAsia" w:ascii="宋体" w:hAnsi="宋体" w:eastAsia="宋体" w:cs="宋体"/>
                <w:i w:val="0"/>
                <w:iCs w:val="0"/>
                <w:color w:val="000000"/>
                <w:kern w:val="0"/>
                <w:sz w:val="21"/>
                <w:szCs w:val="21"/>
                <w:u w:val="none"/>
                <w:lang w:val="en-US" w:eastAsia="zh-CN" w:bidi="ar"/>
              </w:rPr>
              <w:t>400</w:t>
            </w:r>
          </w:p>
        </w:tc>
        <w:tc>
          <w:tcPr>
            <w:tcW w:w="611" w:type="dxa"/>
            <w:tcBorders>
              <w:top w:val="nil"/>
              <w:left w:val="nil"/>
              <w:bottom w:val="single" w:color="000000" w:sz="8" w:space="0"/>
              <w:right w:val="single" w:color="000000" w:sz="8" w:space="0"/>
            </w:tcBorders>
            <w:shd w:val="clear" w:color="auto" w:fill="auto"/>
            <w:vAlign w:val="center"/>
          </w:tcPr>
          <w:p w14:paraId="412CB15E">
            <w:pPr>
              <w:jc w:val="center"/>
              <w:rPr>
                <w:rFonts w:ascii="宋体" w:hAnsi="宋体" w:eastAsia="宋体" w:cs="微软雅黑"/>
                <w:color w:val="000000"/>
                <w:szCs w:val="21"/>
              </w:rPr>
            </w:pPr>
          </w:p>
        </w:tc>
      </w:tr>
      <w:tr w14:paraId="0ACA741A">
        <w:tblPrEx>
          <w:tblCellMar>
            <w:top w:w="0" w:type="dxa"/>
            <w:left w:w="108" w:type="dxa"/>
            <w:bottom w:w="0" w:type="dxa"/>
            <w:right w:w="108" w:type="dxa"/>
          </w:tblCellMar>
        </w:tblPrEx>
        <w:trPr>
          <w:trHeight w:val="540" w:hRule="atLeast"/>
        </w:trPr>
        <w:tc>
          <w:tcPr>
            <w:tcW w:w="426" w:type="dxa"/>
            <w:tcBorders>
              <w:top w:val="nil"/>
              <w:left w:val="single" w:color="000000" w:sz="8" w:space="0"/>
              <w:bottom w:val="single" w:color="000000" w:sz="8" w:space="0"/>
              <w:right w:val="single" w:color="000000" w:sz="8" w:space="0"/>
            </w:tcBorders>
            <w:shd w:val="clear" w:color="auto" w:fill="auto"/>
            <w:vAlign w:val="center"/>
          </w:tcPr>
          <w:p w14:paraId="5EAA6596">
            <w:pPr>
              <w:widowControl/>
              <w:jc w:val="center"/>
              <w:textAlignment w:val="center"/>
              <w:rPr>
                <w:rFonts w:ascii="宋体" w:hAnsi="宋体" w:eastAsia="宋体" w:cs="微软雅黑"/>
                <w:color w:val="000000"/>
                <w:szCs w:val="21"/>
              </w:rPr>
            </w:pPr>
            <w:r>
              <w:rPr>
                <w:rFonts w:hint="eastAsia" w:ascii="宋体" w:hAnsi="宋体" w:eastAsia="宋体" w:cs="微软雅黑"/>
                <w:color w:val="000000"/>
                <w:kern w:val="0"/>
                <w:szCs w:val="21"/>
                <w:lang w:bidi="ar"/>
              </w:rPr>
              <w:t>12</w:t>
            </w:r>
          </w:p>
        </w:tc>
        <w:tc>
          <w:tcPr>
            <w:tcW w:w="1275" w:type="dxa"/>
            <w:tcBorders>
              <w:top w:val="nil"/>
              <w:left w:val="nil"/>
              <w:bottom w:val="single" w:color="000000" w:sz="8" w:space="0"/>
              <w:right w:val="single" w:color="000000" w:sz="8" w:space="0"/>
            </w:tcBorders>
            <w:shd w:val="clear" w:color="auto" w:fill="auto"/>
            <w:vAlign w:val="center"/>
          </w:tcPr>
          <w:p w14:paraId="6FF286E4">
            <w:pPr>
              <w:keepNext w:val="0"/>
              <w:keepLines w:val="0"/>
              <w:widowControl/>
              <w:suppressLineNumbers w:val="0"/>
              <w:jc w:val="center"/>
              <w:textAlignment w:val="center"/>
              <w:rPr>
                <w:rFonts w:ascii="宋体" w:hAnsi="宋体" w:eastAsia="宋体" w:cs="微软雅黑"/>
                <w:color w:val="000000"/>
                <w:szCs w:val="21"/>
              </w:rPr>
            </w:pPr>
            <w:r>
              <w:rPr>
                <w:rFonts w:hint="eastAsia" w:ascii="宋体" w:hAnsi="宋体" w:eastAsia="宋体" w:cs="宋体"/>
                <w:i w:val="0"/>
                <w:iCs w:val="0"/>
                <w:color w:val="000000"/>
                <w:kern w:val="0"/>
                <w:sz w:val="21"/>
                <w:szCs w:val="21"/>
                <w:u w:val="none"/>
                <w:lang w:val="en-US" w:eastAsia="zh-CN" w:bidi="ar"/>
              </w:rPr>
              <w:t>漏水类</w:t>
            </w:r>
          </w:p>
        </w:tc>
        <w:tc>
          <w:tcPr>
            <w:tcW w:w="5257" w:type="dxa"/>
            <w:tcBorders>
              <w:top w:val="nil"/>
              <w:left w:val="nil"/>
              <w:bottom w:val="single" w:color="000000" w:sz="8" w:space="0"/>
              <w:right w:val="single" w:color="000000" w:sz="8" w:space="0"/>
            </w:tcBorders>
            <w:shd w:val="clear" w:color="auto" w:fill="auto"/>
            <w:vAlign w:val="center"/>
          </w:tcPr>
          <w:p w14:paraId="16C78368">
            <w:pPr>
              <w:keepNext w:val="0"/>
              <w:keepLines w:val="0"/>
              <w:widowControl/>
              <w:suppressLineNumbers w:val="0"/>
              <w:jc w:val="left"/>
              <w:textAlignment w:val="center"/>
              <w:rPr>
                <w:rFonts w:ascii="宋体" w:hAnsi="宋体" w:eastAsia="宋体" w:cs="微软雅黑"/>
                <w:color w:val="000000"/>
                <w:szCs w:val="21"/>
              </w:rPr>
            </w:pPr>
            <w:r>
              <w:rPr>
                <w:rFonts w:hint="eastAsia" w:ascii="宋体" w:hAnsi="宋体" w:eastAsia="宋体" w:cs="宋体"/>
                <w:i w:val="0"/>
                <w:iCs w:val="0"/>
                <w:color w:val="000000"/>
                <w:kern w:val="0"/>
                <w:sz w:val="21"/>
                <w:szCs w:val="21"/>
                <w:u w:val="none"/>
                <w:lang w:val="en-US" w:eastAsia="zh-CN" w:bidi="ar"/>
              </w:rPr>
              <w:t>天花板漏水、下水管漏水、房屋漏水的修缮</w:t>
            </w:r>
          </w:p>
        </w:tc>
        <w:tc>
          <w:tcPr>
            <w:tcW w:w="1347" w:type="dxa"/>
            <w:tcBorders>
              <w:top w:val="nil"/>
              <w:left w:val="nil"/>
              <w:bottom w:val="single" w:color="000000" w:sz="8" w:space="0"/>
              <w:right w:val="single" w:color="000000" w:sz="8" w:space="0"/>
            </w:tcBorders>
            <w:shd w:val="clear" w:color="auto" w:fill="auto"/>
            <w:vAlign w:val="center"/>
          </w:tcPr>
          <w:p w14:paraId="6AD59380">
            <w:pPr>
              <w:keepNext w:val="0"/>
              <w:keepLines w:val="0"/>
              <w:widowControl/>
              <w:suppressLineNumbers w:val="0"/>
              <w:jc w:val="center"/>
              <w:textAlignment w:val="center"/>
              <w:rPr>
                <w:rFonts w:ascii="宋体" w:hAnsi="宋体" w:eastAsia="宋体" w:cs="微软雅黑"/>
                <w:color w:val="000000"/>
                <w:szCs w:val="21"/>
              </w:rPr>
            </w:pPr>
            <w:r>
              <w:rPr>
                <w:rFonts w:hint="eastAsia" w:ascii="宋体" w:hAnsi="宋体" w:eastAsia="宋体" w:cs="宋体"/>
                <w:i w:val="0"/>
                <w:iCs w:val="0"/>
                <w:color w:val="000000"/>
                <w:kern w:val="0"/>
                <w:sz w:val="21"/>
                <w:szCs w:val="21"/>
                <w:u w:val="none"/>
                <w:lang w:val="en-US" w:eastAsia="zh-CN" w:bidi="ar"/>
              </w:rPr>
              <w:t>167</w:t>
            </w:r>
          </w:p>
        </w:tc>
        <w:tc>
          <w:tcPr>
            <w:tcW w:w="611" w:type="dxa"/>
            <w:tcBorders>
              <w:top w:val="nil"/>
              <w:left w:val="nil"/>
              <w:bottom w:val="single" w:color="000000" w:sz="8" w:space="0"/>
              <w:right w:val="single" w:color="000000" w:sz="8" w:space="0"/>
            </w:tcBorders>
            <w:shd w:val="clear" w:color="auto" w:fill="auto"/>
            <w:vAlign w:val="center"/>
          </w:tcPr>
          <w:p w14:paraId="63CDAD33">
            <w:pPr>
              <w:jc w:val="center"/>
              <w:rPr>
                <w:rFonts w:ascii="宋体" w:hAnsi="宋体" w:eastAsia="宋体" w:cs="微软雅黑"/>
                <w:color w:val="000000"/>
                <w:szCs w:val="21"/>
              </w:rPr>
            </w:pPr>
          </w:p>
        </w:tc>
      </w:tr>
      <w:tr w14:paraId="0D668A83">
        <w:tblPrEx>
          <w:tblCellMar>
            <w:top w:w="0" w:type="dxa"/>
            <w:left w:w="108" w:type="dxa"/>
            <w:bottom w:w="0" w:type="dxa"/>
            <w:right w:w="108" w:type="dxa"/>
          </w:tblCellMar>
        </w:tblPrEx>
        <w:trPr>
          <w:trHeight w:val="690" w:hRule="atLeast"/>
        </w:trPr>
        <w:tc>
          <w:tcPr>
            <w:tcW w:w="426" w:type="dxa"/>
            <w:tcBorders>
              <w:top w:val="nil"/>
              <w:left w:val="single" w:color="000000" w:sz="8" w:space="0"/>
              <w:bottom w:val="single" w:color="000000" w:sz="8" w:space="0"/>
              <w:right w:val="single" w:color="000000" w:sz="8" w:space="0"/>
            </w:tcBorders>
            <w:shd w:val="clear" w:color="auto" w:fill="auto"/>
            <w:vAlign w:val="center"/>
          </w:tcPr>
          <w:p w14:paraId="018D10AD">
            <w:pPr>
              <w:widowControl/>
              <w:jc w:val="center"/>
              <w:textAlignment w:val="center"/>
              <w:rPr>
                <w:rFonts w:ascii="宋体" w:hAnsi="宋体" w:eastAsia="宋体" w:cs="微软雅黑"/>
                <w:color w:val="000000"/>
                <w:szCs w:val="21"/>
              </w:rPr>
            </w:pPr>
            <w:r>
              <w:rPr>
                <w:rFonts w:hint="eastAsia" w:ascii="宋体" w:hAnsi="宋体" w:eastAsia="宋体" w:cs="微软雅黑"/>
                <w:color w:val="000000"/>
                <w:kern w:val="0"/>
                <w:szCs w:val="21"/>
                <w:lang w:bidi="ar"/>
              </w:rPr>
              <w:t>13</w:t>
            </w:r>
          </w:p>
        </w:tc>
        <w:tc>
          <w:tcPr>
            <w:tcW w:w="1275" w:type="dxa"/>
            <w:tcBorders>
              <w:top w:val="nil"/>
              <w:left w:val="nil"/>
              <w:bottom w:val="single" w:color="000000" w:sz="8" w:space="0"/>
              <w:right w:val="single" w:color="000000" w:sz="8" w:space="0"/>
            </w:tcBorders>
            <w:shd w:val="clear" w:color="auto" w:fill="auto"/>
            <w:vAlign w:val="center"/>
          </w:tcPr>
          <w:p w14:paraId="143614D2">
            <w:pPr>
              <w:keepNext w:val="0"/>
              <w:keepLines w:val="0"/>
              <w:widowControl/>
              <w:suppressLineNumbers w:val="0"/>
              <w:jc w:val="center"/>
              <w:textAlignment w:val="center"/>
              <w:rPr>
                <w:rFonts w:ascii="宋体" w:hAnsi="宋体" w:eastAsia="宋体" w:cs="微软雅黑"/>
                <w:color w:val="000000"/>
                <w:szCs w:val="21"/>
              </w:rPr>
            </w:pPr>
            <w:r>
              <w:rPr>
                <w:rFonts w:hint="eastAsia" w:ascii="宋体" w:hAnsi="宋体" w:eastAsia="宋体" w:cs="宋体"/>
                <w:i w:val="0"/>
                <w:iCs w:val="0"/>
                <w:color w:val="000000"/>
                <w:kern w:val="0"/>
                <w:sz w:val="21"/>
                <w:szCs w:val="21"/>
                <w:u w:val="none"/>
                <w:lang w:val="en-US" w:eastAsia="zh-CN" w:bidi="ar"/>
              </w:rPr>
              <w:t>墙面类</w:t>
            </w:r>
          </w:p>
        </w:tc>
        <w:tc>
          <w:tcPr>
            <w:tcW w:w="5257" w:type="dxa"/>
            <w:tcBorders>
              <w:top w:val="nil"/>
              <w:left w:val="nil"/>
              <w:bottom w:val="single" w:color="000000" w:sz="8" w:space="0"/>
              <w:right w:val="single" w:color="000000" w:sz="8" w:space="0"/>
            </w:tcBorders>
            <w:shd w:val="clear" w:color="auto" w:fill="auto"/>
            <w:vAlign w:val="center"/>
          </w:tcPr>
          <w:p w14:paraId="447F51C5">
            <w:pPr>
              <w:keepNext w:val="0"/>
              <w:keepLines w:val="0"/>
              <w:widowControl/>
              <w:suppressLineNumbers w:val="0"/>
              <w:jc w:val="left"/>
              <w:textAlignment w:val="center"/>
              <w:rPr>
                <w:rFonts w:ascii="宋体" w:hAnsi="宋体" w:eastAsia="宋体" w:cs="微软雅黑"/>
                <w:color w:val="000000"/>
                <w:szCs w:val="21"/>
              </w:rPr>
            </w:pPr>
            <w:r>
              <w:rPr>
                <w:rFonts w:hint="eastAsia" w:ascii="宋体" w:hAnsi="宋体" w:eastAsia="宋体" w:cs="宋体"/>
                <w:i w:val="0"/>
                <w:iCs w:val="0"/>
                <w:color w:val="000000"/>
                <w:kern w:val="0"/>
                <w:sz w:val="21"/>
                <w:szCs w:val="21"/>
                <w:u w:val="none"/>
                <w:lang w:val="en-US" w:eastAsia="zh-CN" w:bidi="ar"/>
              </w:rPr>
              <w:t>墙体发霉、裂纹、脱皮、松动、补洞的修复</w:t>
            </w:r>
          </w:p>
        </w:tc>
        <w:tc>
          <w:tcPr>
            <w:tcW w:w="1347" w:type="dxa"/>
            <w:tcBorders>
              <w:top w:val="nil"/>
              <w:left w:val="nil"/>
              <w:bottom w:val="single" w:color="000000" w:sz="8" w:space="0"/>
              <w:right w:val="single" w:color="000000" w:sz="8" w:space="0"/>
            </w:tcBorders>
            <w:shd w:val="clear" w:color="auto" w:fill="auto"/>
            <w:vAlign w:val="center"/>
          </w:tcPr>
          <w:p w14:paraId="3039693E">
            <w:pPr>
              <w:keepNext w:val="0"/>
              <w:keepLines w:val="0"/>
              <w:widowControl/>
              <w:suppressLineNumbers w:val="0"/>
              <w:jc w:val="center"/>
              <w:textAlignment w:val="center"/>
              <w:rPr>
                <w:rFonts w:ascii="宋体" w:hAnsi="宋体" w:eastAsia="宋体" w:cs="微软雅黑"/>
                <w:color w:val="000000"/>
                <w:szCs w:val="21"/>
              </w:rPr>
            </w:pPr>
            <w:r>
              <w:rPr>
                <w:rFonts w:hint="eastAsia" w:ascii="宋体" w:hAnsi="宋体" w:eastAsia="宋体" w:cs="宋体"/>
                <w:i w:val="0"/>
                <w:iCs w:val="0"/>
                <w:color w:val="000000"/>
                <w:kern w:val="0"/>
                <w:sz w:val="21"/>
                <w:szCs w:val="21"/>
                <w:u w:val="none"/>
                <w:lang w:val="en-US" w:eastAsia="zh-CN" w:bidi="ar"/>
              </w:rPr>
              <w:t>655</w:t>
            </w:r>
          </w:p>
        </w:tc>
        <w:tc>
          <w:tcPr>
            <w:tcW w:w="611" w:type="dxa"/>
            <w:tcBorders>
              <w:top w:val="nil"/>
              <w:left w:val="nil"/>
              <w:bottom w:val="single" w:color="000000" w:sz="8" w:space="0"/>
              <w:right w:val="single" w:color="000000" w:sz="8" w:space="0"/>
            </w:tcBorders>
            <w:shd w:val="clear" w:color="auto" w:fill="auto"/>
            <w:vAlign w:val="center"/>
          </w:tcPr>
          <w:p w14:paraId="2123F301">
            <w:pPr>
              <w:jc w:val="center"/>
              <w:rPr>
                <w:rFonts w:ascii="宋体" w:hAnsi="宋体" w:eastAsia="宋体" w:cs="微软雅黑"/>
                <w:color w:val="000000"/>
                <w:szCs w:val="21"/>
              </w:rPr>
            </w:pPr>
          </w:p>
        </w:tc>
      </w:tr>
      <w:tr w14:paraId="1E805CC3">
        <w:tblPrEx>
          <w:tblCellMar>
            <w:top w:w="0" w:type="dxa"/>
            <w:left w:w="108" w:type="dxa"/>
            <w:bottom w:w="0" w:type="dxa"/>
            <w:right w:w="108" w:type="dxa"/>
          </w:tblCellMar>
        </w:tblPrEx>
        <w:trPr>
          <w:trHeight w:val="544" w:hRule="atLeast"/>
        </w:trPr>
        <w:tc>
          <w:tcPr>
            <w:tcW w:w="426" w:type="dxa"/>
            <w:tcBorders>
              <w:top w:val="nil"/>
              <w:left w:val="single" w:color="000000" w:sz="8" w:space="0"/>
              <w:bottom w:val="single" w:color="000000" w:sz="8" w:space="0"/>
              <w:right w:val="single" w:color="000000" w:sz="8" w:space="0"/>
            </w:tcBorders>
            <w:shd w:val="clear" w:color="auto" w:fill="auto"/>
            <w:vAlign w:val="center"/>
          </w:tcPr>
          <w:p w14:paraId="38733A16">
            <w:pPr>
              <w:widowControl/>
              <w:jc w:val="center"/>
              <w:textAlignment w:val="center"/>
              <w:rPr>
                <w:rFonts w:ascii="宋体" w:hAnsi="宋体" w:eastAsia="宋体" w:cs="微软雅黑"/>
                <w:color w:val="000000"/>
                <w:szCs w:val="21"/>
              </w:rPr>
            </w:pPr>
            <w:r>
              <w:rPr>
                <w:rFonts w:hint="eastAsia" w:ascii="宋体" w:hAnsi="宋体" w:eastAsia="宋体" w:cs="微软雅黑"/>
                <w:color w:val="000000"/>
                <w:kern w:val="0"/>
                <w:szCs w:val="21"/>
                <w:lang w:bidi="ar"/>
              </w:rPr>
              <w:t>14</w:t>
            </w:r>
          </w:p>
        </w:tc>
        <w:tc>
          <w:tcPr>
            <w:tcW w:w="1275" w:type="dxa"/>
            <w:tcBorders>
              <w:top w:val="nil"/>
              <w:left w:val="nil"/>
              <w:bottom w:val="single" w:color="000000" w:sz="8" w:space="0"/>
              <w:right w:val="single" w:color="000000" w:sz="8" w:space="0"/>
            </w:tcBorders>
            <w:shd w:val="clear" w:color="auto" w:fill="auto"/>
            <w:vAlign w:val="center"/>
          </w:tcPr>
          <w:p w14:paraId="472B2B86">
            <w:pPr>
              <w:keepNext w:val="0"/>
              <w:keepLines w:val="0"/>
              <w:widowControl/>
              <w:suppressLineNumbers w:val="0"/>
              <w:jc w:val="center"/>
              <w:textAlignment w:val="center"/>
              <w:rPr>
                <w:rFonts w:ascii="宋体" w:hAnsi="宋体" w:eastAsia="宋体" w:cs="微软雅黑"/>
                <w:color w:val="000000"/>
                <w:szCs w:val="21"/>
              </w:rPr>
            </w:pPr>
            <w:r>
              <w:rPr>
                <w:rFonts w:hint="eastAsia" w:ascii="宋体" w:hAnsi="宋体" w:eastAsia="宋体" w:cs="宋体"/>
                <w:i w:val="0"/>
                <w:iCs w:val="0"/>
                <w:color w:val="000000"/>
                <w:kern w:val="0"/>
                <w:sz w:val="21"/>
                <w:szCs w:val="21"/>
                <w:u w:val="none"/>
                <w:lang w:val="en-US" w:eastAsia="zh-CN" w:bidi="ar"/>
              </w:rPr>
              <w:t>吊顶类</w:t>
            </w:r>
          </w:p>
        </w:tc>
        <w:tc>
          <w:tcPr>
            <w:tcW w:w="5257" w:type="dxa"/>
            <w:tcBorders>
              <w:top w:val="nil"/>
              <w:left w:val="nil"/>
              <w:bottom w:val="single" w:color="000000" w:sz="8" w:space="0"/>
              <w:right w:val="single" w:color="000000" w:sz="8" w:space="0"/>
            </w:tcBorders>
            <w:shd w:val="clear" w:color="auto" w:fill="auto"/>
            <w:vAlign w:val="center"/>
          </w:tcPr>
          <w:p w14:paraId="51F5551C">
            <w:pPr>
              <w:keepNext w:val="0"/>
              <w:keepLines w:val="0"/>
              <w:widowControl/>
              <w:suppressLineNumbers w:val="0"/>
              <w:jc w:val="left"/>
              <w:textAlignment w:val="center"/>
              <w:rPr>
                <w:rFonts w:ascii="宋体" w:hAnsi="宋体" w:eastAsia="宋体" w:cs="微软雅黑"/>
                <w:color w:val="000000"/>
                <w:szCs w:val="21"/>
              </w:rPr>
            </w:pPr>
            <w:r>
              <w:rPr>
                <w:rFonts w:hint="eastAsia" w:ascii="宋体" w:hAnsi="宋体" w:eastAsia="宋体" w:cs="宋体"/>
                <w:i w:val="0"/>
                <w:iCs w:val="0"/>
                <w:color w:val="000000"/>
                <w:kern w:val="0"/>
                <w:sz w:val="21"/>
                <w:szCs w:val="21"/>
                <w:u w:val="none"/>
                <w:lang w:val="en-US" w:eastAsia="zh-CN" w:bidi="ar"/>
              </w:rPr>
              <w:t>吊顶发霉、发黄、裂纹的更换及修饰</w:t>
            </w:r>
          </w:p>
        </w:tc>
        <w:tc>
          <w:tcPr>
            <w:tcW w:w="1347" w:type="dxa"/>
            <w:tcBorders>
              <w:top w:val="nil"/>
              <w:left w:val="nil"/>
              <w:bottom w:val="single" w:color="000000" w:sz="8" w:space="0"/>
              <w:right w:val="single" w:color="000000" w:sz="8" w:space="0"/>
            </w:tcBorders>
            <w:shd w:val="clear" w:color="auto" w:fill="auto"/>
            <w:vAlign w:val="center"/>
          </w:tcPr>
          <w:p w14:paraId="4F990ED4">
            <w:pPr>
              <w:keepNext w:val="0"/>
              <w:keepLines w:val="0"/>
              <w:widowControl/>
              <w:suppressLineNumbers w:val="0"/>
              <w:jc w:val="center"/>
              <w:textAlignment w:val="center"/>
              <w:rPr>
                <w:rFonts w:ascii="宋体" w:hAnsi="宋体" w:eastAsia="宋体" w:cs="微软雅黑"/>
                <w:color w:val="000000"/>
                <w:szCs w:val="21"/>
              </w:rPr>
            </w:pPr>
            <w:r>
              <w:rPr>
                <w:rFonts w:hint="eastAsia" w:ascii="宋体" w:hAnsi="宋体" w:eastAsia="宋体" w:cs="宋体"/>
                <w:i w:val="0"/>
                <w:iCs w:val="0"/>
                <w:color w:val="000000"/>
                <w:kern w:val="0"/>
                <w:sz w:val="21"/>
                <w:szCs w:val="21"/>
                <w:u w:val="none"/>
                <w:lang w:val="en-US" w:eastAsia="zh-CN" w:bidi="ar"/>
              </w:rPr>
              <w:t>1026</w:t>
            </w:r>
          </w:p>
        </w:tc>
        <w:tc>
          <w:tcPr>
            <w:tcW w:w="611" w:type="dxa"/>
            <w:tcBorders>
              <w:top w:val="nil"/>
              <w:left w:val="nil"/>
              <w:bottom w:val="single" w:color="000000" w:sz="8" w:space="0"/>
              <w:right w:val="single" w:color="000000" w:sz="8" w:space="0"/>
            </w:tcBorders>
            <w:shd w:val="clear" w:color="auto" w:fill="auto"/>
            <w:vAlign w:val="center"/>
          </w:tcPr>
          <w:p w14:paraId="64316FFF">
            <w:pPr>
              <w:jc w:val="center"/>
              <w:rPr>
                <w:rFonts w:ascii="宋体" w:hAnsi="宋体" w:eastAsia="宋体" w:cs="微软雅黑"/>
                <w:color w:val="000000"/>
                <w:szCs w:val="21"/>
              </w:rPr>
            </w:pPr>
          </w:p>
        </w:tc>
      </w:tr>
      <w:tr w14:paraId="5E549A9C">
        <w:tblPrEx>
          <w:tblCellMar>
            <w:top w:w="0" w:type="dxa"/>
            <w:left w:w="108" w:type="dxa"/>
            <w:bottom w:w="0" w:type="dxa"/>
            <w:right w:w="108" w:type="dxa"/>
          </w:tblCellMar>
        </w:tblPrEx>
        <w:trPr>
          <w:trHeight w:val="680" w:hRule="atLeast"/>
        </w:trPr>
        <w:tc>
          <w:tcPr>
            <w:tcW w:w="426" w:type="dxa"/>
            <w:tcBorders>
              <w:top w:val="nil"/>
              <w:left w:val="single" w:color="000000" w:sz="8" w:space="0"/>
              <w:bottom w:val="single" w:color="000000" w:sz="8" w:space="0"/>
              <w:right w:val="single" w:color="000000" w:sz="8" w:space="0"/>
            </w:tcBorders>
            <w:shd w:val="clear" w:color="auto" w:fill="auto"/>
            <w:vAlign w:val="center"/>
          </w:tcPr>
          <w:p w14:paraId="745BEAA3">
            <w:pPr>
              <w:widowControl/>
              <w:jc w:val="center"/>
              <w:textAlignment w:val="center"/>
              <w:rPr>
                <w:rFonts w:ascii="宋体" w:hAnsi="宋体" w:eastAsia="宋体" w:cs="微软雅黑"/>
                <w:color w:val="000000"/>
                <w:szCs w:val="21"/>
              </w:rPr>
            </w:pPr>
            <w:r>
              <w:rPr>
                <w:rFonts w:hint="eastAsia" w:ascii="宋体" w:hAnsi="宋体" w:eastAsia="宋体" w:cs="微软雅黑"/>
                <w:color w:val="000000"/>
                <w:kern w:val="0"/>
                <w:szCs w:val="21"/>
                <w:lang w:bidi="ar"/>
              </w:rPr>
              <w:t>15</w:t>
            </w:r>
          </w:p>
        </w:tc>
        <w:tc>
          <w:tcPr>
            <w:tcW w:w="1275" w:type="dxa"/>
            <w:tcBorders>
              <w:top w:val="nil"/>
              <w:left w:val="nil"/>
              <w:bottom w:val="single" w:color="000000" w:sz="8" w:space="0"/>
              <w:right w:val="single" w:color="000000" w:sz="8" w:space="0"/>
            </w:tcBorders>
            <w:shd w:val="clear" w:color="auto" w:fill="auto"/>
            <w:vAlign w:val="center"/>
          </w:tcPr>
          <w:p w14:paraId="31FEE2B8">
            <w:pPr>
              <w:keepNext w:val="0"/>
              <w:keepLines w:val="0"/>
              <w:widowControl/>
              <w:suppressLineNumbers w:val="0"/>
              <w:jc w:val="center"/>
              <w:textAlignment w:val="center"/>
              <w:rPr>
                <w:rFonts w:ascii="宋体" w:hAnsi="宋体" w:eastAsia="宋体" w:cs="微软雅黑"/>
                <w:color w:val="000000"/>
                <w:szCs w:val="21"/>
              </w:rPr>
            </w:pPr>
            <w:r>
              <w:rPr>
                <w:rFonts w:hint="eastAsia" w:ascii="宋体" w:hAnsi="宋体" w:eastAsia="宋体" w:cs="宋体"/>
                <w:i w:val="0"/>
                <w:iCs w:val="0"/>
                <w:color w:val="000000"/>
                <w:kern w:val="0"/>
                <w:sz w:val="21"/>
                <w:szCs w:val="21"/>
                <w:u w:val="none"/>
                <w:lang w:val="en-US" w:eastAsia="zh-CN" w:bidi="ar"/>
              </w:rPr>
              <w:t>地面类</w:t>
            </w:r>
          </w:p>
        </w:tc>
        <w:tc>
          <w:tcPr>
            <w:tcW w:w="5257" w:type="dxa"/>
            <w:tcBorders>
              <w:top w:val="nil"/>
              <w:left w:val="nil"/>
              <w:bottom w:val="single" w:color="000000" w:sz="8" w:space="0"/>
              <w:right w:val="single" w:color="000000" w:sz="8" w:space="0"/>
            </w:tcBorders>
            <w:shd w:val="clear" w:color="auto" w:fill="auto"/>
            <w:vAlign w:val="center"/>
          </w:tcPr>
          <w:p w14:paraId="1101C75A">
            <w:pPr>
              <w:keepNext w:val="0"/>
              <w:keepLines w:val="0"/>
              <w:widowControl/>
              <w:suppressLineNumbers w:val="0"/>
              <w:jc w:val="left"/>
              <w:textAlignment w:val="center"/>
              <w:rPr>
                <w:rFonts w:ascii="宋体" w:hAnsi="宋体" w:eastAsia="宋体" w:cs="微软雅黑"/>
                <w:color w:val="000000"/>
                <w:szCs w:val="21"/>
              </w:rPr>
            </w:pPr>
            <w:r>
              <w:rPr>
                <w:rFonts w:hint="eastAsia" w:ascii="宋体" w:hAnsi="宋体" w:eastAsia="宋体" w:cs="宋体"/>
                <w:i w:val="0"/>
                <w:iCs w:val="0"/>
                <w:color w:val="000000"/>
                <w:kern w:val="0"/>
                <w:sz w:val="21"/>
                <w:szCs w:val="21"/>
                <w:u w:val="none"/>
                <w:lang w:val="en-US" w:eastAsia="zh-CN" w:bidi="ar"/>
              </w:rPr>
              <w:t>地砖维修及更换</w:t>
            </w:r>
          </w:p>
        </w:tc>
        <w:tc>
          <w:tcPr>
            <w:tcW w:w="1347" w:type="dxa"/>
            <w:tcBorders>
              <w:top w:val="nil"/>
              <w:left w:val="nil"/>
              <w:bottom w:val="single" w:color="000000" w:sz="8" w:space="0"/>
              <w:right w:val="single" w:color="000000" w:sz="8" w:space="0"/>
            </w:tcBorders>
            <w:shd w:val="clear" w:color="auto" w:fill="auto"/>
            <w:vAlign w:val="center"/>
          </w:tcPr>
          <w:p w14:paraId="680F9518">
            <w:pPr>
              <w:keepNext w:val="0"/>
              <w:keepLines w:val="0"/>
              <w:widowControl/>
              <w:suppressLineNumbers w:val="0"/>
              <w:jc w:val="center"/>
              <w:textAlignment w:val="center"/>
              <w:rPr>
                <w:rFonts w:ascii="宋体" w:hAnsi="宋体" w:eastAsia="宋体" w:cs="微软雅黑"/>
                <w:color w:val="000000"/>
                <w:szCs w:val="21"/>
              </w:rPr>
            </w:pPr>
            <w:r>
              <w:rPr>
                <w:rFonts w:hint="eastAsia" w:ascii="宋体" w:hAnsi="宋体" w:eastAsia="宋体" w:cs="宋体"/>
                <w:i w:val="0"/>
                <w:iCs w:val="0"/>
                <w:color w:val="000000"/>
                <w:kern w:val="0"/>
                <w:sz w:val="21"/>
                <w:szCs w:val="21"/>
                <w:u w:val="none"/>
                <w:lang w:val="en-US" w:eastAsia="zh-CN" w:bidi="ar"/>
              </w:rPr>
              <w:t>153</w:t>
            </w:r>
          </w:p>
        </w:tc>
        <w:tc>
          <w:tcPr>
            <w:tcW w:w="611" w:type="dxa"/>
            <w:tcBorders>
              <w:top w:val="nil"/>
              <w:left w:val="nil"/>
              <w:bottom w:val="single" w:color="000000" w:sz="8" w:space="0"/>
              <w:right w:val="single" w:color="000000" w:sz="8" w:space="0"/>
            </w:tcBorders>
            <w:shd w:val="clear" w:color="auto" w:fill="auto"/>
            <w:vAlign w:val="center"/>
          </w:tcPr>
          <w:p w14:paraId="1ED7B1CF">
            <w:pPr>
              <w:jc w:val="center"/>
              <w:rPr>
                <w:rFonts w:ascii="宋体" w:hAnsi="宋体" w:eastAsia="宋体" w:cs="微软雅黑"/>
                <w:color w:val="000000"/>
                <w:szCs w:val="21"/>
              </w:rPr>
            </w:pPr>
          </w:p>
        </w:tc>
      </w:tr>
      <w:tr w14:paraId="30CB1298">
        <w:tblPrEx>
          <w:tblCellMar>
            <w:top w:w="0" w:type="dxa"/>
            <w:left w:w="108" w:type="dxa"/>
            <w:bottom w:w="0" w:type="dxa"/>
            <w:right w:w="108" w:type="dxa"/>
          </w:tblCellMar>
        </w:tblPrEx>
        <w:trPr>
          <w:trHeight w:val="432" w:hRule="atLeast"/>
        </w:trPr>
        <w:tc>
          <w:tcPr>
            <w:tcW w:w="6958" w:type="dxa"/>
            <w:gridSpan w:val="3"/>
            <w:tcBorders>
              <w:top w:val="nil"/>
              <w:left w:val="single" w:color="000000" w:sz="8" w:space="0"/>
              <w:bottom w:val="single" w:color="000000" w:sz="8" w:space="0"/>
              <w:right w:val="single" w:color="000000" w:sz="8" w:space="0"/>
            </w:tcBorders>
            <w:shd w:val="clear" w:color="auto" w:fill="auto"/>
            <w:vAlign w:val="center"/>
          </w:tcPr>
          <w:p w14:paraId="6BB08191">
            <w:pPr>
              <w:jc w:val="right"/>
              <w:rPr>
                <w:rFonts w:ascii="宋体" w:hAnsi="宋体" w:eastAsia="宋体" w:cs="微软雅黑"/>
                <w:color w:val="000000"/>
                <w:szCs w:val="21"/>
              </w:rPr>
            </w:pPr>
            <w:r>
              <w:rPr>
                <w:rFonts w:hint="eastAsia" w:ascii="宋体" w:hAnsi="宋体" w:eastAsia="宋体" w:cs="微软雅黑"/>
                <w:color w:val="000000"/>
                <w:szCs w:val="21"/>
              </w:rPr>
              <w:t>合计（项）</w:t>
            </w:r>
          </w:p>
        </w:tc>
        <w:tc>
          <w:tcPr>
            <w:tcW w:w="1347" w:type="dxa"/>
            <w:tcBorders>
              <w:top w:val="nil"/>
              <w:left w:val="nil"/>
              <w:bottom w:val="single" w:color="000000" w:sz="8" w:space="0"/>
              <w:right w:val="single" w:color="000000" w:sz="8" w:space="0"/>
            </w:tcBorders>
            <w:shd w:val="clear" w:color="auto" w:fill="auto"/>
            <w:vAlign w:val="center"/>
          </w:tcPr>
          <w:p w14:paraId="67220EA5">
            <w:pPr>
              <w:keepNext w:val="0"/>
              <w:keepLines w:val="0"/>
              <w:widowControl/>
              <w:suppressLineNumbers w:val="0"/>
              <w:jc w:val="center"/>
              <w:textAlignment w:val="center"/>
              <w:rPr>
                <w:rFonts w:ascii="宋体" w:hAnsi="宋体" w:eastAsia="宋体" w:cs="微软雅黑"/>
                <w:color w:val="000000"/>
                <w:szCs w:val="21"/>
              </w:rPr>
            </w:pPr>
            <w:r>
              <w:rPr>
                <w:rFonts w:hint="eastAsia" w:ascii="宋体" w:hAnsi="宋体" w:eastAsia="宋体" w:cs="宋体"/>
                <w:i w:val="0"/>
                <w:iCs w:val="0"/>
                <w:color w:val="000000"/>
                <w:kern w:val="0"/>
                <w:sz w:val="21"/>
                <w:szCs w:val="21"/>
                <w:u w:val="none"/>
                <w:lang w:val="en-US" w:eastAsia="zh-CN" w:bidi="ar"/>
              </w:rPr>
              <w:t>10140</w:t>
            </w:r>
          </w:p>
        </w:tc>
        <w:tc>
          <w:tcPr>
            <w:tcW w:w="611" w:type="dxa"/>
            <w:tcBorders>
              <w:top w:val="nil"/>
              <w:left w:val="nil"/>
              <w:bottom w:val="single" w:color="000000" w:sz="8" w:space="0"/>
              <w:right w:val="single" w:color="000000" w:sz="8" w:space="0"/>
            </w:tcBorders>
            <w:shd w:val="clear" w:color="auto" w:fill="auto"/>
            <w:vAlign w:val="center"/>
          </w:tcPr>
          <w:p w14:paraId="5B7A0CB0">
            <w:pPr>
              <w:rPr>
                <w:rFonts w:ascii="宋体" w:hAnsi="宋体" w:eastAsia="宋体" w:cs="宋体"/>
                <w:color w:val="000000"/>
                <w:szCs w:val="21"/>
              </w:rPr>
            </w:pPr>
          </w:p>
        </w:tc>
      </w:tr>
    </w:tbl>
    <w:p w14:paraId="5E639740">
      <w:pPr>
        <w:widowControl/>
        <w:shd w:val="clear" w:color="auto" w:fill="FFFFFF"/>
        <w:spacing w:line="360" w:lineRule="auto"/>
        <w:contextualSpacing/>
        <w:jc w:val="left"/>
        <w:rPr>
          <w:rFonts w:ascii="宋体" w:hAnsi="宋体" w:eastAsia="宋体" w:cs="黑体"/>
          <w:b/>
          <w:bCs/>
          <w:color w:val="000000"/>
          <w:sz w:val="24"/>
          <w:szCs w:val="24"/>
          <w:shd w:val="clear" w:color="auto" w:fill="FFFFFF"/>
        </w:rPr>
      </w:pPr>
      <w:r>
        <w:rPr>
          <w:rFonts w:hint="eastAsia" w:ascii="宋体" w:hAnsi="宋体" w:eastAsia="宋体" w:cs="黑体"/>
          <w:b/>
          <w:bCs/>
          <w:color w:val="000000"/>
          <w:sz w:val="24"/>
          <w:szCs w:val="24"/>
          <w:shd w:val="clear" w:color="auto" w:fill="FFFFFF"/>
        </w:rPr>
        <w:t>三、报价要求及其他相关要求：</w:t>
      </w:r>
    </w:p>
    <w:p w14:paraId="3FF1AFDF">
      <w:pPr>
        <w:spacing w:line="360" w:lineRule="auto"/>
        <w:ind w:firstLine="420" w:firstLineChars="200"/>
      </w:pPr>
      <w:r>
        <w:rPr>
          <w:rFonts w:hint="eastAsia"/>
        </w:rPr>
        <w:t>1、供应商应就该项目完整投标（报价含人工、保险、工具使用费、安装调试、验收、税费、与其他施工单位协作所产生的费用、利润等综合费用），否则为无效投标。</w:t>
      </w:r>
    </w:p>
    <w:p w14:paraId="165492E0">
      <w:pPr>
        <w:spacing w:line="360" w:lineRule="auto"/>
        <w:ind w:firstLine="420" w:firstLineChars="200"/>
      </w:pPr>
      <w:r>
        <w:t>2</w:t>
      </w:r>
      <w:r>
        <w:rPr>
          <w:rFonts w:hint="eastAsia"/>
        </w:rPr>
        <w:t>、响应文件中须有详细合理的实施（技术）方案。</w:t>
      </w:r>
    </w:p>
    <w:p w14:paraId="55D48AA1">
      <w:pPr>
        <w:spacing w:line="360" w:lineRule="auto"/>
        <w:ind w:firstLine="420" w:firstLineChars="200"/>
      </w:pPr>
      <w:r>
        <w:rPr>
          <w:rFonts w:hint="eastAsia"/>
        </w:rPr>
        <w:t>3、中标方须协调处理好周边关系，接受医院的监督、指导和协调，保证医院正常运行；在维修过程中，对可能触及到的各种管道、线路等设施须提前与医院沟通解决。</w:t>
      </w:r>
    </w:p>
    <w:p w14:paraId="2F15AAB4">
      <w:pPr>
        <w:spacing w:line="360" w:lineRule="auto"/>
        <w:ind w:firstLine="420" w:firstLineChars="200"/>
      </w:pPr>
      <w:r>
        <w:t>4</w:t>
      </w:r>
      <w:r>
        <w:rPr>
          <w:rFonts w:hint="eastAsia"/>
        </w:rPr>
        <w:t>、中标方须保证安全文明施工：警示灯、牌齐全；现场做好降尘、降噪音、降低污染措施；</w:t>
      </w:r>
    </w:p>
    <w:p w14:paraId="317584E2">
      <w:pPr>
        <w:spacing w:line="360" w:lineRule="auto"/>
        <w:ind w:firstLine="420" w:firstLineChars="200"/>
      </w:pPr>
      <w:r>
        <w:rPr>
          <w:rFonts w:hint="eastAsia"/>
        </w:rPr>
        <w:t>5、本采购清单中所列技术规格或主要参数为最低要求，不允许负偏离，否则将承担其投标被视为非实质性响应投标的风险。</w:t>
      </w:r>
    </w:p>
    <w:p w14:paraId="67E314E0">
      <w:pPr>
        <w:pStyle w:val="24"/>
        <w:spacing w:line="360" w:lineRule="auto"/>
        <w:ind w:firstLineChars="200"/>
        <w:rPr>
          <w:rFonts w:hAnsi="宋体" w:cstheme="minorBidi"/>
          <w:kern w:val="2"/>
          <w:sz w:val="21"/>
          <w:szCs w:val="22"/>
        </w:rPr>
      </w:pPr>
      <w:r>
        <w:rPr>
          <w:rFonts w:hint="eastAsia" w:hAnsi="宋体" w:cstheme="minorBidi"/>
          <w:kern w:val="2"/>
          <w:sz w:val="21"/>
          <w:szCs w:val="22"/>
        </w:rPr>
        <w:t>6、供应商须具有有效的质量管理体系认证证书、环境管理体系认证证书、职业健康安全管理体系认证证书，响应文件附证书原件扫描件或图片。</w:t>
      </w:r>
    </w:p>
    <w:p w14:paraId="40158DD5">
      <w:pPr>
        <w:pStyle w:val="10"/>
        <w:spacing w:line="360" w:lineRule="auto"/>
        <w:rPr>
          <w:rFonts w:ascii="宋体" w:hAnsi="宋体" w:eastAsia="宋体" w:cs="宋体"/>
          <w:b/>
          <w:sz w:val="24"/>
          <w:szCs w:val="24"/>
        </w:rPr>
      </w:pPr>
      <w:r>
        <w:rPr>
          <w:rFonts w:hint="eastAsia" w:ascii="宋体" w:hAnsi="宋体" w:eastAsia="宋体" w:cs="宋体"/>
          <w:b/>
          <w:sz w:val="24"/>
          <w:szCs w:val="24"/>
        </w:rPr>
        <w:t>四、采购标的执行标准、其他技术服务等要求</w:t>
      </w:r>
    </w:p>
    <w:p w14:paraId="6911A2D9">
      <w:pPr>
        <w:pStyle w:val="10"/>
        <w:spacing w:line="360" w:lineRule="auto"/>
        <w:ind w:firstLine="210" w:firstLineChars="100"/>
        <w:rPr>
          <w:rFonts w:ascii="宋体" w:hAnsi="宋体" w:eastAsia="宋体" w:cs="宋体"/>
          <w:szCs w:val="21"/>
        </w:rPr>
      </w:pPr>
      <w:r>
        <w:rPr>
          <w:rFonts w:hint="eastAsia" w:ascii="宋体" w:hAnsi="宋体" w:eastAsia="宋体" w:cs="宋体"/>
          <w:szCs w:val="21"/>
        </w:rPr>
        <w:t>1、本次采购某些技术标准与国家所要求的标准不统一或有不兼容的地方，均以国家强制性标准或最新出台的标准为准。</w:t>
      </w:r>
    </w:p>
    <w:p w14:paraId="452D202D">
      <w:pPr>
        <w:pStyle w:val="10"/>
        <w:spacing w:line="360" w:lineRule="auto"/>
        <w:ind w:firstLine="210" w:firstLineChars="100"/>
        <w:rPr>
          <w:rFonts w:ascii="宋体" w:hAnsi="宋体" w:eastAsia="宋体" w:cs="宋体"/>
          <w:szCs w:val="21"/>
        </w:rPr>
      </w:pPr>
      <w:r>
        <w:rPr>
          <w:rFonts w:hint="eastAsia" w:ascii="宋体" w:hAnsi="宋体" w:eastAsia="宋体" w:cs="宋体"/>
          <w:szCs w:val="21"/>
        </w:rPr>
        <w:t>2、如果未在谈判文件中要求提供其相关行业标准或国家强制性标准的，则供应商有责任给予补充说明。</w:t>
      </w:r>
    </w:p>
    <w:p w14:paraId="47049323">
      <w:pPr>
        <w:pStyle w:val="10"/>
        <w:spacing w:line="360" w:lineRule="auto"/>
        <w:ind w:firstLine="210" w:firstLineChars="100"/>
        <w:rPr>
          <w:rFonts w:ascii="宋体" w:hAnsi="宋体" w:eastAsia="宋体" w:cs="宋体"/>
          <w:szCs w:val="21"/>
        </w:rPr>
      </w:pPr>
      <w:r>
        <w:rPr>
          <w:rFonts w:hint="eastAsia" w:ascii="宋体" w:hAnsi="宋体" w:eastAsia="宋体" w:cs="宋体"/>
          <w:szCs w:val="21"/>
        </w:rPr>
        <w:t>3、中标方未达到作业计划标准及工作违规或引起纠纷、被上级部门处罚等不良后果，造成重大经济损失或服务严重失误，招标方有权终止本合同，并追究中标方的经济责任；</w:t>
      </w:r>
    </w:p>
    <w:p w14:paraId="194A42F2">
      <w:pPr>
        <w:autoSpaceDE w:val="0"/>
        <w:autoSpaceDN w:val="0"/>
        <w:adjustRightInd w:val="0"/>
        <w:spacing w:line="360" w:lineRule="auto"/>
        <w:ind w:firstLine="210" w:firstLineChars="100"/>
        <w:jc w:val="left"/>
        <w:rPr>
          <w:rFonts w:ascii="宋体" w:hAnsi="宋体" w:eastAsia="宋体" w:cs="宋体"/>
          <w:szCs w:val="21"/>
        </w:rPr>
      </w:pPr>
      <w:r>
        <w:rPr>
          <w:rFonts w:ascii="宋体" w:hAnsi="宋体" w:eastAsia="宋体" w:cs="宋体"/>
          <w:szCs w:val="21"/>
        </w:rPr>
        <w:t>4</w:t>
      </w:r>
      <w:r>
        <w:rPr>
          <w:rFonts w:hint="eastAsia" w:ascii="宋体" w:hAnsi="宋体" w:eastAsia="宋体" w:cs="宋体"/>
          <w:szCs w:val="21"/>
        </w:rPr>
        <w:t>、售后服务</w:t>
      </w:r>
    </w:p>
    <w:p w14:paraId="1F1D76F6">
      <w:pPr>
        <w:autoSpaceDE w:val="0"/>
        <w:autoSpaceDN w:val="0"/>
        <w:adjustRightInd w:val="0"/>
        <w:spacing w:line="360" w:lineRule="auto"/>
        <w:ind w:firstLine="420" w:firstLineChars="200"/>
        <w:jc w:val="left"/>
        <w:rPr>
          <w:rFonts w:ascii="宋体" w:hAnsi="宋体" w:eastAsia="宋体" w:cs="宋体"/>
          <w:szCs w:val="21"/>
        </w:rPr>
      </w:pPr>
      <w:r>
        <w:rPr>
          <w:rFonts w:ascii="宋体" w:hAnsi="宋体" w:eastAsia="宋体" w:cs="宋体"/>
          <w:szCs w:val="21"/>
        </w:rPr>
        <w:t xml:space="preserve">4.1 </w:t>
      </w:r>
      <w:r>
        <w:rPr>
          <w:rFonts w:hint="eastAsia" w:ascii="宋体" w:hAnsi="宋体" w:eastAsia="宋体" w:cs="宋体"/>
          <w:szCs w:val="21"/>
        </w:rPr>
        <w:t>供应商须明确维修负责人、联系人和联系电话。</w:t>
      </w:r>
    </w:p>
    <w:p w14:paraId="50278521">
      <w:pPr>
        <w:autoSpaceDE w:val="0"/>
        <w:autoSpaceDN w:val="0"/>
        <w:adjustRightInd w:val="0"/>
        <w:spacing w:line="360" w:lineRule="auto"/>
        <w:ind w:firstLine="420" w:firstLineChars="200"/>
        <w:jc w:val="left"/>
        <w:rPr>
          <w:rFonts w:ascii="宋体" w:hAnsi="宋体" w:eastAsia="宋体" w:cs="宋体"/>
          <w:szCs w:val="21"/>
        </w:rPr>
      </w:pPr>
      <w:r>
        <w:rPr>
          <w:rFonts w:ascii="宋体" w:hAnsi="宋体" w:eastAsia="宋体" w:cs="宋体"/>
          <w:szCs w:val="21"/>
        </w:rPr>
        <w:t xml:space="preserve">4.2 </w:t>
      </w:r>
      <w:r>
        <w:rPr>
          <w:rFonts w:hint="eastAsia" w:ascii="宋体" w:hAnsi="宋体" w:eastAsia="宋体" w:cs="宋体"/>
          <w:szCs w:val="21"/>
        </w:rPr>
        <w:t>拟派技术人员中至少包含电工两名（须有电工证）、制冷工一名（须具有制冷证）、</w:t>
      </w:r>
      <w:r>
        <w:rPr>
          <w:rFonts w:hint="eastAsia" w:ascii="宋体" w:hAnsi="宋体" w:eastAsia="宋体" w:cs="宋体"/>
          <w:szCs w:val="21"/>
          <w:lang w:eastAsia="zh-CN"/>
        </w:rPr>
        <w:t>电焊工两名</w:t>
      </w:r>
      <w:r>
        <w:rPr>
          <w:rFonts w:hint="eastAsia" w:ascii="宋体" w:hAnsi="宋体" w:eastAsia="宋体" w:cs="宋体"/>
          <w:szCs w:val="21"/>
        </w:rPr>
        <w:t>（须具有焊工证）、管道工一名（须具有管道工证）、木工一名（须具有木工证）</w:t>
      </w:r>
      <w:r>
        <w:rPr>
          <w:rFonts w:hint="eastAsia" w:ascii="宋体" w:hAnsi="宋体" w:eastAsia="宋体" w:cs="宋体"/>
          <w:szCs w:val="21"/>
          <w:lang w:eastAsia="zh-CN"/>
        </w:rPr>
        <w:t>、信息管理员一名，</w:t>
      </w:r>
      <w:r>
        <w:rPr>
          <w:rFonts w:hint="eastAsia" w:ascii="宋体" w:hAnsi="宋体" w:eastAsia="宋体" w:cs="宋体"/>
          <w:szCs w:val="21"/>
        </w:rPr>
        <w:t>响应文件附拟派的技术人员身份证、相关证书以及与投标供应商签订的劳动合同原件扫描件或图片。</w:t>
      </w:r>
    </w:p>
    <w:p w14:paraId="07FC8BC5">
      <w:pPr>
        <w:pStyle w:val="10"/>
        <w:spacing w:line="360" w:lineRule="auto"/>
        <w:rPr>
          <w:rFonts w:ascii="宋体" w:hAnsi="宋体" w:cs="宋体"/>
          <w:b/>
          <w:sz w:val="24"/>
          <w:szCs w:val="24"/>
        </w:rPr>
      </w:pPr>
      <w:r>
        <w:rPr>
          <w:rFonts w:hint="eastAsia" w:ascii="宋体" w:hAnsi="宋体" w:cs="宋体"/>
          <w:b/>
          <w:sz w:val="24"/>
          <w:szCs w:val="24"/>
        </w:rPr>
        <w:t>五、验收标准</w:t>
      </w:r>
    </w:p>
    <w:p w14:paraId="5B780694">
      <w:pPr>
        <w:pStyle w:val="1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1、采购人有权要求中标候选人提供所有与本次投标相关资料原件进行查验，无法提供或有造假等违法违规行为根据相关规定执行处理。</w:t>
      </w:r>
    </w:p>
    <w:p w14:paraId="4B2EEF93">
      <w:pPr>
        <w:widowControl/>
        <w:shd w:val="clear" w:color="auto" w:fill="FFFFFF"/>
        <w:spacing w:line="360" w:lineRule="auto"/>
        <w:ind w:firstLine="420" w:firstLineChars="200"/>
        <w:contextualSpacing/>
        <w:jc w:val="left"/>
        <w:rPr>
          <w:rFonts w:ascii="宋体" w:hAnsi="Times New Roman" w:eastAsia="宋体" w:cs="宋体"/>
          <w:szCs w:val="21"/>
          <w:lang w:val="zh-CN"/>
        </w:rPr>
      </w:pPr>
      <w:r>
        <w:rPr>
          <w:rFonts w:ascii="宋体" w:hAnsi="宋体" w:eastAsia="宋体" w:cs="Times New Roman"/>
          <w:szCs w:val="21"/>
        </w:rPr>
        <w:t>2</w:t>
      </w:r>
      <w:r>
        <w:rPr>
          <w:rFonts w:hint="eastAsia" w:ascii="宋体" w:hAnsi="宋体" w:eastAsia="宋体" w:cs="Times New Roman"/>
          <w:szCs w:val="21"/>
        </w:rPr>
        <w:t>、</w:t>
      </w:r>
      <w:r>
        <w:rPr>
          <w:rFonts w:hint="eastAsia" w:ascii="宋体" w:hAnsi="Times New Roman" w:eastAsia="宋体" w:cs="宋体"/>
          <w:szCs w:val="21"/>
          <w:lang w:val="zh-CN"/>
        </w:rPr>
        <w:t>维修、安装结束后，由中标供应商会同采购单位按双方规定的标准及合同要求进行联合验收。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14:paraId="27C1930F">
      <w:pPr>
        <w:pStyle w:val="24"/>
        <w:spacing w:line="360" w:lineRule="auto"/>
        <w:ind w:firstLineChars="200"/>
        <w:rPr>
          <w:rFonts w:cs="宋体"/>
          <w:kern w:val="2"/>
          <w:sz w:val="21"/>
          <w:szCs w:val="21"/>
          <w:lang w:val="zh-CN"/>
        </w:rPr>
      </w:pPr>
      <w:r>
        <w:rPr>
          <w:rFonts w:cs="宋体"/>
          <w:kern w:val="2"/>
          <w:sz w:val="21"/>
          <w:szCs w:val="21"/>
          <w:lang w:val="zh-CN"/>
        </w:rPr>
        <w:t>3</w:t>
      </w:r>
      <w:r>
        <w:rPr>
          <w:rFonts w:hint="eastAsia" w:cs="宋体"/>
          <w:kern w:val="2"/>
          <w:sz w:val="21"/>
          <w:szCs w:val="21"/>
          <w:lang w:val="zh-CN"/>
        </w:rPr>
        <w:t>、按照国家相关标准、行业标准、地方标准或者其他标准、规范验收；</w:t>
      </w:r>
    </w:p>
    <w:p w14:paraId="4AE65BAD">
      <w:pPr>
        <w:spacing w:line="360" w:lineRule="auto"/>
        <w:ind w:firstLine="420" w:firstLineChars="200"/>
        <w:rPr>
          <w:rFonts w:ascii="宋体" w:hAnsi="Times New Roman" w:eastAsia="宋体" w:cs="宋体"/>
          <w:szCs w:val="21"/>
          <w:lang w:val="zh-CN"/>
        </w:rPr>
      </w:pPr>
      <w:r>
        <w:rPr>
          <w:rFonts w:ascii="宋体" w:hAnsi="Times New Roman" w:eastAsia="宋体" w:cs="宋体"/>
          <w:szCs w:val="21"/>
          <w:lang w:val="zh-CN"/>
        </w:rPr>
        <w:t>4</w:t>
      </w:r>
      <w:r>
        <w:rPr>
          <w:rFonts w:hint="eastAsia" w:ascii="宋体" w:hAnsi="Times New Roman" w:eastAsia="宋体" w:cs="宋体"/>
          <w:szCs w:val="21"/>
          <w:lang w:val="zh-CN"/>
        </w:rPr>
        <w:t>、按照谈判文件要求、投标文件响应和承诺验收。</w:t>
      </w:r>
    </w:p>
    <w:p w14:paraId="503DAB49">
      <w:pPr>
        <w:spacing w:line="360" w:lineRule="auto"/>
        <w:ind w:firstLine="420" w:firstLineChars="200"/>
        <w:rPr>
          <w:rFonts w:ascii="宋体" w:hAnsi="Times New Roman" w:eastAsia="宋体" w:cs="宋体"/>
          <w:szCs w:val="21"/>
          <w:lang w:val="zh-CN"/>
        </w:rPr>
      </w:pPr>
      <w:r>
        <w:rPr>
          <w:rFonts w:ascii="宋体" w:hAnsi="Times New Roman" w:eastAsia="宋体" w:cs="宋体"/>
          <w:szCs w:val="21"/>
          <w:lang w:val="zh-CN"/>
        </w:rPr>
        <w:t>5</w:t>
      </w:r>
      <w:r>
        <w:rPr>
          <w:rFonts w:hint="eastAsia" w:ascii="宋体" w:hAnsi="Times New Roman" w:eastAsia="宋体" w:cs="宋体"/>
          <w:szCs w:val="21"/>
          <w:lang w:val="zh-CN"/>
        </w:rPr>
        <w:t>、</w:t>
      </w:r>
      <w:r>
        <w:rPr>
          <w:rFonts w:hint="eastAsia" w:ascii="宋体" w:hAnsi="宋体" w:eastAsia="宋体" w:cs="Times New Roman"/>
          <w:szCs w:val="21"/>
        </w:rPr>
        <w:t>本项目验收如需要第三方验收，中标方将承担所有产生的费用。</w:t>
      </w:r>
    </w:p>
    <w:p w14:paraId="6FFA2100">
      <w:pPr>
        <w:pStyle w:val="10"/>
        <w:spacing w:line="360" w:lineRule="auto"/>
        <w:rPr>
          <w:rFonts w:ascii="宋体" w:hAnsi="宋体" w:cs="宋体"/>
          <w:b/>
          <w:sz w:val="24"/>
          <w:szCs w:val="24"/>
        </w:rPr>
      </w:pPr>
      <w:r>
        <w:rPr>
          <w:rFonts w:hint="eastAsia" w:ascii="宋体" w:hAnsi="宋体" w:cs="宋体"/>
          <w:b/>
          <w:sz w:val="24"/>
          <w:szCs w:val="24"/>
        </w:rPr>
        <w:t>六、特别别示：</w:t>
      </w:r>
    </w:p>
    <w:p w14:paraId="6CD370DD">
      <w:pPr>
        <w:wordWrap w:val="0"/>
        <w:topLinePunct/>
        <w:spacing w:line="360" w:lineRule="auto"/>
        <w:ind w:firstLine="420" w:firstLineChars="200"/>
        <w:rPr>
          <w:rFonts w:ascii="宋体" w:hAnsi="宋体" w:eastAsia="宋体" w:cs="仿宋_GB2312"/>
          <w:szCs w:val="21"/>
          <w:lang w:val="zh-CN"/>
        </w:rPr>
      </w:pPr>
      <w:r>
        <w:rPr>
          <w:rFonts w:ascii="宋体" w:hAnsi="宋体" w:eastAsia="宋体" w:cs="仿宋_GB2312"/>
          <w:szCs w:val="21"/>
          <w:lang w:val="zh-CN"/>
        </w:rPr>
        <w:t>1</w:t>
      </w:r>
      <w:r>
        <w:rPr>
          <w:rFonts w:hint="eastAsia" w:ascii="宋体" w:hAnsi="宋体" w:eastAsia="宋体" w:cs="仿宋_GB2312"/>
          <w:szCs w:val="21"/>
          <w:lang w:val="zh-CN"/>
        </w:rPr>
        <w:t>、投标商必须由法定代表人或其授权代表在网络端参加开标会议，随时接受谈判小组询问，并予作出相应解答。</w:t>
      </w:r>
    </w:p>
    <w:p w14:paraId="5843CED8">
      <w:pPr>
        <w:wordWrap w:val="0"/>
        <w:topLinePunct/>
        <w:spacing w:line="360" w:lineRule="auto"/>
        <w:ind w:firstLine="420" w:firstLineChars="200"/>
        <w:rPr>
          <w:rFonts w:hint="default" w:ascii="宋体" w:hAnsi="宋体" w:eastAsia="宋体" w:cs="仿宋_GB2312"/>
          <w:szCs w:val="21"/>
          <w:lang w:val="en-US" w:eastAsia="zh-CN"/>
        </w:rPr>
      </w:pPr>
      <w:r>
        <w:rPr>
          <w:rFonts w:ascii="宋体" w:hAnsi="宋体" w:eastAsia="宋体" w:cs="仿宋_GB2312"/>
          <w:szCs w:val="21"/>
          <w:lang w:val="zh-CN"/>
        </w:rPr>
        <w:t>2</w:t>
      </w:r>
      <w:r>
        <w:rPr>
          <w:rFonts w:hint="eastAsia" w:ascii="宋体" w:hAnsi="宋体" w:eastAsia="宋体" w:cs="仿宋_GB2312"/>
          <w:szCs w:val="21"/>
          <w:lang w:val="zh-CN"/>
        </w:rPr>
        <w:t>、采购人确定成交人后，中标人须向代理机构发送响应报价及分项报价（如果货物需求中有分项的话）一览表电子档，并同时通知代理机构。邮箱：</w:t>
      </w:r>
      <w:r>
        <w:rPr>
          <w:rFonts w:hint="eastAsia" w:ascii="宋体" w:hAnsi="宋体" w:eastAsia="宋体" w:cs="仿宋_GB2312"/>
          <w:szCs w:val="21"/>
          <w:lang w:val="en-US" w:eastAsia="zh-CN"/>
        </w:rPr>
        <w:t>10122167867@qq.com</w:t>
      </w:r>
    </w:p>
    <w:p w14:paraId="559B9BA4">
      <w:pPr>
        <w:widowControl/>
        <w:shd w:val="clear" w:color="auto" w:fill="FFFFFF"/>
        <w:spacing w:line="360" w:lineRule="auto"/>
        <w:contextualSpacing/>
        <w:jc w:val="left"/>
        <w:rPr>
          <w:rFonts w:ascii="宋体" w:hAnsi="宋体" w:eastAsia="宋体" w:cs="黑体"/>
          <w:b/>
          <w:bCs/>
          <w:color w:val="000000"/>
          <w:sz w:val="24"/>
          <w:szCs w:val="24"/>
          <w:shd w:val="clear" w:color="auto" w:fill="FFFFFF"/>
        </w:rPr>
      </w:pPr>
      <w:r>
        <w:rPr>
          <w:rFonts w:hint="eastAsia" w:ascii="宋体" w:hAnsi="宋体" w:eastAsia="宋体" w:cs="黑体"/>
          <w:b/>
          <w:bCs/>
          <w:color w:val="000000"/>
          <w:sz w:val="24"/>
          <w:szCs w:val="24"/>
          <w:shd w:val="clear" w:color="auto" w:fill="FFFFFF"/>
        </w:rPr>
        <w:t>八、资金支付</w:t>
      </w:r>
    </w:p>
    <w:p w14:paraId="4D9DF346">
      <w:pPr>
        <w:pStyle w:val="24"/>
        <w:spacing w:line="360" w:lineRule="auto"/>
        <w:ind w:firstLine="210"/>
        <w:rPr>
          <w:rFonts w:hAnsi="宋体" w:cs="仿宋_GB2312"/>
          <w:kern w:val="2"/>
          <w:sz w:val="21"/>
          <w:szCs w:val="21"/>
          <w:lang w:val="zh-CN"/>
        </w:rPr>
      </w:pPr>
      <w:r>
        <w:rPr>
          <w:rFonts w:hint="eastAsia" w:hAnsi="宋体" w:cs="仿宋_GB2312"/>
          <w:kern w:val="2"/>
          <w:sz w:val="21"/>
          <w:szCs w:val="21"/>
          <w:lang w:val="zh-CN"/>
        </w:rPr>
        <w:t>（一）支付方式：双方签订合同约定。</w:t>
      </w:r>
    </w:p>
    <w:p w14:paraId="6B194FE1">
      <w:pPr>
        <w:pStyle w:val="24"/>
        <w:spacing w:line="360" w:lineRule="auto"/>
        <w:ind w:firstLine="210"/>
        <w:rPr>
          <w:rFonts w:ascii="宋体" w:hAnsi="宋体" w:eastAsia="宋体"/>
          <w:szCs w:val="21"/>
        </w:rPr>
      </w:pPr>
      <w:r>
        <w:rPr>
          <w:rFonts w:hint="eastAsia" w:hAnsi="宋体" w:cs="仿宋_GB2312"/>
          <w:kern w:val="2"/>
          <w:sz w:val="21"/>
          <w:szCs w:val="21"/>
          <w:lang w:val="zh-CN"/>
        </w:rPr>
        <w:t>（二）支付时间及条件：双方签订合同约定。</w:t>
      </w:r>
    </w:p>
    <w:p w14:paraId="04A01E03">
      <w:pPr>
        <w:pStyle w:val="37"/>
      </w:pPr>
    </w:p>
    <w:p w14:paraId="3EACBD51">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14:paraId="6849EBDF">
      <w:pPr>
        <w:autoSpaceDE w:val="0"/>
        <w:autoSpaceDN w:val="0"/>
        <w:adjustRightInd w:val="0"/>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14:paraId="3694768B">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谈判文件</w:t>
      </w:r>
      <w:r>
        <w:rPr>
          <w:rFonts w:hint="eastAsia" w:cs="微软雅黑"/>
          <w:b/>
          <w:szCs w:val="21"/>
          <w:lang w:val="en-US" w:eastAsia="zh-CN"/>
        </w:rPr>
        <w:t>前附表</w:t>
      </w:r>
      <w:r>
        <w:rPr>
          <w:rFonts w:hint="eastAsia" w:cs="微软雅黑"/>
          <w:b/>
          <w:szCs w:val="21"/>
        </w:rPr>
        <w:t>中凡标有</w:t>
      </w:r>
      <w:r>
        <w:rPr>
          <w:rFonts w:hint="eastAsia" w:cs="微软雅黑" w:asciiTheme="minorEastAsia" w:hAnsiTheme="minorEastAsia"/>
          <w:b/>
          <w:szCs w:val="21"/>
        </w:rPr>
        <w:t>★（技术参数中的除外）</w:t>
      </w:r>
      <w:r>
        <w:rPr>
          <w:rFonts w:hint="eastAsia" w:cs="微软雅黑"/>
          <w:b/>
          <w:szCs w:val="21"/>
        </w:rPr>
        <w:t>条款均为实质性要求条款，响应文件须完全响应，未实质响应的，按照无效响应处理。</w:t>
      </w:r>
    </w:p>
    <w:tbl>
      <w:tblPr>
        <w:tblStyle w:val="26"/>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14:paraId="045D0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14:paraId="0809DE50">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14:paraId="4AF9DDAB">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14:paraId="2907BA1A">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14:paraId="67311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14:paraId="7188E7A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14:paraId="1787AF8F">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14:paraId="0DB7132E">
            <w:pPr>
              <w:rPr>
                <w:rFonts w:cs="仿宋_GB2312" w:asciiTheme="minorEastAsia" w:hAnsiTheme="minorEastAsia"/>
                <w:color w:val="auto"/>
                <w:szCs w:val="21"/>
              </w:rPr>
            </w:pPr>
            <w:r>
              <w:rPr>
                <w:rFonts w:hint="eastAsia" w:cs="仿宋_GB2312" w:asciiTheme="minorEastAsia" w:hAnsiTheme="minorEastAsia"/>
                <w:szCs w:val="21"/>
              </w:rPr>
              <w:t>项目名称：</w:t>
            </w:r>
            <w:r>
              <w:rPr>
                <w:rFonts w:hint="eastAsia" w:asciiTheme="minorEastAsia" w:hAnsiTheme="minorEastAsia" w:cstheme="minorEastAsia"/>
                <w:kern w:val="2"/>
                <w:sz w:val="21"/>
                <w:szCs w:val="21"/>
                <w:lang w:val="en-US" w:eastAsia="zh-CN" w:bidi="ar-SA"/>
              </w:rPr>
              <w:t>禹州市人民医院后勤社会化管理（木工、杂工维修）服务项</w:t>
            </w:r>
            <w:r>
              <w:rPr>
                <w:rFonts w:hint="eastAsia" w:asciiTheme="minorEastAsia" w:hAnsiTheme="minorEastAsia" w:cstheme="minorEastAsia"/>
                <w:color w:val="auto"/>
                <w:kern w:val="2"/>
                <w:sz w:val="21"/>
                <w:szCs w:val="21"/>
                <w:lang w:val="en-US" w:eastAsia="zh-CN" w:bidi="ar-SA"/>
              </w:rPr>
              <w:t>目</w:t>
            </w:r>
            <w:r>
              <w:rPr>
                <w:rFonts w:hint="eastAsia" w:asciiTheme="minorEastAsia" w:hAnsiTheme="minorEastAsia" w:eastAsiaTheme="minorEastAsia" w:cstheme="minorEastAsia"/>
                <w:color w:val="auto"/>
                <w:kern w:val="2"/>
                <w:sz w:val="21"/>
                <w:szCs w:val="21"/>
                <w:lang w:val="en-US" w:eastAsia="zh-CN" w:bidi="ar-SA"/>
              </w:rPr>
              <w:t>（不见面开标）</w:t>
            </w:r>
          </w:p>
          <w:p w14:paraId="135A2EF2">
            <w:pPr>
              <w:autoSpaceDE w:val="0"/>
              <w:autoSpaceDN w:val="0"/>
              <w:adjustRightInd w:val="0"/>
              <w:spacing w:line="360" w:lineRule="auto"/>
              <w:jc w:val="left"/>
              <w:rPr>
                <w:rFonts w:hint="default" w:cs="仿宋_GB2312" w:asciiTheme="minorEastAsia" w:hAnsiTheme="minorEastAsia" w:eastAsiaTheme="minorEastAsia"/>
                <w:color w:val="auto"/>
                <w:szCs w:val="21"/>
                <w:shd w:val="clear" w:color="auto" w:fill="FFFFFF"/>
                <w:lang w:val="en-US" w:eastAsia="zh-CN"/>
              </w:rPr>
            </w:pPr>
            <w:r>
              <w:rPr>
                <w:rFonts w:hint="eastAsia" w:cs="仿宋_GB2312" w:asciiTheme="minorEastAsia" w:hAnsiTheme="minorEastAsia"/>
                <w:color w:val="auto"/>
                <w:szCs w:val="21"/>
              </w:rPr>
              <w:t>采购编号：YZCG-</w:t>
            </w:r>
            <w:r>
              <w:rPr>
                <w:rFonts w:hint="eastAsia" w:cs="仿宋_GB2312" w:asciiTheme="minorEastAsia" w:hAnsiTheme="minorEastAsia"/>
                <w:color w:val="auto"/>
                <w:szCs w:val="21"/>
                <w:lang w:eastAsia="zh-CN"/>
              </w:rPr>
              <w:t>DLT2025</w:t>
            </w:r>
            <w:r>
              <w:rPr>
                <w:rFonts w:hint="eastAsia" w:cs="仿宋_GB2312" w:asciiTheme="minorEastAsia" w:hAnsiTheme="minorEastAsia"/>
                <w:color w:val="auto"/>
                <w:szCs w:val="21"/>
                <w:lang w:val="en-US" w:eastAsia="zh-CN"/>
              </w:rPr>
              <w:t>042</w:t>
            </w:r>
          </w:p>
          <w:p w14:paraId="10F11042">
            <w:pPr>
              <w:autoSpaceDE w:val="0"/>
              <w:autoSpaceDN w:val="0"/>
              <w:adjustRightInd w:val="0"/>
              <w:spacing w:line="360" w:lineRule="auto"/>
              <w:jc w:val="left"/>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合同履行期限：自合同生效之日起一年</w:t>
            </w:r>
          </w:p>
          <w:p w14:paraId="68C972DD">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lang w:val="en-US" w:eastAsia="zh-CN"/>
              </w:rPr>
              <w:t>履约地点：</w:t>
            </w:r>
            <w:r>
              <w:rPr>
                <w:rFonts w:hint="eastAsia" w:asciiTheme="minorEastAsia" w:hAnsiTheme="minorEastAsia" w:cstheme="minorEastAsia"/>
                <w:kern w:val="2"/>
                <w:sz w:val="21"/>
                <w:szCs w:val="21"/>
                <w:lang w:val="en-US" w:eastAsia="zh-CN" w:bidi="ar-SA"/>
              </w:rPr>
              <w:t>禹州市人民医院</w:t>
            </w:r>
          </w:p>
        </w:tc>
      </w:tr>
      <w:tr w14:paraId="00A30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14:paraId="32C66BFF">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14:paraId="0F2627D9">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14:paraId="3E50B129">
            <w:pPr>
              <w:widowControl/>
              <w:shd w:val="clear" w:color="auto" w:fill="FFFFFF"/>
              <w:spacing w:line="440" w:lineRule="exact"/>
              <w:jc w:val="left"/>
              <w:rPr>
                <w:rFonts w:hint="default" w:eastAsia="宋体" w:cs="仿宋_GB2312" w:asciiTheme="minorEastAsia" w:hAnsiTheme="minorEastAsia"/>
                <w:color w:val="000000"/>
                <w:szCs w:val="21"/>
                <w:shd w:val="clear" w:color="auto" w:fill="FFFFFF"/>
                <w:lang w:val="en-US" w:eastAsia="zh-CN"/>
              </w:rPr>
            </w:pPr>
            <w:r>
              <w:rPr>
                <w:rFonts w:hint="default" w:eastAsia="宋体" w:cs="仿宋_GB2312" w:asciiTheme="minorEastAsia" w:hAnsiTheme="minorEastAsia"/>
                <w:color w:val="000000"/>
                <w:szCs w:val="21"/>
                <w:shd w:val="clear" w:color="auto" w:fill="FFFFFF"/>
                <w:lang w:val="en-US" w:eastAsia="zh-CN"/>
              </w:rPr>
              <w:t>采购单位：禹州市人民医院</w:t>
            </w:r>
          </w:p>
          <w:p w14:paraId="328A5565">
            <w:pPr>
              <w:widowControl/>
              <w:shd w:val="clear" w:color="auto" w:fill="FFFFFF"/>
              <w:spacing w:line="440" w:lineRule="exact"/>
              <w:jc w:val="left"/>
              <w:rPr>
                <w:rFonts w:hint="default" w:eastAsia="宋体" w:cs="仿宋_GB2312" w:asciiTheme="minorEastAsia" w:hAnsiTheme="minorEastAsia"/>
                <w:color w:val="000000"/>
                <w:szCs w:val="21"/>
                <w:shd w:val="clear" w:color="auto" w:fill="FFFFFF"/>
                <w:lang w:val="en-US" w:eastAsia="zh-CN"/>
              </w:rPr>
            </w:pPr>
            <w:r>
              <w:rPr>
                <w:rFonts w:hint="default" w:eastAsia="宋体" w:cs="仿宋_GB2312" w:asciiTheme="minorEastAsia" w:hAnsiTheme="minorEastAsia"/>
                <w:color w:val="000000"/>
                <w:szCs w:val="21"/>
                <w:shd w:val="clear" w:color="auto" w:fill="FFFFFF"/>
                <w:lang w:val="en-US" w:eastAsia="zh-CN"/>
              </w:rPr>
              <w:t>地  址：禹州市康复路1号</w:t>
            </w:r>
          </w:p>
          <w:p w14:paraId="1E4EE5E4">
            <w:pPr>
              <w:widowControl/>
              <w:shd w:val="clear" w:color="auto" w:fill="FFFFFF"/>
              <w:spacing w:line="440" w:lineRule="exact"/>
              <w:jc w:val="left"/>
              <w:rPr>
                <w:rFonts w:hint="default" w:eastAsia="宋体" w:cs="仿宋_GB2312" w:asciiTheme="minorEastAsia" w:hAnsiTheme="minorEastAsia"/>
                <w:color w:val="000000"/>
                <w:szCs w:val="21"/>
                <w:shd w:val="clear" w:color="auto" w:fill="FFFFFF"/>
                <w:lang w:val="en-US" w:eastAsia="zh-CN"/>
              </w:rPr>
            </w:pPr>
            <w:r>
              <w:rPr>
                <w:rFonts w:hint="default" w:eastAsia="宋体" w:cs="仿宋_GB2312" w:asciiTheme="minorEastAsia" w:hAnsiTheme="minorEastAsia"/>
                <w:color w:val="000000"/>
                <w:szCs w:val="21"/>
                <w:shd w:val="clear" w:color="auto" w:fill="FFFFFF"/>
                <w:lang w:val="en-US" w:eastAsia="zh-CN"/>
              </w:rPr>
              <w:t>联系人：林女士</w:t>
            </w:r>
          </w:p>
          <w:p w14:paraId="40A7C788">
            <w:pPr>
              <w:widowControl/>
              <w:shd w:val="clear" w:color="auto" w:fill="FFFFFF"/>
              <w:spacing w:line="440" w:lineRule="exact"/>
              <w:jc w:val="left"/>
              <w:rPr>
                <w:rFonts w:hint="default" w:eastAsia="宋体" w:cs="仿宋_GB2312" w:asciiTheme="minorEastAsia" w:hAnsiTheme="minorEastAsia"/>
                <w:color w:val="000000"/>
                <w:szCs w:val="21"/>
                <w:shd w:val="clear" w:color="auto" w:fill="FFFFFF"/>
                <w:lang w:val="en-US" w:eastAsia="zh-CN"/>
              </w:rPr>
            </w:pPr>
            <w:r>
              <w:rPr>
                <w:rFonts w:hint="default" w:eastAsia="宋体" w:cs="仿宋_GB2312" w:asciiTheme="minorEastAsia" w:hAnsiTheme="minorEastAsia"/>
                <w:color w:val="000000"/>
                <w:szCs w:val="21"/>
                <w:shd w:val="clear" w:color="auto" w:fill="FFFFFF"/>
                <w:lang w:val="en-US" w:eastAsia="zh-CN"/>
              </w:rPr>
              <w:t>联系电话：0374-6068569</w:t>
            </w:r>
          </w:p>
        </w:tc>
      </w:tr>
      <w:tr w14:paraId="7C8D6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14:paraId="1A695351">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14:paraId="63B2EA1C">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color w:val="auto"/>
                <w:szCs w:val="21"/>
                <w:highlight w:val="none"/>
              </w:rPr>
              <w:t>代理机构</w:t>
            </w:r>
          </w:p>
        </w:tc>
        <w:tc>
          <w:tcPr>
            <w:tcW w:w="6813" w:type="dxa"/>
            <w:vAlign w:val="center"/>
          </w:tcPr>
          <w:p w14:paraId="5BF0A174">
            <w:pPr>
              <w:autoSpaceDE w:val="0"/>
              <w:autoSpaceDN w:val="0"/>
              <w:adjustRightInd w:val="0"/>
              <w:spacing w:line="360" w:lineRule="auto"/>
              <w:jc w:val="left"/>
              <w:rPr>
                <w:rFonts w:hint="eastAsia" w:cs="仿宋_GB2312" w:asciiTheme="minorEastAsia" w:hAnsiTheme="minorEastAsia"/>
                <w:szCs w:val="21"/>
                <w:lang w:val="zh-CN"/>
              </w:rPr>
            </w:pPr>
            <w:r>
              <w:rPr>
                <w:rFonts w:hint="eastAsia" w:cs="仿宋_GB2312" w:asciiTheme="minorEastAsia" w:hAnsiTheme="minorEastAsia"/>
                <w:szCs w:val="21"/>
                <w:lang w:val="zh-CN" w:eastAsia="zh-CN"/>
              </w:rPr>
              <w:t>代理机构</w:t>
            </w:r>
            <w:r>
              <w:rPr>
                <w:rFonts w:hint="eastAsia" w:cs="仿宋_GB2312" w:asciiTheme="minorEastAsia" w:hAnsiTheme="minorEastAsia"/>
                <w:szCs w:val="21"/>
                <w:lang w:val="zh-CN"/>
              </w:rPr>
              <w:t xml:space="preserve">：河南建威工程管理咨询有限公司  </w:t>
            </w:r>
          </w:p>
          <w:p w14:paraId="50F82A44">
            <w:pPr>
              <w:autoSpaceDE w:val="0"/>
              <w:autoSpaceDN w:val="0"/>
              <w:adjustRightInd w:val="0"/>
              <w:spacing w:line="360" w:lineRule="auto"/>
              <w:jc w:val="left"/>
              <w:rPr>
                <w:rFonts w:hint="eastAsia" w:cs="仿宋_GB2312" w:asciiTheme="minorEastAsia" w:hAnsiTheme="minorEastAsia"/>
                <w:szCs w:val="21"/>
                <w:lang w:val="zh-CN" w:eastAsia="zh-CN"/>
              </w:rPr>
            </w:pPr>
            <w:r>
              <w:rPr>
                <w:rFonts w:hint="eastAsia" w:cs="仿宋_GB2312" w:asciiTheme="minorEastAsia" w:hAnsiTheme="minorEastAsia"/>
                <w:szCs w:val="21"/>
                <w:lang w:val="zh-CN"/>
              </w:rPr>
              <w:t>地址：</w:t>
            </w:r>
            <w:r>
              <w:rPr>
                <w:rFonts w:hint="eastAsia" w:cs="仿宋_GB2312" w:asciiTheme="minorEastAsia" w:hAnsiTheme="minorEastAsia"/>
                <w:szCs w:val="21"/>
              </w:rPr>
              <w:t>郑州市芦医庙大街粤浦科技郑州白沙科创中心3号楼一楼</w:t>
            </w:r>
          </w:p>
          <w:p w14:paraId="1C1FEB5C">
            <w:pPr>
              <w:autoSpaceDE w:val="0"/>
              <w:autoSpaceDN w:val="0"/>
              <w:adjustRightInd w:val="0"/>
              <w:spacing w:line="360" w:lineRule="auto"/>
              <w:jc w:val="left"/>
              <w:rPr>
                <w:rFonts w:hint="eastAsia" w:cs="仿宋_GB2312" w:asciiTheme="minorEastAsia" w:hAnsiTheme="minorEastAsia"/>
                <w:szCs w:val="21"/>
                <w:lang w:val="zh-CN" w:eastAsia="zh-CN"/>
              </w:rPr>
            </w:pPr>
            <w:r>
              <w:rPr>
                <w:rFonts w:hint="eastAsia" w:cs="仿宋_GB2312" w:asciiTheme="minorEastAsia" w:hAnsiTheme="minorEastAsia"/>
                <w:szCs w:val="21"/>
                <w:lang w:val="zh-CN"/>
              </w:rPr>
              <w:t>联系人：</w:t>
            </w:r>
            <w:r>
              <w:rPr>
                <w:rFonts w:hint="eastAsia" w:cs="仿宋_GB2312" w:asciiTheme="minorEastAsia" w:hAnsiTheme="minorEastAsia"/>
                <w:szCs w:val="21"/>
                <w:lang w:val="en-US" w:eastAsia="zh-CN"/>
              </w:rPr>
              <w:t>王</w:t>
            </w:r>
            <w:r>
              <w:rPr>
                <w:rFonts w:hint="eastAsia" w:cs="仿宋_GB2312" w:asciiTheme="minorEastAsia" w:hAnsiTheme="minorEastAsia"/>
                <w:szCs w:val="21"/>
                <w:lang w:val="zh-CN" w:eastAsia="zh-CN"/>
              </w:rPr>
              <w:t>先生</w:t>
            </w:r>
          </w:p>
          <w:p w14:paraId="3C5F88B7">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lang w:val="zh-CN"/>
              </w:rPr>
              <w:t>联系方式：</w:t>
            </w:r>
            <w:r>
              <w:rPr>
                <w:rFonts w:hint="eastAsia" w:cs="仿宋_GB2312" w:asciiTheme="minorEastAsia" w:hAnsiTheme="minorEastAsia"/>
                <w:szCs w:val="21"/>
                <w:lang w:val="en-US" w:eastAsia="zh-CN"/>
              </w:rPr>
              <w:t>15890616061</w:t>
            </w:r>
          </w:p>
        </w:tc>
      </w:tr>
      <w:tr w14:paraId="66E2F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jc w:val="center"/>
        </w:trPr>
        <w:tc>
          <w:tcPr>
            <w:tcW w:w="806" w:type="dxa"/>
            <w:vMerge w:val="restart"/>
            <w:vAlign w:val="center"/>
          </w:tcPr>
          <w:p w14:paraId="22E0AE18">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4</w:t>
            </w:r>
          </w:p>
        </w:tc>
        <w:tc>
          <w:tcPr>
            <w:tcW w:w="2268" w:type="dxa"/>
            <w:vMerge w:val="restart"/>
            <w:vAlign w:val="center"/>
          </w:tcPr>
          <w:p w14:paraId="33A5C3F9">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微软雅黑"/>
                <w:b/>
                <w:szCs w:val="21"/>
              </w:rPr>
              <w:t>★</w:t>
            </w:r>
            <w:r>
              <w:rPr>
                <w:rFonts w:hint="eastAsia" w:ascii="宋体" w:hAnsi="宋体" w:eastAsia="宋体" w:cs="仿宋_GB2312"/>
                <w:szCs w:val="21"/>
              </w:rPr>
              <w:t>供应商资格</w:t>
            </w:r>
          </w:p>
        </w:tc>
        <w:tc>
          <w:tcPr>
            <w:tcW w:w="6813" w:type="dxa"/>
            <w:vAlign w:val="center"/>
          </w:tcPr>
          <w:p w14:paraId="2BFBCB87">
            <w:pPr>
              <w:autoSpaceDE w:val="0"/>
              <w:autoSpaceDN w:val="0"/>
              <w:adjustRightInd w:val="0"/>
              <w:spacing w:line="360" w:lineRule="auto"/>
              <w:jc w:val="left"/>
              <w:rPr>
                <w:rFonts w:cs="仿宋_GB2312" w:asciiTheme="minorEastAsia" w:hAnsiTheme="minorEastAsia"/>
                <w:b/>
                <w:color w:val="000000" w:themeColor="text1"/>
                <w:szCs w:val="21"/>
                <w:shd w:val="clear" w:color="auto" w:fill="FFFFFF"/>
                <w14:textFill>
                  <w14:solidFill>
                    <w14:schemeClr w14:val="tx1"/>
                  </w14:solidFill>
                </w14:textFill>
              </w:rPr>
            </w:pPr>
            <w:r>
              <w:rPr>
                <w:rFonts w:hint="eastAsia" w:cs="仿宋_GB2312" w:asciiTheme="minorEastAsia" w:hAnsiTheme="minorEastAsia"/>
                <w:b/>
                <w:color w:val="000000" w:themeColor="text1"/>
                <w:szCs w:val="21"/>
                <w:shd w:val="clear" w:color="auto" w:fill="FFFFFF"/>
                <w14:textFill>
                  <w14:solidFill>
                    <w14:schemeClr w14:val="tx1"/>
                  </w14:solidFill>
                </w14:textFill>
              </w:rPr>
              <w:t>符合《</w:t>
            </w:r>
            <w:r>
              <w:rPr>
                <w:rFonts w:hint="eastAsia" w:cs="仿宋_GB2312" w:asciiTheme="minorEastAsia" w:hAnsiTheme="minorEastAsia"/>
                <w:b/>
                <w:color w:val="000000" w:themeColor="text1"/>
                <w:szCs w:val="21"/>
                <w:shd w:val="clear" w:color="auto" w:fill="FFFFFF"/>
                <w:lang w:val="en-US" w:eastAsia="zh-CN"/>
                <w14:textFill>
                  <w14:solidFill>
                    <w14:schemeClr w14:val="tx1"/>
                  </w14:solidFill>
                </w14:textFill>
              </w:rPr>
              <w:t>中华人民共和国</w:t>
            </w:r>
            <w:r>
              <w:rPr>
                <w:rFonts w:hint="eastAsia" w:cs="仿宋_GB2312" w:asciiTheme="minorEastAsia" w:hAnsiTheme="minorEastAsia"/>
                <w:b/>
                <w:color w:val="000000" w:themeColor="text1"/>
                <w:szCs w:val="21"/>
                <w:shd w:val="clear" w:color="auto" w:fill="FFFFFF"/>
                <w14:textFill>
                  <w14:solidFill>
                    <w14:schemeClr w14:val="tx1"/>
                  </w14:solidFill>
                </w14:textFill>
              </w:rPr>
              <w:t>政府采购法》第二十二条规定</w:t>
            </w:r>
          </w:p>
          <w:p w14:paraId="608C1671">
            <w:pPr>
              <w:autoSpaceDE w:val="0"/>
              <w:autoSpaceDN w:val="0"/>
              <w:adjustRightInd w:val="0"/>
              <w:spacing w:line="360"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1．具有独立承担民事责任的能力；</w:t>
            </w:r>
          </w:p>
          <w:p w14:paraId="451A91C8">
            <w:pPr>
              <w:autoSpaceDE w:val="0"/>
              <w:autoSpaceDN w:val="0"/>
              <w:adjustRightInd w:val="0"/>
              <w:spacing w:line="360"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2．具有良好的商业信誉和健全的财务会计制度；</w:t>
            </w:r>
          </w:p>
          <w:p w14:paraId="53A20F51">
            <w:pPr>
              <w:autoSpaceDE w:val="0"/>
              <w:autoSpaceDN w:val="0"/>
              <w:adjustRightInd w:val="0"/>
              <w:spacing w:line="360"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3．具有履行合同所必需的设备和专业技术能力；</w:t>
            </w:r>
          </w:p>
          <w:p w14:paraId="1F9CCC53">
            <w:pPr>
              <w:autoSpaceDE w:val="0"/>
              <w:autoSpaceDN w:val="0"/>
              <w:adjustRightInd w:val="0"/>
              <w:spacing w:line="360"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4．具有依法缴纳税收和社会保障资金的良好记录；</w:t>
            </w:r>
          </w:p>
          <w:p w14:paraId="19C8D940">
            <w:pPr>
              <w:autoSpaceDE w:val="0"/>
              <w:autoSpaceDN w:val="0"/>
              <w:adjustRightInd w:val="0"/>
              <w:spacing w:line="360" w:lineRule="auto"/>
              <w:rPr>
                <w:rFonts w:cs="仿宋_GB2312"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5．参加政府采购活动前三年内，在经营活动中没有重大违法记录；</w:t>
            </w:r>
          </w:p>
        </w:tc>
      </w:tr>
      <w:tr w14:paraId="74F8F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9" w:hRule="atLeast"/>
          <w:jc w:val="center"/>
        </w:trPr>
        <w:tc>
          <w:tcPr>
            <w:tcW w:w="806" w:type="dxa"/>
            <w:vMerge w:val="continue"/>
            <w:vAlign w:val="center"/>
          </w:tcPr>
          <w:p w14:paraId="5A7BAD43">
            <w:pPr>
              <w:autoSpaceDE w:val="0"/>
              <w:autoSpaceDN w:val="0"/>
              <w:adjustRightInd w:val="0"/>
              <w:spacing w:line="276" w:lineRule="auto"/>
              <w:jc w:val="center"/>
              <w:rPr>
                <w:rFonts w:cs="黑体" w:asciiTheme="minorEastAsia" w:hAnsiTheme="minorEastAsia"/>
                <w:szCs w:val="21"/>
              </w:rPr>
            </w:pPr>
          </w:p>
        </w:tc>
        <w:tc>
          <w:tcPr>
            <w:tcW w:w="2268" w:type="dxa"/>
            <w:vMerge w:val="continue"/>
            <w:vAlign w:val="center"/>
          </w:tcPr>
          <w:p w14:paraId="45D87157">
            <w:pPr>
              <w:autoSpaceDE w:val="0"/>
              <w:autoSpaceDN w:val="0"/>
              <w:adjustRightInd w:val="0"/>
              <w:spacing w:line="276" w:lineRule="auto"/>
              <w:jc w:val="center"/>
              <w:rPr>
                <w:rFonts w:cs="微软雅黑" w:asciiTheme="minorEastAsia" w:hAnsiTheme="minorEastAsia"/>
                <w:b/>
                <w:szCs w:val="21"/>
              </w:rPr>
            </w:pPr>
          </w:p>
        </w:tc>
        <w:tc>
          <w:tcPr>
            <w:tcW w:w="6813" w:type="dxa"/>
            <w:vAlign w:val="center"/>
          </w:tcPr>
          <w:p w14:paraId="65BB9004">
            <w:pPr>
              <w:autoSpaceDE w:val="0"/>
              <w:autoSpaceDN w:val="0"/>
              <w:adjustRightInd w:val="0"/>
              <w:spacing w:line="276"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注：1、供应商在投标时，提供《禹州市政府采购供应商信用承诺函》（详见谈判文件第八章3.5格式），无需再提交上述证明材料。</w:t>
            </w:r>
          </w:p>
          <w:p w14:paraId="2A681B46">
            <w:pPr>
              <w:autoSpaceDE w:val="0"/>
              <w:autoSpaceDN w:val="0"/>
              <w:adjustRightInd w:val="0"/>
              <w:spacing w:line="276"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2、采购人有权在签订合同前要求成交供应商提供相关证明材料以核实成交供应商承诺事项的真实性。</w:t>
            </w:r>
          </w:p>
          <w:p w14:paraId="347FEC72">
            <w:pPr>
              <w:adjustRightInd w:val="0"/>
              <w:spacing w:line="360" w:lineRule="auto"/>
              <w:jc w:val="left"/>
              <w:rPr>
                <w:rFonts w:cs="仿宋_GB2312" w:asciiTheme="minorEastAsia" w:hAnsiTheme="minorEastAsia"/>
                <w:b/>
                <w:color w:val="000000" w:themeColor="text1"/>
                <w:szCs w:val="21"/>
                <w:shd w:val="clear" w:color="auto" w:fill="FFFFFF"/>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3、供应商对信用承诺内容的真实性、合法性、有效性负责。如作出虚假信用承诺，视同为“提供虚假材料谋取中标”的违法行为。</w:t>
            </w:r>
          </w:p>
        </w:tc>
      </w:tr>
      <w:tr w14:paraId="451F0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7182B12C">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14:paraId="0C0DFBD6">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联合体响应</w:t>
            </w:r>
          </w:p>
        </w:tc>
        <w:tc>
          <w:tcPr>
            <w:tcW w:w="6813" w:type="dxa"/>
            <w:vAlign w:val="center"/>
          </w:tcPr>
          <w:p w14:paraId="493A7CED">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14:paraId="14375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096EF45F">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14:paraId="48425E73">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预算金额</w:t>
            </w:r>
          </w:p>
        </w:tc>
        <w:tc>
          <w:tcPr>
            <w:tcW w:w="6813" w:type="dxa"/>
            <w:vAlign w:val="center"/>
          </w:tcPr>
          <w:p w14:paraId="03E40B0A">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en-US" w:eastAsia="zh-CN"/>
              </w:rPr>
              <w:t>640000</w:t>
            </w:r>
            <w:r>
              <w:rPr>
                <w:rFonts w:cs="宋体" w:asciiTheme="minorEastAsia" w:hAnsiTheme="minorEastAsia"/>
                <w:bCs/>
                <w:szCs w:val="21"/>
              </w:rPr>
              <w:t>.00</w:t>
            </w:r>
            <w:r>
              <w:rPr>
                <w:rFonts w:hint="eastAsia" w:cs="宋体" w:asciiTheme="minorEastAsia" w:hAnsiTheme="minorEastAsia"/>
                <w:bCs/>
                <w:szCs w:val="21"/>
                <w:lang w:val="zh-CN"/>
              </w:rPr>
              <w:t>元，超出预算金额的响应无效。</w:t>
            </w:r>
          </w:p>
        </w:tc>
      </w:tr>
      <w:tr w14:paraId="3D9F1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79F452E3">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14:paraId="400081C4">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14:paraId="78672070">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p>
          <w:p w14:paraId="38918E39">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14:paraId="18EC7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4A04614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14:paraId="6561D7CA">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14:paraId="38230B54">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p>
          <w:p w14:paraId="007192D8">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14:paraId="30614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64D5E9F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14:paraId="73ADD797">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14:paraId="6CB52AE7">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14:paraId="58AF1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30351DBA">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14:paraId="50BE894B">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谈判有效期</w:t>
            </w:r>
          </w:p>
        </w:tc>
        <w:tc>
          <w:tcPr>
            <w:tcW w:w="6813" w:type="dxa"/>
            <w:vAlign w:val="center"/>
          </w:tcPr>
          <w:p w14:paraId="0C4CAAD5">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14:paraId="5135F6D2">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14:paraId="36EF1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2DE6470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14:paraId="682B9459">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14:paraId="2B415CD7">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14:paraId="454CA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76A323F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14:paraId="62495973">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14:paraId="43EFBA7F">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color w:val="auto"/>
                <w:szCs w:val="21"/>
              </w:rPr>
              <w:t>202</w:t>
            </w:r>
            <w:r>
              <w:rPr>
                <w:rFonts w:hint="eastAsia" w:cs="宋体" w:asciiTheme="minorEastAsia" w:hAnsiTheme="minorEastAsia"/>
                <w:bCs/>
                <w:color w:val="auto"/>
                <w:szCs w:val="21"/>
                <w:lang w:val="en-US" w:eastAsia="zh-CN"/>
              </w:rPr>
              <w:t>5</w:t>
            </w:r>
            <w:r>
              <w:rPr>
                <w:rFonts w:hint="eastAsia" w:cs="宋体" w:asciiTheme="minorEastAsia" w:hAnsiTheme="minorEastAsia"/>
                <w:bCs/>
                <w:color w:val="auto"/>
                <w:szCs w:val="21"/>
                <w:lang w:val="zh-CN"/>
              </w:rPr>
              <w:t>年</w:t>
            </w:r>
            <w:r>
              <w:rPr>
                <w:rFonts w:hint="eastAsia" w:cs="宋体" w:asciiTheme="minorEastAsia" w:hAnsiTheme="minorEastAsia"/>
                <w:bCs/>
                <w:color w:val="auto"/>
                <w:szCs w:val="21"/>
                <w:lang w:val="en-US" w:eastAsia="zh-CN"/>
              </w:rPr>
              <w:t>7</w:t>
            </w:r>
            <w:r>
              <w:rPr>
                <w:rFonts w:hint="eastAsia" w:cs="宋体" w:asciiTheme="minorEastAsia" w:hAnsiTheme="minorEastAsia"/>
                <w:bCs/>
                <w:color w:val="auto"/>
                <w:szCs w:val="21"/>
                <w:lang w:val="zh-CN"/>
              </w:rPr>
              <w:t>月</w:t>
            </w:r>
            <w:r>
              <w:rPr>
                <w:rFonts w:hint="eastAsia" w:cs="宋体" w:asciiTheme="minorEastAsia" w:hAnsiTheme="minorEastAsia"/>
                <w:bCs/>
                <w:color w:val="auto"/>
                <w:szCs w:val="21"/>
                <w:lang w:val="en-US" w:eastAsia="zh-CN"/>
              </w:rPr>
              <w:t>29</w:t>
            </w:r>
            <w:r>
              <w:rPr>
                <w:rFonts w:hint="eastAsia" w:cs="宋体" w:asciiTheme="minorEastAsia" w:hAnsiTheme="minorEastAsia"/>
                <w:bCs/>
                <w:color w:val="auto"/>
                <w:szCs w:val="21"/>
                <w:lang w:val="zh-CN"/>
              </w:rPr>
              <w:t>日08时30分（北京时间）</w:t>
            </w:r>
          </w:p>
        </w:tc>
      </w:tr>
      <w:tr w14:paraId="0BE07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1B7632E0">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14:paraId="112B9A3B">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w:t>
            </w:r>
          </w:p>
          <w:p w14:paraId="4CFFB62C">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开启地点</w:t>
            </w:r>
          </w:p>
        </w:tc>
        <w:tc>
          <w:tcPr>
            <w:tcW w:w="6813" w:type="dxa"/>
            <w:vAlign w:val="center"/>
          </w:tcPr>
          <w:p w14:paraId="77F84FA0">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000000"/>
                <w:szCs w:val="21"/>
              </w:rPr>
              <w:t>禹州市公共资源交易中心开标二室（地址：禹州市行政服务中心楼</w:t>
            </w:r>
            <w:r>
              <w:rPr>
                <w:rFonts w:hint="eastAsia" w:cs="仿宋_GB2312" w:asciiTheme="minorEastAsia" w:hAnsiTheme="minorEastAsia"/>
                <w:color w:val="000000"/>
                <w:szCs w:val="21"/>
                <w:lang w:val="en-US" w:eastAsia="zh-CN"/>
              </w:rPr>
              <w:t>九</w:t>
            </w:r>
            <w:r>
              <w:rPr>
                <w:rFonts w:hint="eastAsia" w:cs="仿宋_GB2312" w:asciiTheme="minorEastAsia" w:hAnsiTheme="minorEastAsia"/>
                <w:color w:val="000000"/>
                <w:szCs w:val="21"/>
              </w:rPr>
              <w:t>楼）（</w:t>
            </w:r>
            <w:r>
              <w:rPr>
                <w:rFonts w:hint="eastAsia" w:cs="Arial" w:asciiTheme="minorEastAsia" w:hAnsiTheme="minorEastAsia"/>
                <w:b/>
                <w:color w:val="FF0000"/>
                <w:szCs w:val="21"/>
              </w:rPr>
              <w:t>本项目采用远程不见面谈判，供应商无须到达现场</w:t>
            </w:r>
            <w:r>
              <w:rPr>
                <w:rFonts w:hint="eastAsia" w:cs="Arial" w:asciiTheme="minorEastAsia" w:hAnsiTheme="minorEastAsia"/>
                <w:color w:val="000000"/>
                <w:szCs w:val="21"/>
              </w:rPr>
              <w:t>）</w:t>
            </w:r>
          </w:p>
        </w:tc>
      </w:tr>
      <w:tr w14:paraId="2D1EB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5CF82EC3">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14:paraId="53CCD921">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14:paraId="1AEDA274">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tc>
      </w:tr>
      <w:tr w14:paraId="1C7AB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6" w:type="dxa"/>
            <w:vAlign w:val="center"/>
          </w:tcPr>
          <w:p w14:paraId="7A61CBE2">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14:paraId="1B1836C2">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14:paraId="1A2B954D">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szCs w:val="21"/>
              </w:rPr>
              <w:t>谈判公告、成交公告、变更（更正）公告、现场勘察答复等相关信息同时在以下网站发布：《中国政府采购网》《河南省政府采购网》《许昌市政府采购网》《全国公共资源交易平台（河南省·许昌市）》</w:t>
            </w:r>
          </w:p>
        </w:tc>
      </w:tr>
      <w:tr w14:paraId="13E1B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706954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14:paraId="75135EAC">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14:paraId="5909310F">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14:paraId="48353541">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w:t>
            </w:r>
            <w:bookmarkStart w:id="3" w:name="_GoBack"/>
            <w:bookmarkEnd w:id="3"/>
            <w:r>
              <w:rPr>
                <w:rFonts w:hint="eastAsia" w:cs="宋体" w:asciiTheme="minorEastAsia" w:hAnsiTheme="minorEastAsia"/>
                <w:bCs/>
                <w:szCs w:val="21"/>
                <w:lang w:val="zh-CN"/>
              </w:rPr>
              <w:t>3个工作日前（</w:t>
            </w:r>
            <w:r>
              <w:rPr>
                <w:rFonts w:hint="eastAsia" w:cs="仿宋_GB2312" w:asciiTheme="minorEastAsia" w:hAnsiTheme="minorEastAsia"/>
                <w:szCs w:val="21"/>
                <w:lang w:val="zh-CN"/>
              </w:rPr>
              <w:t>澄清内容可能影响谈判响应文件编制的）</w:t>
            </w:r>
          </w:p>
        </w:tc>
      </w:tr>
      <w:tr w14:paraId="231C3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E51A5FA">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14:paraId="56C3BCDE">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14:paraId="645A3281">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14:paraId="06DE2C45">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14:paraId="047B5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BC99B18">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14:paraId="752C5FF8">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14:paraId="0EF14469">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w:t>
            </w:r>
            <w:r>
              <w:rPr>
                <w:rFonts w:hint="eastAsia" w:hAnsi="宋体" w:cs="宋体"/>
                <w:szCs w:val="21"/>
                <w:lang w:val="en-US" w:eastAsia="zh-CN"/>
              </w:rPr>
              <w:t>XCSTF</w:t>
            </w:r>
            <w:r>
              <w:rPr>
                <w:rFonts w:hint="eastAsia" w:hAnsi="宋体" w:cs="宋体"/>
                <w:szCs w:val="21"/>
                <w:lang w:val="zh-CN"/>
              </w:rPr>
              <w:t>）。</w:t>
            </w:r>
          </w:p>
          <w:p w14:paraId="0CC5F58A">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szCs w:val="21"/>
                <w:lang w:val="zh-CN"/>
              </w:rPr>
              <w:t>□</w:t>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14:paraId="5DD62D85">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14:paraId="3C5DA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8303334">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14:paraId="5E4EE005">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14:paraId="014F06F9">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14:paraId="1AAB2392">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14:paraId="3DC3F8CD">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szCs w:val="21"/>
                <w:lang w:val="zh-CN"/>
              </w:rPr>
              <w:t>□</w:t>
            </w:r>
            <w:r>
              <w:rPr>
                <w:rFonts w:hint="eastAsia" w:ascii="新宋体" w:hAnsi="新宋体" w:eastAsia="新宋体"/>
                <w:szCs w:val="21"/>
              </w:rPr>
              <w:t>纸质响应文件：响应文件封面加盖供应商公章（响应文件是指供应商电子响应文件制作完成后生成的后缀名为</w:t>
            </w:r>
            <w:r>
              <w:rPr>
                <w:rFonts w:hint="eastAsia" w:hAnsi="宋体"/>
                <w:szCs w:val="21"/>
              </w:rPr>
              <w:t>“.PDF”的文件</w:t>
            </w:r>
            <w:r>
              <w:rPr>
                <w:rFonts w:hint="eastAsia" w:ascii="新宋体" w:hAnsi="新宋体" w:eastAsia="新宋体"/>
                <w:szCs w:val="21"/>
              </w:rPr>
              <w:t>打印的纸质响应文件）。</w:t>
            </w:r>
          </w:p>
        </w:tc>
      </w:tr>
      <w:tr w14:paraId="0726D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7F38E155">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14:paraId="0938FED1">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14:paraId="4FBF61A0">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14:paraId="18916680">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14:paraId="1339F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52EDD99">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14:paraId="7571621E">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14:paraId="1D1D4261">
            <w:pPr>
              <w:autoSpaceDE w:val="0"/>
              <w:autoSpaceDN w:val="0"/>
              <w:adjustRightInd w:val="0"/>
              <w:spacing w:line="360" w:lineRule="auto"/>
              <w:rPr>
                <w:rFonts w:ascii="新宋体" w:hAnsi="新宋体" w:eastAsia="新宋体"/>
                <w:szCs w:val="21"/>
              </w:rPr>
            </w:pPr>
            <w:r>
              <w:rPr>
                <w:rFonts w:hint="eastAsia"/>
              </w:rPr>
              <w:t>质量和服务均能满足谈判文件实质性响应要求且最后报价最低的原则确定成交供应商</w:t>
            </w:r>
            <w:r>
              <w:rPr>
                <w:rFonts w:hint="eastAsia" w:ascii="新宋体" w:hAnsi="新宋体" w:eastAsia="新宋体"/>
                <w:szCs w:val="21"/>
              </w:rPr>
              <w:t>。</w:t>
            </w:r>
          </w:p>
        </w:tc>
      </w:tr>
      <w:tr w14:paraId="7B38B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2EED866">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14:paraId="0EE43EF0">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中小企业有关政策</w:t>
            </w:r>
          </w:p>
        </w:tc>
        <w:tc>
          <w:tcPr>
            <w:tcW w:w="6813" w:type="dxa"/>
            <w:vAlign w:val="center"/>
          </w:tcPr>
          <w:p w14:paraId="4AFD80D7">
            <w:pPr>
              <w:numPr>
                <w:ilvl w:val="0"/>
                <w:numId w:val="10"/>
              </w:numPr>
              <w:autoSpaceDE w:val="0"/>
              <w:autoSpaceDN w:val="0"/>
              <w:adjustRightInd w:val="0"/>
              <w:spacing w:line="360" w:lineRule="auto"/>
              <w:contextualSpacing/>
              <w:rPr>
                <w:rFonts w:ascii="ˎ̥" w:hAnsi="ˎ̥"/>
              </w:rPr>
            </w:pPr>
            <w:r>
              <w:rPr>
                <w:rFonts w:hint="eastAsia" w:ascii="ˎ̥" w:hAnsi="ˎ̥"/>
              </w:rPr>
              <w:t>根据工信部等部委发布的《关于印发中小企业划型标准规定的通知》（工信部联企业〔2011〕300号），按照本次采购标的所属行业的划型标准，</w:t>
            </w:r>
            <w:r>
              <w:rPr>
                <w:rFonts w:hint="eastAsia" w:ascii="ˎ̥" w:hAnsi="ˎ̥"/>
                <w:lang w:val="en-US" w:eastAsia="zh-CN"/>
              </w:rPr>
              <w:t>本</w:t>
            </w:r>
            <w:r>
              <w:rPr>
                <w:rFonts w:hint="eastAsia" w:ascii="ˎ̥" w:hAnsi="ˎ̥"/>
              </w:rPr>
              <w:t>符合条件的中小企业应按照谈判文件格式要求提供《中小企业声明函》，</w:t>
            </w:r>
            <w:r>
              <w:rPr>
                <w:rFonts w:ascii="ˎ̥" w:hAnsi="ˎ̥"/>
              </w:rPr>
              <w:t>否则不得享受相关中小企业扶持政策。</w:t>
            </w:r>
          </w:p>
          <w:p w14:paraId="54C036AA">
            <w:pPr>
              <w:pStyle w:val="37"/>
              <w:numPr>
                <w:ilvl w:val="0"/>
                <w:numId w:val="0"/>
              </w:numPr>
              <w:rPr>
                <w:rFonts w:hint="default" w:eastAsiaTheme="minorEastAsia"/>
                <w:lang w:val="en-US" w:eastAsia="zh-CN"/>
              </w:rPr>
            </w:pPr>
            <w:r>
              <w:rPr>
                <w:rFonts w:hint="eastAsia"/>
                <w:lang w:val="en-US" w:eastAsia="zh-CN"/>
              </w:rPr>
              <w:t>2、本次采购标的</w:t>
            </w:r>
            <w:r>
              <w:rPr>
                <w:rFonts w:hint="eastAsia" w:ascii="ˎ̥" w:hAnsi="ˎ̥" w:eastAsiaTheme="minorEastAsia" w:cstheme="minorBidi"/>
                <w:kern w:val="2"/>
                <w:sz w:val="21"/>
                <w:szCs w:val="22"/>
                <w:lang w:val="zh-CN" w:eastAsia="zh-CN" w:bidi="ar-SA"/>
              </w:rPr>
              <w:t>所属行业</w:t>
            </w:r>
            <w:r>
              <w:rPr>
                <w:rFonts w:hint="eastAsia" w:ascii="ˎ̥" w:hAnsi="ˎ̥" w:eastAsiaTheme="minorEastAsia" w:cstheme="minorBidi"/>
                <w:kern w:val="2"/>
                <w:sz w:val="21"/>
                <w:szCs w:val="22"/>
                <w:lang w:val="en-US" w:eastAsia="zh-CN" w:bidi="ar-SA"/>
              </w:rPr>
              <w:t>：</w:t>
            </w:r>
            <w:r>
              <w:rPr>
                <w:rFonts w:hint="eastAsia"/>
                <w:lang w:val="en-US" w:eastAsia="zh-CN"/>
              </w:rPr>
              <w:t>工业</w:t>
            </w:r>
          </w:p>
          <w:p w14:paraId="22B1BED4">
            <w:pPr>
              <w:autoSpaceDE w:val="0"/>
              <w:autoSpaceDN w:val="0"/>
              <w:adjustRightInd w:val="0"/>
              <w:spacing w:line="360" w:lineRule="auto"/>
              <w:contextualSpacing/>
              <w:rPr>
                <w:rFonts w:ascii="ˎ̥" w:hAnsi="ˎ̥"/>
              </w:rPr>
            </w:pPr>
            <w:r>
              <w:rPr>
                <w:rFonts w:hint="eastAsia" w:ascii="ˎ̥" w:hAnsi="ˎ̥"/>
                <w:lang w:val="en-US" w:eastAsia="zh-CN"/>
              </w:rPr>
              <w:t>3</w:t>
            </w:r>
            <w:r>
              <w:rPr>
                <w:rFonts w:hint="eastAsia" w:ascii="ˎ̥" w:hAnsi="ˎ̥"/>
              </w:rPr>
              <w:t>、根据财政部、工业和信息化部发布的《政府采购促进中小企业发展管理办法》（财库〔2020〕46号）、</w:t>
            </w:r>
            <w:r>
              <w:rPr>
                <w:rFonts w:hint="eastAsia" w:ascii="ˎ̥" w:hAnsi="ˎ̥"/>
                <w:color w:val="FF0000"/>
              </w:rPr>
              <w:t>《关于进一步加大政府采购支持中小企业力度的通知》（财库〔2022〕19号）规定，对小型和微型企业投标价格给予20%（10%—20%）</w:t>
            </w:r>
            <w:r>
              <w:rPr>
                <w:rFonts w:hint="eastAsia" w:ascii="ˎ̥" w:hAnsi="ˎ̥"/>
              </w:rPr>
              <w:t>的扣除，用扣除后的价格参与评审。</w:t>
            </w:r>
          </w:p>
          <w:p w14:paraId="309E911C">
            <w:pPr>
              <w:spacing w:line="360" w:lineRule="auto"/>
              <w:contextualSpacing/>
              <w:rPr>
                <w:rFonts w:ascii="ˎ̥" w:hAnsi="ˎ̥"/>
              </w:rPr>
            </w:pPr>
            <w:r>
              <w:rPr>
                <w:rFonts w:hint="eastAsia" w:ascii="ˎ̥" w:hAnsi="ˎ̥"/>
                <w:lang w:val="en-US" w:eastAsia="zh-CN"/>
              </w:rPr>
              <w:t>4</w:t>
            </w:r>
            <w:r>
              <w:rPr>
                <w:rFonts w:hint="eastAsia" w:ascii="ˎ̥" w:hAnsi="ˎ̥"/>
              </w:rPr>
              <w:t>、</w:t>
            </w:r>
            <w:r>
              <w:rPr>
                <w:rFonts w:ascii="ˎ̥" w:hAnsi="ˎ̥"/>
              </w:rPr>
              <w:t>以联合体形式参加政府采购活动，联合体各方均为中小企业的，联合体视同中小企业。其中，联合体各方均为小微企业的，联合体视同小微企业。</w:t>
            </w:r>
          </w:p>
          <w:p w14:paraId="2E5135E2">
            <w:pPr>
              <w:autoSpaceDE w:val="0"/>
              <w:autoSpaceDN w:val="0"/>
              <w:adjustRightInd w:val="0"/>
              <w:spacing w:line="360" w:lineRule="auto"/>
              <w:contextualSpacing/>
              <w:rPr>
                <w:rFonts w:ascii="ˎ̥" w:hAnsi="ˎ̥"/>
              </w:rPr>
            </w:pPr>
            <w:r>
              <w:rPr>
                <w:rFonts w:hint="eastAsia" w:ascii="ˎ̥" w:hAnsi="ˎ̥"/>
                <w:lang w:val="en-US" w:eastAsia="zh-CN"/>
              </w:rPr>
              <w:t>5</w:t>
            </w:r>
            <w:r>
              <w:rPr>
                <w:rFonts w:hint="eastAsia" w:ascii="ˎ̥" w:hAnsi="ˎ̥"/>
              </w:rPr>
              <w:t>、</w:t>
            </w:r>
            <w:r>
              <w:rPr>
                <w:rFonts w:ascii="ˎ̥" w:hAnsi="ˎ̥"/>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w:t>
            </w:r>
            <w:r>
              <w:rPr>
                <w:rFonts w:hint="eastAsia" w:ascii="ˎ̥" w:hAnsi="ˎ̥"/>
              </w:rPr>
              <w:t>6</w:t>
            </w:r>
            <w:r>
              <w:rPr>
                <w:rFonts w:ascii="ˎ̥" w:hAnsi="ˎ̥"/>
                <w:color w:val="FF0000"/>
              </w:rPr>
              <w:t>%（</w:t>
            </w:r>
            <w:r>
              <w:rPr>
                <w:rFonts w:hint="eastAsia" w:ascii="ˎ̥" w:hAnsi="ˎ̥"/>
                <w:color w:val="FF0000"/>
              </w:rPr>
              <w:t>4%—6%</w:t>
            </w:r>
            <w:r>
              <w:rPr>
                <w:rFonts w:ascii="ˎ̥" w:hAnsi="ˎ̥"/>
                <w:color w:val="FF0000"/>
              </w:rPr>
              <w:t>）</w:t>
            </w:r>
            <w:r>
              <w:rPr>
                <w:rFonts w:ascii="ˎ̥" w:hAnsi="ˎ̥"/>
              </w:rPr>
              <w:t>的扣除，用扣除后的价格参加评审。组成联合体或者接受分包的小微企业与联合体内其他企业、分包企业之间存在直接控股、管理关系的，不享受价格扣除优惠政策。</w:t>
            </w:r>
          </w:p>
          <w:p w14:paraId="34BC80DC">
            <w:pPr>
              <w:autoSpaceDE w:val="0"/>
              <w:autoSpaceDN w:val="0"/>
              <w:adjustRightInd w:val="0"/>
              <w:spacing w:line="360" w:lineRule="auto"/>
              <w:contextualSpacing/>
              <w:rPr>
                <w:rFonts w:ascii="ˎ̥" w:hAnsi="ˎ̥"/>
              </w:rPr>
            </w:pPr>
            <w:r>
              <w:rPr>
                <w:rFonts w:hint="eastAsia" w:ascii="ˎ̥" w:hAnsi="ˎ̥"/>
                <w:lang w:val="en-US" w:eastAsia="zh-CN"/>
              </w:rPr>
              <w:t>6</w:t>
            </w:r>
            <w:r>
              <w:rPr>
                <w:rFonts w:hint="eastAsia" w:ascii="ˎ̥" w:hAnsi="ˎ̥"/>
              </w:rPr>
              <w:t>、提供由省级以上监狱管理局、戒毒管理局（含新疆生产建设兵团）出具的属于监狱企业证明文件的，视同为小型和微型企业。</w:t>
            </w:r>
          </w:p>
          <w:p w14:paraId="639A521A">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lang w:val="en-US" w:eastAsia="zh-CN"/>
              </w:rPr>
              <w:t>7</w:t>
            </w:r>
            <w:r>
              <w:rPr>
                <w:rFonts w:hint="eastAsia" w:ascii="ˎ̥" w:hAnsi="ˎ̥"/>
              </w:rPr>
              <w:t>、符合享受政府采购支持政策的残疾人福利性单位条件且提供《残疾人福利性单位声明函》的，视同为小型和微型企业。</w:t>
            </w:r>
          </w:p>
        </w:tc>
      </w:tr>
      <w:tr w14:paraId="3D630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0EC50F2">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shd w:val="clear" w:color="auto" w:fill="auto"/>
            <w:vAlign w:val="center"/>
          </w:tcPr>
          <w:p w14:paraId="4C87195C">
            <w:pPr>
              <w:autoSpaceDE w:val="0"/>
              <w:autoSpaceDN w:val="0"/>
              <w:adjustRightInd w:val="0"/>
              <w:spacing w:line="360" w:lineRule="auto"/>
              <w:jc w:val="center"/>
              <w:rPr>
                <w:rFonts w:cs="宋体" w:asciiTheme="minorEastAsia" w:hAnsiTheme="minorEastAsia" w:eastAsiaTheme="minorEastAsia"/>
                <w:bCs/>
                <w:kern w:val="2"/>
                <w:sz w:val="21"/>
                <w:szCs w:val="21"/>
                <w:lang w:val="zh-CN" w:eastAsia="zh-CN" w:bidi="ar-SA"/>
              </w:rPr>
            </w:pPr>
            <w:r>
              <w:rPr>
                <w:rFonts w:hint="eastAsia" w:cs="宋体" w:asciiTheme="minorEastAsia" w:hAnsiTheme="minorEastAsia"/>
                <w:bCs/>
                <w:szCs w:val="21"/>
                <w:lang w:val="zh-CN"/>
              </w:rPr>
              <w:t>节能环保要求</w:t>
            </w:r>
          </w:p>
        </w:tc>
        <w:tc>
          <w:tcPr>
            <w:tcW w:w="6813" w:type="dxa"/>
            <w:shd w:val="clear" w:color="auto" w:fill="auto"/>
            <w:vAlign w:val="center"/>
          </w:tcPr>
          <w:p w14:paraId="23336D09">
            <w:pPr>
              <w:autoSpaceDE w:val="0"/>
              <w:autoSpaceDN w:val="0"/>
              <w:adjustRightInd w:val="0"/>
              <w:spacing w:line="360" w:lineRule="auto"/>
              <w:rPr>
                <w:rFonts w:hint="eastAsia" w:cs="宋体" w:asciiTheme="minorEastAsia" w:hAnsiTheme="minorEastAsia" w:eastAsiaTheme="minorEastAsia"/>
                <w:bCs/>
                <w:szCs w:val="21"/>
                <w:lang w:val="en-US" w:eastAsia="zh-CN"/>
              </w:rPr>
            </w:pPr>
            <w:r>
              <w:rPr>
                <w:rFonts w:hint="eastAsia" w:cs="宋体" w:asciiTheme="minorEastAsia" w:hAnsiTheme="minorEastAsia"/>
                <w:bCs/>
                <w:szCs w:val="21"/>
                <w:lang w:val="zh-CN"/>
              </w:rPr>
              <w:t>本项目强制节能产品：</w:t>
            </w:r>
            <w:r>
              <w:rPr>
                <w:rFonts w:hint="eastAsia" w:cs="宋体" w:asciiTheme="minorEastAsia" w:hAnsiTheme="minorEastAsia"/>
                <w:bCs/>
                <w:szCs w:val="21"/>
                <w:lang w:val="en-US" w:eastAsia="zh-CN"/>
              </w:rPr>
              <w:t>无</w:t>
            </w:r>
          </w:p>
          <w:p w14:paraId="31681150">
            <w:pPr>
              <w:autoSpaceDE w:val="0"/>
              <w:autoSpaceDN w:val="0"/>
              <w:adjustRightInd w:val="0"/>
              <w:spacing w:line="360" w:lineRule="auto"/>
              <w:rPr>
                <w:rFonts w:ascii="ˎ̥" w:hAnsi="ˎ̥" w:eastAsiaTheme="minorEastAsia" w:cstheme="minorBidi"/>
                <w:kern w:val="2"/>
                <w:sz w:val="21"/>
                <w:szCs w:val="22"/>
                <w:lang w:val="zh-CN" w:eastAsia="zh-CN" w:bidi="ar-SA"/>
              </w:rPr>
            </w:pPr>
            <w:r>
              <w:rPr>
                <w:rFonts w:hint="eastAsia" w:cs="宋体" w:asciiTheme="minorEastAsia" w:hAnsiTheme="minor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14:paraId="67EED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2F5A72C">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shd w:val="clear" w:color="auto" w:fill="auto"/>
            <w:vAlign w:val="center"/>
          </w:tcPr>
          <w:p w14:paraId="324CEA03">
            <w:pPr>
              <w:autoSpaceDE w:val="0"/>
              <w:autoSpaceDN w:val="0"/>
              <w:adjustRightInd w:val="0"/>
              <w:spacing w:line="360" w:lineRule="auto"/>
              <w:rPr>
                <w:rFonts w:hint="eastAsia" w:cs="宋体" w:asciiTheme="minorEastAsia" w:hAnsiTheme="minorEastAsia" w:eastAsiaTheme="minorEastAsia"/>
                <w:bCs/>
                <w:kern w:val="2"/>
                <w:sz w:val="21"/>
                <w:szCs w:val="21"/>
                <w:lang w:val="zh-CN" w:eastAsia="zh-CN" w:bidi="ar-SA"/>
              </w:rPr>
            </w:pPr>
            <w:r>
              <w:rPr>
                <w:rFonts w:hint="eastAsia" w:cs="宋体" w:asciiTheme="minorEastAsia" w:hAnsiTheme="minorEastAsia"/>
                <w:bCs/>
                <w:szCs w:val="21"/>
                <w:lang w:val="zh-CN"/>
              </w:rPr>
              <w:t>网络关键设备、网络安全专用产品要求</w:t>
            </w:r>
          </w:p>
        </w:tc>
        <w:tc>
          <w:tcPr>
            <w:tcW w:w="6813" w:type="dxa"/>
            <w:shd w:val="clear" w:color="auto" w:fill="auto"/>
            <w:vAlign w:val="center"/>
          </w:tcPr>
          <w:p w14:paraId="554FDFD9">
            <w:pPr>
              <w:autoSpaceDE w:val="0"/>
              <w:autoSpaceDN w:val="0"/>
              <w:adjustRightInd w:val="0"/>
              <w:spacing w:line="360" w:lineRule="auto"/>
              <w:rPr>
                <w:rFonts w:hint="eastAsia" w:cs="宋体" w:asciiTheme="minorEastAsia" w:hAnsiTheme="minorEastAsia" w:eastAsiaTheme="minorEastAsia"/>
                <w:bCs/>
                <w:szCs w:val="21"/>
                <w:lang w:val="en-US" w:eastAsia="zh-CN"/>
              </w:rPr>
            </w:pPr>
            <w:r>
              <w:rPr>
                <w:rFonts w:hint="eastAsia" w:cs="宋体" w:asciiTheme="minorEastAsia" w:hAnsiTheme="minorEastAsia"/>
                <w:bCs/>
                <w:szCs w:val="21"/>
                <w:lang w:val="en-US" w:eastAsia="zh-CN"/>
              </w:rPr>
              <w:t>1、</w:t>
            </w:r>
            <w:r>
              <w:rPr>
                <w:rFonts w:hint="eastAsia" w:cs="宋体" w:asciiTheme="minorEastAsia" w:hAnsiTheme="minorEastAsia"/>
                <w:bCs/>
                <w:szCs w:val="21"/>
                <w:lang w:val="zh-CN"/>
              </w:rPr>
              <w:t>本项目网络关键设备：</w:t>
            </w:r>
            <w:r>
              <w:rPr>
                <w:rFonts w:hint="eastAsia" w:cs="宋体" w:asciiTheme="minorEastAsia" w:hAnsiTheme="minorEastAsia"/>
                <w:bCs/>
                <w:szCs w:val="21"/>
                <w:lang w:val="en-US" w:eastAsia="zh-CN"/>
              </w:rPr>
              <w:t>无</w:t>
            </w:r>
            <w:r>
              <w:rPr>
                <w:rFonts w:hint="eastAsia" w:cs="宋体" w:asciiTheme="minorEastAsia" w:hAnsiTheme="minorEastAsia"/>
                <w:bCs/>
                <w:szCs w:val="21"/>
                <w:lang w:val="zh-CN"/>
              </w:rPr>
              <w:t>；网络安全专用产品：</w:t>
            </w:r>
            <w:r>
              <w:rPr>
                <w:rFonts w:hint="eastAsia" w:cs="宋体" w:asciiTheme="minorEastAsia" w:hAnsiTheme="minorEastAsia"/>
                <w:bCs/>
                <w:szCs w:val="21"/>
                <w:lang w:val="en-US" w:eastAsia="zh-CN"/>
              </w:rPr>
              <w:t>无</w:t>
            </w:r>
          </w:p>
          <w:p w14:paraId="05C9FEBD">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2、本项目中涉及网络关键设备或网络安全专用产品的，执行国家互联网信息办公室、工业和信息化部、公安部和国家认证认可监督管理委员会 2023 年第 2 号《关于调整&lt;网络关键设备和网络安全专用产品目录&gt;的公告》及国家互联网信息办公室、工业和信息化部、公安部、财政部和国家认证认可监督管理委员会 2023 年第 1 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04CBF222">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3、提供资料（下列资料任意一项）</w:t>
            </w:r>
          </w:p>
          <w:p w14:paraId="7E702CC6">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1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①</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网络关键设备和网络安全专用产品安全认证证书；</w:t>
            </w:r>
          </w:p>
          <w:p w14:paraId="55297D57">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2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②</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网络关键设备安全检测证书、网络安全专用产品安全检测证书；</w:t>
            </w:r>
          </w:p>
          <w:p w14:paraId="0A9DBED5">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3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③</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计算机信息系统安全专用产品销售许可证；</w:t>
            </w:r>
          </w:p>
          <w:p w14:paraId="7FCEFBD1">
            <w:pPr>
              <w:autoSpaceDE w:val="0"/>
              <w:autoSpaceDN w:val="0"/>
              <w:adjustRightInd w:val="0"/>
              <w:spacing w:line="360" w:lineRule="auto"/>
              <w:rPr>
                <w:rFonts w:hint="eastAsia" w:cs="宋体" w:asciiTheme="minorEastAsia" w:hAnsiTheme="minorEastAsia" w:eastAsiaTheme="minorEastAsia"/>
                <w:bCs/>
                <w:kern w:val="2"/>
                <w:sz w:val="21"/>
                <w:szCs w:val="21"/>
                <w:lang w:val="zh-CN" w:eastAsia="zh-CN" w:bidi="ar-SA"/>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4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④</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中国网信网或工业和信息化部网站或公安部网站或国家认证认可监督管理委员会网站公布的认证、检测结果（提供公布安全认证、安全检测结果页面网址和安全认证、检测结果截图）。</w:t>
            </w:r>
          </w:p>
        </w:tc>
      </w:tr>
      <w:tr w14:paraId="35369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2A0C059">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14:paraId="25E4413A">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14:paraId="78B6C62E">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无要求</w:t>
            </w:r>
          </w:p>
        </w:tc>
      </w:tr>
      <w:tr w14:paraId="5D097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64BF19C8">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6</w:t>
            </w:r>
          </w:p>
        </w:tc>
        <w:tc>
          <w:tcPr>
            <w:tcW w:w="2268" w:type="dxa"/>
            <w:vAlign w:val="center"/>
          </w:tcPr>
          <w:p w14:paraId="14A029E3">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14:paraId="1A4E9C99">
            <w:pPr>
              <w:autoSpaceDE w:val="0"/>
              <w:autoSpaceDN w:val="0"/>
              <w:spacing w:line="360" w:lineRule="auto"/>
              <w:contextualSpacing/>
              <w:rPr>
                <w:rFonts w:cs="宋体" w:asciiTheme="minorEastAsia" w:hAnsiTheme="minorEastAsia"/>
                <w:bCs/>
                <w:szCs w:val="21"/>
                <w:lang w:val="zh-CN"/>
              </w:rPr>
            </w:pPr>
            <w:r>
              <w:rPr>
                <w:rFonts w:hint="eastAsia" w:ascii="宋体" w:hAnsi="宋体" w:eastAsia="宋体" w:cs="宋体"/>
                <w:color w:val="auto"/>
                <w:sz w:val="21"/>
                <w:szCs w:val="21"/>
                <w:highlight w:val="none"/>
                <w:lang w:val="en-US" w:eastAsia="zh-CN" w:bidi="ar-SA"/>
              </w:rPr>
              <w:t>本项目的代理服务费参照豫招协【2023】002号《河南省招标投标协会关于印发河南省招标代理服务收费指导意见的通知》文件标准，由成交人向招标代理机构一次性支付招标代理服务费。</w:t>
            </w:r>
          </w:p>
        </w:tc>
      </w:tr>
      <w:tr w14:paraId="55DF0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1BA7FB4">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27</w:t>
            </w:r>
          </w:p>
        </w:tc>
        <w:tc>
          <w:tcPr>
            <w:tcW w:w="2268" w:type="dxa"/>
            <w:vAlign w:val="center"/>
          </w:tcPr>
          <w:p w14:paraId="49BE5879">
            <w:pPr>
              <w:autoSpaceDE w:val="0"/>
              <w:autoSpaceDN w:val="0"/>
              <w:adjustRightInd w:val="0"/>
              <w:spacing w:line="360" w:lineRule="auto"/>
              <w:jc w:val="center"/>
              <w:rPr>
                <w:rFonts w:hint="default" w:cs="宋体" w:asciiTheme="minorEastAsia" w:hAnsiTheme="minorEastAsia" w:eastAsiaTheme="minorEastAsia"/>
                <w:bCs/>
                <w:szCs w:val="21"/>
                <w:lang w:val="en-US" w:eastAsia="zh-CN"/>
              </w:rPr>
            </w:pPr>
            <w:r>
              <w:rPr>
                <w:rFonts w:hint="eastAsia" w:cs="宋体" w:asciiTheme="minorEastAsia" w:hAnsiTheme="minorEastAsia"/>
                <w:bCs/>
                <w:szCs w:val="21"/>
                <w:lang w:val="en-US" w:eastAsia="zh-CN"/>
              </w:rPr>
              <w:t>成交通知书</w:t>
            </w:r>
          </w:p>
        </w:tc>
        <w:tc>
          <w:tcPr>
            <w:tcW w:w="6813" w:type="dxa"/>
            <w:vAlign w:val="center"/>
          </w:tcPr>
          <w:p w14:paraId="3921786B">
            <w:pPr>
              <w:numPr>
                <w:ilvl w:val="0"/>
                <w:numId w:val="11"/>
              </w:numPr>
              <w:autoSpaceDE w:val="0"/>
              <w:autoSpaceDN w:val="0"/>
              <w:spacing w:line="360" w:lineRule="auto"/>
              <w:contextualSpacing/>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供应商在中标后，应将由《禹州市政府采购供应商信用承诺函》替代的证明材料提交采购人和招标代理机构核验，经核验无误后，招标代理机构向中标人发出中标通知书。</w:t>
            </w:r>
          </w:p>
          <w:p w14:paraId="37FCACEB">
            <w:pPr>
              <w:numPr>
                <w:ilvl w:val="0"/>
                <w:numId w:val="0"/>
              </w:numPr>
              <w:autoSpaceDE w:val="0"/>
              <w:autoSpaceDN w:val="0"/>
              <w:spacing w:line="360" w:lineRule="auto"/>
              <w:contextualSpacing/>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2、招标代理机构在中标公告发布后通知成交人领取成交通知书，特殊情况（特殊情况需书面申请延后领取成交通知书）外需在1个工作日内完成。由于成交人的原因逾期未领取成交通知书的将视为放弃中标，取消其中标资格并将按相关规定进行处理，招标代理机构不承担任何责任。</w:t>
            </w:r>
          </w:p>
        </w:tc>
      </w:tr>
      <w:tr w14:paraId="066A7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4A3457D5">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28</w:t>
            </w:r>
          </w:p>
        </w:tc>
        <w:tc>
          <w:tcPr>
            <w:tcW w:w="2268" w:type="dxa"/>
            <w:vAlign w:val="center"/>
          </w:tcPr>
          <w:p w14:paraId="2553D78A">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14:paraId="0E50271C">
            <w:pPr>
              <w:autoSpaceDE w:val="0"/>
              <w:autoSpaceDN w:val="0"/>
              <w:adjustRightInd w:val="0"/>
              <w:spacing w:line="360" w:lineRule="auto"/>
              <w:rPr>
                <w:rFonts w:hint="eastAsia" w:cs="宋体" w:asciiTheme="minorEastAsia" w:hAnsiTheme="minorEastAsia" w:eastAsiaTheme="minorEastAsia"/>
                <w:bCs/>
                <w:szCs w:val="21"/>
                <w:lang w:val="en-US" w:eastAsia="zh-CN"/>
              </w:rPr>
            </w:pPr>
            <w:r>
              <w:rPr>
                <w:rFonts w:hint="eastAsia" w:cs="仿宋_GB2312" w:asciiTheme="minorEastAsia" w:hAnsiTheme="minorEastAsia"/>
                <w:szCs w:val="21"/>
                <w:lang w:val="zh-CN"/>
              </w:rPr>
              <w:t>采购单位委派代表参加谈判小组的，须向采购代理机构出具授权函。除授权代表外，采购单位委派纪检监察人员对评标过程实施监督的须进入禹州市公共资源交易中心电子监督室，并向禹州市公共资源交易中心出具授权函，且不得超过2人。纪检监察人员对评审工作实施监督，并签字登记备案、备查，监督人员应切实履行监督责任</w:t>
            </w:r>
            <w:r>
              <w:rPr>
                <w:rFonts w:hint="eastAsia" w:cs="仿宋_GB2312" w:asciiTheme="minorEastAsia" w:hAnsiTheme="minorEastAsia"/>
                <w:szCs w:val="21"/>
                <w:lang w:val="en-US" w:eastAsia="zh-CN"/>
              </w:rPr>
              <w:t>.</w:t>
            </w:r>
          </w:p>
        </w:tc>
      </w:tr>
      <w:tr w14:paraId="6B6F7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1E89CFC6">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9</w:t>
            </w:r>
          </w:p>
        </w:tc>
        <w:tc>
          <w:tcPr>
            <w:tcW w:w="2268" w:type="dxa"/>
            <w:vAlign w:val="center"/>
          </w:tcPr>
          <w:p w14:paraId="3623AD62">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14:paraId="37C16BA1">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供应商投标时须成功上传、解密电子投标文件。供应商资质、业绩、荣誉及相关人员证明材料等资料原件不再提交（本谈判文件第六章另有要求提供原件的除外）。</w:t>
            </w:r>
          </w:p>
          <w:p w14:paraId="51E74BE2">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□否。供应商投标时须提供纸质响应文件。供应商资质、业绩、荣誉及相关人员证明材料等资料原件根据招标文件要求提供。</w:t>
            </w:r>
          </w:p>
        </w:tc>
      </w:tr>
      <w:tr w14:paraId="28A57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16755036">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30</w:t>
            </w:r>
          </w:p>
        </w:tc>
        <w:tc>
          <w:tcPr>
            <w:tcW w:w="2268" w:type="dxa"/>
            <w:vAlign w:val="center"/>
          </w:tcPr>
          <w:p w14:paraId="5649EE88">
            <w:pPr>
              <w:autoSpaceDE w:val="0"/>
              <w:autoSpaceDN w:val="0"/>
              <w:adjustRightInd w:val="0"/>
              <w:spacing w:line="360" w:lineRule="auto"/>
              <w:jc w:val="center"/>
              <w:rPr>
                <w:rFonts w:cs="宋体" w:asciiTheme="minorEastAsia" w:hAnsiTheme="minorEastAsia"/>
                <w:bCs/>
                <w:szCs w:val="21"/>
              </w:rPr>
            </w:pPr>
            <w:r>
              <w:rPr>
                <w:rFonts w:hint="eastAsia" w:cs="宋体" w:asciiTheme="minorEastAsia" w:hAnsiTheme="minorEastAsia"/>
                <w:bCs/>
                <w:szCs w:val="21"/>
              </w:rPr>
              <w:t>最后报价</w:t>
            </w:r>
          </w:p>
        </w:tc>
        <w:tc>
          <w:tcPr>
            <w:tcW w:w="6813" w:type="dxa"/>
            <w:vAlign w:val="center"/>
          </w:tcPr>
          <w:p w14:paraId="5C9ABED2">
            <w:pPr>
              <w:autoSpaceDE w:val="0"/>
              <w:autoSpaceDN w:val="0"/>
              <w:adjustRightInd w:val="0"/>
              <w:spacing w:line="360" w:lineRule="auto"/>
              <w:contextualSpacing/>
              <w:rPr>
                <w:rFonts w:ascii="ˎ̥" w:hAnsi="ˎ̥"/>
              </w:rPr>
            </w:pPr>
            <w:r>
              <w:rPr>
                <w:rFonts w:hint="eastAsia" w:ascii="ˎ̥" w:hAnsi="ˎ̥"/>
              </w:rPr>
              <w:t>根据谈判小组要求，供应商须使用</w:t>
            </w:r>
            <w:r>
              <w:rPr>
                <w:rFonts w:ascii="ˎ̥" w:hAnsi="ˎ̥"/>
              </w:rPr>
              <w:t>CA数字证书</w:t>
            </w:r>
            <w:r>
              <w:rPr>
                <w:rFonts w:hint="eastAsia" w:ascii="ˎ̥" w:hAnsi="ˎ̥"/>
              </w:rPr>
              <w:t>登录《全国公共资源交易平台（河南省▪许昌市）》公共资源交易系统</w:t>
            </w:r>
            <w:r>
              <w:rPr>
                <w:rFonts w:hint="default" w:ascii="Calibri" w:hAnsi="Calibri" w:cs="Calibri"/>
                <w:b w:val="0"/>
                <w:bCs w:val="0"/>
                <w:i w:val="0"/>
                <w:iCs w:val="0"/>
                <w:color w:val="FF0000"/>
                <w:spacing w:val="0"/>
                <w:w w:val="100"/>
                <w:sz w:val="21"/>
                <w:szCs w:val="21"/>
                <w:vertAlign w:val="baseline"/>
              </w:rPr>
              <w:t>（http://117.159.53.11:60632/tpbidder）</w:t>
            </w:r>
            <w:r>
              <w:rPr>
                <w:rFonts w:hint="eastAsia" w:ascii="ˎ̥" w:hAnsi="ˎ̥"/>
              </w:rPr>
              <w:t>进行最后报价，最后报价应包括：①总报价②分项报价。</w:t>
            </w:r>
          </w:p>
          <w:p w14:paraId="0A132B8B">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注：</w:t>
            </w:r>
          </w:p>
          <w:p w14:paraId="2159FB58">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①谈判小组要求供应商提交一次最后报价时，在谈判小组规定时间内，供应商未提交最后报价则以其初次提交响应文件报价为最后报价。</w:t>
            </w:r>
          </w:p>
          <w:p w14:paraId="48A8DC81">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②采购文件第二章“采购需求”中“采购清单”以工程量清单提供的，供应商应以工程量清单方式提交最后报价。</w:t>
            </w:r>
          </w:p>
          <w:p w14:paraId="7EBEEAB6">
            <w:pPr>
              <w:autoSpaceDE w:val="0"/>
              <w:autoSpaceDN w:val="0"/>
              <w:adjustRightInd w:val="0"/>
              <w:spacing w:line="360" w:lineRule="auto"/>
              <w:ind w:right="-11"/>
              <w:rPr>
                <w:rFonts w:ascii="ˎ̥" w:hAnsi="ˎ̥"/>
              </w:rPr>
            </w:pPr>
            <w:r>
              <w:rPr>
                <w:rFonts w:hint="eastAsia" w:ascii="楷体" w:hAnsi="楷体" w:eastAsia="楷体" w:cs="仿宋_GB2312"/>
                <w:sz w:val="24"/>
                <w:szCs w:val="24"/>
                <w:lang w:val="zh-CN"/>
              </w:rPr>
              <w:t>③请供应商根据项目情况，可提前准备分项报价。</w:t>
            </w:r>
          </w:p>
        </w:tc>
      </w:tr>
      <w:tr w14:paraId="28779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6CF6F619">
            <w:pPr>
              <w:autoSpaceDE w:val="0"/>
              <w:autoSpaceDN w:val="0"/>
              <w:adjustRightInd w:val="0"/>
              <w:spacing w:line="276" w:lineRule="auto"/>
              <w:jc w:val="center"/>
              <w:rPr>
                <w:rFonts w:hint="eastAsia" w:cs="黑体" w:asciiTheme="minorEastAsia" w:hAnsiTheme="minorEastAsia"/>
                <w:szCs w:val="21"/>
                <w:lang w:val="en-US" w:eastAsia="zh-CN"/>
              </w:rPr>
            </w:pPr>
            <w:r>
              <w:rPr>
                <w:rFonts w:hint="eastAsia" w:cs="黑体" w:asciiTheme="minorEastAsia" w:hAnsiTheme="minorEastAsia"/>
                <w:szCs w:val="21"/>
                <w:lang w:val="en-US" w:eastAsia="zh-CN"/>
              </w:rPr>
              <w:t>31</w:t>
            </w:r>
          </w:p>
        </w:tc>
        <w:tc>
          <w:tcPr>
            <w:tcW w:w="2268" w:type="dxa"/>
            <w:vAlign w:val="center"/>
          </w:tcPr>
          <w:p w14:paraId="19F8B84D">
            <w:pPr>
              <w:autoSpaceDE w:val="0"/>
              <w:autoSpaceDN w:val="0"/>
              <w:adjustRightInd w:val="0"/>
              <w:spacing w:line="360" w:lineRule="auto"/>
              <w:jc w:val="center"/>
              <w:rPr>
                <w:rFonts w:hint="eastAsia" w:cs="宋体" w:asciiTheme="minorEastAsia" w:hAnsiTheme="minorEastAsia"/>
                <w:bCs/>
                <w:szCs w:val="21"/>
                <w:lang w:val="zh-CN"/>
              </w:rPr>
            </w:pPr>
            <w:r>
              <w:rPr>
                <w:rFonts w:hint="eastAsia" w:cs="宋体" w:asciiTheme="minorEastAsia" w:hAnsiTheme="minorEastAsia"/>
                <w:bCs/>
                <w:szCs w:val="21"/>
                <w:lang w:val="zh-CN"/>
              </w:rPr>
              <w:t>投诉渠道</w:t>
            </w:r>
          </w:p>
        </w:tc>
        <w:tc>
          <w:tcPr>
            <w:tcW w:w="6813" w:type="dxa"/>
            <w:vAlign w:val="center"/>
          </w:tcPr>
          <w:p w14:paraId="7C717622">
            <w:pPr>
              <w:autoSpaceDE w:val="0"/>
              <w:autoSpaceDN w:val="0"/>
              <w:adjustRightInd w:val="0"/>
              <w:spacing w:line="360" w:lineRule="auto"/>
              <w:contextualSpacing/>
              <w:rPr>
                <w:rFonts w:hint="eastAsia" w:ascii="ˎ̥" w:hAnsi="ˎ̥"/>
              </w:rPr>
            </w:pPr>
            <w:r>
              <w:rPr>
                <w:rFonts w:hint="eastAsia" w:ascii="ˎ̥" w:hAnsi="ˎ̥"/>
              </w:rPr>
              <w:t xml:space="preserve">供应商在评标结果和中标结果公示期间， 按照《政府采购质疑和投诉办法》的有关规定，已质疑的供应商可以依法向财政部门提起书面投诉。   受理部门：禹州市财政局政府采购监督管理办公室   </w:t>
            </w:r>
          </w:p>
          <w:p w14:paraId="55CB6F2B">
            <w:pPr>
              <w:autoSpaceDE w:val="0"/>
              <w:autoSpaceDN w:val="0"/>
              <w:adjustRightInd w:val="0"/>
              <w:spacing w:line="360" w:lineRule="auto"/>
              <w:contextualSpacing/>
              <w:rPr>
                <w:rFonts w:hint="eastAsia" w:ascii="ˎ̥" w:hAnsi="ˎ̥"/>
              </w:rPr>
            </w:pPr>
            <w:r>
              <w:rPr>
                <w:rFonts w:hint="eastAsia" w:ascii="ˎ̥" w:hAnsi="ˎ̥"/>
              </w:rPr>
              <w:t xml:space="preserve">受理电话：0374-8112523      </w:t>
            </w:r>
          </w:p>
          <w:p w14:paraId="215092BD">
            <w:pPr>
              <w:autoSpaceDE w:val="0"/>
              <w:autoSpaceDN w:val="0"/>
              <w:adjustRightInd w:val="0"/>
              <w:spacing w:line="360" w:lineRule="auto"/>
              <w:contextualSpacing/>
              <w:rPr>
                <w:rFonts w:hint="eastAsia" w:ascii="ˎ̥" w:hAnsi="ˎ̥"/>
              </w:rPr>
            </w:pPr>
            <w:r>
              <w:rPr>
                <w:rFonts w:hint="eastAsia" w:ascii="ˎ̥" w:hAnsi="ˎ̥"/>
              </w:rPr>
              <w:t xml:space="preserve">电子邮箱：yzscgb8112523@163.com   </w:t>
            </w:r>
          </w:p>
          <w:p w14:paraId="79C3A54A">
            <w:pPr>
              <w:autoSpaceDE w:val="0"/>
              <w:autoSpaceDN w:val="0"/>
              <w:adjustRightInd w:val="0"/>
              <w:spacing w:line="360" w:lineRule="auto"/>
              <w:contextualSpacing/>
              <w:rPr>
                <w:rFonts w:hint="eastAsia" w:ascii="ˎ̥" w:hAnsi="ˎ̥"/>
              </w:rPr>
            </w:pPr>
            <w:r>
              <w:rPr>
                <w:rFonts w:hint="eastAsia" w:ascii="ˎ̥" w:hAnsi="ˎ̥"/>
              </w:rPr>
              <w:t>通讯地址：禹州市行政北路2号禹州市财政局1305房间</w:t>
            </w:r>
          </w:p>
        </w:tc>
      </w:tr>
      <w:tr w14:paraId="569EE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0A3875AB">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32</w:t>
            </w:r>
          </w:p>
        </w:tc>
        <w:tc>
          <w:tcPr>
            <w:tcW w:w="2268" w:type="dxa"/>
            <w:vAlign w:val="center"/>
          </w:tcPr>
          <w:p w14:paraId="0A83910B">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14:paraId="6AFDB90E">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14:paraId="600AE43F">
            <w:pPr>
              <w:autoSpaceDE w:val="0"/>
              <w:autoSpaceDN w:val="0"/>
              <w:adjustRightInd w:val="0"/>
              <w:spacing w:line="360" w:lineRule="auto"/>
              <w:contextualSpacing/>
              <w:rPr>
                <w:rFonts w:ascii="ˎ̥" w:hAnsi="ˎ̥"/>
              </w:rPr>
            </w:pPr>
            <w:r>
              <w:rPr>
                <w:rFonts w:hint="eastAsia" w:ascii="ˎ̥" w:hAnsi="ˎ̥"/>
              </w:rPr>
              <w:t>不同供应商电子投标文件制作硬件特征码（网卡MAC地址、CPU序号、硬盘序列号）均一致时，视为‘</w:t>
            </w:r>
            <w:r>
              <w:rPr>
                <w:rFonts w:ascii="ˎ̥" w:hAnsi="ˎ̥"/>
              </w:rPr>
              <w:t>不同</w:t>
            </w:r>
            <w:r>
              <w:rPr>
                <w:rFonts w:hint="eastAsia" w:ascii="ˎ̥" w:hAnsi="ˎ̥"/>
                <w:lang w:eastAsia="zh-CN"/>
              </w:rPr>
              <w:t>供应商</w:t>
            </w:r>
            <w:r>
              <w:rPr>
                <w:rFonts w:hint="eastAsia" w:ascii="ˎ̥" w:hAnsi="ˎ̥"/>
              </w:rPr>
              <w:t>的投标</w:t>
            </w:r>
            <w:r>
              <w:rPr>
                <w:rFonts w:ascii="ˎ̥" w:hAnsi="ˎ̥"/>
              </w:rPr>
              <w:t>文件由同一单位或者个人编制</w:t>
            </w:r>
            <w:r>
              <w:rPr>
                <w:rFonts w:hint="eastAsia" w:ascii="ˎ̥" w:hAnsi="ˎ̥"/>
              </w:rPr>
              <w:t>’或‘</w:t>
            </w:r>
            <w:r>
              <w:rPr>
                <w:rFonts w:ascii="ˎ̥" w:hAnsi="ˎ̥"/>
              </w:rPr>
              <w:t>不同</w:t>
            </w:r>
            <w:r>
              <w:rPr>
                <w:rFonts w:hint="eastAsia" w:ascii="ˎ̥" w:hAnsi="ˎ̥"/>
                <w:lang w:eastAsia="zh-CN"/>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14:paraId="0453EE3E">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评审专家应严格按照要求查看“硬件特征码”相关信息并进行评审，在评审报告中显示“不同</w:t>
            </w:r>
            <w:r>
              <w:rPr>
                <w:rFonts w:hint="eastAsia" w:ascii="ˎ̥" w:hAnsi="ˎ̥"/>
                <w:lang w:eastAsia="zh-CN"/>
              </w:rPr>
              <w:t>供应商</w:t>
            </w:r>
            <w:r>
              <w:rPr>
                <w:rFonts w:hint="eastAsia" w:ascii="ˎ̥" w:hAnsi="ˎ̥"/>
              </w:rPr>
              <w:t>电子投标文件制作硬件特征码”是否雷同的分析及判定结果。</w:t>
            </w:r>
          </w:p>
        </w:tc>
      </w:tr>
      <w:tr w14:paraId="263A6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1FCEE464">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33</w:t>
            </w:r>
          </w:p>
        </w:tc>
        <w:tc>
          <w:tcPr>
            <w:tcW w:w="2268" w:type="dxa"/>
            <w:vAlign w:val="center"/>
          </w:tcPr>
          <w:p w14:paraId="513D3D40">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供应商资格</w:t>
            </w:r>
          </w:p>
        </w:tc>
        <w:tc>
          <w:tcPr>
            <w:tcW w:w="6813" w:type="dxa"/>
            <w:vAlign w:val="center"/>
          </w:tcPr>
          <w:p w14:paraId="02A70D16">
            <w:pPr>
              <w:keepNext w:val="0"/>
              <w:keepLines w:val="0"/>
              <w:pageBreakBefore w:val="0"/>
              <w:widowControl w:val="0"/>
              <w:kinsoku/>
              <w:overflowPunct/>
              <w:topLinePunct w:val="0"/>
              <w:autoSpaceDE w:val="0"/>
              <w:autoSpaceDN w:val="0"/>
              <w:bidi w:val="0"/>
              <w:adjustRightInd w:val="0"/>
              <w:snapToGrid/>
              <w:spacing w:line="380" w:lineRule="exact"/>
              <w:contextualSpacing/>
              <w:textAlignment w:val="auto"/>
              <w:outlineLvl w:val="9"/>
              <w:rPr>
                <w:rFonts w:hint="eastAsia" w:ascii="ˎ̥" w:hAnsi="ˎ̥"/>
              </w:rPr>
            </w:pPr>
            <w:r>
              <w:rPr>
                <w:rFonts w:hint="eastAsia" w:ascii="ˎ̥" w:hAnsi="ˎ̥"/>
              </w:rPr>
              <w:t>供应商在成交后，应将由《禹州市政府采购供应商信用承诺函》替代的证明材料提交采购人核验，经核验无误后，</w:t>
            </w:r>
            <w:r>
              <w:rPr>
                <w:rFonts w:hint="eastAsia" w:ascii="ˎ̥" w:hAnsi="ˎ̥"/>
                <w:lang w:eastAsia="zh-CN"/>
              </w:rPr>
              <w:t>河南建威工程管理咨询有限公司</w:t>
            </w:r>
            <w:r>
              <w:rPr>
                <w:rFonts w:hint="eastAsia" w:ascii="ˎ̥" w:hAnsi="ˎ̥"/>
              </w:rPr>
              <w:t>发出成交通知书。</w:t>
            </w:r>
          </w:p>
          <w:p w14:paraId="57D2CCD9">
            <w:pPr>
              <w:keepNext w:val="0"/>
              <w:keepLines w:val="0"/>
              <w:pageBreakBefore w:val="0"/>
              <w:widowControl w:val="0"/>
              <w:kinsoku/>
              <w:overflowPunct/>
              <w:topLinePunct w:val="0"/>
              <w:autoSpaceDE w:val="0"/>
              <w:autoSpaceDN w:val="0"/>
              <w:bidi w:val="0"/>
              <w:adjustRightInd w:val="0"/>
              <w:snapToGrid/>
              <w:spacing w:line="380" w:lineRule="exact"/>
              <w:ind w:right="-11"/>
              <w:textAlignment w:val="auto"/>
              <w:outlineLvl w:val="9"/>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14:paraId="162736BB">
            <w:pPr>
              <w:keepNext w:val="0"/>
              <w:keepLines w:val="0"/>
              <w:pageBreakBefore w:val="0"/>
              <w:widowControl w:val="0"/>
              <w:kinsoku/>
              <w:overflowPunct/>
              <w:topLinePunct w:val="0"/>
              <w:autoSpaceDE w:val="0"/>
              <w:autoSpaceDN w:val="0"/>
              <w:bidi w:val="0"/>
              <w:adjustRightInd w:val="0"/>
              <w:snapToGrid/>
              <w:spacing w:line="380" w:lineRule="exact"/>
              <w:ind w:right="-11"/>
              <w:textAlignment w:val="auto"/>
              <w:outlineLvl w:val="9"/>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14:paraId="3BA829E1">
            <w:pPr>
              <w:keepNext w:val="0"/>
              <w:keepLines w:val="0"/>
              <w:pageBreakBefore w:val="0"/>
              <w:widowControl w:val="0"/>
              <w:kinsoku/>
              <w:overflowPunct/>
              <w:topLinePunct w:val="0"/>
              <w:autoSpaceDE w:val="0"/>
              <w:autoSpaceDN w:val="0"/>
              <w:bidi w:val="0"/>
              <w:adjustRightInd w:val="0"/>
              <w:snapToGrid/>
              <w:spacing w:line="380" w:lineRule="exact"/>
              <w:ind w:right="-11"/>
              <w:textAlignment w:val="auto"/>
              <w:outlineLvl w:val="9"/>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14:paraId="180092C5">
            <w:pPr>
              <w:keepNext w:val="0"/>
              <w:keepLines w:val="0"/>
              <w:pageBreakBefore w:val="0"/>
              <w:widowControl w:val="0"/>
              <w:kinsoku/>
              <w:overflowPunct/>
              <w:topLinePunct w:val="0"/>
              <w:autoSpaceDE w:val="0"/>
              <w:autoSpaceDN w:val="0"/>
              <w:bidi w:val="0"/>
              <w:adjustRightInd w:val="0"/>
              <w:snapToGrid/>
              <w:spacing w:line="380" w:lineRule="exact"/>
              <w:ind w:right="-11"/>
              <w:textAlignment w:val="auto"/>
              <w:outlineLvl w:val="9"/>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14:paraId="3C3FE0DA">
            <w:pPr>
              <w:keepNext w:val="0"/>
              <w:keepLines w:val="0"/>
              <w:pageBreakBefore w:val="0"/>
              <w:widowControl w:val="0"/>
              <w:kinsoku/>
              <w:overflowPunct/>
              <w:topLinePunct w:val="0"/>
              <w:autoSpaceDE w:val="0"/>
              <w:autoSpaceDN w:val="0"/>
              <w:bidi w:val="0"/>
              <w:adjustRightInd w:val="0"/>
              <w:snapToGrid/>
              <w:spacing w:line="380" w:lineRule="exact"/>
              <w:ind w:right="-11"/>
              <w:textAlignment w:val="auto"/>
              <w:outlineLvl w:val="9"/>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14:paraId="24DC172C">
            <w:pPr>
              <w:keepNext w:val="0"/>
              <w:keepLines w:val="0"/>
              <w:pageBreakBefore w:val="0"/>
              <w:widowControl w:val="0"/>
              <w:kinsoku/>
              <w:overflowPunct/>
              <w:topLinePunct w:val="0"/>
              <w:autoSpaceDE w:val="0"/>
              <w:autoSpaceDN w:val="0"/>
              <w:bidi w:val="0"/>
              <w:adjustRightInd w:val="0"/>
              <w:snapToGrid/>
              <w:spacing w:line="380" w:lineRule="exact"/>
              <w:jc w:val="left"/>
              <w:textAlignment w:val="auto"/>
              <w:outlineLvl w:val="9"/>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14:paraId="63376C30">
            <w:pPr>
              <w:keepNext w:val="0"/>
              <w:keepLines w:val="0"/>
              <w:pageBreakBefore w:val="0"/>
              <w:widowControl w:val="0"/>
              <w:kinsoku/>
              <w:overflowPunct/>
              <w:topLinePunct w:val="0"/>
              <w:autoSpaceDE w:val="0"/>
              <w:autoSpaceDN w:val="0"/>
              <w:bidi w:val="0"/>
              <w:adjustRightInd w:val="0"/>
              <w:snapToGrid/>
              <w:spacing w:line="380" w:lineRule="exact"/>
              <w:jc w:val="left"/>
              <w:textAlignment w:val="auto"/>
              <w:outlineLvl w:val="9"/>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14:paraId="0737CF5D">
            <w:pPr>
              <w:keepNext w:val="0"/>
              <w:keepLines w:val="0"/>
              <w:pageBreakBefore w:val="0"/>
              <w:widowControl w:val="0"/>
              <w:kinsoku/>
              <w:overflowPunct/>
              <w:topLinePunct w:val="0"/>
              <w:autoSpaceDE w:val="0"/>
              <w:autoSpaceDN w:val="0"/>
              <w:bidi w:val="0"/>
              <w:adjustRightInd w:val="0"/>
              <w:snapToGrid/>
              <w:spacing w:line="380" w:lineRule="exact"/>
              <w:jc w:val="left"/>
              <w:textAlignment w:val="auto"/>
              <w:outlineLvl w:val="9"/>
              <w:rPr>
                <w:rFonts w:cs="仿宋_GB2312" w:asciiTheme="minorEastAsia" w:hAnsiTheme="minorEastAsia"/>
                <w:b/>
                <w:szCs w:val="21"/>
              </w:rPr>
            </w:pPr>
            <w:r>
              <w:rPr>
                <w:rFonts w:hint="eastAsia" w:cs="仿宋_GB2312" w:asciiTheme="minorEastAsia" w:hAnsiTheme="minorEastAsia"/>
                <w:b/>
                <w:szCs w:val="21"/>
              </w:rPr>
              <w:t>二、财务状况报告相关材料</w:t>
            </w:r>
          </w:p>
          <w:p w14:paraId="33D8384E">
            <w:pPr>
              <w:keepNext w:val="0"/>
              <w:keepLines w:val="0"/>
              <w:pageBreakBefore w:val="0"/>
              <w:widowControl w:val="0"/>
              <w:kinsoku/>
              <w:overflowPunct/>
              <w:topLinePunct w:val="0"/>
              <w:bidi w:val="0"/>
              <w:snapToGrid/>
              <w:spacing w:line="380" w:lineRule="exact"/>
              <w:textAlignment w:val="auto"/>
              <w:outlineLvl w:val="9"/>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14:paraId="107A1B63">
            <w:pPr>
              <w:keepNext w:val="0"/>
              <w:keepLines w:val="0"/>
              <w:pageBreakBefore w:val="0"/>
              <w:widowControl w:val="0"/>
              <w:kinsoku/>
              <w:overflowPunct/>
              <w:topLinePunct w:val="0"/>
              <w:bidi w:val="0"/>
              <w:snapToGrid/>
              <w:spacing w:line="380" w:lineRule="exact"/>
              <w:textAlignment w:val="auto"/>
              <w:outlineLvl w:val="9"/>
              <w:rPr>
                <w:rFonts w:asciiTheme="minorEastAsia" w:hAnsiTheme="minorEastAsia"/>
                <w:bCs/>
                <w:szCs w:val="21"/>
              </w:rPr>
            </w:pPr>
            <w:r>
              <w:rPr>
                <w:rFonts w:hint="eastAsia" w:asciiTheme="minorEastAsia" w:hAnsiTheme="minorEastAsia"/>
                <w:bCs/>
                <w:szCs w:val="21"/>
              </w:rPr>
              <w:t>①202</w:t>
            </w:r>
            <w:r>
              <w:rPr>
                <w:rFonts w:hint="eastAsia" w:asciiTheme="minorEastAsia" w:hAnsiTheme="minorEastAsia"/>
                <w:bCs/>
                <w:szCs w:val="21"/>
                <w:lang w:val="en-US" w:eastAsia="zh-CN"/>
              </w:rPr>
              <w:t>4</w:t>
            </w:r>
            <w:r>
              <w:rPr>
                <w:rFonts w:hint="eastAsia" w:asciiTheme="minorEastAsia" w:hAnsiTheme="minorEastAsia"/>
                <w:bCs/>
                <w:szCs w:val="21"/>
              </w:rPr>
              <w:t>年度经审计的财务报告，包括资产负债表、利润表、现金流量表、所有者权益变动表及其附注；</w:t>
            </w:r>
          </w:p>
          <w:p w14:paraId="65F03C9D">
            <w:pPr>
              <w:keepNext w:val="0"/>
              <w:keepLines w:val="0"/>
              <w:pageBreakBefore w:val="0"/>
              <w:widowControl w:val="0"/>
              <w:kinsoku/>
              <w:overflowPunct/>
              <w:topLinePunct w:val="0"/>
              <w:bidi w:val="0"/>
              <w:snapToGrid/>
              <w:spacing w:line="380" w:lineRule="exact"/>
              <w:textAlignment w:val="auto"/>
              <w:outlineLvl w:val="9"/>
              <w:rPr>
                <w:rFonts w:asciiTheme="minorEastAsia" w:hAnsiTheme="minorEastAsia"/>
                <w:bCs/>
                <w:szCs w:val="21"/>
              </w:rPr>
            </w:pPr>
            <w:r>
              <w:rPr>
                <w:rFonts w:hint="eastAsia" w:asciiTheme="minorEastAsia" w:hAnsiTheme="minorEastAsia"/>
                <w:bCs/>
                <w:szCs w:val="21"/>
              </w:rPr>
              <w:t>②基本开户银行出具的资信证明；</w:t>
            </w:r>
          </w:p>
          <w:p w14:paraId="232E168B">
            <w:pPr>
              <w:keepNext w:val="0"/>
              <w:keepLines w:val="0"/>
              <w:pageBreakBefore w:val="0"/>
              <w:widowControl w:val="0"/>
              <w:kinsoku/>
              <w:overflowPunct/>
              <w:topLinePunct w:val="0"/>
              <w:bidi w:val="0"/>
              <w:snapToGrid/>
              <w:spacing w:line="380" w:lineRule="exact"/>
              <w:textAlignment w:val="auto"/>
              <w:outlineLvl w:val="9"/>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14:paraId="62EAE570">
            <w:pPr>
              <w:keepNext w:val="0"/>
              <w:keepLines w:val="0"/>
              <w:pageBreakBefore w:val="0"/>
              <w:widowControl w:val="0"/>
              <w:kinsoku/>
              <w:overflowPunct/>
              <w:topLinePunct w:val="0"/>
              <w:bidi w:val="0"/>
              <w:snapToGrid/>
              <w:spacing w:line="380" w:lineRule="exact"/>
              <w:textAlignment w:val="auto"/>
              <w:outlineLvl w:val="9"/>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14:paraId="5A4C2B7E">
            <w:pPr>
              <w:keepNext w:val="0"/>
              <w:keepLines w:val="0"/>
              <w:pageBreakBefore w:val="0"/>
              <w:widowControl w:val="0"/>
              <w:kinsoku/>
              <w:overflowPunct/>
              <w:topLinePunct w:val="0"/>
              <w:bidi w:val="0"/>
              <w:snapToGrid/>
              <w:spacing w:line="380" w:lineRule="exact"/>
              <w:textAlignment w:val="auto"/>
              <w:outlineLvl w:val="9"/>
              <w:rPr>
                <w:rFonts w:asciiTheme="minorEastAsia" w:hAnsiTheme="minorEastAsia"/>
                <w:bCs/>
                <w:szCs w:val="21"/>
              </w:rPr>
            </w:pPr>
            <w:r>
              <w:rPr>
                <w:rFonts w:hint="eastAsia" w:asciiTheme="minorEastAsia" w:hAnsiTheme="minorEastAsia"/>
                <w:bCs/>
                <w:szCs w:val="21"/>
              </w:rPr>
              <w:t>（2）供应商（其他组织和自然人）提供本单位：</w:t>
            </w:r>
          </w:p>
          <w:p w14:paraId="170172D5">
            <w:pPr>
              <w:keepNext w:val="0"/>
              <w:keepLines w:val="0"/>
              <w:pageBreakBefore w:val="0"/>
              <w:widowControl w:val="0"/>
              <w:kinsoku/>
              <w:overflowPunct/>
              <w:topLinePunct w:val="0"/>
              <w:bidi w:val="0"/>
              <w:snapToGrid/>
              <w:spacing w:line="380" w:lineRule="exact"/>
              <w:textAlignment w:val="auto"/>
              <w:outlineLvl w:val="9"/>
              <w:rPr>
                <w:rFonts w:asciiTheme="minorEastAsia" w:hAnsiTheme="minorEastAsia"/>
                <w:bCs/>
                <w:szCs w:val="21"/>
              </w:rPr>
            </w:pPr>
            <w:r>
              <w:rPr>
                <w:rFonts w:hint="eastAsia" w:asciiTheme="minorEastAsia" w:hAnsiTheme="minorEastAsia"/>
                <w:bCs/>
                <w:szCs w:val="21"/>
              </w:rPr>
              <w:t>①202</w:t>
            </w:r>
            <w:r>
              <w:rPr>
                <w:rFonts w:hint="eastAsia" w:asciiTheme="minorEastAsia" w:hAnsiTheme="minorEastAsia"/>
                <w:bCs/>
                <w:szCs w:val="21"/>
                <w:lang w:val="en-US" w:eastAsia="zh-CN"/>
              </w:rPr>
              <w:t>4</w:t>
            </w:r>
            <w:r>
              <w:rPr>
                <w:rFonts w:hint="eastAsia" w:asciiTheme="minorEastAsia" w:hAnsiTheme="minorEastAsia"/>
                <w:bCs/>
                <w:szCs w:val="21"/>
              </w:rPr>
              <w:t>年度经审计的财务报告，包括资产负债表、利润表、现金流量表、所有者权益变动表及其附注；</w:t>
            </w:r>
          </w:p>
          <w:p w14:paraId="2A844986">
            <w:pPr>
              <w:keepNext w:val="0"/>
              <w:keepLines w:val="0"/>
              <w:pageBreakBefore w:val="0"/>
              <w:widowControl w:val="0"/>
              <w:kinsoku/>
              <w:overflowPunct/>
              <w:topLinePunct w:val="0"/>
              <w:bidi w:val="0"/>
              <w:snapToGrid/>
              <w:spacing w:line="380" w:lineRule="exact"/>
              <w:textAlignment w:val="auto"/>
              <w:outlineLvl w:val="9"/>
              <w:rPr>
                <w:rFonts w:asciiTheme="minorEastAsia" w:hAnsiTheme="minorEastAsia"/>
                <w:bCs/>
                <w:szCs w:val="21"/>
              </w:rPr>
            </w:pPr>
            <w:r>
              <w:rPr>
                <w:rFonts w:hint="eastAsia" w:asciiTheme="minorEastAsia" w:hAnsiTheme="minorEastAsia"/>
                <w:bCs/>
                <w:szCs w:val="21"/>
              </w:rPr>
              <w:t>②银行出具的资信证明；</w:t>
            </w:r>
          </w:p>
          <w:p w14:paraId="07BEB6A3">
            <w:pPr>
              <w:keepNext w:val="0"/>
              <w:keepLines w:val="0"/>
              <w:pageBreakBefore w:val="0"/>
              <w:widowControl w:val="0"/>
              <w:kinsoku/>
              <w:overflowPunct/>
              <w:topLinePunct w:val="0"/>
              <w:bidi w:val="0"/>
              <w:snapToGrid/>
              <w:spacing w:line="380" w:lineRule="exact"/>
              <w:textAlignment w:val="auto"/>
              <w:outlineLvl w:val="9"/>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14:paraId="79DAE691">
            <w:pPr>
              <w:keepNext w:val="0"/>
              <w:keepLines w:val="0"/>
              <w:pageBreakBefore w:val="0"/>
              <w:widowControl w:val="0"/>
              <w:kinsoku/>
              <w:overflowPunct/>
              <w:topLinePunct w:val="0"/>
              <w:autoSpaceDE w:val="0"/>
              <w:autoSpaceDN w:val="0"/>
              <w:bidi w:val="0"/>
              <w:adjustRightInd w:val="0"/>
              <w:snapToGrid/>
              <w:spacing w:line="380" w:lineRule="exact"/>
              <w:ind w:right="-11"/>
              <w:textAlignment w:val="auto"/>
              <w:outlineLvl w:val="9"/>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14:paraId="2924D236">
            <w:pPr>
              <w:keepNext w:val="0"/>
              <w:keepLines w:val="0"/>
              <w:pageBreakBefore w:val="0"/>
              <w:widowControl w:val="0"/>
              <w:kinsoku/>
              <w:overflowPunct/>
              <w:topLinePunct w:val="0"/>
              <w:autoSpaceDE w:val="0"/>
              <w:autoSpaceDN w:val="0"/>
              <w:bidi w:val="0"/>
              <w:adjustRightInd w:val="0"/>
              <w:snapToGrid/>
              <w:spacing w:line="380" w:lineRule="exact"/>
              <w:ind w:right="-11"/>
              <w:textAlignment w:val="auto"/>
              <w:outlineLvl w:val="9"/>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14:paraId="4B6F82BC">
            <w:pPr>
              <w:keepNext w:val="0"/>
              <w:keepLines w:val="0"/>
              <w:pageBreakBefore w:val="0"/>
              <w:widowControl w:val="0"/>
              <w:kinsoku/>
              <w:overflowPunct/>
              <w:topLinePunct w:val="0"/>
              <w:autoSpaceDE w:val="0"/>
              <w:autoSpaceDN w:val="0"/>
              <w:bidi w:val="0"/>
              <w:adjustRightInd w:val="0"/>
              <w:snapToGrid/>
              <w:spacing w:line="380" w:lineRule="exact"/>
              <w:ind w:right="-11"/>
              <w:textAlignment w:val="auto"/>
              <w:outlineLvl w:val="9"/>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参加本次政府采购项目谈判响应截止时间前一年内任意一个月缴纳税收凭据。（依法免税的供应商，应提供相应文件证明依法免税）</w:t>
            </w:r>
          </w:p>
          <w:p w14:paraId="6315D40F">
            <w:pPr>
              <w:keepNext w:val="0"/>
              <w:keepLines w:val="0"/>
              <w:pageBreakBefore w:val="0"/>
              <w:widowControl w:val="0"/>
              <w:kinsoku/>
              <w:overflowPunct/>
              <w:topLinePunct w:val="0"/>
              <w:autoSpaceDE w:val="0"/>
              <w:autoSpaceDN w:val="0"/>
              <w:bidi w:val="0"/>
              <w:adjustRightInd w:val="0"/>
              <w:snapToGrid/>
              <w:spacing w:line="380" w:lineRule="exact"/>
              <w:ind w:right="-11"/>
              <w:textAlignment w:val="auto"/>
              <w:outlineLvl w:val="9"/>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14:paraId="3976343D">
            <w:pPr>
              <w:keepNext w:val="0"/>
              <w:keepLines w:val="0"/>
              <w:pageBreakBefore w:val="0"/>
              <w:widowControl w:val="0"/>
              <w:kinsoku/>
              <w:overflowPunct/>
              <w:topLinePunct w:val="0"/>
              <w:autoSpaceDE w:val="0"/>
              <w:autoSpaceDN w:val="0"/>
              <w:bidi w:val="0"/>
              <w:adjustRightInd w:val="0"/>
              <w:snapToGrid/>
              <w:spacing w:line="380" w:lineRule="exact"/>
              <w:ind w:right="-11"/>
              <w:textAlignment w:val="auto"/>
              <w:outlineLvl w:val="9"/>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参加本次政府采购项目谈判响应截止时间前一年内任意一个月缴纳社会保险凭据。（依法不需要缴纳社会保障资金的供应商，应提供相应文件证明依法不需要缴纳社会保障资金）</w:t>
            </w:r>
          </w:p>
          <w:p w14:paraId="473D648E">
            <w:pPr>
              <w:keepNext w:val="0"/>
              <w:keepLines w:val="0"/>
              <w:pageBreakBefore w:val="0"/>
              <w:widowControl w:val="0"/>
              <w:kinsoku/>
              <w:overflowPunct/>
              <w:topLinePunct w:val="0"/>
              <w:autoSpaceDE w:val="0"/>
              <w:autoSpaceDN w:val="0"/>
              <w:bidi w:val="0"/>
              <w:adjustRightInd w:val="0"/>
              <w:snapToGrid/>
              <w:spacing w:line="380" w:lineRule="exact"/>
              <w:ind w:right="-11"/>
              <w:textAlignment w:val="auto"/>
              <w:outlineLvl w:val="9"/>
              <w:rPr>
                <w:rFonts w:cs="宋体" w:asciiTheme="minorEastAsia" w:hAnsiTheme="minorEastAsia"/>
                <w:b/>
                <w:bCs/>
                <w:szCs w:val="21"/>
                <w:lang w:val="zh-CN"/>
              </w:rPr>
            </w:pPr>
            <w:r>
              <w:rPr>
                <w:rFonts w:hint="eastAsia" w:cs="宋体" w:asciiTheme="minorEastAsia" w:hAnsiTheme="minorEastAsia"/>
                <w:b/>
                <w:bCs/>
                <w:szCs w:val="21"/>
                <w:lang w:val="zh-CN"/>
              </w:rPr>
              <w:t>五、履行合同所必需的设备和专业技术能力的证明材料</w:t>
            </w:r>
          </w:p>
          <w:p w14:paraId="42574148">
            <w:pPr>
              <w:keepNext w:val="0"/>
              <w:keepLines w:val="0"/>
              <w:pageBreakBefore w:val="0"/>
              <w:widowControl w:val="0"/>
              <w:kinsoku/>
              <w:overflowPunct/>
              <w:topLinePunct w:val="0"/>
              <w:autoSpaceDE w:val="0"/>
              <w:autoSpaceDN w:val="0"/>
              <w:bidi w:val="0"/>
              <w:adjustRightInd w:val="0"/>
              <w:snapToGrid/>
              <w:spacing w:line="380" w:lineRule="exact"/>
              <w:jc w:val="left"/>
              <w:textAlignment w:val="auto"/>
              <w:outlineLvl w:val="9"/>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14:paraId="1BFB55EE">
            <w:pPr>
              <w:keepNext w:val="0"/>
              <w:keepLines w:val="0"/>
              <w:pageBreakBefore w:val="0"/>
              <w:widowControl w:val="0"/>
              <w:kinsoku/>
              <w:overflowPunct/>
              <w:topLinePunct w:val="0"/>
              <w:bidi w:val="0"/>
              <w:snapToGrid/>
              <w:spacing w:line="380" w:lineRule="exact"/>
              <w:textAlignment w:val="auto"/>
              <w:outlineLvl w:val="9"/>
              <w:rPr>
                <w:rFonts w:asciiTheme="minorEastAsia" w:hAnsiTheme="minorEastAsia"/>
                <w:bCs/>
                <w:szCs w:val="21"/>
              </w:rPr>
            </w:pPr>
            <w:r>
              <w:rPr>
                <w:rFonts w:hint="eastAsia" w:asciiTheme="minorEastAsia" w:hAnsiTheme="minorEastAsia"/>
                <w:bCs/>
                <w:szCs w:val="21"/>
              </w:rPr>
              <w:t>②供应商具备履行合同所必需的设备和专业技术能力承诺函或声明（承诺函或声明格式自拟）。</w:t>
            </w:r>
          </w:p>
          <w:p w14:paraId="44016D48">
            <w:pPr>
              <w:keepNext w:val="0"/>
              <w:keepLines w:val="0"/>
              <w:pageBreakBefore w:val="0"/>
              <w:widowControl w:val="0"/>
              <w:kinsoku/>
              <w:overflowPunct/>
              <w:topLinePunct w:val="0"/>
              <w:autoSpaceDE w:val="0"/>
              <w:autoSpaceDN w:val="0"/>
              <w:bidi w:val="0"/>
              <w:adjustRightInd w:val="0"/>
              <w:snapToGrid/>
              <w:spacing w:line="380" w:lineRule="exact"/>
              <w:ind w:right="-11"/>
              <w:textAlignment w:val="auto"/>
              <w:outlineLvl w:val="9"/>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14:paraId="1707FB08">
            <w:pPr>
              <w:keepNext w:val="0"/>
              <w:keepLines w:val="0"/>
              <w:pageBreakBefore w:val="0"/>
              <w:widowControl w:val="0"/>
              <w:kinsoku/>
              <w:overflowPunct/>
              <w:topLinePunct w:val="0"/>
              <w:autoSpaceDE w:val="0"/>
              <w:autoSpaceDN w:val="0"/>
              <w:bidi w:val="0"/>
              <w:adjustRightInd w:val="0"/>
              <w:snapToGrid/>
              <w:spacing w:line="380" w:lineRule="exact"/>
              <w:ind w:right="-11"/>
              <w:textAlignment w:val="auto"/>
              <w:outlineLvl w:val="9"/>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14:paraId="1BD18E0C">
            <w:pPr>
              <w:keepNext w:val="0"/>
              <w:keepLines w:val="0"/>
              <w:pageBreakBefore w:val="0"/>
              <w:widowControl w:val="0"/>
              <w:kinsoku/>
              <w:overflowPunct/>
              <w:topLinePunct w:val="0"/>
              <w:autoSpaceDE w:val="0"/>
              <w:autoSpaceDN w:val="0"/>
              <w:bidi w:val="0"/>
              <w:snapToGrid/>
              <w:spacing w:line="380" w:lineRule="exact"/>
              <w:contextualSpacing/>
              <w:jc w:val="left"/>
              <w:textAlignment w:val="auto"/>
              <w:outlineLvl w:val="9"/>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14:paraId="7C10995A">
            <w:pPr>
              <w:keepNext w:val="0"/>
              <w:keepLines w:val="0"/>
              <w:pageBreakBefore w:val="0"/>
              <w:widowControl w:val="0"/>
              <w:kinsoku/>
              <w:wordWrap w:val="0"/>
              <w:overflowPunct/>
              <w:topLinePunct w:val="0"/>
              <w:autoSpaceDE w:val="0"/>
              <w:autoSpaceDN w:val="0"/>
              <w:bidi w:val="0"/>
              <w:snapToGrid/>
              <w:spacing w:line="380" w:lineRule="exact"/>
              <w:contextualSpacing/>
              <w:jc w:val="left"/>
              <w:textAlignment w:val="auto"/>
              <w:outlineLvl w:val="9"/>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szCs w:val="21"/>
                <w:shd w:val="clear" w:color="auto" w:fill="FFFFFF"/>
              </w:rPr>
              <w:t>未被列入“信用中国”网站</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www.creditchina.gov.cn</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失信被执行人、税收违法黑名单的</w:t>
            </w:r>
            <w:r>
              <w:rPr>
                <w:rFonts w:hint="eastAsia" w:cs="仿宋_GB2312" w:asciiTheme="minorEastAsia" w:hAnsiTheme="minorEastAsia"/>
                <w:b/>
                <w:szCs w:val="21"/>
                <w:shd w:val="clear" w:color="auto" w:fill="FFFFFF"/>
              </w:rPr>
              <w:t>供应商</w:t>
            </w:r>
            <w:r>
              <w:rPr>
                <w:rFonts w:cs="仿宋_GB2312" w:asciiTheme="minorEastAsia" w:hAnsiTheme="minorEastAsia"/>
                <w:b/>
                <w:szCs w:val="21"/>
                <w:shd w:val="clear" w:color="auto" w:fill="FFFFFF"/>
              </w:rPr>
              <w:t>；</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中国政府采购网</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www.ccgp.gov.cn</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政府采购严重违法失信行为记录名单的</w:t>
            </w:r>
            <w:r>
              <w:rPr>
                <w:rFonts w:hint="eastAsia" w:cs="仿宋_GB2312" w:asciiTheme="minorEastAsia" w:hAnsiTheme="minorEastAsia"/>
                <w:b/>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szCs w:val="21"/>
                <w:shd w:val="clear" w:color="auto" w:fill="FFFFFF"/>
              </w:rPr>
              <w:t xml:space="preserve"> “中国社会组织政务服务平台”网站（</w:t>
            </w:r>
            <w:r>
              <w:rPr>
                <w:rFonts w:cs="仿宋_GB2312" w:asciiTheme="minorEastAsia" w:hAnsiTheme="minorEastAsia"/>
                <w:b/>
                <w:szCs w:val="21"/>
                <w:shd w:val="clear" w:color="auto" w:fill="FFFFFF"/>
              </w:rPr>
              <w:t>https://chinanpo.mca.gov.cn</w:t>
            </w:r>
            <w:r>
              <w:rPr>
                <w:rFonts w:hint="eastAsia" w:cs="仿宋_GB2312" w:asciiTheme="minorEastAsia" w:hAnsiTheme="minorEastAsia"/>
                <w:b/>
                <w:szCs w:val="21"/>
                <w:shd w:val="clear" w:color="auto" w:fill="FFFFFF"/>
              </w:rPr>
              <w:t>）严重违法失信社会组织名单的供应商（</w:t>
            </w:r>
            <w:r>
              <w:rPr>
                <w:rFonts w:hint="eastAsia" w:cs="宋体" w:asciiTheme="minorEastAsia" w:hAnsiTheme="minorEastAsia"/>
                <w:kern w:val="0"/>
                <w:szCs w:val="21"/>
              </w:rPr>
              <w:t>联合体形式投标的，联合体成员存在不良信用记录，视同联合体存在不良信用记录）。</w:t>
            </w:r>
          </w:p>
          <w:p w14:paraId="574DFC6C">
            <w:pPr>
              <w:keepNext w:val="0"/>
              <w:keepLines w:val="0"/>
              <w:pageBreakBefore w:val="0"/>
              <w:widowControl w:val="0"/>
              <w:kinsoku/>
              <w:overflowPunct/>
              <w:topLinePunct w:val="0"/>
              <w:bidi w:val="0"/>
              <w:snapToGrid/>
              <w:spacing w:line="380" w:lineRule="exact"/>
              <w:textAlignment w:val="auto"/>
              <w:outlineLvl w:val="9"/>
              <w:rPr>
                <w:rFonts w:cs="宋体" w:asciiTheme="minorEastAsia" w:hAnsiTheme="minorEastAsia"/>
                <w:kern w:val="0"/>
                <w:szCs w:val="21"/>
              </w:rPr>
            </w:pPr>
            <w:r>
              <w:rPr>
                <w:rFonts w:hint="eastAsia" w:cs="宋体" w:asciiTheme="minorEastAsia" w:hAnsiTheme="minorEastAsia"/>
                <w:kern w:val="0"/>
                <w:szCs w:val="21"/>
              </w:rPr>
              <w:t>1、查询渠道：</w:t>
            </w:r>
          </w:p>
          <w:p w14:paraId="4D51A4DD">
            <w:pPr>
              <w:keepNext w:val="0"/>
              <w:keepLines w:val="0"/>
              <w:pageBreakBefore w:val="0"/>
              <w:widowControl w:val="0"/>
              <w:kinsoku/>
              <w:overflowPunct/>
              <w:topLinePunct w:val="0"/>
              <w:bidi w:val="0"/>
              <w:snapToGrid/>
              <w:spacing w:line="380" w:lineRule="exact"/>
              <w:textAlignment w:val="auto"/>
              <w:outlineLvl w:val="9"/>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14:paraId="1C90E3F9">
            <w:pPr>
              <w:keepNext w:val="0"/>
              <w:keepLines w:val="0"/>
              <w:pageBreakBefore w:val="0"/>
              <w:widowControl w:val="0"/>
              <w:kinsoku/>
              <w:overflowPunct/>
              <w:topLinePunct w:val="0"/>
              <w:bidi w:val="0"/>
              <w:snapToGrid/>
              <w:spacing w:line="380" w:lineRule="exact"/>
              <w:textAlignment w:val="auto"/>
              <w:outlineLvl w:val="9"/>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14:paraId="3B3F9D49">
            <w:pPr>
              <w:keepNext w:val="0"/>
              <w:keepLines w:val="0"/>
              <w:pageBreakBefore w:val="0"/>
              <w:widowControl w:val="0"/>
              <w:kinsoku/>
              <w:overflowPunct/>
              <w:topLinePunct w:val="0"/>
              <w:bidi w:val="0"/>
              <w:snapToGrid/>
              <w:spacing w:line="380" w:lineRule="exact"/>
              <w:textAlignment w:val="auto"/>
              <w:outlineLvl w:val="9"/>
              <w:rPr>
                <w:rFonts w:cs="宋体" w:asciiTheme="minorEastAsia" w:hAnsiTheme="minorEastAsia"/>
                <w:kern w:val="0"/>
                <w:szCs w:val="21"/>
              </w:rPr>
            </w:pPr>
            <w:r>
              <w:rPr>
                <w:rFonts w:hint="eastAsia" w:cs="宋体" w:asciiTheme="minorEastAsia" w:hAnsiTheme="minorEastAsia"/>
                <w:kern w:val="0"/>
                <w:szCs w:val="21"/>
              </w:rPr>
              <w:t>③“中国社会组织政务服务平台”网站（</w:t>
            </w:r>
            <w:r>
              <w:rPr>
                <w:rFonts w:cs="宋体" w:asciiTheme="minorEastAsia" w:hAnsiTheme="minorEastAsia"/>
                <w:kern w:val="0"/>
                <w:szCs w:val="21"/>
              </w:rPr>
              <w:t>https://chinanpo.mca.gov.cn</w:t>
            </w:r>
            <w:r>
              <w:rPr>
                <w:rFonts w:hint="eastAsia" w:cs="宋体" w:asciiTheme="minorEastAsia" w:hAnsiTheme="minorEastAsia"/>
                <w:kern w:val="0"/>
                <w:szCs w:val="21"/>
              </w:rPr>
              <w:t>）（仅查询社会组织）；</w:t>
            </w:r>
          </w:p>
          <w:p w14:paraId="4AD4261E">
            <w:pPr>
              <w:keepNext w:val="0"/>
              <w:keepLines w:val="0"/>
              <w:pageBreakBefore w:val="0"/>
              <w:widowControl w:val="0"/>
              <w:kinsoku/>
              <w:overflowPunct/>
              <w:topLinePunct w:val="0"/>
              <w:autoSpaceDE w:val="0"/>
              <w:autoSpaceDN w:val="0"/>
              <w:bidi w:val="0"/>
              <w:snapToGrid/>
              <w:spacing w:line="380" w:lineRule="exact"/>
              <w:contextualSpacing/>
              <w:textAlignment w:val="auto"/>
              <w:outlineLvl w:val="9"/>
              <w:rPr>
                <w:rFonts w:cs="宋体" w:asciiTheme="minorEastAsia" w:hAnsiTheme="minorEastAsia"/>
                <w:kern w:val="0"/>
                <w:szCs w:val="21"/>
              </w:rPr>
            </w:pPr>
            <w:r>
              <w:rPr>
                <w:rFonts w:hint="eastAsia" w:cs="宋体" w:asciiTheme="minorEastAsia" w:hAnsiTheme="minorEastAsia"/>
                <w:kern w:val="0"/>
                <w:szCs w:val="21"/>
              </w:rPr>
              <w:t>2、截止时间：同投标截止时间；</w:t>
            </w:r>
          </w:p>
          <w:p w14:paraId="5A710980">
            <w:pPr>
              <w:keepNext w:val="0"/>
              <w:keepLines w:val="0"/>
              <w:pageBreakBefore w:val="0"/>
              <w:widowControl w:val="0"/>
              <w:kinsoku/>
              <w:overflowPunct/>
              <w:topLinePunct w:val="0"/>
              <w:autoSpaceDE w:val="0"/>
              <w:autoSpaceDN w:val="0"/>
              <w:bidi w:val="0"/>
              <w:snapToGrid/>
              <w:spacing w:line="380" w:lineRule="exact"/>
              <w:contextualSpacing/>
              <w:textAlignment w:val="auto"/>
              <w:outlineLvl w:val="9"/>
              <w:rPr>
                <w:rFonts w:cs="宋体" w:asciiTheme="minorEastAsia" w:hAnsiTheme="minorEastAsia"/>
                <w:color w:val="FF0000"/>
                <w:kern w:val="0"/>
                <w:szCs w:val="21"/>
              </w:rPr>
            </w:pPr>
            <w:r>
              <w:rPr>
                <w:rFonts w:hint="eastAsia" w:cs="宋体" w:asciiTheme="minorEastAsia" w:hAnsiTheme="minorEastAsia"/>
                <w:kern w:val="0"/>
                <w:szCs w:val="21"/>
                <w:lang w:val="en-US" w:eastAsia="zh-CN"/>
              </w:rPr>
              <w:t>3</w:t>
            </w:r>
            <w:r>
              <w:rPr>
                <w:rFonts w:hint="eastAsia" w:cs="宋体" w:asciiTheme="minorEastAsia" w:hAnsiTheme="minorEastAsia"/>
                <w:kern w:val="0"/>
                <w:szCs w:val="21"/>
              </w:rPr>
              <w:t>、信用信息的使用原则：经采购人认定的被列入失信被执行人、税收违法黑名单、政府采购严重违法失信行为记录名单的</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、严重违法失信社会组织，将拒绝其参与本次政府采购活动。</w:t>
            </w:r>
          </w:p>
        </w:tc>
      </w:tr>
    </w:tbl>
    <w:p w14:paraId="36A67AE9">
      <w:pPr>
        <w:tabs>
          <w:tab w:val="left" w:pos="1260"/>
        </w:tabs>
        <w:autoSpaceDE w:val="0"/>
        <w:autoSpaceDN w:val="0"/>
        <w:adjustRightInd w:val="0"/>
        <w:spacing w:line="360" w:lineRule="auto"/>
        <w:contextualSpacing/>
        <w:jc w:val="both"/>
        <w:outlineLvl w:val="9"/>
        <w:rPr>
          <w:rFonts w:hint="eastAsia" w:cs="宋体" w:asciiTheme="majorEastAsia" w:hAnsiTheme="majorEastAsia" w:eastAsiaTheme="majorEastAsia"/>
          <w:b/>
          <w:kern w:val="0"/>
          <w:sz w:val="32"/>
          <w:szCs w:val="32"/>
        </w:rPr>
      </w:pPr>
    </w:p>
    <w:p w14:paraId="2D428EBD">
      <w:pP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14:paraId="20DB469F">
      <w:pPr>
        <w:tabs>
          <w:tab w:val="left" w:pos="1260"/>
        </w:tabs>
        <w:autoSpaceDE w:val="0"/>
        <w:autoSpaceDN w:val="0"/>
        <w:adjustRightInd w:val="0"/>
        <w:spacing w:line="360" w:lineRule="auto"/>
        <w:contextualSpacing/>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14:paraId="0BE041BF">
      <w:pPr>
        <w:tabs>
          <w:tab w:val="left" w:pos="1260"/>
        </w:tabs>
        <w:autoSpaceDE w:val="0"/>
        <w:autoSpaceDN w:val="0"/>
        <w:adjustRightInd w:val="0"/>
        <w:spacing w:line="360" w:lineRule="auto"/>
        <w:contextualSpacing/>
        <w:rPr>
          <w:rFonts w:cs="宋体" w:asciiTheme="minorEastAsia" w:hAnsiTheme="minorEastAsia"/>
          <w:b/>
          <w:kern w:val="0"/>
          <w:sz w:val="28"/>
          <w:szCs w:val="28"/>
        </w:rPr>
      </w:pPr>
    </w:p>
    <w:p w14:paraId="0E28C24B">
      <w:pPr>
        <w:tabs>
          <w:tab w:val="left" w:pos="1260"/>
        </w:tabs>
        <w:autoSpaceDE w:val="0"/>
        <w:autoSpaceDN w:val="0"/>
        <w:adjustRightInd w:val="0"/>
        <w:spacing w:line="360" w:lineRule="auto"/>
        <w:contextualSpacing/>
        <w:jc w:val="center"/>
        <w:outlineLvl w:val="1"/>
        <w:rPr>
          <w:rFonts w:cs="宋体" w:asciiTheme="minorEastAsia" w:hAnsiTheme="minorEastAsia"/>
          <w:b/>
          <w:kern w:val="0"/>
          <w:szCs w:val="21"/>
        </w:rPr>
      </w:pPr>
      <w:r>
        <w:rPr>
          <w:rFonts w:hint="eastAsia" w:cs="宋体" w:asciiTheme="minorEastAsia" w:hAnsiTheme="minorEastAsia"/>
          <w:b/>
          <w:kern w:val="0"/>
          <w:szCs w:val="21"/>
        </w:rPr>
        <w:t>一、概念释义</w:t>
      </w:r>
    </w:p>
    <w:p w14:paraId="5789AFA9">
      <w:pPr>
        <w:pStyle w:val="57"/>
        <w:numPr>
          <w:ilvl w:val="0"/>
          <w:numId w:val="12"/>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适用范围</w:t>
      </w:r>
    </w:p>
    <w:p w14:paraId="1AC1E08E">
      <w:pPr>
        <w:pStyle w:val="57"/>
        <w:numPr>
          <w:ilvl w:val="0"/>
          <w:numId w:val="1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14:paraId="2BBCC001">
      <w:pPr>
        <w:pStyle w:val="57"/>
        <w:numPr>
          <w:ilvl w:val="0"/>
          <w:numId w:val="1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14:paraId="4FDA28B2">
      <w:pPr>
        <w:pStyle w:val="57"/>
        <w:autoSpaceDE w:val="0"/>
        <w:autoSpaceDN w:val="0"/>
        <w:spacing w:line="360" w:lineRule="auto"/>
        <w:ind w:left="-424" w:leftChars="-202" w:firstLine="424" w:firstLineChars="201"/>
        <w:contextualSpacing/>
        <w:outlineLvl w:val="2"/>
        <w:rPr>
          <w:rFonts w:cs="宋体" w:asciiTheme="minorEastAsia" w:hAnsiTheme="minorEastAsia"/>
          <w:b/>
          <w:kern w:val="0"/>
          <w:szCs w:val="21"/>
        </w:rPr>
      </w:pPr>
      <w:r>
        <w:rPr>
          <w:rFonts w:hint="eastAsia" w:cs="宋体" w:asciiTheme="minorEastAsia" w:hAnsiTheme="minorEastAsia"/>
          <w:b/>
          <w:kern w:val="0"/>
          <w:szCs w:val="21"/>
        </w:rPr>
        <w:t>2.定义</w:t>
      </w:r>
    </w:p>
    <w:p w14:paraId="708B5490">
      <w:pPr>
        <w:pStyle w:val="57"/>
        <w:numPr>
          <w:ilvl w:val="0"/>
          <w:numId w:val="1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14:paraId="0C2627E2">
      <w:pPr>
        <w:pStyle w:val="57"/>
        <w:numPr>
          <w:ilvl w:val="1"/>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14:paraId="39950108">
      <w:pPr>
        <w:pStyle w:val="57"/>
        <w:numPr>
          <w:ilvl w:val="1"/>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14:paraId="754BF63F">
      <w:pPr>
        <w:pStyle w:val="57"/>
        <w:numPr>
          <w:ilvl w:val="1"/>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“成交供应商”系指成交的供应商。</w:t>
      </w:r>
    </w:p>
    <w:p w14:paraId="061BA08C">
      <w:pPr>
        <w:pStyle w:val="57"/>
        <w:numPr>
          <w:ilvl w:val="1"/>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“甲方”系指采购人。</w:t>
      </w:r>
    </w:p>
    <w:p w14:paraId="445866E0">
      <w:pPr>
        <w:pStyle w:val="57"/>
        <w:numPr>
          <w:ilvl w:val="1"/>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14:paraId="1BCAC0A9">
      <w:pPr>
        <w:pStyle w:val="57"/>
        <w:numPr>
          <w:ilvl w:val="1"/>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“服务”系指谈判文件规定的供应商为完成采购项目所需承担的全部义务。</w:t>
      </w:r>
    </w:p>
    <w:p w14:paraId="2CEBAC6B">
      <w:pPr>
        <w:pStyle w:val="57"/>
        <w:numPr>
          <w:ilvl w:val="1"/>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政府采购进口产品管理办法》（财库[2007]119号）、《关于政府采购进口产品管理有关问题的通知》（财办库〔2008〕</w:t>
      </w:r>
      <w:r>
        <w:rPr>
          <w:rFonts w:cs="宋体" w:asciiTheme="minorEastAsia" w:hAnsiTheme="minorEastAsia"/>
          <w:kern w:val="0"/>
          <w:szCs w:val="21"/>
        </w:rPr>
        <w:t xml:space="preserve">248 </w:t>
      </w:r>
      <w:r>
        <w:rPr>
          <w:rFonts w:hint="eastAsia" w:cs="宋体" w:asciiTheme="minorEastAsia" w:hAnsiTheme="minorEastAsia"/>
          <w:kern w:val="0"/>
          <w:szCs w:val="21"/>
        </w:rPr>
        <w:t>号）。</w:t>
      </w:r>
    </w:p>
    <w:p w14:paraId="6AADFD98">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14:paraId="1F39D03E">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14:paraId="225E1037">
      <w:pPr>
        <w:pStyle w:val="57"/>
        <w:numPr>
          <w:ilvl w:val="1"/>
          <w:numId w:val="15"/>
        </w:numPr>
        <w:autoSpaceDE w:val="0"/>
        <w:autoSpaceDN w:val="0"/>
        <w:spacing w:line="360" w:lineRule="auto"/>
        <w:ind w:hanging="964"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谈判文件中凡标有“★”的条款均系实质性要求条款。</w:t>
      </w:r>
    </w:p>
    <w:p w14:paraId="315BE718">
      <w:pPr>
        <w:pStyle w:val="57"/>
        <w:autoSpaceDE w:val="0"/>
        <w:autoSpaceDN w:val="0"/>
        <w:spacing w:line="360" w:lineRule="auto"/>
        <w:ind w:firstLine="0"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3.合格的供应商</w:t>
      </w:r>
    </w:p>
    <w:p w14:paraId="7F51ED0B">
      <w:pPr>
        <w:pStyle w:val="57"/>
        <w:numPr>
          <w:ilvl w:val="0"/>
          <w:numId w:val="1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在中华人民共和国境内注册，具有本项目生产、制造、供应或实施能力，符合、承认并承诺履行本谈判文件各项规定的法人、其他组织或者自然人。</w:t>
      </w:r>
    </w:p>
    <w:p w14:paraId="65B0CDCC">
      <w:pPr>
        <w:pStyle w:val="57"/>
        <w:numPr>
          <w:ilvl w:val="1"/>
          <w:numId w:val="1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符合本项目“投标邀请”和“供应商须知前附表”中规定的合格供应商所必须具备的条件。</w:t>
      </w:r>
    </w:p>
    <w:p w14:paraId="42C6FA6D">
      <w:pPr>
        <w:pStyle w:val="57"/>
        <w:numPr>
          <w:ilvl w:val="1"/>
          <w:numId w:val="17"/>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政府采购活动中查询及使用供应商信用记录的具体要求为：供应商未被列入失信被执行人、税收违法黑名单、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14:paraId="26453A03">
      <w:pPr>
        <w:pStyle w:val="57"/>
        <w:numPr>
          <w:ilvl w:val="0"/>
          <w:numId w:val="18"/>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）、“中国社会组织政务服务平台”网站（</w:t>
      </w:r>
      <w:r>
        <w:fldChar w:fldCharType="begin"/>
      </w:r>
      <w:r>
        <w:instrText xml:space="preserve"> HYPERLINK "http://www.chinanpo.gov.cn" </w:instrText>
      </w:r>
      <w:r>
        <w:fldChar w:fldCharType="separate"/>
      </w:r>
      <w:r>
        <w:rPr>
          <w:rStyle w:val="31"/>
          <w:rFonts w:cs="宋体" w:asciiTheme="minorEastAsia" w:hAnsiTheme="minorEastAsia"/>
          <w:color w:val="auto"/>
          <w:szCs w:val="21"/>
        </w:rPr>
        <w:t>https://chinanpo.mca.gov.cn</w:t>
      </w:r>
      <w:r>
        <w:rPr>
          <w:rStyle w:val="31"/>
          <w:rFonts w:cs="宋体" w:asciiTheme="minorEastAsia" w:hAnsiTheme="minorEastAsia"/>
          <w:color w:val="auto"/>
          <w:szCs w:val="21"/>
        </w:rPr>
        <w:fldChar w:fldCharType="end"/>
      </w:r>
      <w:r>
        <w:rPr>
          <w:rFonts w:hint="eastAsia" w:cs="宋体" w:asciiTheme="minorEastAsia" w:hAnsiTheme="minorEastAsia"/>
          <w:kern w:val="0"/>
          <w:szCs w:val="21"/>
        </w:rPr>
        <w:t>）；</w:t>
      </w:r>
    </w:p>
    <w:p w14:paraId="5E5261A4">
      <w:pPr>
        <w:pStyle w:val="57"/>
        <w:numPr>
          <w:ilvl w:val="0"/>
          <w:numId w:val="18"/>
        </w:numPr>
        <w:autoSpaceDE w:val="0"/>
        <w:autoSpaceDN w:val="0"/>
        <w:spacing w:line="360" w:lineRule="auto"/>
        <w:ind w:hanging="141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截止时间：同谈判响应截止时间；</w:t>
      </w:r>
    </w:p>
    <w:p w14:paraId="3D8DC712">
      <w:pPr>
        <w:pStyle w:val="57"/>
        <w:numPr>
          <w:ilvl w:val="0"/>
          <w:numId w:val="18"/>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信用信息查询记录和证据留存具体方式：经谈判小组确认的查询结果网页截图作为查询记录和证据，与其他采购文件一并保存；</w:t>
      </w:r>
    </w:p>
    <w:p w14:paraId="7F21E04F">
      <w:pPr>
        <w:pStyle w:val="57"/>
        <w:numPr>
          <w:ilvl w:val="0"/>
          <w:numId w:val="18"/>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信用信息的使用原则：经谈判小组认定的被列入失信被执行人、税收违法黑名单、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严重违法失信社会组织名单的供应商，将拒绝其参与本次政府采购活动。</w:t>
      </w:r>
    </w:p>
    <w:p w14:paraId="3D5836C5">
      <w:pPr>
        <w:pStyle w:val="57"/>
        <w:numPr>
          <w:ilvl w:val="0"/>
          <w:numId w:val="18"/>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供应商无须提供</w:t>
      </w:r>
      <w:r>
        <w:rPr>
          <w:rFonts w:hint="eastAsia" w:ascii="宋体" w:hAnsi="宋体" w:cs="微软雅黑"/>
          <w:bCs/>
          <w:szCs w:val="21"/>
        </w:rPr>
        <w:t>信用记录查询结果网页截屏。</w:t>
      </w:r>
      <w:r>
        <w:rPr>
          <w:rFonts w:hint="eastAsia" w:cs="宋体" w:asciiTheme="minorEastAsia" w:hAnsiTheme="minor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p w14:paraId="55B46338">
      <w:pPr>
        <w:pStyle w:val="57"/>
        <w:numPr>
          <w:ilvl w:val="0"/>
          <w:numId w:val="19"/>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单位负责人为同一人或者存在直接控股、管理关系的不同供应商，不得同时参加本项目响应。违反规定的，相关响应均无效。</w:t>
      </w:r>
    </w:p>
    <w:p w14:paraId="24B2FC22">
      <w:pPr>
        <w:pStyle w:val="57"/>
        <w:numPr>
          <w:ilvl w:val="0"/>
          <w:numId w:val="19"/>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14:paraId="5D36D038">
      <w:pPr>
        <w:pStyle w:val="57"/>
        <w:numPr>
          <w:ilvl w:val="0"/>
          <w:numId w:val="19"/>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“投标邀请”和“供应商须知前附表”规定接受联合体投标的，除应符合本章第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14:paraId="3E43960B">
      <w:pPr>
        <w:pStyle w:val="57"/>
        <w:numPr>
          <w:ilvl w:val="0"/>
          <w:numId w:val="20"/>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在响应文件中向采购人提交联合体协议书，明确联合体各方承担的工作和义务；</w:t>
      </w:r>
    </w:p>
    <w:p w14:paraId="014C909B">
      <w:pPr>
        <w:pStyle w:val="57"/>
        <w:numPr>
          <w:ilvl w:val="0"/>
          <w:numId w:val="20"/>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14:paraId="512E2B70">
      <w:pPr>
        <w:pStyle w:val="57"/>
        <w:numPr>
          <w:ilvl w:val="0"/>
          <w:numId w:val="20"/>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招标人根据采购项目的特殊要求规定供应商特定条件的，联合体各方中至少应当有一方符合采购规定的特定条件；</w:t>
      </w:r>
    </w:p>
    <w:p w14:paraId="3761A9FD">
      <w:pPr>
        <w:pStyle w:val="57"/>
        <w:numPr>
          <w:ilvl w:val="0"/>
          <w:numId w:val="20"/>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14:paraId="0C7A049B">
      <w:pPr>
        <w:pStyle w:val="57"/>
        <w:numPr>
          <w:ilvl w:val="0"/>
          <w:numId w:val="20"/>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hint="eastAsia"/>
        </w:rPr>
        <w:t>。</w:t>
      </w:r>
    </w:p>
    <w:p w14:paraId="170F28E9">
      <w:pPr>
        <w:pStyle w:val="57"/>
        <w:numPr>
          <w:ilvl w:val="0"/>
          <w:numId w:val="21"/>
        </w:numPr>
        <w:autoSpaceDE w:val="0"/>
        <w:autoSpaceDN w:val="0"/>
        <w:spacing w:line="360" w:lineRule="auto"/>
        <w:ind w:hanging="1384" w:firstLineChars="0"/>
        <w:contextualSpacing/>
        <w:outlineLvl w:val="4"/>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14:paraId="0AC041B0">
      <w:pPr>
        <w:pStyle w:val="57"/>
        <w:numPr>
          <w:ilvl w:val="0"/>
          <w:numId w:val="17"/>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合格的货物和服务</w:t>
      </w:r>
    </w:p>
    <w:p w14:paraId="7F926DBB">
      <w:pPr>
        <w:pStyle w:val="57"/>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14:paraId="1546361F">
      <w:pPr>
        <w:pStyle w:val="57"/>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14:paraId="74B76F67">
      <w:pPr>
        <w:pStyle w:val="57"/>
        <w:numPr>
          <w:ilvl w:val="0"/>
          <w:numId w:val="17"/>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谈判费用</w:t>
      </w:r>
    </w:p>
    <w:p w14:paraId="57A1D444">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14:paraId="22D65B3C">
      <w:pPr>
        <w:pStyle w:val="57"/>
        <w:numPr>
          <w:ilvl w:val="0"/>
          <w:numId w:val="17"/>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信息发布</w:t>
      </w:r>
    </w:p>
    <w:p w14:paraId="34FA7894">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14:paraId="0996B546">
      <w:pPr>
        <w:pStyle w:val="57"/>
        <w:numPr>
          <w:ilvl w:val="0"/>
          <w:numId w:val="17"/>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代理费用</w:t>
      </w:r>
    </w:p>
    <w:p w14:paraId="5CB604E0">
      <w:pPr>
        <w:pStyle w:val="57"/>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本项目不收取代理费用。详见供应商须知前附表。</w:t>
      </w:r>
    </w:p>
    <w:p w14:paraId="42B5EB02">
      <w:pPr>
        <w:pStyle w:val="57"/>
        <w:numPr>
          <w:ilvl w:val="0"/>
          <w:numId w:val="17"/>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其他</w:t>
      </w:r>
    </w:p>
    <w:p w14:paraId="538E41F7">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14:paraId="66885BEF">
      <w:pPr>
        <w:autoSpaceDE w:val="0"/>
        <w:autoSpaceDN w:val="0"/>
        <w:spacing w:line="360" w:lineRule="auto"/>
        <w:ind w:left="964"/>
        <w:contextualSpacing/>
        <w:rPr>
          <w:rFonts w:cs="宋体" w:asciiTheme="minorEastAsia" w:hAnsiTheme="minorEastAsia"/>
          <w:kern w:val="0"/>
          <w:szCs w:val="21"/>
        </w:rPr>
      </w:pPr>
    </w:p>
    <w:p w14:paraId="1A9F5E4A">
      <w:pPr>
        <w:autoSpaceDE w:val="0"/>
        <w:autoSpaceDN w:val="0"/>
        <w:spacing w:line="360" w:lineRule="auto"/>
        <w:contextualSpacing/>
        <w:rPr>
          <w:rFonts w:cs="宋体" w:asciiTheme="minorEastAsia" w:hAnsiTheme="minorEastAsia"/>
          <w:kern w:val="0"/>
          <w:szCs w:val="21"/>
        </w:rPr>
      </w:pPr>
    </w:p>
    <w:p w14:paraId="69029314">
      <w:pPr>
        <w:tabs>
          <w:tab w:val="left" w:pos="1260"/>
        </w:tabs>
        <w:autoSpaceDE w:val="0"/>
        <w:autoSpaceDN w:val="0"/>
        <w:spacing w:line="360" w:lineRule="auto"/>
        <w:contextualSpacing/>
        <w:jc w:val="center"/>
        <w:outlineLvl w:val="1"/>
        <w:rPr>
          <w:rFonts w:cs="宋体" w:asciiTheme="minorEastAsia" w:hAnsiTheme="minorEastAsia"/>
          <w:b/>
          <w:kern w:val="0"/>
          <w:szCs w:val="21"/>
        </w:rPr>
      </w:pPr>
      <w:r>
        <w:rPr>
          <w:rFonts w:hint="eastAsia" w:cs="宋体" w:asciiTheme="minorEastAsia" w:hAnsiTheme="minorEastAsia"/>
          <w:b/>
          <w:kern w:val="0"/>
          <w:szCs w:val="21"/>
        </w:rPr>
        <w:t>二、谈判文件说明</w:t>
      </w:r>
    </w:p>
    <w:p w14:paraId="59EE6742">
      <w:pPr>
        <w:pStyle w:val="57"/>
        <w:numPr>
          <w:ilvl w:val="0"/>
          <w:numId w:val="17"/>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谈判文件构成</w:t>
      </w:r>
    </w:p>
    <w:p w14:paraId="4A9AD34F">
      <w:pPr>
        <w:pStyle w:val="57"/>
        <w:numPr>
          <w:ilvl w:val="0"/>
          <w:numId w:val="23"/>
        </w:numPr>
        <w:autoSpaceDE w:val="0"/>
        <w:autoSpaceDN w:val="0"/>
        <w:spacing w:line="360" w:lineRule="auto"/>
        <w:ind w:left="993" w:hanging="99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谈判文件由以下部分组成：</w:t>
      </w:r>
    </w:p>
    <w:p w14:paraId="31656C4E">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14:paraId="75750BDB">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14:paraId="58EC00E6">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14:paraId="6064F0F4">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14:paraId="32C89E1B">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14:paraId="7CA33D7B">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（6）对响应文件审查与评审</w:t>
      </w:r>
    </w:p>
    <w:p w14:paraId="08EF7921">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（7）拟签订的合同文本</w:t>
      </w:r>
    </w:p>
    <w:p w14:paraId="5A6F7B73">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14:paraId="6B003EC0">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14:paraId="4249883E">
      <w:pPr>
        <w:pStyle w:val="57"/>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14:paraId="52FC1E58">
      <w:pPr>
        <w:pStyle w:val="57"/>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14:paraId="3E7F6ACA">
      <w:pPr>
        <w:pStyle w:val="57"/>
        <w:numPr>
          <w:ilvl w:val="0"/>
          <w:numId w:val="17"/>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14:paraId="5C870F7C">
      <w:pPr>
        <w:pStyle w:val="57"/>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在谈判响应截止期前，无论出于何种原因，采购人可主动地或在解答供应商提出的澄清问题时对谈判文件进行修改。</w:t>
      </w:r>
    </w:p>
    <w:p w14:paraId="51A929AF">
      <w:pPr>
        <w:pStyle w:val="57"/>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14:paraId="3B1913C9">
      <w:pPr>
        <w:pStyle w:val="57"/>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14:paraId="11888316">
      <w:pPr>
        <w:pStyle w:val="57"/>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14:paraId="6A416D0F">
      <w:pPr>
        <w:autoSpaceDE w:val="0"/>
        <w:autoSpaceDN w:val="0"/>
        <w:spacing w:line="360" w:lineRule="auto"/>
        <w:contextualSpacing/>
        <w:rPr>
          <w:rFonts w:cs="宋体" w:asciiTheme="minorEastAsia" w:hAnsiTheme="minorEastAsia"/>
          <w:kern w:val="0"/>
          <w:szCs w:val="21"/>
        </w:rPr>
      </w:pPr>
    </w:p>
    <w:p w14:paraId="30ED6759">
      <w:pPr>
        <w:tabs>
          <w:tab w:val="left" w:pos="1260"/>
        </w:tabs>
        <w:autoSpaceDE w:val="0"/>
        <w:autoSpaceDN w:val="0"/>
        <w:spacing w:line="360" w:lineRule="auto"/>
        <w:contextualSpacing/>
        <w:jc w:val="center"/>
        <w:outlineLvl w:val="1"/>
        <w:rPr>
          <w:rFonts w:hint="eastAsia" w:cs="宋体" w:asciiTheme="minorEastAsia" w:hAnsiTheme="minorEastAsia"/>
          <w:b/>
          <w:kern w:val="0"/>
          <w:szCs w:val="21"/>
        </w:rPr>
      </w:pPr>
    </w:p>
    <w:p w14:paraId="20BCA4D3">
      <w:pPr>
        <w:tabs>
          <w:tab w:val="left" w:pos="1260"/>
        </w:tabs>
        <w:autoSpaceDE w:val="0"/>
        <w:autoSpaceDN w:val="0"/>
        <w:spacing w:line="360" w:lineRule="auto"/>
        <w:contextualSpacing/>
        <w:jc w:val="center"/>
        <w:outlineLvl w:val="1"/>
        <w:rPr>
          <w:rFonts w:cs="宋体" w:asciiTheme="minorEastAsia" w:hAnsiTheme="minorEastAsia"/>
          <w:b/>
          <w:kern w:val="0"/>
          <w:szCs w:val="21"/>
        </w:rPr>
      </w:pPr>
      <w:r>
        <w:rPr>
          <w:rFonts w:hint="eastAsia" w:cs="宋体" w:asciiTheme="minorEastAsia" w:hAnsiTheme="minorEastAsia"/>
          <w:b/>
          <w:kern w:val="0"/>
          <w:szCs w:val="21"/>
        </w:rPr>
        <w:t>三、响应文件的编制</w:t>
      </w:r>
    </w:p>
    <w:p w14:paraId="5E8093A6">
      <w:pPr>
        <w:pStyle w:val="57"/>
        <w:numPr>
          <w:ilvl w:val="0"/>
          <w:numId w:val="17"/>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14:paraId="3D668DF4">
      <w:pPr>
        <w:pStyle w:val="57"/>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14:paraId="005C0282">
      <w:pPr>
        <w:pStyle w:val="57"/>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14:paraId="7EB1DC13">
      <w:pPr>
        <w:pStyle w:val="57"/>
        <w:numPr>
          <w:ilvl w:val="0"/>
          <w:numId w:val="17"/>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报价</w:t>
      </w:r>
    </w:p>
    <w:p w14:paraId="0D512380">
      <w:pPr>
        <w:pStyle w:val="57"/>
        <w:numPr>
          <w:ilvl w:val="0"/>
          <w:numId w:val="26"/>
        </w:numPr>
        <w:autoSpaceDE w:val="0"/>
        <w:autoSpaceDN w:val="0"/>
        <w:spacing w:line="360" w:lineRule="auto"/>
        <w:ind w:left="993" w:hanging="99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14:paraId="68B975E2">
      <w:pPr>
        <w:pStyle w:val="57"/>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14:paraId="745A5930">
      <w:pPr>
        <w:pStyle w:val="57"/>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14:paraId="5F1A5097">
      <w:pPr>
        <w:pStyle w:val="57"/>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14:paraId="46EB9C16">
      <w:pPr>
        <w:pStyle w:val="57"/>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14:paraId="76713DE0">
      <w:pPr>
        <w:pStyle w:val="57"/>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14:paraId="66B8E8DE">
      <w:pPr>
        <w:pStyle w:val="57"/>
        <w:numPr>
          <w:ilvl w:val="0"/>
          <w:numId w:val="26"/>
        </w:numPr>
        <w:autoSpaceDE w:val="0"/>
        <w:autoSpaceDN w:val="0"/>
        <w:spacing w:line="360" w:lineRule="auto"/>
        <w:ind w:left="993" w:hanging="99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最低报价不能作为成交的保证。</w:t>
      </w:r>
    </w:p>
    <w:p w14:paraId="7A04BB5B">
      <w:pPr>
        <w:pStyle w:val="57"/>
        <w:numPr>
          <w:ilvl w:val="0"/>
          <w:numId w:val="17"/>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响应文件有效期</w:t>
      </w:r>
    </w:p>
    <w:p w14:paraId="252403DF">
      <w:pPr>
        <w:pStyle w:val="57"/>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14:paraId="5E300A60">
      <w:pPr>
        <w:pStyle w:val="57"/>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采购人可根据实际情况，在原报价有效期截止之前，征询供应商是否同意延长响应文件的有效期，供应商同意延长的须作出书面答复。在延长的报价有效期内，供应商将不会被要求和允许修正其报价。</w:t>
      </w:r>
    </w:p>
    <w:p w14:paraId="7EBDB945">
      <w:pPr>
        <w:pStyle w:val="57"/>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14:paraId="37E7282D">
      <w:pPr>
        <w:pStyle w:val="57"/>
        <w:numPr>
          <w:ilvl w:val="0"/>
          <w:numId w:val="17"/>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响应文件构成</w:t>
      </w:r>
    </w:p>
    <w:p w14:paraId="78B2581F">
      <w:pPr>
        <w:pStyle w:val="57"/>
        <w:numPr>
          <w:ilvl w:val="0"/>
          <w:numId w:val="28"/>
        </w:numPr>
        <w:autoSpaceDE w:val="0"/>
        <w:autoSpaceDN w:val="0"/>
        <w:spacing w:line="360" w:lineRule="auto"/>
        <w:ind w:left="993" w:hanging="99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14:paraId="18F94242">
      <w:pPr>
        <w:pStyle w:val="57"/>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14:paraId="5AFC328C">
      <w:pPr>
        <w:pStyle w:val="57"/>
        <w:keepNext w:val="0"/>
        <w:keepLines w:val="0"/>
        <w:pageBreakBefore w:val="0"/>
        <w:numPr>
          <w:ilvl w:val="0"/>
          <w:numId w:val="28"/>
        </w:numPr>
        <w:kinsoku/>
        <w:wordWrap/>
        <w:overflowPunct/>
        <w:topLinePunct w:val="0"/>
        <w:autoSpaceDE w:val="0"/>
        <w:autoSpaceDN w:val="0"/>
        <w:bidi w:val="0"/>
        <w:adjustRightInd/>
        <w:snapToGrid/>
        <w:spacing w:line="360" w:lineRule="auto"/>
        <w:ind w:left="993" w:hanging="993" w:firstLineChars="0"/>
        <w:contextualSpacing/>
        <w:textAlignment w:val="auto"/>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响应文件由资格证明材料、符合性证明材料、其他材料等组成。</w:t>
      </w:r>
    </w:p>
    <w:p w14:paraId="1463444C">
      <w:pPr>
        <w:pStyle w:val="57"/>
        <w:keepNext w:val="0"/>
        <w:keepLines w:val="0"/>
        <w:pageBreakBefore w:val="0"/>
        <w:widowControl w:val="0"/>
        <w:numPr>
          <w:ilvl w:val="0"/>
          <w:numId w:val="28"/>
        </w:numPr>
        <w:kinsoku/>
        <w:wordWrap/>
        <w:overflowPunct/>
        <w:topLinePunct w:val="0"/>
        <w:autoSpaceDE w:val="0"/>
        <w:autoSpaceDN w:val="0"/>
        <w:bidi w:val="0"/>
        <w:adjustRightInd/>
        <w:snapToGrid/>
        <w:spacing w:line="360" w:lineRule="auto"/>
        <w:ind w:left="993" w:hanging="993" w:firstLineChars="0"/>
        <w:contextualSpacing/>
        <w:textAlignment w:val="auto"/>
        <w:outlineLvl w:val="9"/>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14:paraId="1F415DF0">
      <w:pPr>
        <w:pStyle w:val="23"/>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960" w:leftChars="0" w:right="0" w:rightChars="0" w:hanging="960" w:hangingChars="400"/>
        <w:jc w:val="both"/>
        <w:textAlignment w:val="auto"/>
        <w:outlineLvl w:val="9"/>
        <w:rPr>
          <w:rFonts w:hint="eastAsia" w:cs="宋体" w:asciiTheme="minorEastAsia" w:hAnsiTheme="minorEastAsia" w:eastAsiaTheme="minorEastAsia"/>
          <w:color w:val="FF0000"/>
          <w:kern w:val="0"/>
          <w:sz w:val="21"/>
          <w:szCs w:val="21"/>
          <w:lang w:val="en-US" w:eastAsia="zh-CN" w:bidi="ar-SA"/>
        </w:rPr>
      </w:pPr>
      <w:r>
        <w:rPr>
          <w:rFonts w:hint="eastAsia" w:cs="宋体" w:asciiTheme="minorEastAsia" w:hAnsiTheme="minorEastAsia"/>
          <w:kern w:val="0"/>
          <w:szCs w:val="21"/>
          <w:lang w:val="en-US" w:eastAsia="zh-CN"/>
        </w:rPr>
        <w:t xml:space="preserve">14.5   </w:t>
      </w:r>
      <w:r>
        <w:rPr>
          <w:rFonts w:hint="eastAsia" w:cs="宋体" w:asciiTheme="minorEastAsia" w:hAnsiTheme="minorEastAsia"/>
          <w:color w:val="FF0000"/>
          <w:kern w:val="0"/>
          <w:szCs w:val="21"/>
          <w:lang w:val="en-US" w:eastAsia="zh-CN"/>
        </w:rPr>
        <w:t xml:space="preserve"> </w:t>
      </w:r>
      <w:r>
        <w:rPr>
          <w:rFonts w:hint="eastAsia" w:cs="宋体" w:asciiTheme="minorEastAsia" w:hAnsiTheme="minorEastAsia" w:eastAsiaTheme="minorEastAsia"/>
          <w:color w:val="FF0000"/>
          <w:kern w:val="0"/>
          <w:sz w:val="21"/>
          <w:szCs w:val="21"/>
          <w:lang w:val="en-US" w:eastAsia="zh-CN" w:bidi="ar-SA"/>
        </w:rPr>
        <w:t>供应商登录“全国公共资源交易平台（河南省·许昌市）”下载“新点投标文件制作软件（河南省版）”的最新版本，按所响应标段谈判文件的要求制作电子响应文件。一个标段对应生成2份电子响应文件（后缀格式为.XCSTF和.nXCSTF）,其中后缀格式为“.XCSTF”的加密电子响应文件用于上传至交易系统中投标。</w:t>
      </w:r>
    </w:p>
    <w:p w14:paraId="48F7CDB5">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jc w:val="both"/>
        <w:textAlignment w:val="auto"/>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color w:val="FF0000"/>
          <w:kern w:val="0"/>
          <w:sz w:val="21"/>
          <w:szCs w:val="21"/>
          <w:lang w:val="en-US" w:eastAsia="zh-CN" w:bidi="ar-SA"/>
        </w:rPr>
        <w:t>14.6     电子响应文件制作技术咨询：0374-2961598。</w:t>
      </w:r>
    </w:p>
    <w:p w14:paraId="21E74D95">
      <w:pPr>
        <w:pStyle w:val="57"/>
        <w:numPr>
          <w:ilvl w:val="0"/>
          <w:numId w:val="17"/>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响应文件格式</w:t>
      </w:r>
    </w:p>
    <w:p w14:paraId="59356FBF">
      <w:pPr>
        <w:pStyle w:val="57"/>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为便于评审及规范统一，建议响应文件参照谈判文件第八部分（响应文件有关格式）的内容要求、编排顺序和格式要求，以A4幅面编上唯一的连贯页码，并在响应文件封面上注明：所投项目名称、项目编号、供应商名称、日期等字样。</w:t>
      </w:r>
    </w:p>
    <w:p w14:paraId="743C7EA6">
      <w:pPr>
        <w:pStyle w:val="57"/>
        <w:numPr>
          <w:ilvl w:val="0"/>
          <w:numId w:val="29"/>
        </w:numPr>
        <w:autoSpaceDE w:val="0"/>
        <w:autoSpaceDN w:val="0"/>
        <w:spacing w:line="360" w:lineRule="auto"/>
        <w:ind w:left="993" w:hanging="99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谈判文件未提供标准格式的供应商可自行拟定。</w:t>
      </w:r>
    </w:p>
    <w:p w14:paraId="06B205CD">
      <w:pPr>
        <w:pStyle w:val="57"/>
        <w:numPr>
          <w:ilvl w:val="0"/>
          <w:numId w:val="17"/>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谈判保证金</w:t>
      </w:r>
    </w:p>
    <w:p w14:paraId="090975F2">
      <w:pPr>
        <w:pStyle w:val="57"/>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本项目不收取谈判保证金。</w:t>
      </w:r>
    </w:p>
    <w:p w14:paraId="2DC3A7F3">
      <w:pPr>
        <w:pStyle w:val="57"/>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供应商应提供谈判承诺函。</w:t>
      </w:r>
    </w:p>
    <w:p w14:paraId="2BBA62CB">
      <w:pPr>
        <w:pStyle w:val="57"/>
        <w:numPr>
          <w:ilvl w:val="0"/>
          <w:numId w:val="17"/>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14:paraId="1A16B120">
      <w:pPr>
        <w:pStyle w:val="57"/>
        <w:numPr>
          <w:ilvl w:val="0"/>
          <w:numId w:val="31"/>
        </w:numPr>
        <w:autoSpaceDE w:val="0"/>
        <w:autoSpaceDN w:val="0"/>
        <w:spacing w:line="360" w:lineRule="auto"/>
        <w:ind w:left="993" w:hanging="99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14:paraId="6E81D0AD">
      <w:pPr>
        <w:pStyle w:val="57"/>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14:paraId="6E235967">
      <w:pPr>
        <w:tabs>
          <w:tab w:val="left" w:pos="1260"/>
        </w:tabs>
        <w:autoSpaceDE w:val="0"/>
        <w:autoSpaceDN w:val="0"/>
        <w:spacing w:line="360" w:lineRule="auto"/>
        <w:contextualSpacing/>
        <w:rPr>
          <w:rFonts w:cs="仿宋_GB2312" w:asciiTheme="minorEastAsia" w:hAnsiTheme="minorEastAsia"/>
          <w:szCs w:val="21"/>
          <w:lang w:val="zh-CN"/>
        </w:rPr>
      </w:pPr>
    </w:p>
    <w:p w14:paraId="3F0CAEC5">
      <w:pPr>
        <w:tabs>
          <w:tab w:val="left" w:pos="1260"/>
        </w:tabs>
        <w:autoSpaceDE w:val="0"/>
        <w:autoSpaceDN w:val="0"/>
        <w:spacing w:line="360" w:lineRule="auto"/>
        <w:contextualSpacing/>
        <w:jc w:val="center"/>
        <w:outlineLvl w:val="1"/>
        <w:rPr>
          <w:rFonts w:cs="宋体" w:asciiTheme="minorEastAsia" w:hAnsiTheme="minorEastAsia"/>
          <w:b/>
          <w:kern w:val="0"/>
          <w:szCs w:val="21"/>
        </w:rPr>
      </w:pPr>
      <w:r>
        <w:rPr>
          <w:rFonts w:hint="eastAsia" w:cs="宋体" w:asciiTheme="minorEastAsia" w:hAnsiTheme="minorEastAsia"/>
          <w:b/>
          <w:kern w:val="0"/>
          <w:szCs w:val="21"/>
        </w:rPr>
        <w:t>四、响应文件的提交</w:t>
      </w:r>
    </w:p>
    <w:p w14:paraId="0F887E0C">
      <w:pPr>
        <w:pStyle w:val="57"/>
        <w:numPr>
          <w:ilvl w:val="0"/>
          <w:numId w:val="17"/>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谈判响应截止时间</w:t>
      </w:r>
    </w:p>
    <w:p w14:paraId="3127CF38">
      <w:pPr>
        <w:pStyle w:val="57"/>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供应商必须在“采购邀请”和“供应商须知前附表”中规定的响应截止时间前，将</w:t>
      </w:r>
      <w:r>
        <w:rPr>
          <w:rFonts w:hint="eastAsia" w:cs="仿宋_GB2312" w:asciiTheme="minorEastAsia" w:hAnsiTheme="minorEastAsia"/>
          <w:szCs w:val="21"/>
        </w:rPr>
        <w:t>加密电子响应文件</w:t>
      </w:r>
      <w:r>
        <w:rPr>
          <w:rFonts w:hint="eastAsia" w:cs="宋体" w:asciiTheme="minorEastAsia" w:hAnsiTheme="minorEastAsia"/>
          <w:szCs w:val="21"/>
        </w:rPr>
        <w:t>（</w:t>
      </w:r>
      <w:r>
        <w:rPr>
          <w:rFonts w:hint="eastAsia" w:ascii="宋体" w:hAnsi="宋体" w:eastAsia="宋体" w:cs="宋体"/>
          <w:b w:val="0"/>
          <w:bCs w:val="0"/>
          <w:i w:val="0"/>
          <w:iCs w:val="0"/>
          <w:color w:val="FF0000"/>
          <w:spacing w:val="0"/>
          <w:w w:val="100"/>
          <w:sz w:val="21"/>
          <w:szCs w:val="21"/>
          <w:vertAlign w:val="baseline"/>
        </w:rPr>
        <w:t>后缀格式为.XCSTF</w:t>
      </w:r>
      <w:r>
        <w:rPr>
          <w:rFonts w:hint="eastAsia" w:cs="宋体" w:asciiTheme="minorEastAsia" w:hAnsiTheme="minorEastAsia"/>
          <w:szCs w:val="21"/>
        </w:rPr>
        <w:t>）</w:t>
      </w:r>
      <w:r>
        <w:rPr>
          <w:rFonts w:hint="eastAsia" w:cs="仿宋_GB2312" w:asciiTheme="minorEastAsia" w:hAnsiTheme="minorEastAsia"/>
          <w:szCs w:val="21"/>
        </w:rPr>
        <w:t>通过《全国公共资源交易平台（河南省</w:t>
      </w:r>
      <w:r>
        <w:rPr>
          <w:rFonts w:hint="eastAsia" w:ascii="MS Mincho" w:hAnsi="MS Mincho" w:eastAsia="MS Mincho" w:cs="MS Mincho"/>
          <w:szCs w:val="21"/>
        </w:rPr>
        <w:t>▪</w:t>
      </w:r>
      <w:r>
        <w:rPr>
          <w:rFonts w:hint="eastAsia" w:ascii="宋体" w:hAnsi="宋体" w:cs="宋体"/>
          <w:szCs w:val="21"/>
        </w:rPr>
        <w:t>许昌市）</w:t>
      </w:r>
      <w:r>
        <w:rPr>
          <w:rFonts w:hint="eastAsia" w:cs="仿宋_GB2312" w:asciiTheme="minorEastAsia" w:hAnsiTheme="minorEastAsia"/>
          <w:szCs w:val="21"/>
        </w:rPr>
        <w:t>》公共资源交易系统成功上传</w:t>
      </w:r>
      <w:r>
        <w:rPr>
          <w:rFonts w:hint="eastAsia" w:cs="宋体" w:asciiTheme="minorEastAsia" w:hAnsiTheme="minorEastAsia"/>
          <w:kern w:val="0"/>
          <w:szCs w:val="21"/>
        </w:rPr>
        <w:t>。</w:t>
      </w:r>
      <w:r>
        <w:rPr>
          <w:rFonts w:hint="eastAsia" w:cs="微软雅黑"/>
        </w:rPr>
        <w:t>在提交截止时间以后上传的响应文件，</w:t>
      </w:r>
      <w:r>
        <w:rPr>
          <w:rFonts w:hint="eastAsia" w:cs="宋体" w:asciiTheme="minorEastAsia" w:hAnsiTheme="minorEastAsia"/>
          <w:kern w:val="0"/>
          <w:szCs w:val="21"/>
        </w:rPr>
        <w:t>采购人、集中采购机构</w:t>
      </w:r>
      <w:r>
        <w:rPr>
          <w:rFonts w:hint="eastAsia" w:cs="微软雅黑"/>
        </w:rPr>
        <w:t>将予以拒绝。</w:t>
      </w:r>
    </w:p>
    <w:p w14:paraId="06B30B56">
      <w:pPr>
        <w:pStyle w:val="57"/>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14:paraId="03DDF52C">
      <w:pPr>
        <w:pStyle w:val="57"/>
        <w:numPr>
          <w:ilvl w:val="0"/>
          <w:numId w:val="17"/>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迟交的响应文件</w:t>
      </w:r>
    </w:p>
    <w:p w14:paraId="43A79E81">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谈判响应文件截止时间之后上传的响应文件，采购人、集中采购机构将拒绝接收。</w:t>
      </w:r>
    </w:p>
    <w:p w14:paraId="1E61D9CC">
      <w:pPr>
        <w:pStyle w:val="57"/>
        <w:numPr>
          <w:ilvl w:val="0"/>
          <w:numId w:val="17"/>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14:paraId="56277EA6">
      <w:pPr>
        <w:pStyle w:val="57"/>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供应商在谈判响应截止时间前，对所提交的响应文件进行补充、修改或者撤回的，须书面通知采购人和集中采购机构。</w:t>
      </w:r>
    </w:p>
    <w:p w14:paraId="769C04CB">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供应商应当在谈判响应截止时间前完成电子响应文件的提交，可以补充、修改或撤回。谈判响应截止时间前未完成电子响应文件提交的，视为撤回响应文件。</w:t>
      </w:r>
    </w:p>
    <w:p w14:paraId="6B866161">
      <w:pPr>
        <w:pStyle w:val="57"/>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14:paraId="780B2233">
      <w:pPr>
        <w:pStyle w:val="57"/>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供应商不得在响应有效期内撤销响应文件，否则供应商将承担违背谈判承诺函的责任追究。</w:t>
      </w:r>
    </w:p>
    <w:p w14:paraId="2A3FFB4A">
      <w:pPr>
        <w:pStyle w:val="57"/>
        <w:numPr>
          <w:ilvl w:val="0"/>
          <w:numId w:val="17"/>
        </w:numPr>
        <w:autoSpaceDE w:val="0"/>
        <w:autoSpaceDN w:val="0"/>
        <w:spacing w:line="360" w:lineRule="auto"/>
        <w:ind w:left="993" w:hanging="993"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除供应商须知前附表另有规定外，供应商所提交的电子响应文件不予退还。</w:t>
      </w:r>
    </w:p>
    <w:p w14:paraId="6A4D842B">
      <w:pPr>
        <w:autoSpaceDE w:val="0"/>
        <w:autoSpaceDN w:val="0"/>
        <w:spacing w:line="360" w:lineRule="auto"/>
        <w:contextualSpacing/>
        <w:rPr>
          <w:rFonts w:cs="宋体" w:asciiTheme="minorEastAsia" w:hAnsiTheme="minorEastAsia"/>
          <w:kern w:val="0"/>
          <w:szCs w:val="21"/>
        </w:rPr>
      </w:pPr>
    </w:p>
    <w:p w14:paraId="739FD81E">
      <w:pPr>
        <w:tabs>
          <w:tab w:val="left" w:pos="1260"/>
        </w:tabs>
        <w:autoSpaceDE w:val="0"/>
        <w:autoSpaceDN w:val="0"/>
        <w:spacing w:line="360" w:lineRule="auto"/>
        <w:contextualSpacing/>
        <w:jc w:val="center"/>
        <w:outlineLvl w:val="1"/>
        <w:rPr>
          <w:rFonts w:cs="宋体" w:asciiTheme="minorEastAsia" w:hAnsiTheme="minorEastAsia"/>
          <w:b/>
          <w:kern w:val="0"/>
          <w:szCs w:val="21"/>
        </w:rPr>
      </w:pPr>
      <w:r>
        <w:rPr>
          <w:rFonts w:hint="eastAsia" w:cs="宋体" w:asciiTheme="minorEastAsia" w:hAnsiTheme="minorEastAsia"/>
          <w:b/>
          <w:kern w:val="0"/>
          <w:szCs w:val="21"/>
        </w:rPr>
        <w:t>五、谈判和评审</w:t>
      </w:r>
    </w:p>
    <w:p w14:paraId="31F846BE">
      <w:pPr>
        <w:pStyle w:val="57"/>
        <w:numPr>
          <w:ilvl w:val="0"/>
          <w:numId w:val="17"/>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响应文件解密</w:t>
      </w:r>
    </w:p>
    <w:p w14:paraId="345C24A8">
      <w:pPr>
        <w:pStyle w:val="57"/>
        <w:numPr>
          <w:ilvl w:val="1"/>
          <w:numId w:val="3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采购人将按谈判文件规定的</w:t>
      </w:r>
      <w:r>
        <w:rPr>
          <w:rFonts w:hint="eastAsia" w:cs="仿宋_GB2312" w:asciiTheme="minorEastAsia" w:hAnsiTheme="minorEastAsia"/>
          <w:szCs w:val="21"/>
        </w:rPr>
        <w:t>谈判响应截止时间</w:t>
      </w:r>
      <w:r>
        <w:rPr>
          <w:rFonts w:hint="eastAsia" w:cs="宋体" w:asciiTheme="minorEastAsia" w:hAnsiTheme="minorEastAsia"/>
          <w:kern w:val="0"/>
          <w:szCs w:val="21"/>
        </w:rPr>
        <w:t>和地点解密电子响应文件。由代理机构主持，供应商无需到现场。</w:t>
      </w:r>
    </w:p>
    <w:p w14:paraId="641760D6">
      <w:pPr>
        <w:pStyle w:val="57"/>
        <w:numPr>
          <w:ilvl w:val="1"/>
          <w:numId w:val="34"/>
        </w:numPr>
        <w:autoSpaceDE w:val="0"/>
        <w:autoSpaceDN w:val="0"/>
        <w:spacing w:line="360" w:lineRule="auto"/>
        <w:ind w:hanging="964" w:firstLineChars="0"/>
        <w:contextualSpacing/>
        <w:rPr>
          <w:rFonts w:cs="宋体" w:asciiTheme="minorEastAsia" w:hAnsiTheme="minorEastAsia"/>
          <w:kern w:val="0"/>
          <w:szCs w:val="21"/>
        </w:rPr>
      </w:pPr>
      <w:r>
        <w:rPr>
          <w:rFonts w:hint="eastAsia" w:cs="仿宋_GB2312" w:asciiTheme="minorEastAsia" w:hAnsiTheme="minorEastAsia"/>
          <w:szCs w:val="21"/>
        </w:rPr>
        <w:t>谈判响应截止时间</w:t>
      </w:r>
      <w:r>
        <w:rPr>
          <w:rFonts w:hint="eastAsia" w:cs="宋体" w:asciiTheme="minorEastAsia" w:hAnsiTheme="minorEastAsia"/>
          <w:kern w:val="0"/>
          <w:szCs w:val="21"/>
        </w:rPr>
        <w:t>，由代理机构开通远程不见面开标大厅及开启“文字互动”等功能；供应商、代理机构进行电子响应文件的解密。解密后</w:t>
      </w:r>
      <w:r>
        <w:rPr>
          <w:rFonts w:hint="eastAsia" w:asciiTheme="minorEastAsia" w:hAnsiTheme="minorEastAsia"/>
          <w:szCs w:val="21"/>
        </w:rPr>
        <w:t>供应商选择功能栏“开标记录”按钮可查看</w:t>
      </w:r>
      <w:r>
        <w:rPr>
          <w:rFonts w:hint="eastAsia" w:cs="宋体" w:asciiTheme="minorEastAsia" w:hAnsiTheme="minorEastAsia"/>
          <w:kern w:val="0"/>
          <w:szCs w:val="21"/>
        </w:rPr>
        <w:t>供应商名称、修改和撤回投标的通知（如有的话）和谈判文件规定的需要宣布的其他内容。</w:t>
      </w:r>
    </w:p>
    <w:p w14:paraId="342EC889">
      <w:pPr>
        <w:pStyle w:val="57"/>
        <w:numPr>
          <w:ilvl w:val="0"/>
          <w:numId w:val="3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电子响应文件的解密：全流程电子化交易项目电子响应文件采用双重加密。解密需分标段进行两次解密。</w:t>
      </w:r>
    </w:p>
    <w:p w14:paraId="00129268">
      <w:pPr>
        <w:pStyle w:val="57"/>
        <w:numPr>
          <w:ilvl w:val="0"/>
          <w:numId w:val="3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供应商解密：供应商使用本单位CA数字证书进行远程解密。</w:t>
      </w:r>
    </w:p>
    <w:p w14:paraId="5454A260">
      <w:pPr>
        <w:pStyle w:val="57"/>
        <w:numPr>
          <w:ilvl w:val="0"/>
          <w:numId w:val="3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14:paraId="410EA8D4">
      <w:pPr>
        <w:pStyle w:val="57"/>
        <w:numPr>
          <w:ilvl w:val="0"/>
          <w:numId w:val="35"/>
        </w:numPr>
        <w:autoSpaceDE w:val="0"/>
        <w:autoSpaceDN w:val="0"/>
        <w:spacing w:line="360" w:lineRule="auto"/>
        <w:ind w:hanging="1384" w:firstLineChars="0"/>
        <w:contextualSpacing/>
        <w:rPr>
          <w:rFonts w:cs="宋体" w:asciiTheme="minorEastAsia" w:hAnsiTheme="minorEastAsia"/>
          <w:kern w:val="0"/>
          <w:szCs w:val="21"/>
        </w:rPr>
      </w:pPr>
      <w:r>
        <w:rPr>
          <w:rFonts w:hint="eastAsia" w:asciiTheme="minorEastAsia" w:hAnsiTheme="minorEastAsia"/>
          <w:szCs w:val="21"/>
        </w:rPr>
        <w:t>供应商未在规定时间内解密或</w:t>
      </w:r>
      <w:r>
        <w:rPr>
          <w:rFonts w:hint="eastAsia" w:cs="宋体" w:asciiTheme="minorEastAsia" w:hAnsiTheme="minorEastAsia"/>
          <w:kern w:val="0"/>
          <w:szCs w:val="21"/>
        </w:rPr>
        <w:t>因供应商原因解密失败的，其响应文件将被拒绝。</w:t>
      </w:r>
    </w:p>
    <w:p w14:paraId="15044C19">
      <w:pPr>
        <w:pStyle w:val="57"/>
        <w:numPr>
          <w:ilvl w:val="1"/>
          <w:numId w:val="3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14:paraId="00B765A7">
      <w:pPr>
        <w:pStyle w:val="57"/>
        <w:numPr>
          <w:ilvl w:val="1"/>
          <w:numId w:val="34"/>
        </w:numPr>
        <w:autoSpaceDE w:val="0"/>
        <w:autoSpaceDN w:val="0"/>
        <w:spacing w:line="360" w:lineRule="auto"/>
        <w:ind w:hanging="964"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响应文件解密过程由集中采购机构负责记录。</w:t>
      </w:r>
    </w:p>
    <w:p w14:paraId="0219ACE5">
      <w:pPr>
        <w:pStyle w:val="57"/>
        <w:numPr>
          <w:ilvl w:val="1"/>
          <w:numId w:val="3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供应商对解密过程和记录有疑义，以及认为采购人、集中采购机构相关工作人员有需要回避的情形的，应当场提出询问或者回避申请。采购人、采购代理机构对供应商提出的询问或者回避申请应当及时处理。</w:t>
      </w:r>
    </w:p>
    <w:p w14:paraId="0FA514CC">
      <w:pPr>
        <w:pStyle w:val="57"/>
        <w:numPr>
          <w:ilvl w:val="1"/>
          <w:numId w:val="34"/>
        </w:numPr>
        <w:autoSpaceDE w:val="0"/>
        <w:autoSpaceDN w:val="0"/>
        <w:spacing w:line="360" w:lineRule="auto"/>
        <w:ind w:hanging="964" w:firstLineChars="0"/>
        <w:contextualSpacing/>
        <w:rPr>
          <w:rFonts w:cs="宋体" w:asciiTheme="minorEastAsia" w:hAnsiTheme="minorEastAsia"/>
          <w:kern w:val="0"/>
          <w:szCs w:val="21"/>
        </w:rPr>
      </w:pPr>
      <w:r>
        <w:rPr>
          <w:rFonts w:hint="eastAsia" w:asciiTheme="minorEastAsia" w:hAnsiTheme="minorEastAsia"/>
          <w:szCs w:val="21"/>
        </w:rPr>
        <w:t>响应文件</w:t>
      </w:r>
      <w:r>
        <w:rPr>
          <w:rFonts w:hint="eastAsia" w:hAnsi="宋体"/>
          <w:szCs w:val="21"/>
        </w:rPr>
        <w:t>解密活动结束时，供应商应在《开标记录表》上进行电子签章。供应商未签章的，视同认可解密结果。</w:t>
      </w:r>
    </w:p>
    <w:p w14:paraId="2629893E">
      <w:pPr>
        <w:pStyle w:val="57"/>
        <w:numPr>
          <w:ilvl w:val="0"/>
          <w:numId w:val="36"/>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谈判小组组成</w:t>
      </w:r>
    </w:p>
    <w:p w14:paraId="5A7DF36D">
      <w:pPr>
        <w:pStyle w:val="57"/>
        <w:numPr>
          <w:ilvl w:val="0"/>
          <w:numId w:val="3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14:paraId="1D894F8A">
      <w:pPr>
        <w:pStyle w:val="57"/>
        <w:numPr>
          <w:ilvl w:val="0"/>
          <w:numId w:val="38"/>
        </w:numPr>
        <w:autoSpaceDE w:val="0"/>
        <w:autoSpaceDN w:val="0"/>
        <w:spacing w:line="360" w:lineRule="auto"/>
        <w:ind w:hanging="1369"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14:paraId="55D49911">
      <w:pPr>
        <w:pStyle w:val="57"/>
        <w:numPr>
          <w:ilvl w:val="0"/>
          <w:numId w:val="38"/>
        </w:numPr>
        <w:autoSpaceDE w:val="0"/>
        <w:autoSpaceDN w:val="0"/>
        <w:spacing w:line="360" w:lineRule="auto"/>
        <w:ind w:hanging="1369" w:firstLineChars="0"/>
        <w:contextualSpacing/>
        <w:rPr>
          <w:rFonts w:cs="宋体" w:asciiTheme="minorEastAsia" w:hAnsiTheme="minorEastAsia"/>
          <w:kern w:val="0"/>
          <w:szCs w:val="21"/>
        </w:rPr>
      </w:pP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14:paraId="6542C68A">
      <w:pPr>
        <w:pStyle w:val="57"/>
        <w:numPr>
          <w:ilvl w:val="0"/>
          <w:numId w:val="37"/>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14:paraId="593E2B4B">
      <w:pPr>
        <w:pStyle w:val="57"/>
        <w:numPr>
          <w:ilvl w:val="0"/>
          <w:numId w:val="3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14:paraId="4332E1B5">
      <w:pPr>
        <w:pStyle w:val="57"/>
        <w:numPr>
          <w:ilvl w:val="0"/>
          <w:numId w:val="39"/>
        </w:numPr>
        <w:autoSpaceDE w:val="0"/>
        <w:autoSpaceDN w:val="0"/>
        <w:spacing w:line="360" w:lineRule="auto"/>
        <w:ind w:hanging="1369" w:firstLineChars="0"/>
        <w:contextualSpacing/>
        <w:rPr>
          <w:rFonts w:ascii="ˎ̥" w:hAnsi="ˎ̥"/>
        </w:rPr>
      </w:pPr>
      <w:r>
        <w:rPr>
          <w:rFonts w:hint="eastAsia" w:ascii="ˎ̥" w:hAnsi="ˎ̥"/>
        </w:rPr>
        <w:t>参加采购活动前三年内，与供应商存在劳动关系，或者担任过供应商的董事、监事，或者是供应商的控股股东或实际控制人；</w:t>
      </w:r>
    </w:p>
    <w:p w14:paraId="7D833EDD">
      <w:pPr>
        <w:pStyle w:val="57"/>
        <w:numPr>
          <w:ilvl w:val="0"/>
          <w:numId w:val="39"/>
        </w:numPr>
        <w:autoSpaceDE w:val="0"/>
        <w:autoSpaceDN w:val="0"/>
        <w:spacing w:line="360" w:lineRule="auto"/>
        <w:ind w:hanging="1369" w:firstLineChars="0"/>
        <w:contextualSpacing/>
        <w:rPr>
          <w:rFonts w:ascii="ˎ̥" w:hAnsi="ˎ̥"/>
        </w:rPr>
      </w:pPr>
      <w:r>
        <w:rPr>
          <w:rFonts w:hint="eastAsia" w:ascii="ˎ̥" w:hAnsi="ˎ̥"/>
        </w:rPr>
        <w:t>与供应商的法定代表人或者负责人有夫妻、直系血亲、三代以内旁系血亲或者近姻亲关系；</w:t>
      </w:r>
    </w:p>
    <w:p w14:paraId="0C720ADF">
      <w:pPr>
        <w:pStyle w:val="57"/>
        <w:numPr>
          <w:ilvl w:val="0"/>
          <w:numId w:val="39"/>
        </w:numPr>
        <w:autoSpaceDE w:val="0"/>
        <w:autoSpaceDN w:val="0"/>
        <w:spacing w:line="360" w:lineRule="auto"/>
        <w:ind w:hanging="1369" w:firstLineChars="0"/>
        <w:contextualSpacing/>
        <w:rPr>
          <w:rFonts w:ascii="ˎ̥" w:hAnsi="ˎ̥"/>
        </w:rPr>
      </w:pPr>
      <w:r>
        <w:rPr>
          <w:rFonts w:hint="eastAsia" w:ascii="ˎ̥" w:hAnsi="ˎ̥"/>
        </w:rPr>
        <w:t>与供应商有其他可能影响政府采购活动公平、公正进行的关系。</w:t>
      </w:r>
    </w:p>
    <w:p w14:paraId="5C6B369D">
      <w:pPr>
        <w:pStyle w:val="57"/>
        <w:numPr>
          <w:ilvl w:val="0"/>
          <w:numId w:val="3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14:paraId="42C9975D">
      <w:pPr>
        <w:pStyle w:val="57"/>
        <w:numPr>
          <w:ilvl w:val="0"/>
          <w:numId w:val="3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14:paraId="424D5016">
      <w:pPr>
        <w:pStyle w:val="57"/>
        <w:numPr>
          <w:ilvl w:val="0"/>
          <w:numId w:val="3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14:paraId="30041B93">
      <w:pPr>
        <w:pStyle w:val="57"/>
        <w:numPr>
          <w:ilvl w:val="0"/>
          <w:numId w:val="0"/>
        </w:numPr>
        <w:autoSpaceDE w:val="0"/>
        <w:autoSpaceDN w:val="0"/>
        <w:spacing w:line="360" w:lineRule="auto"/>
        <w:ind w:leftChars="0"/>
        <w:contextualSpacing/>
        <w:outlineLvl w:val="2"/>
        <w:rPr>
          <w:rFonts w:cs="宋体" w:asciiTheme="minorEastAsia" w:hAnsiTheme="minorEastAsia"/>
          <w:b/>
          <w:kern w:val="0"/>
          <w:szCs w:val="21"/>
        </w:rPr>
      </w:pPr>
      <w:r>
        <w:rPr>
          <w:rFonts w:hint="eastAsia" w:cs="宋体" w:asciiTheme="minorEastAsia" w:hAnsiTheme="minorEastAsia"/>
          <w:b/>
          <w:kern w:val="0"/>
          <w:szCs w:val="21"/>
          <w:lang w:val="en-US" w:eastAsia="zh-CN"/>
        </w:rPr>
        <w:t>24.</w:t>
      </w:r>
      <w:r>
        <w:rPr>
          <w:rFonts w:hint="eastAsia" w:cs="宋体" w:asciiTheme="minorEastAsia" w:hAnsiTheme="minorEastAsia"/>
          <w:b/>
          <w:kern w:val="0"/>
          <w:szCs w:val="21"/>
        </w:rPr>
        <w:t>资格审查和符合性审查</w:t>
      </w:r>
    </w:p>
    <w:p w14:paraId="2D0FE4BA">
      <w:pPr>
        <w:pStyle w:val="57"/>
        <w:numPr>
          <w:ilvl w:val="0"/>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14:paraId="232B265E">
      <w:pPr>
        <w:pStyle w:val="57"/>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14:paraId="394929E9">
      <w:pPr>
        <w:pStyle w:val="57"/>
        <w:numPr>
          <w:ilvl w:val="0"/>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符合性审查：依据谈判文件的规定，从响应文件的有效性、完整性和对谈判文件的响应程度进行审查，以确定是否对谈判文件的全部实质性要求作出响应。</w:t>
      </w:r>
    </w:p>
    <w:p w14:paraId="1434BB95">
      <w:pPr>
        <w:pStyle w:val="57"/>
        <w:numPr>
          <w:ilvl w:val="0"/>
          <w:numId w:val="0"/>
        </w:numPr>
        <w:autoSpaceDE w:val="0"/>
        <w:autoSpaceDN w:val="0"/>
        <w:spacing w:line="360" w:lineRule="auto"/>
        <w:ind w:leftChars="0"/>
        <w:contextualSpacing/>
        <w:outlineLvl w:val="2"/>
        <w:rPr>
          <w:rFonts w:cs="宋体" w:asciiTheme="minorEastAsia" w:hAnsiTheme="minorEastAsia"/>
          <w:b/>
          <w:kern w:val="0"/>
          <w:szCs w:val="21"/>
        </w:rPr>
      </w:pPr>
      <w:r>
        <w:rPr>
          <w:rFonts w:hint="eastAsia" w:cs="宋体" w:asciiTheme="minorEastAsia" w:hAnsiTheme="minorEastAsia"/>
          <w:b/>
          <w:kern w:val="0"/>
          <w:szCs w:val="21"/>
          <w:lang w:val="en-US" w:eastAsia="zh-CN"/>
        </w:rPr>
        <w:t>25.</w:t>
      </w:r>
      <w:r>
        <w:rPr>
          <w:rFonts w:hint="eastAsia" w:cs="宋体" w:asciiTheme="minorEastAsia" w:hAnsiTheme="minorEastAsia"/>
          <w:b/>
          <w:kern w:val="0"/>
          <w:szCs w:val="21"/>
        </w:rPr>
        <w:t>响应文件的澄清</w:t>
      </w:r>
    </w:p>
    <w:p w14:paraId="4A012B88">
      <w:pPr>
        <w:pStyle w:val="57"/>
        <w:numPr>
          <w:ilvl w:val="0"/>
          <w:numId w:val="41"/>
        </w:numPr>
        <w:autoSpaceDE w:val="0"/>
        <w:autoSpaceDN w:val="0"/>
        <w:spacing w:line="360" w:lineRule="auto"/>
        <w:ind w:hanging="964"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rPr>
        <w:t>。</w:t>
      </w:r>
    </w:p>
    <w:p w14:paraId="09389709">
      <w:pPr>
        <w:pStyle w:val="57"/>
        <w:numPr>
          <w:ilvl w:val="0"/>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。供应商的澄清、说明或者补正不得超出</w:t>
      </w:r>
      <w:r>
        <w:rPr>
          <w:rFonts w:hint="eastAsia" w:cs="宋体" w:asciiTheme="minorEastAsia" w:hAnsiTheme="minorEastAsia"/>
          <w:kern w:val="0"/>
          <w:szCs w:val="21"/>
        </w:rPr>
        <w:t>投标文件的范围或者改变响应文件的实质性内容。</w:t>
      </w:r>
    </w:p>
    <w:p w14:paraId="119175B8">
      <w:pPr>
        <w:pStyle w:val="57"/>
        <w:numPr>
          <w:ilvl w:val="0"/>
          <w:numId w:val="41"/>
        </w:numPr>
        <w:autoSpaceDE w:val="0"/>
        <w:autoSpaceDN w:val="0"/>
        <w:spacing w:line="360" w:lineRule="auto"/>
        <w:ind w:hanging="964"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14:paraId="50328378">
      <w:pPr>
        <w:pStyle w:val="57"/>
        <w:autoSpaceDE w:val="0"/>
        <w:autoSpaceDN w:val="0"/>
        <w:spacing w:line="360" w:lineRule="auto"/>
        <w:ind w:left="964" w:firstLine="0" w:firstLineChars="0"/>
        <w:contextualSpacing/>
        <w:rPr>
          <w:rFonts w:cs="宋体" w:asciiTheme="minorEastAsia" w:hAnsiTheme="minorEastAsia"/>
          <w:kern w:val="0"/>
          <w:szCs w:val="21"/>
        </w:rPr>
      </w:pPr>
    </w:p>
    <w:p w14:paraId="3D9D6956">
      <w:pPr>
        <w:pStyle w:val="57"/>
        <w:numPr>
          <w:ilvl w:val="0"/>
          <w:numId w:val="0"/>
        </w:numPr>
        <w:autoSpaceDE w:val="0"/>
        <w:autoSpaceDN w:val="0"/>
        <w:spacing w:line="360" w:lineRule="auto"/>
        <w:ind w:leftChars="0"/>
        <w:contextualSpacing/>
        <w:outlineLvl w:val="2"/>
        <w:rPr>
          <w:rFonts w:cs="宋体" w:asciiTheme="minorEastAsia" w:hAnsiTheme="minorEastAsia"/>
          <w:b/>
          <w:kern w:val="0"/>
          <w:szCs w:val="21"/>
        </w:rPr>
      </w:pPr>
      <w:r>
        <w:rPr>
          <w:rFonts w:hint="eastAsia" w:cs="宋体" w:asciiTheme="minorEastAsia" w:hAnsiTheme="minorEastAsia"/>
          <w:b/>
          <w:kern w:val="0"/>
          <w:szCs w:val="21"/>
          <w:lang w:val="en-US" w:eastAsia="zh-CN"/>
        </w:rPr>
        <w:t>26.</w:t>
      </w:r>
      <w:r>
        <w:rPr>
          <w:rFonts w:hint="eastAsia" w:cs="宋体" w:asciiTheme="minorEastAsia" w:hAnsiTheme="minorEastAsia"/>
          <w:b/>
          <w:kern w:val="0"/>
          <w:szCs w:val="21"/>
        </w:rPr>
        <w:t>响应文件报价出现前后不一致的修正</w:t>
      </w:r>
    </w:p>
    <w:p w14:paraId="1FC013E5">
      <w:pPr>
        <w:pStyle w:val="57"/>
        <w:numPr>
          <w:ilvl w:val="1"/>
          <w:numId w:val="42"/>
        </w:numPr>
        <w:autoSpaceDE w:val="0"/>
        <w:autoSpaceDN w:val="0"/>
        <w:spacing w:line="360" w:lineRule="auto"/>
        <w:ind w:hanging="964"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14:paraId="72990450">
      <w:pPr>
        <w:pStyle w:val="57"/>
        <w:numPr>
          <w:ilvl w:val="1"/>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14:paraId="4ABAFAE4">
      <w:pPr>
        <w:pStyle w:val="57"/>
        <w:numPr>
          <w:ilvl w:val="1"/>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14:paraId="54CF0598">
      <w:pPr>
        <w:pStyle w:val="57"/>
        <w:numPr>
          <w:ilvl w:val="0"/>
          <w:numId w:val="42"/>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响应无效情形</w:t>
      </w:r>
    </w:p>
    <w:p w14:paraId="7C9FD710">
      <w:pPr>
        <w:pStyle w:val="57"/>
        <w:numPr>
          <w:ilvl w:val="0"/>
          <w:numId w:val="43"/>
        </w:numPr>
        <w:autoSpaceDE w:val="0"/>
        <w:autoSpaceDN w:val="0"/>
        <w:spacing w:line="360" w:lineRule="auto"/>
        <w:ind w:firstLineChars="0"/>
        <w:contextualSpacing/>
        <w:outlineLvl w:val="3"/>
        <w:rPr>
          <w:rFonts w:cs="宋体" w:asciiTheme="minorEastAsia" w:hAnsiTheme="minorEastAsia"/>
          <w:vanish/>
          <w:kern w:val="0"/>
          <w:szCs w:val="21"/>
        </w:rPr>
      </w:pPr>
      <w:r>
        <w:rPr>
          <w:rFonts w:hint="eastAsia" w:cs="宋体" w:asciiTheme="minorEastAsia" w:hAnsiTheme="minorEastAsia"/>
          <w:kern w:val="0"/>
          <w:szCs w:val="21"/>
        </w:rPr>
        <w:t>响应文件属下列情况之一的，按照无效响应处理：</w:t>
      </w:r>
    </w:p>
    <w:p w14:paraId="5FF01831">
      <w:pPr>
        <w:pStyle w:val="57"/>
        <w:numPr>
          <w:ilvl w:val="0"/>
          <w:numId w:val="4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未按照谈判文件的规定提交《禹州市政府采购供应商信用承诺函》的；</w:t>
      </w:r>
    </w:p>
    <w:p w14:paraId="73B62B9B">
      <w:pPr>
        <w:pStyle w:val="57"/>
        <w:numPr>
          <w:ilvl w:val="0"/>
          <w:numId w:val="4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未按照谈判文件的规定提交谈判承诺函的；</w:t>
      </w:r>
    </w:p>
    <w:p w14:paraId="68BB2BD5">
      <w:pPr>
        <w:pStyle w:val="57"/>
        <w:numPr>
          <w:ilvl w:val="0"/>
          <w:numId w:val="45"/>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响应文件未按谈判文件要求签署、盖章的；</w:t>
      </w:r>
    </w:p>
    <w:p w14:paraId="5BBD5E1E">
      <w:pPr>
        <w:pStyle w:val="57"/>
        <w:numPr>
          <w:ilvl w:val="0"/>
          <w:numId w:val="45"/>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报价超过谈判文件中规定的预算金额的；</w:t>
      </w:r>
    </w:p>
    <w:p w14:paraId="3C99C9FC">
      <w:pPr>
        <w:pStyle w:val="57"/>
        <w:numPr>
          <w:ilvl w:val="0"/>
          <w:numId w:val="45"/>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响应文件含有采购人不能接受的附加条件的。</w:t>
      </w:r>
    </w:p>
    <w:p w14:paraId="1EFD47E8">
      <w:pPr>
        <w:pStyle w:val="57"/>
        <w:numPr>
          <w:ilvl w:val="0"/>
          <w:numId w:val="4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根据《河南省财政厅关于防范供应商串通投标促进政府采购公平竞争的通知》（豫财购﹝2021﹞6号）要求，参与同一个标段的供应商存在下列情形之一的，其投标文件无效：</w:t>
      </w:r>
    </w:p>
    <w:p w14:paraId="1306D253">
      <w:pPr>
        <w:pStyle w:val="57"/>
        <w:numPr>
          <w:ilvl w:val="0"/>
          <w:numId w:val="4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不同供应商的电子响应文件上传计算机的网卡MAC地址、CPU序列号和硬盘序列号等硬件信息相同的；</w:t>
      </w:r>
    </w:p>
    <w:p w14:paraId="4D509F3C">
      <w:pPr>
        <w:pStyle w:val="57"/>
        <w:numPr>
          <w:ilvl w:val="0"/>
          <w:numId w:val="4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不同供应商的响应文件由同一电子设备编制、打印加密或者上传；</w:t>
      </w:r>
    </w:p>
    <w:p w14:paraId="6E1EE6BF">
      <w:pPr>
        <w:pStyle w:val="57"/>
        <w:numPr>
          <w:ilvl w:val="0"/>
          <w:numId w:val="48"/>
        </w:numPr>
        <w:autoSpaceDE w:val="0"/>
        <w:autoSpaceDN w:val="0"/>
        <w:spacing w:line="360" w:lineRule="auto"/>
        <w:ind w:left="1418" w:hanging="1418" w:firstLineChars="0"/>
        <w:contextualSpacing/>
        <w:outlineLvl w:val="4"/>
        <w:rPr>
          <w:rFonts w:cs="宋体" w:asciiTheme="minorEastAsia" w:hAnsiTheme="minorEastAsia"/>
          <w:kern w:val="0"/>
          <w:szCs w:val="21"/>
        </w:rPr>
      </w:pPr>
      <w:r>
        <w:rPr>
          <w:rFonts w:hint="eastAsia" w:cs="宋体" w:asciiTheme="minorEastAsia" w:hAnsiTheme="minorEastAsia"/>
          <w:kern w:val="0"/>
          <w:szCs w:val="21"/>
        </w:rPr>
        <w:t>不同供应商的响应文件由同一电子设备打印、复印；</w:t>
      </w:r>
    </w:p>
    <w:p w14:paraId="4CC40D3D">
      <w:pPr>
        <w:pStyle w:val="57"/>
        <w:numPr>
          <w:ilvl w:val="0"/>
          <w:numId w:val="4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不同供应商的响应文件由同一人送达或者分发，或者不同供应商联系人为同一人或不同联系人的联系电话一致的；</w:t>
      </w:r>
    </w:p>
    <w:p w14:paraId="3997A596">
      <w:pPr>
        <w:pStyle w:val="57"/>
        <w:numPr>
          <w:ilvl w:val="0"/>
          <w:numId w:val="5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不同供应商的响应文件的内容存在两处以上细节错误一致；</w:t>
      </w:r>
    </w:p>
    <w:p w14:paraId="22D0B070">
      <w:pPr>
        <w:pStyle w:val="57"/>
        <w:numPr>
          <w:ilvl w:val="0"/>
          <w:numId w:val="5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不同供应商的法定代表人、委托代理人、项目经理、项目负责人等由同一个单位缴纳社会保险或者领取报酬的；</w:t>
      </w:r>
    </w:p>
    <w:p w14:paraId="2A9C4AE8">
      <w:pPr>
        <w:pStyle w:val="57"/>
        <w:numPr>
          <w:ilvl w:val="0"/>
          <w:numId w:val="5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不同供应商响应文件中法定代表人或者负责人签字出自同一人之手；</w:t>
      </w:r>
    </w:p>
    <w:p w14:paraId="6C9409EF">
      <w:pPr>
        <w:pStyle w:val="57"/>
        <w:numPr>
          <w:ilvl w:val="0"/>
          <w:numId w:val="53"/>
        </w:numPr>
        <w:autoSpaceDE w:val="0"/>
        <w:autoSpaceDN w:val="0"/>
        <w:spacing w:line="360" w:lineRule="auto"/>
        <w:ind w:left="1418" w:hanging="1418" w:firstLineChars="0"/>
        <w:contextualSpacing/>
        <w:outlineLvl w:val="4"/>
        <w:rPr>
          <w:rFonts w:cs="宋体" w:asciiTheme="minorEastAsia" w:hAnsiTheme="minorEastAsia"/>
          <w:kern w:val="0"/>
          <w:szCs w:val="21"/>
        </w:rPr>
      </w:pPr>
      <w:r>
        <w:rPr>
          <w:rFonts w:hint="eastAsia" w:cs="宋体" w:asciiTheme="minorEastAsia" w:hAnsiTheme="minorEastAsia"/>
          <w:kern w:val="0"/>
          <w:szCs w:val="21"/>
        </w:rPr>
        <w:t>其它涉嫌串通的情形。</w:t>
      </w:r>
    </w:p>
    <w:p w14:paraId="2F92AA0E">
      <w:pPr>
        <w:pStyle w:val="57"/>
        <w:numPr>
          <w:ilvl w:val="0"/>
          <w:numId w:val="4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14:paraId="39E52603">
      <w:pPr>
        <w:pStyle w:val="57"/>
        <w:numPr>
          <w:ilvl w:val="0"/>
          <w:numId w:val="54"/>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不同供应商的响应文件由同一单位或者个人编制；</w:t>
      </w:r>
    </w:p>
    <w:p w14:paraId="2B5EEEF7">
      <w:pPr>
        <w:pStyle w:val="57"/>
        <w:numPr>
          <w:ilvl w:val="0"/>
          <w:numId w:val="5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不同供应商委托同一单位或者个人办理响应事宜；</w:t>
      </w:r>
    </w:p>
    <w:p w14:paraId="3FC6FDDF">
      <w:pPr>
        <w:pStyle w:val="57"/>
        <w:numPr>
          <w:ilvl w:val="0"/>
          <w:numId w:val="5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不同供应商的响应文件载明的项目管理成员或者联系人员为同一人；</w:t>
      </w:r>
    </w:p>
    <w:p w14:paraId="6D8EA9C5">
      <w:pPr>
        <w:pStyle w:val="57"/>
        <w:numPr>
          <w:ilvl w:val="0"/>
          <w:numId w:val="5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不同供应商的响应文件异常一致或者投标报价呈规律性差异；</w:t>
      </w:r>
    </w:p>
    <w:p w14:paraId="4B7E7893">
      <w:pPr>
        <w:pStyle w:val="57"/>
        <w:numPr>
          <w:ilvl w:val="0"/>
          <w:numId w:val="58"/>
        </w:numPr>
        <w:autoSpaceDE w:val="0"/>
        <w:autoSpaceDN w:val="0"/>
        <w:spacing w:line="360" w:lineRule="auto"/>
        <w:ind w:hanging="1384" w:firstLineChars="0"/>
        <w:contextualSpacing/>
        <w:outlineLvl w:val="4"/>
        <w:rPr>
          <w:rFonts w:cs="宋体" w:asciiTheme="minorEastAsia" w:hAnsiTheme="minorEastAsia"/>
          <w:kern w:val="0"/>
          <w:szCs w:val="21"/>
        </w:rPr>
      </w:pPr>
      <w:r>
        <w:rPr>
          <w:rFonts w:hint="eastAsia" w:cs="宋体" w:asciiTheme="minorEastAsia" w:hAnsiTheme="minorEastAsia"/>
          <w:kern w:val="0"/>
          <w:szCs w:val="21"/>
        </w:rPr>
        <w:t>不同供应商的响应文件相互混装。</w:t>
      </w:r>
    </w:p>
    <w:p w14:paraId="08BC07F8">
      <w:pPr>
        <w:pStyle w:val="57"/>
        <w:numPr>
          <w:ilvl w:val="0"/>
          <w:numId w:val="43"/>
        </w:numPr>
        <w:autoSpaceDE w:val="0"/>
        <w:autoSpaceDN w:val="0"/>
        <w:adjustRightInd w:val="0"/>
        <w:spacing w:line="360" w:lineRule="auto"/>
        <w:ind w:firstLineChars="0"/>
        <w:contextualSpacing/>
        <w:rPr>
          <w:rFonts w:ascii="ˎ̥" w:hAnsi="ˎ̥"/>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14:paraId="368FBDE2">
      <w:pPr>
        <w:pStyle w:val="57"/>
        <w:numPr>
          <w:ilvl w:val="0"/>
          <w:numId w:val="4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按照《关于推进全流程电子化交易和在线监管工作有关问题的通知》（许公管办〔2019〕3号）规定，不同供应商电子响应文件制作硬件特征码（网卡MAC地址、CPU序号、硬盘序列号）均一致时，视为‘不同供应商的响应文件由同一单位或者个人编制’或‘不同供应商委托同一单位或者个人办理响应事宜’，其谈判响应无效。</w:t>
      </w:r>
    </w:p>
    <w:p w14:paraId="40339AD1">
      <w:pPr>
        <w:pStyle w:val="57"/>
        <w:numPr>
          <w:ilvl w:val="0"/>
          <w:numId w:val="43"/>
        </w:numPr>
        <w:autoSpaceDE w:val="0"/>
        <w:autoSpaceDN w:val="0"/>
        <w:spacing w:line="360" w:lineRule="auto"/>
        <w:ind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法律法规和响应文件规定的其他无效情形。</w:t>
      </w:r>
    </w:p>
    <w:p w14:paraId="1AD0314C">
      <w:pPr>
        <w:pStyle w:val="57"/>
        <w:numPr>
          <w:ilvl w:val="0"/>
          <w:numId w:val="42"/>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响应文件评审与谈判</w:t>
      </w:r>
    </w:p>
    <w:p w14:paraId="723A1F0A">
      <w:pPr>
        <w:pStyle w:val="57"/>
        <w:numPr>
          <w:ilvl w:val="0"/>
          <w:numId w:val="59"/>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14:paraId="73B5CE58">
      <w:pPr>
        <w:pStyle w:val="57"/>
        <w:numPr>
          <w:ilvl w:val="0"/>
          <w:numId w:val="59"/>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14:paraId="03836044">
      <w:pPr>
        <w:pStyle w:val="57"/>
        <w:numPr>
          <w:ilvl w:val="0"/>
          <w:numId w:val="5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微软雅黑"/>
        </w:rPr>
        <w:t>在谈判中，谈判的任何一方不得透露与谈判有关的其他供应商的技术资料、价格和其他信息。</w:t>
      </w:r>
    </w:p>
    <w:p w14:paraId="59643CD9">
      <w:pPr>
        <w:pStyle w:val="57"/>
        <w:numPr>
          <w:ilvl w:val="0"/>
          <w:numId w:val="59"/>
        </w:numPr>
        <w:autoSpaceDE w:val="0"/>
        <w:autoSpaceDN w:val="0"/>
        <w:spacing w:line="360" w:lineRule="auto"/>
        <w:ind w:left="993" w:hanging="993" w:firstLineChars="0"/>
        <w:contextualSpacing/>
        <w:rPr>
          <w:rFonts w:cs="微软雅黑"/>
        </w:rPr>
      </w:pPr>
      <w:r>
        <w:rPr>
          <w:rFonts w:cs="微软雅黑"/>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cs="微软雅黑"/>
        </w:rPr>
        <w:t>。</w:t>
      </w:r>
      <w:r>
        <w:rPr>
          <w:rFonts w:cs="微软雅黑"/>
        </w:rPr>
        <w:t>对谈判文件作出的实质性变动是谈判文件的有效组成部分，谈判小组应当及时以书面形式同时通知所有参加谈判的供应商</w:t>
      </w:r>
      <w:r>
        <w:rPr>
          <w:rFonts w:hint="eastAsia" w:cs="微软雅黑"/>
        </w:rPr>
        <w:t>。</w:t>
      </w:r>
    </w:p>
    <w:p w14:paraId="4148BD9F">
      <w:pPr>
        <w:pStyle w:val="57"/>
        <w:numPr>
          <w:ilvl w:val="0"/>
          <w:numId w:val="59"/>
        </w:numPr>
        <w:autoSpaceDE w:val="0"/>
        <w:autoSpaceDN w:val="0"/>
        <w:spacing w:line="360" w:lineRule="auto"/>
        <w:ind w:left="964" w:hanging="993" w:firstLineChars="0"/>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14:paraId="36BFC697">
      <w:pPr>
        <w:pStyle w:val="57"/>
        <w:numPr>
          <w:ilvl w:val="0"/>
          <w:numId w:val="59"/>
        </w:numPr>
        <w:autoSpaceDE w:val="0"/>
        <w:autoSpaceDN w:val="0"/>
        <w:spacing w:line="360" w:lineRule="auto"/>
        <w:ind w:left="964" w:hanging="993"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14:paraId="7E17E99F">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14:paraId="3F4487C7">
      <w:pPr>
        <w:pStyle w:val="23"/>
        <w:keepNext w:val="0"/>
        <w:keepLines w:val="0"/>
        <w:widowControl/>
        <w:suppressLineNumbers w:val="0"/>
        <w:spacing w:before="0" w:beforeAutospacing="0" w:after="0" w:afterAutospacing="0" w:line="23" w:lineRule="atLeast"/>
        <w:ind w:left="0" w:right="0" w:firstLine="465"/>
        <w:jc w:val="left"/>
        <w:rPr>
          <w:rFonts w:ascii="ˎ̥" w:hAnsi="ˎ̥"/>
        </w:rPr>
      </w:pPr>
    </w:p>
    <w:p w14:paraId="47A31F0D">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840" w:right="0" w:hanging="840" w:hangingChars="400"/>
        <w:jc w:val="left"/>
        <w:textAlignment w:val="auto"/>
        <w:rPr>
          <w:rFonts w:ascii="ˎ̥" w:hAnsi="ˎ̥" w:eastAsiaTheme="minorEastAsia" w:cstheme="minorBidi"/>
          <w:color w:val="FF0000"/>
          <w:kern w:val="2"/>
          <w:sz w:val="21"/>
          <w:szCs w:val="22"/>
          <w:lang w:val="en-US" w:eastAsia="zh-CN" w:bidi="ar-SA"/>
        </w:rPr>
      </w:pPr>
      <w:r>
        <w:rPr>
          <w:rFonts w:hint="eastAsia" w:ascii="ˎ̥" w:hAnsi="ˎ̥" w:eastAsiaTheme="minorEastAsia" w:cstheme="minorBidi"/>
          <w:kern w:val="2"/>
          <w:sz w:val="21"/>
          <w:szCs w:val="22"/>
          <w:lang w:val="en-US" w:eastAsia="zh-CN" w:bidi="ar-SA"/>
        </w:rPr>
        <w:t xml:space="preserve">28.7    </w:t>
      </w:r>
      <w:r>
        <w:rPr>
          <w:rFonts w:ascii="ˎ̥" w:hAnsi="ˎ̥" w:eastAsiaTheme="minorEastAsia" w:cstheme="minorBidi"/>
          <w:kern w:val="2"/>
          <w:sz w:val="21"/>
          <w:szCs w:val="22"/>
          <w:lang w:val="en-US" w:eastAsia="zh-CN" w:bidi="ar-SA"/>
        </w:rPr>
        <w:t>最后报价是供应商响应文件的有效组成部分。</w:t>
      </w:r>
      <w:r>
        <w:rPr>
          <w:rFonts w:hint="eastAsia" w:ascii="ˎ̥" w:hAnsi="ˎ̥" w:eastAsiaTheme="minorEastAsia" w:cstheme="minorBidi"/>
          <w:kern w:val="2"/>
          <w:sz w:val="21"/>
          <w:szCs w:val="22"/>
          <w:lang w:val="en-US" w:eastAsia="zh-CN" w:bidi="ar-SA"/>
        </w:rPr>
        <w:t>（</w:t>
      </w:r>
      <w:r>
        <w:rPr>
          <w:rFonts w:hint="eastAsia" w:ascii="ˎ̥" w:hAnsi="ˎ̥" w:eastAsiaTheme="minorEastAsia" w:cstheme="minorBidi"/>
          <w:color w:val="FF0000"/>
          <w:kern w:val="2"/>
          <w:sz w:val="21"/>
          <w:szCs w:val="22"/>
          <w:lang w:val="en-US" w:eastAsia="zh-CN" w:bidi="ar-SA"/>
        </w:rPr>
        <w:t>特别提示：谈判小组应严格按照电子化评标系统规定的流程要求投标供应商使用CA数字证书登录许昌公共资源交易系统进行报价，禁止通过交易系统中的聊天通讯页面要求投标供应商提交报价、工程量清单等相关材料。</w:t>
      </w:r>
    </w:p>
    <w:p w14:paraId="21FD1C34">
      <w:pPr>
        <w:pStyle w:val="57"/>
        <w:numPr>
          <w:ilvl w:val="0"/>
          <w:numId w:val="0"/>
        </w:numPr>
        <w:autoSpaceDE w:val="0"/>
        <w:autoSpaceDN w:val="0"/>
        <w:spacing w:line="360" w:lineRule="auto"/>
        <w:ind w:left="-29" w:leftChars="0"/>
        <w:contextualSpacing/>
        <w:rPr>
          <w:rFonts w:ascii="ˎ̥" w:hAnsi="ˎ̥" w:eastAsiaTheme="minorEastAsia" w:cstheme="minorBidi"/>
          <w:kern w:val="2"/>
          <w:sz w:val="21"/>
          <w:szCs w:val="22"/>
          <w:lang w:val="en-US" w:eastAsia="zh-CN" w:bidi="ar-SA"/>
        </w:rPr>
      </w:pPr>
      <w:r>
        <w:rPr>
          <w:rFonts w:hint="eastAsia" w:ascii="ˎ̥" w:hAnsi="ˎ̥" w:eastAsiaTheme="minorEastAsia" w:cstheme="minorBidi"/>
          <w:kern w:val="2"/>
          <w:sz w:val="21"/>
          <w:szCs w:val="22"/>
          <w:lang w:val="en-US" w:eastAsia="zh-CN" w:bidi="ar-SA"/>
        </w:rPr>
        <w:t xml:space="preserve">28.8  </w:t>
      </w:r>
      <w:r>
        <w:rPr>
          <w:rFonts w:hint="eastAsia" w:ascii="ˎ̥" w:hAnsi="ˎ̥" w:cstheme="minorBidi"/>
          <w:kern w:val="2"/>
          <w:sz w:val="21"/>
          <w:szCs w:val="22"/>
          <w:lang w:val="en-US" w:eastAsia="zh-CN" w:bidi="ar-SA"/>
        </w:rPr>
        <w:t xml:space="preserve">  </w:t>
      </w:r>
      <w:r>
        <w:rPr>
          <w:rFonts w:ascii="ˎ̥" w:hAnsi="ˎ̥" w:eastAsiaTheme="minorEastAsia" w:cstheme="minorBidi"/>
          <w:kern w:val="2"/>
          <w:sz w:val="21"/>
          <w:szCs w:val="22"/>
          <w:lang w:val="en-US" w:eastAsia="zh-CN" w:bidi="ar-SA"/>
        </w:rPr>
        <w:t>已提交响应文件的供应商，在提交最后报价之前，可以根据谈判情况退出谈判</w:t>
      </w:r>
      <w:r>
        <w:rPr>
          <w:rFonts w:hint="eastAsia" w:ascii="ˎ̥" w:hAnsi="ˎ̥" w:eastAsiaTheme="minorEastAsia" w:cstheme="minorBidi"/>
          <w:kern w:val="2"/>
          <w:sz w:val="21"/>
          <w:szCs w:val="22"/>
          <w:lang w:val="en-US" w:eastAsia="zh-CN" w:bidi="ar-SA"/>
        </w:rPr>
        <w:t>。</w:t>
      </w:r>
    </w:p>
    <w:p w14:paraId="0619A95B">
      <w:pPr>
        <w:pStyle w:val="57"/>
        <w:numPr>
          <w:ilvl w:val="0"/>
          <w:numId w:val="0"/>
        </w:numPr>
        <w:autoSpaceDE w:val="0"/>
        <w:autoSpaceDN w:val="0"/>
        <w:spacing w:line="360" w:lineRule="auto"/>
        <w:ind w:left="813" w:leftChars="-13" w:hanging="840" w:hangingChars="400"/>
        <w:contextualSpacing/>
        <w:rPr>
          <w:rFonts w:ascii="ˎ̥" w:hAnsi="ˎ̥" w:eastAsiaTheme="minorEastAsia" w:cstheme="minorBidi"/>
          <w:kern w:val="2"/>
          <w:sz w:val="21"/>
          <w:szCs w:val="22"/>
          <w:lang w:val="en-US" w:eastAsia="zh-CN" w:bidi="ar-SA"/>
        </w:rPr>
      </w:pPr>
      <w:r>
        <w:rPr>
          <w:rFonts w:hint="eastAsia" w:ascii="ˎ̥" w:hAnsi="ˎ̥" w:eastAsiaTheme="minorEastAsia" w:cstheme="minorBidi"/>
          <w:kern w:val="2"/>
          <w:sz w:val="21"/>
          <w:szCs w:val="22"/>
          <w:lang w:val="en-US" w:eastAsia="zh-CN" w:bidi="ar-SA"/>
        </w:rPr>
        <w:t xml:space="preserve">28.9  </w:t>
      </w:r>
      <w:r>
        <w:rPr>
          <w:rFonts w:hint="eastAsia" w:ascii="ˎ̥" w:hAnsi="ˎ̥" w:cstheme="minorBidi"/>
          <w:kern w:val="2"/>
          <w:sz w:val="21"/>
          <w:szCs w:val="22"/>
          <w:lang w:val="en-US" w:eastAsia="zh-CN" w:bidi="ar-SA"/>
        </w:rPr>
        <w:t xml:space="preserve">  </w:t>
      </w:r>
      <w:r>
        <w:rPr>
          <w:rFonts w:hint="eastAsia" w:ascii="ˎ̥" w:hAnsi="ˎ̥" w:eastAsiaTheme="minorEastAsia" w:cstheme="minorBidi"/>
          <w:kern w:val="2"/>
          <w:sz w:val="21"/>
          <w:szCs w:val="22"/>
          <w:lang w:val="en-US" w:eastAsia="zh-CN" w:bidi="ar-SA"/>
        </w:rPr>
        <w:t>按照《关于推进全流程电子化交易和在线监管工作有关问题的通知》（许公管办〔2019〕3号）规定，评审专家应严格按照要求查看“硬件特征码相”关信息并进行评审。</w:t>
      </w:r>
    </w:p>
    <w:p w14:paraId="3C923145">
      <w:pPr>
        <w:pStyle w:val="57"/>
        <w:numPr>
          <w:ilvl w:val="0"/>
          <w:numId w:val="42"/>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14:paraId="147A5E05">
      <w:pPr>
        <w:pStyle w:val="57"/>
        <w:autoSpaceDE w:val="0"/>
        <w:autoSpaceDN w:val="0"/>
        <w:spacing w:line="360" w:lineRule="auto"/>
        <w:ind w:left="991" w:leftChars="47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14:paraId="08B37A69">
      <w:pPr>
        <w:tabs>
          <w:tab w:val="left" w:pos="1260"/>
        </w:tabs>
        <w:autoSpaceDE w:val="0"/>
        <w:autoSpaceDN w:val="0"/>
        <w:spacing w:line="360" w:lineRule="auto"/>
        <w:contextualSpacing/>
        <w:rPr>
          <w:rFonts w:cs="仿宋_GB2312" w:asciiTheme="minorEastAsia" w:hAnsiTheme="minorEastAsia"/>
          <w:szCs w:val="21"/>
          <w:lang w:val="zh-CN"/>
        </w:rPr>
      </w:pPr>
    </w:p>
    <w:p w14:paraId="0EFF158D">
      <w:pPr>
        <w:tabs>
          <w:tab w:val="left" w:pos="1260"/>
        </w:tabs>
        <w:autoSpaceDE w:val="0"/>
        <w:autoSpaceDN w:val="0"/>
        <w:spacing w:line="360" w:lineRule="auto"/>
        <w:contextualSpacing/>
        <w:jc w:val="center"/>
        <w:rPr>
          <w:rFonts w:cs="宋体" w:asciiTheme="minorEastAsia" w:hAnsiTheme="minorEastAsia"/>
          <w:b/>
          <w:kern w:val="0"/>
          <w:szCs w:val="21"/>
        </w:rPr>
      </w:pPr>
    </w:p>
    <w:p w14:paraId="5BF94CB7">
      <w:pPr>
        <w:tabs>
          <w:tab w:val="left" w:pos="1260"/>
        </w:tabs>
        <w:autoSpaceDE w:val="0"/>
        <w:autoSpaceDN w:val="0"/>
        <w:spacing w:line="360" w:lineRule="auto"/>
        <w:contextualSpacing/>
        <w:jc w:val="center"/>
        <w:outlineLvl w:val="1"/>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14:paraId="61B31FC3">
      <w:pPr>
        <w:pStyle w:val="57"/>
        <w:numPr>
          <w:ilvl w:val="0"/>
          <w:numId w:val="42"/>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确定成交供应商</w:t>
      </w:r>
    </w:p>
    <w:p w14:paraId="62E1208B">
      <w:pPr>
        <w:pStyle w:val="57"/>
        <w:numPr>
          <w:ilvl w:val="0"/>
          <w:numId w:val="60"/>
        </w:numPr>
        <w:autoSpaceDE w:val="0"/>
        <w:autoSpaceDN w:val="0"/>
        <w:spacing w:line="360" w:lineRule="auto"/>
        <w:ind w:left="993" w:hanging="993" w:firstLineChars="0"/>
        <w:contextualSpacing/>
        <w:rPr>
          <w:rFonts w:ascii="ˎ̥" w:hAnsi="ˎ̥"/>
        </w:rPr>
      </w:pPr>
      <w:r>
        <w:rPr>
          <w:rFonts w:ascii="ˎ̥" w:hAnsi="ˎ̥"/>
        </w:rPr>
        <w:t>采购人应当在收到评审报</w:t>
      </w:r>
      <w:r>
        <w:rPr>
          <w:rFonts w:hint="eastAsia" w:ascii="ˎ̥" w:hAnsi="ˎ̥"/>
        </w:rPr>
        <w:t>告</w:t>
      </w:r>
      <w:r>
        <w:rPr>
          <w:rFonts w:hint="eastAsia" w:cs="宋体" w:asciiTheme="minorEastAsia" w:hAnsiTheme="minorEastAsia"/>
          <w:kern w:val="0"/>
          <w:szCs w:val="21"/>
        </w:rPr>
        <w:t>之日起1个工作日内</w:t>
      </w:r>
      <w:r>
        <w:rPr>
          <w:rFonts w:ascii="ˎ̥" w:hAnsi="ˎ̥"/>
        </w:rPr>
        <w:t>，从评审报告提出的成交候选人中，根据质量和服务均能满足采购文件实质性响应要求且最后报价最低的原则确定成交供应商</w:t>
      </w:r>
      <w:r>
        <w:rPr>
          <w:rFonts w:hint="eastAsia" w:ascii="ˎ̥" w:hAnsi="ˎ̥"/>
        </w:rPr>
        <w:t>（核验成交供应商由《禹州市政府采购供应商信用承诺函》替代的证明材料）。</w:t>
      </w:r>
    </w:p>
    <w:p w14:paraId="254747A9">
      <w:pPr>
        <w:pStyle w:val="57"/>
        <w:numPr>
          <w:ilvl w:val="0"/>
          <w:numId w:val="60"/>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采购人在收到评标报告1个工作日内未按评标报告推荐的成交候选人顺序确定中标人，又不能说明合法理由的，视同按评标报告推荐的顺序确定排名第一的成交候选人为中标人。</w:t>
      </w:r>
    </w:p>
    <w:p w14:paraId="5CF3B79A">
      <w:pPr>
        <w:pStyle w:val="57"/>
        <w:numPr>
          <w:ilvl w:val="0"/>
          <w:numId w:val="42"/>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终止采购活动的情形</w:t>
      </w:r>
    </w:p>
    <w:p w14:paraId="782FD6A6">
      <w:pPr>
        <w:pStyle w:val="57"/>
        <w:autoSpaceDE w:val="0"/>
        <w:autoSpaceDN w:val="0"/>
        <w:spacing w:line="360" w:lineRule="auto"/>
        <w:ind w:left="993" w:firstLine="0"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14:paraId="4044C87B">
      <w:pPr>
        <w:pStyle w:val="57"/>
        <w:numPr>
          <w:ilvl w:val="0"/>
          <w:numId w:val="61"/>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因情况变化，不再符合规定的竞争性谈判采购方式适用情形的；</w:t>
      </w:r>
    </w:p>
    <w:p w14:paraId="0AFE38DD">
      <w:pPr>
        <w:pStyle w:val="57"/>
        <w:numPr>
          <w:ilvl w:val="0"/>
          <w:numId w:val="61"/>
        </w:numPr>
        <w:autoSpaceDE w:val="0"/>
        <w:autoSpaceDN w:val="0"/>
        <w:spacing w:line="360" w:lineRule="auto"/>
        <w:ind w:left="993" w:hanging="993" w:firstLineChars="0"/>
        <w:contextualSpacing/>
        <w:outlineLvl w:val="3"/>
        <w:rPr>
          <w:rFonts w:asciiTheme="minorEastAsia" w:hAnsiTheme="minorEastAsia"/>
        </w:rPr>
      </w:pPr>
      <w:r>
        <w:rPr>
          <w:rFonts w:asciiTheme="minorEastAsia" w:hAnsiTheme="minorEastAsia"/>
        </w:rPr>
        <w:t>出现影响采购公正的违法、违规行为的</w:t>
      </w:r>
      <w:r>
        <w:rPr>
          <w:rFonts w:hint="eastAsia" w:asciiTheme="minorEastAsia" w:hAnsiTheme="minorEastAsia"/>
        </w:rPr>
        <w:t>；</w:t>
      </w:r>
    </w:p>
    <w:p w14:paraId="6B2C19FE">
      <w:pPr>
        <w:pStyle w:val="57"/>
        <w:numPr>
          <w:ilvl w:val="0"/>
          <w:numId w:val="61"/>
        </w:numPr>
        <w:autoSpaceDE w:val="0"/>
        <w:autoSpaceDN w:val="0"/>
        <w:spacing w:line="360" w:lineRule="auto"/>
        <w:ind w:left="993" w:hanging="993" w:firstLineChars="0"/>
        <w:contextualSpacing/>
        <w:rPr>
          <w:rFonts w:asciiTheme="minorEastAsia" w:hAnsiTheme="minorEastAsia"/>
        </w:rPr>
      </w:pPr>
      <w:r>
        <w:rPr>
          <w:rFonts w:hint="eastAsia" w:asciiTheme="minorEastAsia" w:hAnsiTheme="minorEastAsia"/>
        </w:rPr>
        <w:t>在采购过程中符合竞争要求的供应商或者报价未超过采购预算的供应商不足3家的，但《政府采购非招标采购方式管理办法》第二十七条第二款规定的情形除外。</w:t>
      </w:r>
    </w:p>
    <w:p w14:paraId="1BFAC311">
      <w:pPr>
        <w:pStyle w:val="57"/>
        <w:numPr>
          <w:ilvl w:val="0"/>
          <w:numId w:val="62"/>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14:paraId="7904B896">
      <w:pPr>
        <w:pStyle w:val="57"/>
        <w:numPr>
          <w:ilvl w:val="0"/>
          <w:numId w:val="63"/>
        </w:numPr>
        <w:autoSpaceDE w:val="0"/>
        <w:autoSpaceDN w:val="0"/>
        <w:spacing w:line="360" w:lineRule="auto"/>
        <w:ind w:left="993" w:hanging="993" w:firstLineChars="0"/>
        <w:contextualSpacing/>
        <w:rPr>
          <w:rFonts w:asciiTheme="minorEastAsia" w:hAnsiTheme="minorEastAsia"/>
        </w:rPr>
      </w:pPr>
      <w:r>
        <w:rPr>
          <w:rFonts w:hint="eastAsia" w:asciiTheme="minorEastAsia" w:hAnsiTheme="minorEastAsia"/>
        </w:rPr>
        <w:t>采购人确认成交人后公告成交结果的同时，</w:t>
      </w:r>
      <w:r>
        <w:rPr>
          <w:rFonts w:hint="eastAsia" w:asciiTheme="minorEastAsia" w:hAnsiTheme="minorEastAsia"/>
          <w:lang w:eastAsia="zh-CN"/>
        </w:rPr>
        <w:t>河南建威工程管理咨询有限公司</w:t>
      </w:r>
      <w:r>
        <w:rPr>
          <w:rFonts w:hint="eastAsia" w:asciiTheme="minorEastAsia" w:hAnsiTheme="minorEastAsia"/>
        </w:rPr>
        <w:t>向成交人发出成交通知书。</w:t>
      </w:r>
    </w:p>
    <w:p w14:paraId="59E4360A">
      <w:pPr>
        <w:pStyle w:val="57"/>
        <w:numPr>
          <w:ilvl w:val="0"/>
          <w:numId w:val="6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14:paraId="764C6709">
      <w:pPr>
        <w:pStyle w:val="57"/>
        <w:numPr>
          <w:ilvl w:val="0"/>
          <w:numId w:val="64"/>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质疑提出与答复</w:t>
      </w:r>
    </w:p>
    <w:p w14:paraId="60E08D25">
      <w:pPr>
        <w:pStyle w:val="57"/>
        <w:numPr>
          <w:ilvl w:val="0"/>
          <w:numId w:val="6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r>
        <w:rPr>
          <w:rFonts w:hint="eastAsia" w:cs="宋体" w:asciiTheme="minorEastAsia" w:hAnsiTheme="minorEastAsia"/>
          <w:kern w:val="0"/>
          <w:szCs w:val="21"/>
        </w:rPr>
        <w:t>提出时应按照《政府采购质疑和投诉办法》（财政部令第94号）第十二条规定提交质疑函和必要的证明材料，如未提出视为全面接受。</w:t>
      </w:r>
    </w:p>
    <w:p w14:paraId="194E9D86">
      <w:pPr>
        <w:pStyle w:val="57"/>
        <w:numPr>
          <w:ilvl w:val="0"/>
          <w:numId w:val="6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使用CA数字证书登录《全国公共资源交易平台（河南省·许昌市）》，通过许昌公共资源交易系统一次性提出，逾期提交或未按照要求提交的质疑函将不予受理。质疑提出后</w:t>
      </w:r>
      <w:r>
        <w:rPr>
          <w:rFonts w:cs="宋体" w:asciiTheme="minorEastAsia" w:hAnsiTheme="minorEastAsia"/>
          <w:kern w:val="0"/>
          <w:szCs w:val="21"/>
        </w:rPr>
        <w:t>潜在</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应及时联系招标公告中集采机构联系人查看。</w:t>
      </w:r>
    </w:p>
    <w:p w14:paraId="6A9FC2A5">
      <w:pPr>
        <w:pStyle w:val="57"/>
        <w:numPr>
          <w:ilvl w:val="0"/>
          <w:numId w:val="67"/>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对采购过程提出质疑的，为各采购程序环节结束之日起七个工作日内，</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使用CA数字证书登录《全国公共资源交易平台（河南省·许昌市）》，通过许昌公共资源交易系统一次性提出，逾期提交或未按照要求提交的质疑函将不予受理。质疑提出后</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应及时联系招标公告中集采机构联系人查看。</w:t>
      </w:r>
    </w:p>
    <w:p w14:paraId="34425D41">
      <w:pPr>
        <w:pStyle w:val="57"/>
        <w:numPr>
          <w:ilvl w:val="0"/>
          <w:numId w:val="67"/>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对中标结果提出质疑的，为中标结果公告期限届满之日起七个工作日内，</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使用CA数字证书登录《全国公共资源交易平台（河南省·许昌市）》，通过许昌公共资源交易系统一次性提出，逾期提交或未按照要求提交的质疑函将不予受理。质疑提出后</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应及时联系招标公告中集采机构联系人查看。</w:t>
      </w:r>
    </w:p>
    <w:p w14:paraId="784C48E3">
      <w:pPr>
        <w:pStyle w:val="57"/>
        <w:numPr>
          <w:ilvl w:val="0"/>
          <w:numId w:val="65"/>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按照下列情况处理：</w:t>
      </w:r>
    </w:p>
    <w:p w14:paraId="5C93F83E">
      <w:pPr>
        <w:pStyle w:val="57"/>
        <w:numPr>
          <w:ilvl w:val="0"/>
          <w:numId w:val="68"/>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14:paraId="0306D48D">
      <w:pPr>
        <w:pStyle w:val="57"/>
        <w:numPr>
          <w:ilvl w:val="0"/>
          <w:numId w:val="68"/>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r>
        <w:rPr>
          <w:rFonts w:hint="eastAsia" w:cs="宋体" w:asciiTheme="minorEastAsia" w:hAnsiTheme="minorEastAsia"/>
          <w:kern w:val="0"/>
          <w:szCs w:val="21"/>
        </w:rPr>
        <w:t>。</w:t>
      </w:r>
    </w:p>
    <w:p w14:paraId="3BDB567C">
      <w:pPr>
        <w:pStyle w:val="57"/>
        <w:numPr>
          <w:ilvl w:val="0"/>
          <w:numId w:val="64"/>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签订合同</w:t>
      </w:r>
    </w:p>
    <w:p w14:paraId="4020DAAB">
      <w:pPr>
        <w:autoSpaceDE w:val="0"/>
        <w:autoSpaceDN w:val="0"/>
        <w:spacing w:line="360" w:lineRule="auto"/>
        <w:ind w:left="964"/>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w:t>
      </w:r>
      <w:r>
        <w:rPr>
          <w:rFonts w:hint="eastAsia" w:cs="宋体" w:asciiTheme="minorEastAsia" w:hAnsiTheme="minorEastAsia"/>
          <w:kern w:val="0"/>
          <w:szCs w:val="21"/>
        </w:rPr>
        <w:t>2</w:t>
      </w:r>
      <w:r>
        <w:rPr>
          <w:rFonts w:cs="宋体" w:asciiTheme="minorEastAsia" w:hAnsiTheme="minorEastAsia"/>
          <w:kern w:val="0"/>
          <w:szCs w:val="21"/>
        </w:rPr>
        <w:t>日内，</w:t>
      </w:r>
      <w:r>
        <w:rPr>
          <w:rFonts w:hint="eastAsia" w:cs="宋体" w:asciiTheme="minorEastAsia" w:hAnsiTheme="minorEastAsia"/>
          <w:kern w:val="0"/>
          <w:szCs w:val="21"/>
        </w:rPr>
        <w:t>按照采购文件和成交人投标文件的规定，与成交人签订书面合同。所签订的合同不得对采购文件确定的事项和成交人投标文件作实质性修改。供应商须对此项做出响应，否则有可能导致响应被拒绝，其风险由供应商自行承担。</w:t>
      </w:r>
    </w:p>
    <w:p w14:paraId="537542B6">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采购人自采购合同签订之日起，1个</w:t>
      </w:r>
      <w:r>
        <w:rPr>
          <w:rFonts w:cs="宋体" w:asciiTheme="minorEastAsia" w:hAnsiTheme="minorEastAsia"/>
          <w:kern w:val="0"/>
          <w:szCs w:val="21"/>
        </w:rPr>
        <w:t>工作日内</w:t>
      </w:r>
      <w:r>
        <w:rPr>
          <w:rFonts w:hint="eastAsia" w:cs="宋体" w:asciiTheme="minorEastAsia" w:hAnsiTheme="minorEastAsia"/>
          <w:kern w:val="0"/>
          <w:szCs w:val="21"/>
        </w:rPr>
        <w:t>到禹州市政府采购监督管理办公室进行合同备案，并登</w:t>
      </w:r>
      <w:r>
        <w:rPr>
          <w:rFonts w:hint="eastAsia" w:cs="宋体" w:asciiTheme="minorEastAsia" w:hAnsiTheme="minorEastAsia"/>
          <w:kern w:val="0"/>
          <w:szCs w:val="21"/>
          <w:lang w:val="en-US" w:eastAsia="zh-CN"/>
        </w:rPr>
        <w:t>录</w:t>
      </w:r>
      <w:r>
        <w:rPr>
          <w:rFonts w:hint="eastAsia" w:cs="宋体" w:asciiTheme="minorEastAsia" w:hAnsiTheme="minorEastAsia"/>
          <w:kern w:val="0"/>
          <w:szCs w:val="21"/>
        </w:rPr>
        <w:t>“河南省政府采购网”进行网上备案。</w:t>
      </w:r>
    </w:p>
    <w:p w14:paraId="4C3678A9">
      <w:pPr>
        <w:pStyle w:val="57"/>
        <w:numPr>
          <w:ilvl w:val="0"/>
          <w:numId w:val="64"/>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履约保证金</w:t>
      </w:r>
    </w:p>
    <w:p w14:paraId="12FC1FEE">
      <w:p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14:paraId="566124C1">
      <w:pPr>
        <w:pStyle w:val="57"/>
        <w:numPr>
          <w:ilvl w:val="0"/>
          <w:numId w:val="64"/>
        </w:numPr>
        <w:autoSpaceDE w:val="0"/>
        <w:autoSpaceDN w:val="0"/>
        <w:spacing w:line="360" w:lineRule="auto"/>
        <w:ind w:left="420" w:leftChars="0" w:hanging="420" w:firstLineChars="0"/>
        <w:contextualSpacing/>
        <w:outlineLvl w:val="2"/>
        <w:rPr>
          <w:rFonts w:cs="宋体" w:asciiTheme="minorEastAsia" w:hAnsiTheme="minorEastAsia"/>
          <w:color w:val="FF99FF"/>
          <w:kern w:val="0"/>
          <w:szCs w:val="21"/>
        </w:rPr>
      </w:pPr>
      <w:r>
        <w:rPr>
          <w:rFonts w:hint="eastAsia" w:cs="宋体" w:asciiTheme="minorEastAsia" w:hAnsiTheme="minorEastAsia"/>
          <w:b/>
          <w:kern w:val="0"/>
          <w:szCs w:val="21"/>
        </w:rPr>
        <w:t>政府采购合同融资</w:t>
      </w:r>
    </w:p>
    <w:p w14:paraId="0C767F95">
      <w:pPr>
        <w:pStyle w:val="57"/>
        <w:numPr>
          <w:ilvl w:val="0"/>
          <w:numId w:val="0"/>
        </w:numPr>
        <w:wordWrap w:val="0"/>
        <w:topLinePunct/>
        <w:autoSpaceDE w:val="0"/>
        <w:autoSpaceDN w:val="0"/>
        <w:adjustRightInd w:val="0"/>
        <w:spacing w:line="360" w:lineRule="auto"/>
        <w:ind w:left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36.1</w:t>
      </w:r>
      <w:r>
        <w:rPr>
          <w:rFonts w:hint="eastAsia" w:cs="宋体" w:asciiTheme="minorEastAsia" w:hAnsiTheme="minorEastAsia"/>
          <w:color w:val="auto"/>
          <w:kern w:val="0"/>
          <w:szCs w:val="21"/>
          <w:highlight w:val="none"/>
        </w:rPr>
        <w:t>缓解中小企业融资难题</w:t>
      </w:r>
    </w:p>
    <w:p w14:paraId="03E8A8F3">
      <w:pPr>
        <w:autoSpaceDE w:val="0"/>
        <w:autoSpaceDN w:val="0"/>
        <w:spacing w:line="360" w:lineRule="auto"/>
        <w:ind w:left="964"/>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14:paraId="14511CDB">
      <w:pPr>
        <w:autoSpaceDE w:val="0"/>
        <w:autoSpaceDN w:val="0"/>
        <w:spacing w:line="360" w:lineRule="auto"/>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36.2</w:t>
      </w:r>
      <w:r>
        <w:rPr>
          <w:rFonts w:hint="eastAsia" w:cs="宋体" w:asciiTheme="minorEastAsia" w:hAnsiTheme="minorEastAsia"/>
          <w:color w:val="auto"/>
          <w:kern w:val="0"/>
          <w:szCs w:val="21"/>
          <w:highlight w:val="none"/>
        </w:rPr>
        <w:t xml:space="preserve"> 合作金融机构（排名不分先后）</w:t>
      </w:r>
    </w:p>
    <w:p w14:paraId="1899ED4E">
      <w:pPr>
        <w:autoSpaceDE w:val="0"/>
        <w:autoSpaceDN w:val="0"/>
        <w:spacing w:line="360" w:lineRule="auto"/>
        <w:ind w:left="964"/>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合作金融机构名称：中原银行许昌分行（小微金融部）</w:t>
      </w:r>
    </w:p>
    <w:p w14:paraId="4E3FE6A9">
      <w:pPr>
        <w:autoSpaceDE w:val="0"/>
        <w:autoSpaceDN w:val="0"/>
        <w:spacing w:line="360" w:lineRule="auto"/>
        <w:ind w:left="964"/>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联系人及电话：陈阳 13137407575   方金龙   15836539901</w:t>
      </w:r>
    </w:p>
    <w:p w14:paraId="493A85ED">
      <w:pPr>
        <w:autoSpaceDE w:val="0"/>
        <w:autoSpaceDN w:val="0"/>
        <w:spacing w:line="360" w:lineRule="auto"/>
        <w:ind w:left="964"/>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地址：许昌市建安大道与紫云路交汇处中原银行</w:t>
      </w:r>
    </w:p>
    <w:p w14:paraId="0D35366B">
      <w:pPr>
        <w:autoSpaceDE w:val="0"/>
        <w:autoSpaceDN w:val="0"/>
        <w:spacing w:line="360" w:lineRule="auto"/>
        <w:ind w:left="964"/>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合作金融机构名称：浦发银行许昌分行</w:t>
      </w:r>
    </w:p>
    <w:p w14:paraId="61FBBA52">
      <w:pPr>
        <w:autoSpaceDE w:val="0"/>
        <w:autoSpaceDN w:val="0"/>
        <w:spacing w:line="360" w:lineRule="auto"/>
        <w:ind w:left="964"/>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联系人及电话：赵勇  0374-7313551  18937425515</w:t>
      </w:r>
    </w:p>
    <w:p w14:paraId="789EE469">
      <w:pPr>
        <w:autoSpaceDE w:val="0"/>
        <w:autoSpaceDN w:val="0"/>
        <w:spacing w:line="360" w:lineRule="auto"/>
        <w:ind w:left="964"/>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地址：禹州市禹王大道与府东路交叉口</w:t>
      </w:r>
    </w:p>
    <w:p w14:paraId="287259C9">
      <w:pPr>
        <w:numPr>
          <w:ilvl w:val="0"/>
          <w:numId w:val="0"/>
        </w:numPr>
        <w:wordWrap w:val="0"/>
        <w:topLinePunct/>
        <w:autoSpaceDE w:val="0"/>
        <w:autoSpaceDN w:val="0"/>
        <w:adjustRightInd w:val="0"/>
        <w:spacing w:line="360" w:lineRule="auto"/>
        <w:ind w:leftChars="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36.3</w:t>
      </w:r>
      <w:r>
        <w:rPr>
          <w:rFonts w:hint="eastAsia" w:cs="宋体" w:asciiTheme="minorEastAsia" w:hAnsiTheme="minorEastAsia"/>
          <w:color w:val="auto"/>
          <w:kern w:val="0"/>
          <w:szCs w:val="21"/>
          <w:highlight w:val="none"/>
        </w:rPr>
        <w:t xml:space="preserve"> “政府采购合同融资金融产品推介名录”链接</w:t>
      </w:r>
    </w:p>
    <w:p w14:paraId="43BDECC6">
      <w:pPr>
        <w:autoSpaceDE w:val="0"/>
        <w:autoSpaceDN w:val="0"/>
        <w:spacing w:line="360" w:lineRule="auto"/>
        <w:contextualSpacing/>
        <w:jc w:val="left"/>
        <w:rPr>
          <w:rFonts w:hint="eastAsia" w:cs="宋体" w:asciiTheme="minorEastAsia" w:hAnsiTheme="minorEastAsia"/>
          <w:color w:val="auto"/>
          <w:kern w:val="0"/>
          <w:szCs w:val="21"/>
          <w:highlight w:val="none"/>
          <w:u w:val="single"/>
        </w:rPr>
      </w:pPr>
      <w:r>
        <w:rPr>
          <w:color w:val="auto"/>
          <w:highlight w:val="none"/>
        </w:rPr>
        <w:fldChar w:fldCharType="begin"/>
      </w:r>
      <w:r>
        <w:rPr>
          <w:color w:val="auto"/>
          <w:highlight w:val="none"/>
        </w:rPr>
        <w:instrText xml:space="preserve"> HYPERLINK "http://xuchang.hngp.gov.cn/xuchang/content?infoId=1606365368231095&amp;channelCode=H711001" </w:instrText>
      </w:r>
      <w:r>
        <w:rPr>
          <w:color w:val="auto"/>
          <w:highlight w:val="none"/>
        </w:rPr>
        <w:fldChar w:fldCharType="separate"/>
      </w:r>
      <w:r>
        <w:rPr>
          <w:rFonts w:hint="eastAsia" w:cs="宋体" w:asciiTheme="minorEastAsia" w:hAnsiTheme="minorEastAsia"/>
          <w:color w:val="auto"/>
          <w:kern w:val="0"/>
          <w:szCs w:val="21"/>
          <w:highlight w:val="none"/>
          <w:u w:val="single"/>
        </w:rPr>
        <w:t>http://xuchang.hngp.gov.cn/xuchang/content?infoId=1606365368231095&amp;channelCode=H711001</w:t>
      </w:r>
      <w:r>
        <w:rPr>
          <w:rFonts w:hint="eastAsia" w:cs="宋体" w:asciiTheme="minorEastAsia" w:hAnsiTheme="minorEastAsia"/>
          <w:color w:val="auto"/>
          <w:kern w:val="0"/>
          <w:szCs w:val="21"/>
          <w:highlight w:val="none"/>
          <w:u w:val="single"/>
        </w:rPr>
        <w:fldChar w:fldCharType="end"/>
      </w:r>
    </w:p>
    <w:p w14:paraId="73BD5B6B">
      <w:pPr>
        <w:autoSpaceDE w:val="0"/>
        <w:autoSpaceDN w:val="0"/>
        <w:spacing w:line="360" w:lineRule="auto"/>
        <w:ind w:left="964"/>
        <w:contextualSpacing/>
        <w:jc w:val="left"/>
        <w:rPr>
          <w:rFonts w:cs="宋体" w:asciiTheme="majorEastAsia" w:hAnsiTheme="majorEastAsia" w:eastAsiaTheme="majorEastAsia"/>
          <w:b/>
          <w:kern w:val="0"/>
          <w:sz w:val="32"/>
          <w:szCs w:val="32"/>
        </w:rPr>
      </w:pPr>
    </w:p>
    <w:p w14:paraId="220BBCF7">
      <w:pPr>
        <w:autoSpaceDE w:val="0"/>
        <w:autoSpaceDN w:val="0"/>
        <w:spacing w:line="360" w:lineRule="auto"/>
        <w:contextualSpacing/>
        <w:jc w:val="left"/>
        <w:rPr>
          <w:rFonts w:cs="宋体" w:asciiTheme="majorEastAsia" w:hAnsiTheme="majorEastAsia" w:eastAsiaTheme="majorEastAsia"/>
          <w:b/>
          <w:kern w:val="0"/>
          <w:sz w:val="32"/>
          <w:szCs w:val="32"/>
        </w:rPr>
      </w:pPr>
    </w:p>
    <w:p w14:paraId="0D65EACF">
      <w:pP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14:paraId="462D32C1">
      <w:pPr>
        <w:autoSpaceDE w:val="0"/>
        <w:autoSpaceDN w:val="0"/>
        <w:spacing w:line="360" w:lineRule="auto"/>
        <w:contextualSpacing/>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14:paraId="2EA2582E">
      <w:pPr>
        <w:jc w:val="center"/>
        <w:rPr>
          <w:rFonts w:cs="宋体" w:asciiTheme="majorEastAsia" w:hAnsiTheme="majorEastAsia" w:eastAsiaTheme="majorEastAsia"/>
          <w:b/>
          <w:kern w:val="0"/>
          <w:sz w:val="36"/>
          <w:szCs w:val="36"/>
        </w:rPr>
      </w:pPr>
    </w:p>
    <w:p w14:paraId="62A7D68A">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14:paraId="3C89447C">
      <w:pPr>
        <w:pStyle w:val="15"/>
        <w:spacing w:line="360" w:lineRule="auto"/>
        <w:ind w:firstLine="422" w:firstLineChars="200"/>
        <w:contextualSpacing/>
        <w:outlineLvl w:val="1"/>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一、节约能源、保护环境</w:t>
      </w:r>
    </w:p>
    <w:p w14:paraId="711F5053">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采购政府强</w:t>
      </w:r>
      <w:r>
        <w:rPr>
          <w:rFonts w:hint="eastAsia" w:cs="仿宋_GB2312" w:asciiTheme="minorEastAsia" w:hAnsiTheme="minorEastAsia" w:eastAsiaTheme="minorEastAsia"/>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14:paraId="216187DF">
      <w:pPr>
        <w:pStyle w:val="15"/>
        <w:spacing w:line="360" w:lineRule="auto"/>
        <w:ind w:firstLine="422" w:firstLineChars="200"/>
        <w:contextualSpacing/>
        <w:outlineLvl w:val="1"/>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14:paraId="7C55A9F6">
      <w:pPr>
        <w:topLinePunct/>
        <w:spacing w:line="360" w:lineRule="auto"/>
        <w:ind w:firstLine="420" w:firstLineChars="200"/>
        <w:contextualSpacing/>
        <w:rPr>
          <w:rFonts w:cs="仿宋_GB2312" w:asciiTheme="minorEastAsia" w:hAnsiTheme="minorEastAsia"/>
          <w:szCs w:val="21"/>
          <w:lang w:val="zh-CN"/>
        </w:rPr>
      </w:pPr>
      <w:r>
        <w:rPr>
          <w:rFonts w:hint="eastAsia" w:ascii="ˎ̥" w:hAnsi="ˎ̥"/>
        </w:rPr>
        <w:t>1、本</w:t>
      </w:r>
      <w:r>
        <w:rPr>
          <w:rFonts w:hint="eastAsia" w:cs="仿宋_GB2312" w:asciiTheme="minorEastAsia" w:hAnsiTheme="minorEastAsia"/>
          <w:szCs w:val="21"/>
          <w:lang w:val="zh-CN"/>
        </w:rPr>
        <w:t>项目为非专门面向中小企业采购的项目，根据财政部、工业和信息化部《政府采购促进中小企业发展管理办法》（财库[2020]46号）、《关于进一步加大政府采购支持中小企业力度的通知》（财库〔2022〕19号）规定，对符合该办法规定的小型和微型企业报价给予20%的扣除，用扣除后的价格参与评审。</w:t>
      </w:r>
    </w:p>
    <w:p w14:paraId="3EC00882">
      <w:pPr>
        <w:spacing w:line="360" w:lineRule="auto"/>
        <w:ind w:firstLine="420" w:firstLineChars="200"/>
        <w:contextualSpacing/>
        <w:rPr>
          <w:rFonts w:ascii="ˎ̥" w:hAnsi="ˎ̥"/>
        </w:rPr>
      </w:pPr>
      <w:r>
        <w:rPr>
          <w:rFonts w:hint="eastAsia" w:ascii="ˎ̥" w:hAnsi="ˎ̥"/>
        </w:rPr>
        <w:t>2、</w:t>
      </w:r>
      <w:r>
        <w:rPr>
          <w:rFonts w:ascii="ˎ̥" w:hAnsi="ˎ̥"/>
        </w:rPr>
        <w:t>在货物采购项目中，供应商提供的货物既有中小企业制造货物，也有大型企业制造货物的，不享受</w:t>
      </w:r>
      <w:r>
        <w:rPr>
          <w:rFonts w:hint="eastAsia" w:cs="仿宋_GB2312" w:asciiTheme="minorEastAsia" w:hAnsiTheme="minorEastAsia"/>
          <w:szCs w:val="21"/>
          <w:lang w:val="zh-CN"/>
        </w:rPr>
        <w:t>《政府采购促进中小企业发展管理办法》（财库[2020]46号）</w:t>
      </w:r>
      <w:r>
        <w:rPr>
          <w:rFonts w:ascii="ˎ̥" w:hAnsi="ˎ̥"/>
        </w:rPr>
        <w:t>规定的中小企业扶持政策。</w:t>
      </w:r>
    </w:p>
    <w:p w14:paraId="5B1BA3DE">
      <w:pPr>
        <w:spacing w:line="360" w:lineRule="auto"/>
        <w:ind w:firstLine="420" w:firstLineChars="200"/>
        <w:jc w:val="left"/>
        <w:rPr>
          <w:rFonts w:ascii="宋体" w:hAnsi="宋体"/>
          <w:szCs w:val="21"/>
        </w:rPr>
      </w:pPr>
      <w:r>
        <w:rPr>
          <w:rFonts w:hint="eastAsia" w:ascii="ˎ̥" w:hAnsi="ˎ̥"/>
        </w:rPr>
        <w:t>3、</w:t>
      </w:r>
      <w:r>
        <w:rPr>
          <w:rFonts w:ascii="ˎ̥" w:hAnsi="ˎ̥"/>
        </w:rPr>
        <w:t>以联合体形式参加政府采购活动，联合体各方均为中小企业的，联合体视同中小企业。其中，联合体各方均为小微企业的，联合体视同小微企业，</w:t>
      </w:r>
      <w:r>
        <w:rPr>
          <w:rFonts w:hint="eastAsia" w:ascii="ˎ̥" w:hAnsi="ˎ̥" w:eastAsia="宋体"/>
          <w:szCs w:val="21"/>
        </w:rPr>
        <w:t>对小型和微型企业报价</w:t>
      </w:r>
      <w:r>
        <w:rPr>
          <w:rFonts w:hint="eastAsia" w:ascii="宋体" w:hAnsi="宋体"/>
          <w:szCs w:val="21"/>
        </w:rPr>
        <w:t>扣除</w:t>
      </w:r>
      <w:r>
        <w:rPr>
          <w:rFonts w:hint="eastAsia" w:ascii="ˎ̥" w:hAnsi="ˎ̥" w:eastAsia="宋体"/>
          <w:color w:val="FF0000"/>
          <w:szCs w:val="21"/>
        </w:rPr>
        <w:t>20</w:t>
      </w:r>
      <w:r>
        <w:rPr>
          <w:rFonts w:hint="eastAsia" w:ascii="宋体" w:hAnsi="宋体"/>
          <w:szCs w:val="21"/>
        </w:rPr>
        <w:t>%。</w:t>
      </w:r>
    </w:p>
    <w:p w14:paraId="01042122">
      <w:pPr>
        <w:spacing w:line="360" w:lineRule="auto"/>
        <w:ind w:firstLine="420" w:firstLineChars="200"/>
        <w:contextualSpacing/>
        <w:rPr>
          <w:rFonts w:ascii="ˎ̥" w:hAnsi="ˎ̥"/>
        </w:rPr>
      </w:pPr>
      <w:r>
        <w:rPr>
          <w:rFonts w:hint="eastAsia" w:ascii="ˎ̥" w:hAnsi="ˎ̥"/>
        </w:rPr>
        <w:t>4、</w:t>
      </w:r>
      <w:r>
        <w:rPr>
          <w:rFonts w:ascii="ˎ̥" w:hAnsi="ˎ̥"/>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rPr>
        <w:t>6</w:t>
      </w:r>
      <w:r>
        <w:rPr>
          <w:rFonts w:ascii="ˎ̥" w:hAnsi="ˎ̥"/>
        </w:rPr>
        <w:t>%的扣除，用扣除后的价格参加评审。组成联合体或者接受分包的小微企业与联合体内其他企业、分包企业之间存在直接控股、管理关系的，不享受价格扣除优惠政策。</w:t>
      </w:r>
    </w:p>
    <w:p w14:paraId="612A81AF">
      <w:pPr>
        <w:topLinePunct/>
        <w:spacing w:line="360" w:lineRule="auto"/>
        <w:ind w:firstLine="420" w:firstLineChars="200"/>
        <w:contextualSpacing/>
        <w:rPr>
          <w:rFonts w:ascii="ˎ̥" w:hAnsi="ˎ̥"/>
        </w:rPr>
      </w:pPr>
      <w:r>
        <w:rPr>
          <w:rFonts w:hint="eastAsia" w:ascii="ˎ̥" w:hAnsi="ˎ̥"/>
        </w:rPr>
        <w:t>5、按照本次采购标的所属行业的划型标准，符合条件的中小企业应按照招标文件格式要求提供《中小企业声明函》，</w:t>
      </w:r>
      <w:r>
        <w:rPr>
          <w:rFonts w:ascii="ˎ̥" w:hAnsi="ˎ̥"/>
        </w:rPr>
        <w:t>否则不得享受相关中小企业扶持政策。</w:t>
      </w:r>
    </w:p>
    <w:p w14:paraId="724D70CE">
      <w:pPr>
        <w:topLinePunct/>
        <w:spacing w:line="360" w:lineRule="auto"/>
        <w:ind w:firstLine="422" w:firstLineChars="200"/>
        <w:contextualSpacing/>
        <w:outlineLvl w:val="1"/>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14:paraId="18A0ABF1">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0" w:name="OLE_LINK6"/>
      <w:r>
        <w:rPr>
          <w:rFonts w:hint="eastAsia" w:cs="仿宋_GB2312" w:asciiTheme="minorEastAsia" w:hAnsiTheme="minorEastAsia"/>
          <w:szCs w:val="21"/>
          <w:lang w:val="zh-CN"/>
        </w:rPr>
        <w:t>财库[2014]68号</w:t>
      </w:r>
      <w:bookmarkEnd w:id="0"/>
      <w:r>
        <w:rPr>
          <w:rFonts w:hint="eastAsia" w:cs="仿宋_GB2312" w:asciiTheme="minorEastAsia" w:hAnsiTheme="minorEastAsia"/>
          <w:szCs w:val="21"/>
          <w:lang w:val="zh-CN"/>
        </w:rPr>
        <w:t>）规定，在政府采购活动中，监狱企业视同小型、微型企业，享受评审中价格扣除的政府采购政策，</w:t>
      </w:r>
      <w:r>
        <w:rPr>
          <w:rFonts w:hint="eastAsia" w:ascii="宋体" w:hAnsi="宋体"/>
          <w:szCs w:val="21"/>
          <w:lang w:val="en-GB"/>
        </w:rPr>
        <w:t>对监狱企业产品价格扣除</w:t>
      </w:r>
      <w:r>
        <w:rPr>
          <w:rFonts w:hint="eastAsia" w:ascii="ˎ̥" w:hAnsi="ˎ̥" w:eastAsia="宋体"/>
          <w:color w:val="FF0000"/>
          <w:szCs w:val="21"/>
        </w:rPr>
        <w:t>20</w:t>
      </w:r>
      <w:r>
        <w:rPr>
          <w:rFonts w:hint="eastAsia" w:ascii="宋体" w:hAnsi="宋体"/>
          <w:szCs w:val="21"/>
        </w:rPr>
        <w:t>%，</w:t>
      </w:r>
      <w:r>
        <w:rPr>
          <w:rFonts w:hint="eastAsia" w:cs="仿宋_GB2312" w:asciiTheme="minorEastAsia" w:hAnsiTheme="minorEastAsia"/>
          <w:szCs w:val="21"/>
          <w:lang w:val="zh-CN"/>
        </w:rPr>
        <w:t>用扣除后的价格参与评审。监狱企业应当提供由省级以上监狱管理局、戒毒管理局（含新疆生产建设兵团）出具的属于监狱企业的证明文件。</w:t>
      </w:r>
    </w:p>
    <w:p w14:paraId="6ABC06B6">
      <w:pPr>
        <w:spacing w:line="360" w:lineRule="auto"/>
        <w:ind w:firstLine="422" w:firstLineChars="200"/>
        <w:contextualSpacing/>
        <w:outlineLvl w:val="1"/>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14:paraId="4BB86DB1">
      <w:pPr>
        <w:spacing w:line="360" w:lineRule="auto"/>
        <w:ind w:firstLine="420" w:firstLineChars="200"/>
        <w:rPr>
          <w:rFonts w:ascii="宋体" w:hAnsi="宋体"/>
          <w:szCs w:val="21"/>
          <w:lang w:val="en-GB"/>
        </w:rPr>
      </w:pPr>
      <w:r>
        <w:rPr>
          <w:rFonts w:hint="eastAsia" w:cs="仿宋_GB2312" w:asciiTheme="minorEastAsia" w:hAnsiTheme="minorEastAsia"/>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Pr>
          <w:rFonts w:hint="eastAsia" w:ascii="宋体" w:hAnsi="宋体"/>
          <w:szCs w:val="21"/>
          <w:lang w:val="en-GB"/>
        </w:rPr>
        <w:t>对残疾人福利性单位产品价格扣除</w:t>
      </w:r>
      <w:r>
        <w:rPr>
          <w:rFonts w:hint="eastAsia" w:ascii="ˎ̥" w:hAnsi="ˎ̥" w:eastAsia="宋体"/>
          <w:color w:val="FF0000"/>
          <w:szCs w:val="21"/>
        </w:rPr>
        <w:t>20</w:t>
      </w:r>
      <w:r>
        <w:rPr>
          <w:rFonts w:hint="eastAsia" w:ascii="宋体" w:hAnsi="宋体"/>
          <w:szCs w:val="21"/>
        </w:rPr>
        <w:t>%，</w:t>
      </w:r>
      <w:r>
        <w:rPr>
          <w:rFonts w:hint="eastAsia" w:cs="仿宋_GB2312" w:asciiTheme="minorEastAsia" w:hAnsiTheme="minorEastAsia"/>
          <w:szCs w:val="21"/>
          <w:lang w:val="zh-CN"/>
        </w:rPr>
        <w:t>用扣除后的价格参与评审。</w:t>
      </w:r>
      <w:r>
        <w:rPr>
          <w:rFonts w:hint="eastAsia" w:asciiTheme="minorEastAsia" w:hAnsiTheme="minorEastAsia"/>
          <w:szCs w:val="21"/>
        </w:rPr>
        <w:t>残疾人福利性单位属于小型、微型企业的，不重复享受政策。</w:t>
      </w:r>
    </w:p>
    <w:p w14:paraId="52F1D59D">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58ADB9ED">
      <w:pPr>
        <w:pStyle w:val="15"/>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14:paraId="34657FEB">
      <w:pPr>
        <w:topLinePunct/>
        <w:spacing w:line="360" w:lineRule="auto"/>
        <w:ind w:firstLine="420" w:firstLineChars="200"/>
        <w:contextualSpacing/>
        <w:rPr>
          <w:rFonts w:cs="仿宋_GB2312" w:asciiTheme="minorEastAsia" w:hAnsiTheme="minorEastAsia"/>
          <w:szCs w:val="21"/>
          <w:lang w:val="zh-CN"/>
        </w:rPr>
      </w:pPr>
    </w:p>
    <w:p w14:paraId="05D7D823">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7A849EEE">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0EC33EAC">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577C4543">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74DBC8D5">
      <w:pP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14:paraId="47E7F6B6">
      <w:pPr>
        <w:tabs>
          <w:tab w:val="left" w:pos="1260"/>
        </w:tabs>
        <w:autoSpaceDE w:val="0"/>
        <w:autoSpaceDN w:val="0"/>
        <w:adjustRightInd w:val="0"/>
        <w:spacing w:line="360" w:lineRule="auto"/>
        <w:contextualSpacing/>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对响应文件审查与评审</w:t>
      </w:r>
    </w:p>
    <w:p w14:paraId="6F5DF972">
      <w:pPr>
        <w:pStyle w:val="15"/>
        <w:spacing w:line="360" w:lineRule="auto"/>
        <w:contextualSpacing/>
        <w:rPr>
          <w:rFonts w:cs="仿宋_GB2312" w:asciiTheme="minorEastAsia" w:hAnsiTheme="minorEastAsia"/>
          <w:lang w:val="zh-CN"/>
        </w:rPr>
      </w:pPr>
    </w:p>
    <w:p w14:paraId="223A77D2">
      <w:pPr>
        <w:pStyle w:val="15"/>
        <w:spacing w:line="360" w:lineRule="auto"/>
        <w:contextualSpacing/>
        <w:outlineLvl w:val="1"/>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14:paraId="5733F211">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14:paraId="115CD0DC">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注：（1）资格证明材料（本栏所列内容为本项目的资格审查条件，如有一项不符合要求，则不能进入下一步评审）。</w:t>
      </w:r>
    </w:p>
    <w:p w14:paraId="4578C00E">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（2）资格审查中所涉及的证书及材料，均须在电子投标文件中提供原件扫描件（或图片）。</w:t>
      </w:r>
    </w:p>
    <w:tbl>
      <w:tblPr>
        <w:tblStyle w:val="2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14:paraId="4EF31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75" w:type="dxa"/>
            <w:vAlign w:val="center"/>
          </w:tcPr>
          <w:p w14:paraId="6C8C3A67">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14:paraId="7237E708">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14:paraId="21343038">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14:paraId="1E97D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5E9FE2E6">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14:paraId="13806F33">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14:paraId="24A7CDB4">
            <w:pPr>
              <w:spacing w:line="360" w:lineRule="auto"/>
              <w:rPr>
                <w:rFonts w:asciiTheme="minorEastAsia" w:hAnsiTheme="minorEastAsia"/>
                <w:b/>
                <w:szCs w:val="21"/>
              </w:rPr>
            </w:pPr>
            <w:r>
              <w:rPr>
                <w:rFonts w:hint="eastAsia" w:ascii="宋体" w:hAnsi="宋体" w:cs="微软雅黑"/>
                <w:bCs/>
                <w:szCs w:val="21"/>
              </w:rPr>
              <w:t>参考谈判文件第八章3.1格式填写</w:t>
            </w:r>
          </w:p>
        </w:tc>
      </w:tr>
      <w:tr w14:paraId="7844E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2ADD6ED">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14:paraId="21CA4114">
            <w:pPr>
              <w:spacing w:line="360" w:lineRule="auto"/>
              <w:jc w:val="center"/>
              <w:rPr>
                <w:rFonts w:hint="eastAsia" w:asciiTheme="minorEastAsia" w:hAnsiTheme="minorEastAsia"/>
                <w:b/>
                <w:szCs w:val="21"/>
              </w:rPr>
            </w:pPr>
            <w:r>
              <w:rPr>
                <w:rFonts w:hint="eastAsia" w:asciiTheme="minorEastAsia" w:hAnsiTheme="minorEastAsia"/>
                <w:b/>
                <w:szCs w:val="21"/>
              </w:rPr>
              <w:t>禹州市政府采购</w:t>
            </w:r>
          </w:p>
          <w:p w14:paraId="040B10FE">
            <w:pPr>
              <w:spacing w:line="360" w:lineRule="auto"/>
              <w:jc w:val="center"/>
              <w:rPr>
                <w:rFonts w:hint="eastAsia" w:ascii="宋体" w:hAnsi="宋体" w:cs="微软雅黑"/>
                <w:bCs/>
                <w:szCs w:val="21"/>
              </w:rPr>
            </w:pPr>
            <w:r>
              <w:rPr>
                <w:rFonts w:hint="eastAsia" w:asciiTheme="minorEastAsia" w:hAnsiTheme="minorEastAsia"/>
                <w:b/>
                <w:szCs w:val="21"/>
              </w:rPr>
              <w:t>供应商信用承诺函</w:t>
            </w:r>
          </w:p>
        </w:tc>
        <w:tc>
          <w:tcPr>
            <w:tcW w:w="5954" w:type="dxa"/>
            <w:vAlign w:val="center"/>
          </w:tcPr>
          <w:p w14:paraId="318F0F06">
            <w:pPr>
              <w:spacing w:line="360" w:lineRule="auto"/>
              <w:rPr>
                <w:rFonts w:hint="eastAsia" w:ascii="宋体" w:hAnsi="宋体" w:cs="微软雅黑"/>
                <w:bCs/>
                <w:szCs w:val="21"/>
              </w:rPr>
            </w:pPr>
            <w:r>
              <w:rPr>
                <w:rFonts w:hint="eastAsia" w:ascii="宋体" w:hAnsi="宋体" w:cs="微软雅黑"/>
                <w:bCs/>
                <w:szCs w:val="21"/>
              </w:rPr>
              <w:t>按照谈判文件第八章3.5格式填写</w:t>
            </w:r>
          </w:p>
        </w:tc>
      </w:tr>
      <w:tr w14:paraId="6078A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D7C95A5">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14:paraId="56186A74">
            <w:pPr>
              <w:spacing w:line="360" w:lineRule="auto"/>
              <w:ind w:firstLine="422" w:firstLineChars="200"/>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14:paraId="3FAD3790">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响应报价是否超出谈判文件中规定的预算金额，超出预算金额的报价无效。</w:t>
            </w:r>
          </w:p>
        </w:tc>
      </w:tr>
      <w:tr w14:paraId="2FE8B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853F042">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14:paraId="7F7E0332">
            <w:pPr>
              <w:spacing w:line="360" w:lineRule="auto"/>
              <w:ind w:firstLine="422" w:firstLineChars="200"/>
              <w:rPr>
                <w:rFonts w:asciiTheme="minorEastAsia" w:hAnsiTheme="minorEastAsia"/>
                <w:szCs w:val="21"/>
              </w:rPr>
            </w:pPr>
            <w:r>
              <w:rPr>
                <w:rFonts w:hint="eastAsia" w:asciiTheme="minorEastAsia" w:hAnsiTheme="minorEastAsia"/>
                <w:b/>
                <w:szCs w:val="21"/>
              </w:rPr>
              <w:t>谈判承诺函</w:t>
            </w:r>
          </w:p>
        </w:tc>
        <w:tc>
          <w:tcPr>
            <w:tcW w:w="5954" w:type="dxa"/>
            <w:vAlign w:val="center"/>
          </w:tcPr>
          <w:p w14:paraId="1525381D">
            <w:pPr>
              <w:spacing w:line="360" w:lineRule="auto"/>
              <w:rPr>
                <w:rFonts w:asciiTheme="minorEastAsia" w:hAnsiTheme="minorEastAsia"/>
                <w:b/>
                <w:szCs w:val="21"/>
              </w:rPr>
            </w:pPr>
            <w:r>
              <w:rPr>
                <w:rFonts w:hint="eastAsia" w:asciiTheme="minorEastAsia" w:hAnsiTheme="minorEastAsia"/>
                <w:szCs w:val="21"/>
              </w:rPr>
              <w:t>供应商以谈判承诺函的形式替代响应保证金。</w:t>
            </w:r>
          </w:p>
        </w:tc>
      </w:tr>
      <w:tr w14:paraId="3876C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8C3D5B5">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14:paraId="5F2EB89C">
            <w:pPr>
              <w:spacing w:line="360" w:lineRule="auto"/>
              <w:ind w:firstLine="422" w:firstLineChars="200"/>
              <w:rPr>
                <w:rFonts w:asciiTheme="minorEastAsia" w:hAnsiTheme="minorEastAsia"/>
                <w:b/>
                <w:bCs/>
                <w:szCs w:val="21"/>
              </w:rPr>
            </w:pPr>
            <w:r>
              <w:rPr>
                <w:rFonts w:hint="eastAsia" w:asciiTheme="minorEastAsia" w:hAnsiTheme="minorEastAsia"/>
                <w:b/>
                <w:bCs/>
                <w:szCs w:val="21"/>
              </w:rPr>
              <w:t>联合体协议</w:t>
            </w:r>
          </w:p>
        </w:tc>
        <w:tc>
          <w:tcPr>
            <w:tcW w:w="5954" w:type="dxa"/>
          </w:tcPr>
          <w:p w14:paraId="3A90A9E9">
            <w:pPr>
              <w:spacing w:line="360" w:lineRule="auto"/>
              <w:rPr>
                <w:rFonts w:asciiTheme="minorEastAsia" w:hAnsiTheme="minorEastAsia"/>
                <w:b/>
                <w:bCs/>
                <w:szCs w:val="21"/>
              </w:rPr>
            </w:pPr>
            <w:r>
              <w:rPr>
                <w:rFonts w:hint="eastAsia" w:asciiTheme="minorEastAsia" w:hAnsiTheme="minorEastAsia"/>
                <w:bCs/>
                <w:szCs w:val="21"/>
              </w:rPr>
              <w:t>谈判文件接收联合体响应且供应商为联合体的，供应商应提供本协议；否则无须提供。</w:t>
            </w:r>
          </w:p>
        </w:tc>
      </w:tr>
      <w:tr w14:paraId="2A8C8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0356ED7">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14:paraId="6DB5D920">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14:paraId="1917EB28">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14:paraId="326E5D8E">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14:paraId="3F51E14C">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14:paraId="7CB731BC">
            <w:pPr>
              <w:spacing w:line="360" w:lineRule="auto"/>
              <w:rPr>
                <w:rFonts w:asciiTheme="minorEastAsia" w:hAnsiTheme="minorEastAsia"/>
                <w:b/>
                <w:sz w:val="24"/>
                <w:szCs w:val="24"/>
              </w:rPr>
            </w:pPr>
            <w:r>
              <w:rPr>
                <w:rFonts w:hint="eastAsia" w:ascii="楷体" w:hAnsi="楷体" w:eastAsia="楷体"/>
                <w:sz w:val="24"/>
                <w:szCs w:val="24"/>
              </w:rPr>
              <w:t>①企业（银行、保险、石油石化、电力、电信等行业除外）、事业单位和社会团体以法人身份参加谈判的，法定代表人应与实际提交的“营业执照等证明文件”载明的一致。</w:t>
            </w:r>
          </w:p>
          <w:p w14:paraId="2135B306">
            <w:pPr>
              <w:spacing w:line="360" w:lineRule="auto"/>
              <w:contextualSpacing/>
              <w:rPr>
                <w:rFonts w:ascii="楷体" w:hAnsi="楷体" w:eastAsia="楷体"/>
                <w:sz w:val="24"/>
                <w:szCs w:val="24"/>
              </w:rPr>
            </w:pPr>
            <w:r>
              <w:rPr>
                <w:rFonts w:hint="eastAsia" w:ascii="楷体" w:hAnsi="楷体" w:eastAsia="楷体"/>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14:paraId="5B897514">
            <w:pPr>
              <w:spacing w:line="360" w:lineRule="auto"/>
              <w:contextualSpacing/>
              <w:rPr>
                <w:rFonts w:asciiTheme="minorEastAsia" w:hAnsiTheme="minorEastAsia"/>
                <w:b/>
                <w:szCs w:val="21"/>
              </w:rPr>
            </w:pPr>
            <w:r>
              <w:rPr>
                <w:rFonts w:hint="eastAsia" w:ascii="楷体" w:hAnsi="楷体" w:eastAsia="楷体"/>
                <w:sz w:val="24"/>
                <w:szCs w:val="24"/>
              </w:rPr>
              <w:t>③</w:t>
            </w:r>
            <w:r>
              <w:rPr>
                <w:rFonts w:hint="eastAsia" w:ascii="楷体" w:hAnsi="楷体" w:eastAsia="楷体"/>
                <w:kern w:val="0"/>
                <w:sz w:val="24"/>
                <w:szCs w:val="24"/>
              </w:rPr>
              <w:t>供应商为自然人的，无需填写法定代表人授权书。</w:t>
            </w:r>
          </w:p>
        </w:tc>
      </w:tr>
      <w:tr w14:paraId="5593E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3E25EAA">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14:paraId="6F3C69F7">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14:paraId="6C494947">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供应商提供与参加本项目响应的其他供应商之间，单位负责人不为同一人并且不存在直接控股、管理关系承诺函（承诺函格式自拟）。</w:t>
            </w:r>
          </w:p>
          <w:p w14:paraId="45A45F74">
            <w:pPr>
              <w:spacing w:line="360" w:lineRule="auto"/>
              <w:rPr>
                <w:rFonts w:cs="仿宋_GB2312" w:asciiTheme="minorEastAsia" w:hAnsiTheme="minorEastAsia"/>
                <w:szCs w:val="21"/>
                <w:lang w:val="zh-CN"/>
              </w:rPr>
            </w:pPr>
          </w:p>
        </w:tc>
      </w:tr>
      <w:tr w14:paraId="14539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927107B">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14:paraId="7416E4AD">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为本项目提供整体设计、规范编制或者项目管理、监理、检测等服务的供应商不得参加本项目响应</w:t>
            </w:r>
          </w:p>
        </w:tc>
        <w:tc>
          <w:tcPr>
            <w:tcW w:w="5954" w:type="dxa"/>
          </w:tcPr>
          <w:p w14:paraId="04FE2609">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14:paraId="52795FE0">
            <w:pPr>
              <w:spacing w:line="360" w:lineRule="auto"/>
              <w:rPr>
                <w:rFonts w:asciiTheme="minorEastAsia" w:hAnsiTheme="minorEastAsia"/>
                <w:bCs/>
                <w:szCs w:val="21"/>
              </w:rPr>
            </w:pPr>
          </w:p>
        </w:tc>
      </w:tr>
    </w:tbl>
    <w:p w14:paraId="2ABF7D59">
      <w:pPr>
        <w:pStyle w:val="15"/>
        <w:spacing w:line="360" w:lineRule="auto"/>
        <w:ind w:firstLine="422" w:firstLineChars="200"/>
        <w:contextualSpacing/>
        <w:outlineLvl w:val="1"/>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二、对响应文件评审</w:t>
      </w:r>
    </w:p>
    <w:p w14:paraId="32E11BAA">
      <w:pPr>
        <w:pStyle w:val="15"/>
        <w:spacing w:line="360" w:lineRule="auto"/>
        <w:ind w:firstLine="422" w:firstLineChars="200"/>
        <w:contextualSpacing/>
        <w:jc w:val="left"/>
        <w:outlineLvl w:val="2"/>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文件是否符合</w:t>
      </w:r>
      <w:r>
        <w:rPr>
          <w:rFonts w:hint="eastAsia" w:cs="仿宋_GB2312" w:asciiTheme="minorEastAsia" w:hAnsiTheme="minorEastAsia" w:eastAsiaTheme="minorEastAsia"/>
          <w:b/>
          <w:sz w:val="21"/>
          <w:szCs w:val="21"/>
          <w:lang w:val="zh-CN"/>
        </w:rPr>
        <w:t>谈判</w:t>
      </w:r>
      <w:r>
        <w:rPr>
          <w:rFonts w:cs="仿宋_GB2312" w:asciiTheme="minorEastAsia" w:hAnsiTheme="minorEastAsia" w:eastAsiaTheme="minorEastAsia"/>
          <w:b/>
          <w:sz w:val="21"/>
          <w:szCs w:val="21"/>
          <w:lang w:val="zh-CN"/>
        </w:rPr>
        <w:t>文件的商务、技术等实质性要求；</w:t>
      </w:r>
    </w:p>
    <w:p w14:paraId="087F9B52">
      <w:pPr>
        <w:pStyle w:val="15"/>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谈判小组对符合资格的供应商的响应文件进行审查，以确定其是否满足谈判文件的商务、技术等实质性要求。</w:t>
      </w:r>
    </w:p>
    <w:p w14:paraId="768E1B79">
      <w:pPr>
        <w:pStyle w:val="15"/>
        <w:spacing w:line="360" w:lineRule="auto"/>
        <w:ind w:firstLine="480" w:firstLineChars="200"/>
        <w:contextualSpacing/>
        <w:jc w:val="left"/>
        <w:rPr>
          <w:rFonts w:cs="仿宋_GB2312" w:asciiTheme="minorEastAsia" w:hAnsiTheme="minorEastAsia"/>
          <w:sz w:val="21"/>
          <w:szCs w:val="21"/>
          <w:lang w:val="zh-CN"/>
        </w:rPr>
      </w:pPr>
      <w:r>
        <w:rPr>
          <w:rFonts w:hint="eastAsia" w:ascii="楷体" w:hAnsi="楷体" w:eastAsia="楷体" w:cs="仿宋_GB2312"/>
          <w:szCs w:val="24"/>
          <w:lang w:val="zh-CN"/>
        </w:rPr>
        <w:t>注：审查中所涉及的证书及材料，均应在电子响应文件中提供原件扫描件（或图片）。</w:t>
      </w:r>
    </w:p>
    <w:p w14:paraId="32B4161F">
      <w:pPr>
        <w:pStyle w:val="15"/>
        <w:spacing w:line="360" w:lineRule="auto"/>
        <w:ind w:firstLine="422" w:firstLineChars="200"/>
        <w:contextualSpacing/>
        <w:outlineLvl w:val="2"/>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w:t>
      </w:r>
      <w:r>
        <w:rPr>
          <w:rFonts w:hint="eastAsia" w:cs="仿宋_GB2312" w:asciiTheme="minorEastAsia" w:hAnsiTheme="minorEastAsia" w:eastAsiaTheme="minorEastAsia"/>
          <w:b/>
          <w:sz w:val="21"/>
          <w:szCs w:val="21"/>
          <w:lang w:val="zh-CN"/>
        </w:rPr>
        <w:t>供应商</w:t>
      </w:r>
      <w:r>
        <w:rPr>
          <w:rFonts w:cs="仿宋_GB2312" w:asciiTheme="minorEastAsia" w:hAnsiTheme="minorEastAsia" w:eastAsiaTheme="minorEastAsia"/>
          <w:b/>
          <w:sz w:val="21"/>
          <w:szCs w:val="21"/>
          <w:lang w:val="zh-CN"/>
        </w:rPr>
        <w:t>对</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文件有关事项作出澄清或者说明；</w:t>
      </w:r>
    </w:p>
    <w:p w14:paraId="49E37BA7">
      <w:pPr>
        <w:pStyle w:val="15"/>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600944F">
      <w:pPr>
        <w:pStyle w:val="15"/>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136C7F75">
      <w:pPr>
        <w:tabs>
          <w:tab w:val="left" w:pos="1260"/>
        </w:tabs>
        <w:autoSpaceDE w:val="0"/>
        <w:autoSpaceDN w:val="0"/>
        <w:spacing w:line="360" w:lineRule="auto"/>
        <w:ind w:firstLine="422" w:firstLineChars="200"/>
        <w:contextualSpacing/>
        <w:outlineLvl w:val="2"/>
        <w:rPr>
          <w:rFonts w:cs="仿宋_GB2312" w:asciiTheme="minorEastAsia" w:hAnsiTheme="minorEastAsia"/>
          <w:b/>
          <w:szCs w:val="21"/>
          <w:lang w:val="zh-CN"/>
        </w:rPr>
      </w:pPr>
      <w:r>
        <w:rPr>
          <w:rFonts w:hint="eastAsia" w:cs="仿宋_GB2312" w:asciiTheme="minorEastAsia" w:hAnsiTheme="minorEastAsia"/>
          <w:b/>
          <w:szCs w:val="21"/>
          <w:lang w:val="zh-CN"/>
        </w:rPr>
        <w:t>3、投标无效情形</w:t>
      </w:r>
    </w:p>
    <w:p w14:paraId="70C71C40">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1）供应商应当遵循公平竞争的原则，不得恶意串通，不得妨碍其他供应商的竞争行为，不得损害采购人或者其他供应商的合法权益。在评标过程中发现供应商有上述情形的，谈判小组应当认定其投标无效。</w:t>
      </w:r>
    </w:p>
    <w:p w14:paraId="4760978B">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2）符合性审查资料未按采购文件要求签署、盖章的；</w:t>
      </w:r>
    </w:p>
    <w:p w14:paraId="55F08C31">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3）有下列情形之一的，视为供应商串通投标，其投标无效：</w:t>
      </w:r>
    </w:p>
    <w:p w14:paraId="78EB1BE6">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a.不同供应商的投标文件由同一单位或者个人编制；</w:t>
      </w:r>
    </w:p>
    <w:p w14:paraId="5CC6889A">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b.不同供应商委托同一单位或者个人办理投标事宜；</w:t>
      </w:r>
    </w:p>
    <w:p w14:paraId="2691DE63">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c.不同供应商的投标文件载明的项目管理成员或者联系人员为同一人；</w:t>
      </w:r>
    </w:p>
    <w:p w14:paraId="23184235">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d.不同供应商的投标文件异常一致或者投标报价呈规律性差异；</w:t>
      </w:r>
    </w:p>
    <w:p w14:paraId="0730F8D3">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e.不同供应商的投标文件相互混装；</w:t>
      </w:r>
    </w:p>
    <w:p w14:paraId="20EF5CCB">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14:paraId="4127C13E">
      <w:pPr>
        <w:tabs>
          <w:tab w:val="left" w:pos="1260"/>
        </w:tabs>
        <w:autoSpaceDE w:val="0"/>
        <w:autoSpaceDN w:val="0"/>
        <w:spacing w:line="360" w:lineRule="auto"/>
        <w:ind w:firstLine="420" w:firstLineChars="200"/>
        <w:contextualSpacing/>
        <w:outlineLvl w:val="3"/>
        <w:rPr>
          <w:rFonts w:cs="仿宋_GB2312" w:asciiTheme="minorEastAsia" w:hAnsiTheme="minorEastAsia"/>
          <w:szCs w:val="21"/>
          <w:lang w:val="zh-CN"/>
        </w:rPr>
      </w:pPr>
      <w:r>
        <w:rPr>
          <w:rFonts w:hint="eastAsia" w:cs="仿宋_GB2312" w:asciiTheme="minorEastAsia" w:hAnsiTheme="minorEastAsia"/>
          <w:szCs w:val="21"/>
          <w:lang w:val="zh-CN"/>
        </w:rPr>
        <w:t>5）法律法规</w:t>
      </w:r>
      <w:r>
        <w:rPr>
          <w:rFonts w:cs="仿宋_GB2312" w:asciiTheme="minorEastAsia" w:hAnsiTheme="minorEastAsia"/>
          <w:szCs w:val="21"/>
          <w:lang w:val="zh-CN"/>
        </w:rPr>
        <w:t>和招标文件规定的其他无效情形。</w:t>
      </w:r>
    </w:p>
    <w:p w14:paraId="53433AF1">
      <w:pPr>
        <w:pStyle w:val="15"/>
        <w:spacing w:line="360" w:lineRule="auto"/>
        <w:ind w:firstLine="422" w:firstLineChars="200"/>
        <w:contextualSpacing/>
        <w:outlineLvl w:val="1"/>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三、评审方法</w:t>
      </w:r>
    </w:p>
    <w:p w14:paraId="4ABDFACE">
      <w:pPr>
        <w:pStyle w:val="15"/>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名成交候选人。根据规定，采购人按照成交候选人排名顺序确定成交供应商。</w:t>
      </w:r>
    </w:p>
    <w:p w14:paraId="006FE51B">
      <w:pPr>
        <w:pStyle w:val="15"/>
        <w:spacing w:line="360" w:lineRule="auto"/>
        <w:ind w:firstLine="422" w:firstLineChars="200"/>
        <w:contextualSpacing/>
        <w:outlineLvl w:val="1"/>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四、谈判小组编写评审报告。</w:t>
      </w:r>
    </w:p>
    <w:p w14:paraId="75C4BB15">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7C024466">
      <w:pPr>
        <w:wordWrap w:val="0"/>
        <w:spacing w:line="360" w:lineRule="auto"/>
        <w:ind w:firstLine="480" w:firstLineChars="200"/>
        <w:contextualSpacing/>
        <w:rPr>
          <w:rFonts w:cs="宋体" w:asciiTheme="majorEastAsia" w:hAnsiTheme="majorEastAsia" w:eastAsiaTheme="majorEastAsia"/>
          <w:b/>
          <w:kern w:val="0"/>
          <w:sz w:val="32"/>
          <w:szCs w:val="32"/>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14:paraId="3300D77F">
      <w:pP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14:paraId="533BC656">
      <w:pPr>
        <w:tabs>
          <w:tab w:val="left" w:pos="1260"/>
        </w:tabs>
        <w:autoSpaceDE w:val="0"/>
        <w:autoSpaceDN w:val="0"/>
        <w:adjustRightInd w:val="0"/>
        <w:spacing w:line="360" w:lineRule="auto"/>
        <w:contextualSpacing/>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 xml:space="preserve">第七章 </w:t>
      </w:r>
      <w:r>
        <w:rPr>
          <w:rFonts w:hint="eastAsia" w:asciiTheme="majorEastAsia" w:hAnsiTheme="majorEastAsia" w:eastAsiaTheme="majorEastAsia" w:cstheme="majorEastAsia"/>
          <w:b/>
          <w:kern w:val="0"/>
          <w:sz w:val="32"/>
          <w:szCs w:val="32"/>
        </w:rPr>
        <w:t>拟签订的合同文本</w:t>
      </w:r>
    </w:p>
    <w:p w14:paraId="1385E3F4">
      <w:pPr>
        <w:pStyle w:val="15"/>
        <w:spacing w:line="360" w:lineRule="auto"/>
        <w:contextualSpacing/>
        <w:jc w:val="center"/>
        <w:rPr>
          <w:rFonts w:cs="宋体" w:asciiTheme="majorEastAsia" w:hAnsiTheme="majorEastAsia" w:eastAsiaTheme="majorEastAsia"/>
          <w:b/>
          <w:kern w:val="0"/>
          <w:sz w:val="36"/>
          <w:szCs w:val="36"/>
        </w:rPr>
      </w:pPr>
    </w:p>
    <w:p w14:paraId="4E2778D5">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（此合同仅供参考。以最终采购人与中标人签订的合同条款为准进行公示，</w:t>
      </w:r>
    </w:p>
    <w:p w14:paraId="5A35EDCD">
      <w:pPr>
        <w:spacing w:line="360" w:lineRule="auto"/>
        <w:jc w:val="center"/>
        <w:outlineLvl w:val="1"/>
        <w:rPr>
          <w:rFonts w:ascii="宋体" w:hAnsi="宋体" w:cs="微软雅黑"/>
          <w:b/>
          <w:bCs/>
          <w:szCs w:val="21"/>
        </w:rPr>
      </w:pPr>
      <w:r>
        <w:rPr>
          <w:rFonts w:hint="eastAsia" w:ascii="宋体" w:hAnsi="宋体" w:cs="微软雅黑"/>
          <w:b/>
          <w:bCs/>
          <w:szCs w:val="21"/>
        </w:rPr>
        <w:t>最终签订合同的主要条款不能与谈判文件有冲突）</w:t>
      </w:r>
    </w:p>
    <w:p w14:paraId="3FFD6703">
      <w:pPr>
        <w:spacing w:line="360" w:lineRule="auto"/>
        <w:ind w:firstLine="5400" w:firstLineChars="3000"/>
        <w:rPr>
          <w:rFonts w:ascii="宋体" w:hAnsi="宋体" w:eastAsia="宋体"/>
          <w:sz w:val="18"/>
          <w:szCs w:val="18"/>
        </w:rPr>
      </w:pPr>
      <w:r>
        <w:rPr>
          <w:rFonts w:hint="eastAsia" w:ascii="宋体" w:hAnsi="宋体" w:eastAsia="宋体"/>
          <w:sz w:val="18"/>
          <w:szCs w:val="18"/>
        </w:rPr>
        <w:t>本合同口是/口否中小企业预留合同</w:t>
      </w:r>
    </w:p>
    <w:p w14:paraId="6324F4D6">
      <w:pPr>
        <w:pStyle w:val="10"/>
        <w:spacing w:before="99" w:line="219" w:lineRule="auto"/>
        <w:ind w:left="2780"/>
        <w:rPr>
          <w:sz w:val="30"/>
          <w:szCs w:val="30"/>
        </w:rPr>
      </w:pPr>
      <w:r>
        <w:rPr>
          <w:spacing w:val="11"/>
          <w:sz w:val="30"/>
          <w:szCs w:val="30"/>
        </w:rPr>
        <w:t>政府采购服务合同(范本)</w:t>
      </w:r>
    </w:p>
    <w:p w14:paraId="74D49B9C">
      <w:pPr>
        <w:pStyle w:val="10"/>
        <w:spacing w:before="231" w:line="219" w:lineRule="auto"/>
        <w:ind w:left="430"/>
      </w:pPr>
      <w:r>
        <w:rPr>
          <w:spacing w:val="-1"/>
        </w:rPr>
        <w:t>合同编号：</w:t>
      </w:r>
    </w:p>
    <w:p w14:paraId="64216CF4">
      <w:pPr>
        <w:pStyle w:val="10"/>
        <w:spacing w:before="138" w:line="222" w:lineRule="auto"/>
        <w:ind w:left="430"/>
      </w:pPr>
      <w:r>
        <w:rPr>
          <w:spacing w:val="-7"/>
        </w:rPr>
        <w:t>签 订 地</w:t>
      </w:r>
      <w:r>
        <w:rPr>
          <w:spacing w:val="-16"/>
        </w:rPr>
        <w:t xml:space="preserve"> </w:t>
      </w:r>
      <w:r>
        <w:rPr>
          <w:spacing w:val="-7"/>
        </w:rPr>
        <w:t>：</w:t>
      </w:r>
    </w:p>
    <w:p w14:paraId="6DD8FA2B">
      <w:pPr>
        <w:pStyle w:val="10"/>
        <w:spacing w:before="147" w:line="219" w:lineRule="auto"/>
        <w:ind w:left="430"/>
      </w:pPr>
      <w:r>
        <w:rPr>
          <w:spacing w:val="14"/>
        </w:rPr>
        <w:t>甲方(采购人):</w:t>
      </w:r>
    </w:p>
    <w:p w14:paraId="739C402E">
      <w:pPr>
        <w:pStyle w:val="10"/>
        <w:spacing w:before="127" w:line="220" w:lineRule="auto"/>
        <w:ind w:left="430"/>
      </w:pPr>
      <w:r>
        <w:rPr>
          <w:spacing w:val="-1"/>
        </w:rPr>
        <w:t>住所地：</w:t>
      </w:r>
    </w:p>
    <w:p w14:paraId="695FDAE6">
      <w:pPr>
        <w:pStyle w:val="10"/>
        <w:spacing w:before="163" w:line="220" w:lineRule="auto"/>
        <w:ind w:left="430"/>
      </w:pPr>
      <w:r>
        <w:rPr>
          <w:spacing w:val="14"/>
        </w:rPr>
        <w:t>乙方(中标人):</w:t>
      </w:r>
    </w:p>
    <w:p w14:paraId="0BFF3114">
      <w:pPr>
        <w:pStyle w:val="10"/>
        <w:spacing w:before="124" w:line="220" w:lineRule="auto"/>
        <w:ind w:left="430"/>
      </w:pPr>
      <w:r>
        <w:rPr>
          <w:spacing w:val="-6"/>
        </w:rPr>
        <w:t>住</w:t>
      </w:r>
      <w:r>
        <w:rPr>
          <w:spacing w:val="47"/>
        </w:rPr>
        <w:t xml:space="preserve"> </w:t>
      </w:r>
      <w:r>
        <w:rPr>
          <w:spacing w:val="-6"/>
        </w:rPr>
        <w:t>所</w:t>
      </w:r>
      <w:r>
        <w:rPr>
          <w:spacing w:val="-22"/>
        </w:rPr>
        <w:t xml:space="preserve"> </w:t>
      </w:r>
      <w:r>
        <w:rPr>
          <w:spacing w:val="-6"/>
        </w:rPr>
        <w:t>地：</w:t>
      </w:r>
    </w:p>
    <w:p w14:paraId="156361EF">
      <w:pPr>
        <w:pStyle w:val="10"/>
        <w:spacing w:before="147" w:line="362" w:lineRule="auto"/>
        <w:ind w:left="29" w:firstLine="431"/>
      </w:pPr>
      <w:r>
        <w:rPr>
          <w:i/>
          <w:iCs/>
          <w:spacing w:val="-17"/>
        </w:rPr>
        <w:t>乙方干</w:t>
      </w:r>
      <w:r>
        <w:rPr>
          <w:spacing w:val="-66"/>
        </w:rPr>
        <w:t xml:space="preserve"> </w:t>
      </w:r>
      <w:r>
        <w:rPr>
          <w:spacing w:val="25"/>
          <w:u w:val="single" w:color="auto"/>
        </w:rPr>
        <w:t xml:space="preserve">   </w:t>
      </w:r>
      <w:r>
        <w:rPr>
          <w:spacing w:val="-65"/>
        </w:rPr>
        <w:t xml:space="preserve"> </w:t>
      </w:r>
      <w:r>
        <w:rPr>
          <w:spacing w:val="-17"/>
        </w:rPr>
        <w:t>年</w:t>
      </w:r>
      <w:r>
        <w:rPr>
          <w:spacing w:val="-78"/>
        </w:rPr>
        <w:t xml:space="preserve"> </w:t>
      </w:r>
      <w:r>
        <w:rPr>
          <w:spacing w:val="17"/>
          <w:u w:val="single" w:color="auto"/>
        </w:rPr>
        <w:t xml:space="preserve">    </w:t>
      </w:r>
      <w:r>
        <w:rPr>
          <w:spacing w:val="-73"/>
        </w:rPr>
        <w:t xml:space="preserve"> </w:t>
      </w:r>
      <w:r>
        <w:rPr>
          <w:color w:val="305070"/>
          <w:spacing w:val="-17"/>
        </w:rPr>
        <w:t>月.</w:t>
      </w:r>
      <w:r>
        <w:rPr>
          <w:color w:val="305070"/>
          <w:spacing w:val="-17"/>
          <w:u w:val="single" w:color="000000"/>
        </w:rPr>
        <w:t xml:space="preserve">  </w:t>
      </w:r>
      <w:r>
        <w:rPr>
          <w:color w:val="305070"/>
          <w:spacing w:val="-16"/>
          <w:u w:val="single" w:color="000000"/>
        </w:rPr>
        <w:t xml:space="preserve">   </w:t>
      </w:r>
      <w:r>
        <w:rPr>
          <w:color w:val="305070"/>
          <w:spacing w:val="-75"/>
        </w:rPr>
        <w:t xml:space="preserve"> </w:t>
      </w:r>
      <w:r>
        <w:rPr>
          <w:spacing w:val="-16"/>
        </w:rPr>
        <w:t>日参加了</w:t>
      </w:r>
      <w:r>
        <w:rPr>
          <w:spacing w:val="-16"/>
          <w:u w:val="single" w:color="auto"/>
        </w:rPr>
        <w:t>(</w:t>
      </w:r>
      <w:r>
        <w:rPr>
          <w:spacing w:val="-26"/>
          <w:u w:val="single" w:color="auto"/>
        </w:rPr>
        <w:t xml:space="preserve"> </w:t>
      </w:r>
      <w:r>
        <w:rPr>
          <w:spacing w:val="-16"/>
          <w:u w:val="single" w:color="auto"/>
        </w:rPr>
        <w:t>采</w:t>
      </w:r>
      <w:r>
        <w:rPr>
          <w:spacing w:val="-28"/>
          <w:u w:val="single" w:color="auto"/>
        </w:rPr>
        <w:t xml:space="preserve"> </w:t>
      </w:r>
      <w:r>
        <w:rPr>
          <w:spacing w:val="-16"/>
          <w:u w:val="single" w:color="auto"/>
        </w:rPr>
        <w:t>购</w:t>
      </w:r>
      <w:r>
        <w:rPr>
          <w:spacing w:val="-26"/>
          <w:u w:val="single" w:color="auto"/>
        </w:rPr>
        <w:t xml:space="preserve"> </w:t>
      </w:r>
      <w:r>
        <w:rPr>
          <w:spacing w:val="-16"/>
          <w:u w:val="single" w:color="auto"/>
        </w:rPr>
        <w:t>代 理</w:t>
      </w:r>
      <w:r>
        <w:rPr>
          <w:spacing w:val="-27"/>
          <w:u w:val="single" w:color="auto"/>
        </w:rPr>
        <w:t xml:space="preserve"> </w:t>
      </w:r>
      <w:r>
        <w:rPr>
          <w:spacing w:val="-16"/>
          <w:u w:val="single" w:color="auto"/>
        </w:rPr>
        <w:t>机 构</w:t>
      </w:r>
      <w:r>
        <w:rPr>
          <w:spacing w:val="-25"/>
          <w:u w:val="single" w:color="auto"/>
        </w:rPr>
        <w:t xml:space="preserve"> </w:t>
      </w:r>
      <w:r>
        <w:rPr>
          <w:spacing w:val="-16"/>
          <w:u w:val="single" w:color="auto"/>
        </w:rPr>
        <w:t>)</w:t>
      </w:r>
      <w:r>
        <w:rPr>
          <w:spacing w:val="-16"/>
        </w:rPr>
        <w:t>组织的“</w:t>
      </w:r>
      <w:r>
        <w:rPr>
          <w:spacing w:val="15"/>
          <w:u w:val="single" w:color="auto"/>
        </w:rPr>
        <w:t xml:space="preserve"> </w:t>
      </w:r>
      <w:r>
        <w:rPr>
          <w:spacing w:val="-16"/>
          <w:u w:val="single" w:color="auto"/>
        </w:rPr>
        <w:t>(</w:t>
      </w:r>
      <w:r>
        <w:rPr>
          <w:spacing w:val="-28"/>
          <w:u w:val="single" w:color="auto"/>
        </w:rPr>
        <w:t xml:space="preserve"> </w:t>
      </w:r>
      <w:r>
        <w:rPr>
          <w:spacing w:val="-16"/>
          <w:u w:val="single" w:color="auto"/>
        </w:rPr>
        <w:t>项 目</w:t>
      </w:r>
      <w:r>
        <w:rPr>
          <w:spacing w:val="-29"/>
          <w:u w:val="single" w:color="auto"/>
        </w:rPr>
        <w:t xml:space="preserve"> </w:t>
      </w:r>
      <w:r>
        <w:rPr>
          <w:spacing w:val="-16"/>
          <w:u w:val="single" w:color="auto"/>
        </w:rPr>
        <w:t>名</w:t>
      </w:r>
      <w:r>
        <w:rPr>
          <w:spacing w:val="-33"/>
          <w:u w:val="single" w:color="auto"/>
        </w:rPr>
        <w:t xml:space="preserve"> </w:t>
      </w:r>
      <w:r>
        <w:rPr>
          <w:spacing w:val="-16"/>
          <w:u w:val="single" w:color="auto"/>
        </w:rPr>
        <w:t>称</w:t>
      </w:r>
      <w:r>
        <w:rPr>
          <w:spacing w:val="-32"/>
          <w:u w:val="single" w:color="auto"/>
        </w:rPr>
        <w:t xml:space="preserve"> </w:t>
      </w:r>
      <w:r>
        <w:rPr>
          <w:spacing w:val="-16"/>
          <w:u w:val="single" w:color="auto"/>
        </w:rPr>
        <w:t>及</w:t>
      </w:r>
      <w:r>
        <w:rPr>
          <w:spacing w:val="-28"/>
          <w:u w:val="single" w:color="auto"/>
        </w:rPr>
        <w:t xml:space="preserve"> </w:t>
      </w:r>
      <w:r>
        <w:rPr>
          <w:spacing w:val="-16"/>
          <w:u w:val="single" w:color="auto"/>
        </w:rPr>
        <w:t>项</w:t>
      </w:r>
      <w:r>
        <w:rPr>
          <w:spacing w:val="-17"/>
          <w:u w:val="single" w:color="auto"/>
        </w:rPr>
        <w:t xml:space="preserve"> 目</w:t>
      </w:r>
      <w:r>
        <w:rPr>
          <w:spacing w:val="-30"/>
          <w:u w:val="single" w:color="auto"/>
        </w:rPr>
        <w:t xml:space="preserve"> </w:t>
      </w:r>
      <w:r>
        <w:rPr>
          <w:spacing w:val="-17"/>
          <w:u w:val="single" w:color="auto"/>
        </w:rPr>
        <w:t>编</w:t>
      </w:r>
      <w:r>
        <w:rPr>
          <w:spacing w:val="-27"/>
          <w:u w:val="single" w:color="auto"/>
        </w:rPr>
        <w:t xml:space="preserve"> </w:t>
      </w:r>
      <w:r>
        <w:rPr>
          <w:spacing w:val="-17"/>
          <w:u w:val="single" w:color="auto"/>
        </w:rPr>
        <w:t>号</w:t>
      </w:r>
      <w:r>
        <w:rPr>
          <w:spacing w:val="-30"/>
          <w:u w:val="single" w:color="auto"/>
        </w:rPr>
        <w:t xml:space="preserve"> </w:t>
      </w:r>
      <w:r>
        <w:rPr>
          <w:spacing w:val="-17"/>
          <w:u w:val="single" w:color="auto"/>
        </w:rPr>
        <w:t>)</w:t>
      </w:r>
      <w:r>
        <w:rPr>
          <w:spacing w:val="-17"/>
        </w:rPr>
        <w:t>”</w:t>
      </w:r>
      <w:r>
        <w:rPr>
          <w:spacing w:val="-9"/>
        </w:rPr>
        <w:t>政</w:t>
      </w:r>
      <w:r>
        <w:t xml:space="preserve"> </w:t>
      </w:r>
      <w:r>
        <w:rPr>
          <w:spacing w:val="4"/>
        </w:rPr>
        <w:t>府采购活动，经评标委员会评审确定乙方为</w:t>
      </w:r>
      <w:r>
        <w:rPr>
          <w:spacing w:val="-78"/>
        </w:rPr>
        <w:t xml:space="preserve"> </w:t>
      </w:r>
      <w:r>
        <w:rPr>
          <w:spacing w:val="42"/>
          <w:u w:val="single" w:color="auto"/>
        </w:rPr>
        <w:t xml:space="preserve">  </w:t>
      </w:r>
      <w:r>
        <w:rPr>
          <w:spacing w:val="4"/>
          <w:u w:val="single" w:color="auto"/>
        </w:rPr>
        <w:t>(包及包名称)</w:t>
      </w:r>
      <w:r>
        <w:rPr>
          <w:spacing w:val="63"/>
        </w:rPr>
        <w:t xml:space="preserve"> </w:t>
      </w:r>
      <w:r>
        <w:rPr>
          <w:spacing w:val="4"/>
        </w:rPr>
        <w:t>中标人，</w:t>
      </w:r>
      <w:r>
        <w:rPr>
          <w:spacing w:val="3"/>
        </w:rPr>
        <w:t>按照《中华人民共和国民法</w:t>
      </w:r>
    </w:p>
    <w:p w14:paraId="30A94877">
      <w:pPr>
        <w:pStyle w:val="10"/>
        <w:spacing w:before="1" w:line="359" w:lineRule="auto"/>
        <w:ind w:left="29" w:right="304"/>
      </w:pPr>
      <w:r>
        <w:t>典》、《中华人民共和国政府采购法》和相关的法律法规规定，以及招</w:t>
      </w:r>
      <w:r>
        <w:rPr>
          <w:spacing w:val="-1"/>
        </w:rPr>
        <w:t>标文件规定，经甲乙双方协商</w:t>
      </w:r>
      <w:r>
        <w:t xml:space="preserve"> </w:t>
      </w:r>
      <w:r>
        <w:rPr>
          <w:spacing w:val="3"/>
        </w:rPr>
        <w:t>一致，签订本政府采购合同。</w:t>
      </w:r>
    </w:p>
    <w:p w14:paraId="2F20DC70">
      <w:pPr>
        <w:pStyle w:val="10"/>
        <w:spacing w:before="1" w:line="219" w:lineRule="auto"/>
        <w:ind w:left="430"/>
      </w:pPr>
      <w:r>
        <w:rPr>
          <w:spacing w:val="20"/>
        </w:rPr>
        <w:t>第一条合同标的</w:t>
      </w:r>
    </w:p>
    <w:p w14:paraId="782DE7D1">
      <w:pPr>
        <w:pStyle w:val="10"/>
        <w:spacing w:before="144" w:line="219" w:lineRule="auto"/>
        <w:ind w:left="430"/>
      </w:pPr>
      <w:r>
        <w:rPr>
          <w:spacing w:val="-1"/>
        </w:rPr>
        <w:t>服务名称：</w:t>
      </w:r>
    </w:p>
    <w:p w14:paraId="14B12AE5">
      <w:pPr>
        <w:pStyle w:val="10"/>
        <w:spacing w:before="145" w:line="219" w:lineRule="auto"/>
        <w:ind w:left="430"/>
      </w:pPr>
      <w:r>
        <w:rPr>
          <w:spacing w:val="-2"/>
        </w:rPr>
        <w:t>服务内容：</w:t>
      </w:r>
      <w:r>
        <w:rPr>
          <w:spacing w:val="-23"/>
        </w:rPr>
        <w:t xml:space="preserve"> </w:t>
      </w:r>
      <w:r>
        <w:rPr>
          <w:spacing w:val="-2"/>
        </w:rPr>
        <w:t>……</w:t>
      </w:r>
    </w:p>
    <w:p w14:paraId="6A32DE3E">
      <w:pPr>
        <w:pStyle w:val="10"/>
        <w:spacing w:before="145" w:line="219" w:lineRule="auto"/>
        <w:ind w:left="430"/>
      </w:pPr>
      <w:r>
        <w:rPr>
          <w:spacing w:val="-9"/>
        </w:rPr>
        <w:t>技术标准： ……</w:t>
      </w:r>
    </w:p>
    <w:p w14:paraId="302867E6">
      <w:pPr>
        <w:pStyle w:val="10"/>
        <w:spacing w:before="144" w:line="219" w:lineRule="auto"/>
        <w:ind w:left="430"/>
      </w:pPr>
      <w:r>
        <w:rPr>
          <w:spacing w:val="13"/>
        </w:rPr>
        <w:t>第二条</w:t>
      </w:r>
      <w:r>
        <w:rPr>
          <w:spacing w:val="48"/>
        </w:rPr>
        <w:t xml:space="preserve"> </w:t>
      </w:r>
      <w:r>
        <w:rPr>
          <w:spacing w:val="13"/>
        </w:rPr>
        <w:t>合同总金额</w:t>
      </w:r>
    </w:p>
    <w:p w14:paraId="4F4ED081">
      <w:pPr>
        <w:pStyle w:val="10"/>
        <w:spacing w:before="158" w:line="225" w:lineRule="auto"/>
        <w:ind w:left="430"/>
        <w:rPr>
          <w:sz w:val="20"/>
          <w:szCs w:val="20"/>
        </w:rPr>
      </w:pPr>
      <w:r>
        <w:rPr>
          <w:spacing w:val="9"/>
        </w:rPr>
        <w:t>合同总金额为人民币(大写)</w:t>
      </w:r>
      <w:r>
        <w:rPr>
          <w:spacing w:val="-37"/>
        </w:rPr>
        <w:t xml:space="preserve"> </w:t>
      </w:r>
      <w:r>
        <w:rPr>
          <w:spacing w:val="9"/>
        </w:rPr>
        <w:t>:</w:t>
      </w:r>
      <w:r>
        <w:rPr>
          <w:spacing w:val="9"/>
          <w:u w:val="single" w:color="auto"/>
        </w:rPr>
        <w:t xml:space="preserve">            </w:t>
      </w:r>
      <w:r>
        <w:rPr>
          <w:spacing w:val="9"/>
        </w:rPr>
        <w:t xml:space="preserve"> </w:t>
      </w:r>
      <w:r>
        <w:rPr>
          <w:spacing w:val="9"/>
          <w:sz w:val="20"/>
          <w:szCs w:val="20"/>
        </w:rPr>
        <w:t>(¥</w:t>
      </w:r>
      <w:r>
        <w:rPr>
          <w:spacing w:val="-48"/>
          <w:sz w:val="20"/>
          <w:szCs w:val="20"/>
        </w:rPr>
        <w:t xml:space="preserve"> </w:t>
      </w:r>
      <w:r>
        <w:rPr>
          <w:spacing w:val="9"/>
          <w:sz w:val="20"/>
          <w:szCs w:val="20"/>
          <w:u w:val="single" w:color="auto"/>
        </w:rPr>
        <w:t xml:space="preserve">     </w:t>
      </w:r>
      <w:r>
        <w:rPr>
          <w:spacing w:val="8"/>
          <w:sz w:val="20"/>
          <w:szCs w:val="20"/>
          <w:u w:val="single" w:color="auto"/>
        </w:rPr>
        <w:t xml:space="preserve">   </w:t>
      </w:r>
      <w:r>
        <w:rPr>
          <w:color w:val="607070"/>
          <w:spacing w:val="8"/>
          <w:sz w:val="20"/>
          <w:szCs w:val="20"/>
        </w:rPr>
        <w:t>)</w:t>
      </w:r>
    </w:p>
    <w:p w14:paraId="44763515">
      <w:pPr>
        <w:pStyle w:val="10"/>
        <w:spacing w:before="111" w:line="360" w:lineRule="auto"/>
        <w:ind w:left="29" w:right="251" w:firstLine="400"/>
      </w:pPr>
      <w:r>
        <w:rPr>
          <w:spacing w:val="5"/>
        </w:rPr>
        <w:t>此价格为合同执行不变价，不因国家政策变化</w:t>
      </w:r>
      <w:r>
        <w:rPr>
          <w:spacing w:val="4"/>
        </w:rPr>
        <w:t>而变化，该价款包括了货物及与之配套的设计、</w:t>
      </w:r>
      <w:r>
        <w:t xml:space="preserve"> </w:t>
      </w:r>
      <w:r>
        <w:rPr>
          <w:spacing w:val="8"/>
        </w:rPr>
        <w:t>制造、正版软件、检验、包装、运输、保险、</w:t>
      </w:r>
      <w:r>
        <w:rPr>
          <w:spacing w:val="7"/>
        </w:rPr>
        <w:t>税费以及安装、组织验收、培训、技术服务(包括技</w:t>
      </w:r>
      <w:r>
        <w:t xml:space="preserve"> </w:t>
      </w:r>
      <w:r>
        <w:rPr>
          <w:spacing w:val="17"/>
        </w:rPr>
        <w:t>术资料、图纸提供等)、质保期服务等全部价款，除此之外，甲方不再向乙方支付其他任何费</w:t>
      </w:r>
      <w:r>
        <w:rPr>
          <w:spacing w:val="9"/>
        </w:rPr>
        <w:t xml:space="preserve"> </w:t>
      </w:r>
      <w:r>
        <w:rPr>
          <w:spacing w:val="-3"/>
        </w:rPr>
        <w:t>用。……</w:t>
      </w:r>
    </w:p>
    <w:p w14:paraId="4934DB19">
      <w:pPr>
        <w:pStyle w:val="10"/>
        <w:spacing w:line="219" w:lineRule="auto"/>
        <w:ind w:left="430"/>
      </w:pPr>
      <w:r>
        <w:rPr>
          <w:spacing w:val="13"/>
        </w:rPr>
        <w:t>第三条</w:t>
      </w:r>
      <w:r>
        <w:rPr>
          <w:spacing w:val="50"/>
        </w:rPr>
        <w:t xml:space="preserve"> </w:t>
      </w:r>
      <w:r>
        <w:rPr>
          <w:spacing w:val="13"/>
        </w:rPr>
        <w:t>服务交付</w:t>
      </w:r>
    </w:p>
    <w:p w14:paraId="3608B7BB">
      <w:pPr>
        <w:pStyle w:val="10"/>
        <w:spacing w:before="145" w:line="219" w:lineRule="auto"/>
        <w:ind w:left="430"/>
      </w:pPr>
      <w:r>
        <w:rPr>
          <w:spacing w:val="1"/>
        </w:rPr>
        <w:t>1、交付日期：</w:t>
      </w:r>
    </w:p>
    <w:p w14:paraId="51F14986">
      <w:pPr>
        <w:pStyle w:val="10"/>
        <w:spacing w:before="164" w:line="219" w:lineRule="auto"/>
        <w:ind w:left="430"/>
      </w:pPr>
      <w:r>
        <w:rPr>
          <w:spacing w:val="-1"/>
        </w:rPr>
        <w:t>2、交付地点：</w:t>
      </w:r>
      <w:r>
        <w:rPr>
          <w:spacing w:val="-23"/>
        </w:rPr>
        <w:t xml:space="preserve"> </w:t>
      </w:r>
      <w:r>
        <w:rPr>
          <w:spacing w:val="-1"/>
        </w:rPr>
        <w:t>……</w:t>
      </w:r>
    </w:p>
    <w:p w14:paraId="19F275C7">
      <w:pPr>
        <w:pStyle w:val="10"/>
        <w:spacing w:before="125" w:line="219" w:lineRule="auto"/>
        <w:ind w:left="430"/>
      </w:pPr>
      <w:r>
        <w:rPr>
          <w:spacing w:val="12"/>
        </w:rPr>
        <w:t>第四条</w:t>
      </w:r>
      <w:r>
        <w:rPr>
          <w:spacing w:val="57"/>
        </w:rPr>
        <w:t xml:space="preserve"> </w:t>
      </w:r>
      <w:r>
        <w:rPr>
          <w:spacing w:val="12"/>
        </w:rPr>
        <w:t>交付验收</w:t>
      </w:r>
    </w:p>
    <w:p w14:paraId="199929AE">
      <w:pPr>
        <w:pStyle w:val="10"/>
        <w:spacing w:before="166" w:line="350" w:lineRule="auto"/>
        <w:ind w:left="29" w:right="240" w:firstLine="400"/>
        <w:jc w:val="both"/>
      </w:pPr>
      <w:r>
        <w:rPr>
          <w:spacing w:val="6"/>
        </w:rPr>
        <w:t>1、甲方应当根据国家、行业验收标准，以及合同约定验收方案，明确验收时间、方式、程序</w:t>
      </w:r>
      <w:r>
        <w:rPr>
          <w:spacing w:val="18"/>
        </w:rPr>
        <w:t xml:space="preserve"> </w:t>
      </w:r>
      <w:r>
        <w:rPr>
          <w:spacing w:val="8"/>
        </w:rPr>
        <w:t>和内容等事项，组成验收小组，在收到乙方项目验</w:t>
      </w:r>
      <w:r>
        <w:rPr>
          <w:spacing w:val="7"/>
        </w:rPr>
        <w:t>收建议之日起1个工作日内，对采购项目进行实</w:t>
      </w:r>
      <w:r>
        <w:t xml:space="preserve"> </w:t>
      </w:r>
      <w:r>
        <w:rPr>
          <w:spacing w:val="10"/>
        </w:rPr>
        <w:t>质性验收(验收建议有明显不当的除外)。乙方应对提交的服务成果作出全面检查和整理，并列出</w:t>
      </w:r>
      <w:r>
        <w:rPr>
          <w:spacing w:val="1"/>
        </w:rPr>
        <w:t xml:space="preserve"> </w:t>
      </w:r>
      <w:r>
        <w:rPr>
          <w:spacing w:val="4"/>
        </w:rPr>
        <w:t>清单，作为甲方验收和使用技术条件依据，清单应随提交的服务成果交给甲方。</w:t>
      </w:r>
    </w:p>
    <w:p w14:paraId="675864B4">
      <w:pPr>
        <w:pStyle w:val="10"/>
        <w:spacing w:before="267" w:line="369" w:lineRule="auto"/>
        <w:ind w:right="196" w:firstLine="448" w:firstLineChars="200"/>
      </w:pPr>
      <w:r>
        <w:rPr>
          <w:spacing w:val="7"/>
        </w:rPr>
        <w:t>2、对大型或复杂的政府采购项目，甲方应当邀请国家认可</w:t>
      </w:r>
      <w:r>
        <w:rPr>
          <w:spacing w:val="6"/>
        </w:rPr>
        <w:t>的质量检测机构参与验收工作，并</w:t>
      </w:r>
      <w:r>
        <w:t xml:space="preserve"> </w:t>
      </w:r>
      <w:r>
        <w:rPr>
          <w:spacing w:val="3"/>
        </w:rPr>
        <w:t>出具验收报告，相关费用负担由甲乙双方约定。</w:t>
      </w:r>
    </w:p>
    <w:p w14:paraId="1140A839">
      <w:pPr>
        <w:pStyle w:val="10"/>
        <w:spacing w:line="288" w:lineRule="auto"/>
        <w:ind w:left="29" w:firstLine="400"/>
      </w:pPr>
      <w:r>
        <w:rPr>
          <w:spacing w:val="7"/>
        </w:rPr>
        <w:t>3、乙方在指定地点提交服务成果后，甲乙双方应依据招标</w:t>
      </w:r>
      <w:r>
        <w:rPr>
          <w:spacing w:val="6"/>
        </w:rPr>
        <w:t>文件、投标文件等文件材料的要求</w:t>
      </w:r>
      <w:r>
        <w:t xml:space="preserve">   </w:t>
      </w:r>
      <w:r>
        <w:rPr>
          <w:spacing w:val="5"/>
        </w:rPr>
        <w:t>共同验收，并且出具书面验收报告，履约验收报告应当依法依</w:t>
      </w:r>
      <w:r>
        <w:rPr>
          <w:spacing w:val="4"/>
        </w:rPr>
        <w:t>规及时在青岛市政府采购网公开发布。</w:t>
      </w:r>
    </w:p>
    <w:p w14:paraId="35AB1CC7">
      <w:pPr>
        <w:pStyle w:val="10"/>
        <w:spacing w:before="146" w:line="324" w:lineRule="auto"/>
        <w:ind w:left="29" w:right="177" w:firstLine="400"/>
      </w:pPr>
      <w:r>
        <w:rPr>
          <w:spacing w:val="11"/>
        </w:rPr>
        <w:t>4.根据财政部等三部门《关于印发&lt;商品包装政府采购需求标准(试行</w:t>
      </w:r>
      <w:r>
        <w:rPr>
          <w:spacing w:val="10"/>
        </w:rPr>
        <w:t>)&gt;、&lt;快递包装政府采</w:t>
      </w:r>
      <w:r>
        <w:t xml:space="preserve"> </w:t>
      </w:r>
      <w:r>
        <w:rPr>
          <w:spacing w:val="7"/>
        </w:rPr>
        <w:t>购需求标准(试行)&gt;的通知》规定，采购文件对商品包装和快递包装提出具体要求的，对乙方所提</w:t>
      </w:r>
      <w:r>
        <w:rPr>
          <w:spacing w:val="4"/>
        </w:rPr>
        <w:t xml:space="preserve"> </w:t>
      </w:r>
      <w:r>
        <w:rPr>
          <w:spacing w:val="-10"/>
        </w:rPr>
        <w:t>供 包 装</w:t>
      </w:r>
      <w:r>
        <w:rPr>
          <w:spacing w:val="25"/>
        </w:rPr>
        <w:t xml:space="preserve"> </w:t>
      </w:r>
      <w:r>
        <w:rPr>
          <w:spacing w:val="-10"/>
        </w:rPr>
        <w:t>的 履</w:t>
      </w:r>
      <w:r>
        <w:rPr>
          <w:spacing w:val="13"/>
        </w:rPr>
        <w:t xml:space="preserve"> </w:t>
      </w:r>
      <w:r>
        <w:rPr>
          <w:spacing w:val="-10"/>
        </w:rPr>
        <w:t>约</w:t>
      </w:r>
      <w:r>
        <w:rPr>
          <w:spacing w:val="7"/>
        </w:rPr>
        <w:t xml:space="preserve"> </w:t>
      </w:r>
      <w:r>
        <w:rPr>
          <w:spacing w:val="-10"/>
        </w:rPr>
        <w:t>验</w:t>
      </w:r>
      <w:r>
        <w:rPr>
          <w:spacing w:val="15"/>
        </w:rPr>
        <w:t xml:space="preserve"> </w:t>
      </w:r>
      <w:r>
        <w:rPr>
          <w:spacing w:val="-10"/>
        </w:rPr>
        <w:t>收</w:t>
      </w:r>
      <w:r>
        <w:rPr>
          <w:spacing w:val="9"/>
        </w:rPr>
        <w:t xml:space="preserve"> </w:t>
      </w:r>
      <w:r>
        <w:rPr>
          <w:spacing w:val="-10"/>
        </w:rPr>
        <w:t>要</w:t>
      </w:r>
      <w:r>
        <w:rPr>
          <w:spacing w:val="9"/>
        </w:rPr>
        <w:t xml:space="preserve"> </w:t>
      </w:r>
      <w:r>
        <w:rPr>
          <w:spacing w:val="-10"/>
        </w:rPr>
        <w:t>求</w:t>
      </w:r>
      <w:r>
        <w:rPr>
          <w:spacing w:val="41"/>
        </w:rPr>
        <w:t xml:space="preserve"> </w:t>
      </w:r>
      <w:r>
        <w:rPr>
          <w:spacing w:val="-10"/>
        </w:rPr>
        <w:t>(</w:t>
      </w:r>
      <w:r>
        <w:rPr>
          <w:spacing w:val="11"/>
        </w:rPr>
        <w:t xml:space="preserve"> </w:t>
      </w:r>
      <w:r>
        <w:rPr>
          <w:spacing w:val="-10"/>
        </w:rPr>
        <w:t>必</w:t>
      </w:r>
      <w:r>
        <w:rPr>
          <w:spacing w:val="9"/>
        </w:rPr>
        <w:t xml:space="preserve"> </w:t>
      </w:r>
      <w:r>
        <w:rPr>
          <w:spacing w:val="-10"/>
        </w:rPr>
        <w:t>要</w:t>
      </w:r>
      <w:r>
        <w:rPr>
          <w:spacing w:val="17"/>
        </w:rPr>
        <w:t xml:space="preserve"> </w:t>
      </w:r>
      <w:r>
        <w:rPr>
          <w:spacing w:val="-10"/>
        </w:rPr>
        <w:t>时</w:t>
      </w:r>
      <w:r>
        <w:rPr>
          <w:spacing w:val="9"/>
        </w:rPr>
        <w:t xml:space="preserve"> </w:t>
      </w:r>
      <w:r>
        <w:rPr>
          <w:spacing w:val="-10"/>
        </w:rPr>
        <w:t>要</w:t>
      </w:r>
      <w:r>
        <w:rPr>
          <w:spacing w:val="9"/>
        </w:rPr>
        <w:t xml:space="preserve"> </w:t>
      </w:r>
      <w:r>
        <w:rPr>
          <w:spacing w:val="-10"/>
        </w:rPr>
        <w:t>求</w:t>
      </w:r>
      <w:r>
        <w:rPr>
          <w:spacing w:val="27"/>
        </w:rPr>
        <w:t xml:space="preserve"> </w:t>
      </w:r>
      <w:r>
        <w:rPr>
          <w:spacing w:val="-10"/>
        </w:rPr>
        <w:t>乙</w:t>
      </w:r>
      <w:r>
        <w:rPr>
          <w:spacing w:val="9"/>
        </w:rPr>
        <w:t xml:space="preserve"> </w:t>
      </w:r>
      <w:r>
        <w:rPr>
          <w:spacing w:val="-10"/>
        </w:rPr>
        <w:t>方</w:t>
      </w:r>
      <w:r>
        <w:rPr>
          <w:spacing w:val="7"/>
        </w:rPr>
        <w:t xml:space="preserve"> </w:t>
      </w:r>
      <w:r>
        <w:rPr>
          <w:spacing w:val="-10"/>
        </w:rPr>
        <w:t>在</w:t>
      </w:r>
      <w:r>
        <w:rPr>
          <w:spacing w:val="11"/>
        </w:rPr>
        <w:t xml:space="preserve"> </w:t>
      </w:r>
      <w:r>
        <w:rPr>
          <w:spacing w:val="-10"/>
        </w:rPr>
        <w:t>履</w:t>
      </w:r>
      <w:r>
        <w:rPr>
          <w:spacing w:val="12"/>
        </w:rPr>
        <w:t xml:space="preserve"> </w:t>
      </w:r>
      <w:r>
        <w:rPr>
          <w:spacing w:val="-10"/>
        </w:rPr>
        <w:t>约</w:t>
      </w:r>
      <w:r>
        <w:rPr>
          <w:spacing w:val="8"/>
        </w:rPr>
        <w:t xml:space="preserve"> </w:t>
      </w:r>
      <w:r>
        <w:rPr>
          <w:spacing w:val="-10"/>
        </w:rPr>
        <w:t>验</w:t>
      </w:r>
      <w:r>
        <w:rPr>
          <w:spacing w:val="14"/>
        </w:rPr>
        <w:t xml:space="preserve"> </w:t>
      </w:r>
      <w:r>
        <w:rPr>
          <w:spacing w:val="-10"/>
        </w:rPr>
        <w:t>收</w:t>
      </w:r>
      <w:r>
        <w:rPr>
          <w:spacing w:val="8"/>
        </w:rPr>
        <w:t xml:space="preserve"> </w:t>
      </w:r>
      <w:r>
        <w:rPr>
          <w:spacing w:val="-10"/>
        </w:rPr>
        <w:t>环</w:t>
      </w:r>
      <w:r>
        <w:rPr>
          <w:spacing w:val="8"/>
        </w:rPr>
        <w:t xml:space="preserve"> </w:t>
      </w:r>
      <w:r>
        <w:rPr>
          <w:spacing w:val="-10"/>
        </w:rPr>
        <w:t>节</w:t>
      </w:r>
      <w:r>
        <w:rPr>
          <w:spacing w:val="24"/>
        </w:rPr>
        <w:t xml:space="preserve"> </w:t>
      </w:r>
      <w:r>
        <w:rPr>
          <w:spacing w:val="-10"/>
        </w:rPr>
        <w:t>出</w:t>
      </w:r>
      <w:r>
        <w:rPr>
          <w:spacing w:val="12"/>
        </w:rPr>
        <w:t xml:space="preserve"> </w:t>
      </w:r>
      <w:r>
        <w:rPr>
          <w:spacing w:val="-10"/>
        </w:rPr>
        <w:t>具</w:t>
      </w:r>
      <w:r>
        <w:rPr>
          <w:spacing w:val="8"/>
        </w:rPr>
        <w:t xml:space="preserve"> </w:t>
      </w:r>
      <w:r>
        <w:rPr>
          <w:spacing w:val="-10"/>
        </w:rPr>
        <w:t>检</w:t>
      </w:r>
      <w:r>
        <w:rPr>
          <w:spacing w:val="9"/>
        </w:rPr>
        <w:t xml:space="preserve"> </w:t>
      </w:r>
      <w:r>
        <w:rPr>
          <w:spacing w:val="-10"/>
        </w:rPr>
        <w:t>测</w:t>
      </w:r>
      <w:r>
        <w:rPr>
          <w:spacing w:val="6"/>
        </w:rPr>
        <w:t xml:space="preserve"> </w:t>
      </w:r>
      <w:r>
        <w:rPr>
          <w:spacing w:val="-10"/>
        </w:rPr>
        <w:t>报</w:t>
      </w:r>
      <w:r>
        <w:t xml:space="preserve"> </w:t>
      </w:r>
      <w:r>
        <w:rPr>
          <w:spacing w:val="3"/>
        </w:rPr>
        <w:t>告):</w:t>
      </w:r>
      <w:r>
        <w:rPr>
          <w:spacing w:val="-11"/>
        </w:rPr>
        <w:t xml:space="preserve"> </w:t>
      </w:r>
      <w:r>
        <w:rPr>
          <w:spacing w:val="2"/>
          <w:u w:val="single" w:color="auto"/>
        </w:rPr>
        <w:t xml:space="preserve">                        </w:t>
      </w:r>
      <w:r>
        <w:rPr>
          <w:spacing w:val="57"/>
        </w:rPr>
        <w:t xml:space="preserve"> </w:t>
      </w:r>
      <w:r>
        <w:rPr>
          <w:spacing w:val="3"/>
        </w:rPr>
        <w:t>……</w:t>
      </w:r>
    </w:p>
    <w:p w14:paraId="581ECBA1">
      <w:pPr>
        <w:pStyle w:val="10"/>
        <w:spacing w:before="157" w:line="219" w:lineRule="auto"/>
        <w:ind w:left="430"/>
      </w:pPr>
      <w:r>
        <w:rPr>
          <w:spacing w:val="8"/>
        </w:rPr>
        <w:t>第五条</w:t>
      </w:r>
      <w:r>
        <w:rPr>
          <w:spacing w:val="37"/>
        </w:rPr>
        <w:t xml:space="preserve">  </w:t>
      </w:r>
      <w:r>
        <w:rPr>
          <w:spacing w:val="8"/>
        </w:rPr>
        <w:t>权利瑕疵担当</w:t>
      </w:r>
    </w:p>
    <w:p w14:paraId="19F483AC">
      <w:pPr>
        <w:pStyle w:val="10"/>
        <w:spacing w:before="144" w:line="219" w:lineRule="auto"/>
        <w:ind w:left="430"/>
      </w:pPr>
      <w:r>
        <w:t>1.</w:t>
      </w:r>
      <w:r>
        <w:rPr>
          <w:spacing w:val="-52"/>
        </w:rPr>
        <w:t xml:space="preserve"> </w:t>
      </w:r>
      <w:r>
        <w:t>乙方保证对其出售的标的物享有合法的权利；</w:t>
      </w:r>
    </w:p>
    <w:p w14:paraId="70B3AAC0">
      <w:pPr>
        <w:pStyle w:val="10"/>
        <w:spacing w:before="145" w:line="308" w:lineRule="auto"/>
        <w:ind w:left="29" w:firstLine="389"/>
        <w:rPr>
          <w:sz w:val="17"/>
          <w:szCs w:val="17"/>
        </w:rPr>
      </w:pPr>
      <w:r>
        <w:rPr>
          <w:spacing w:val="5"/>
        </w:rPr>
        <w:t>2.乙方应保证在其出售的标的物上不存在任何未</w:t>
      </w:r>
      <w:r>
        <w:rPr>
          <w:spacing w:val="4"/>
        </w:rPr>
        <w:t>曾向甲方透露的担保物权，如抵押权、质押权、</w:t>
      </w:r>
      <w:r>
        <w:t xml:space="preserve"> </w:t>
      </w:r>
      <w:r>
        <w:rPr>
          <w:spacing w:val="17"/>
          <w:sz w:val="17"/>
          <w:szCs w:val="17"/>
        </w:rPr>
        <w:t>留置权等；</w:t>
      </w:r>
    </w:p>
    <w:p w14:paraId="40C8156A">
      <w:pPr>
        <w:pStyle w:val="10"/>
        <w:spacing w:before="149" w:line="219" w:lineRule="auto"/>
        <w:ind w:left="430"/>
      </w:pPr>
      <w:r>
        <w:rPr>
          <w:spacing w:val="4"/>
        </w:rPr>
        <w:t>3.乙方应保证其所出售的标的物没有侵害任</w:t>
      </w:r>
      <w:r>
        <w:rPr>
          <w:spacing w:val="3"/>
        </w:rPr>
        <w:t>何第三人的知识产权和商业秘密等权利；</w:t>
      </w:r>
    </w:p>
    <w:p w14:paraId="3BC40A89">
      <w:pPr>
        <w:pStyle w:val="10"/>
        <w:spacing w:before="145" w:line="219" w:lineRule="auto"/>
        <w:ind w:left="419"/>
      </w:pPr>
      <w:r>
        <w:rPr>
          <w:spacing w:val="3"/>
        </w:rPr>
        <w:t>4.如甲方使用该标的物构成上述侵权的，则由乙方承担全部责任。</w:t>
      </w:r>
    </w:p>
    <w:p w14:paraId="1FC54BC3">
      <w:pPr>
        <w:pStyle w:val="10"/>
        <w:spacing w:before="154" w:line="219" w:lineRule="auto"/>
        <w:ind w:left="430"/>
      </w:pPr>
      <w:r>
        <w:rPr>
          <w:spacing w:val="12"/>
        </w:rPr>
        <w:t>第六条</w:t>
      </w:r>
      <w:r>
        <w:rPr>
          <w:spacing w:val="44"/>
        </w:rPr>
        <w:t xml:space="preserve"> </w:t>
      </w:r>
      <w:r>
        <w:rPr>
          <w:spacing w:val="12"/>
        </w:rPr>
        <w:t>所有权归属</w:t>
      </w:r>
    </w:p>
    <w:p w14:paraId="5F50E624">
      <w:pPr>
        <w:pStyle w:val="10"/>
        <w:spacing w:before="135" w:line="357" w:lineRule="auto"/>
        <w:ind w:left="29" w:right="176" w:firstLine="400"/>
        <w:jc w:val="both"/>
      </w:pPr>
      <w:r>
        <w:rPr>
          <w:spacing w:val="9"/>
        </w:rPr>
        <w:t>乙方将服务成果交付甲方，并且经甲乙双方共同验收合格后所</w:t>
      </w:r>
      <w:r>
        <w:rPr>
          <w:spacing w:val="8"/>
        </w:rPr>
        <w:t>有权转移给甲方，在所有权转</w:t>
      </w:r>
      <w:r>
        <w:t xml:space="preserve"> </w:t>
      </w:r>
      <w:r>
        <w:rPr>
          <w:spacing w:val="5"/>
        </w:rPr>
        <w:t>移之前，标的物损毁、灭失的风险归乙方，乙方保证所交付的服务成果的所有权完全属于乙方且无</w:t>
      </w:r>
      <w:r>
        <w:rPr>
          <w:spacing w:val="2"/>
        </w:rPr>
        <w:t xml:space="preserve"> 任何抵押、查封等产权瑕疵。</w:t>
      </w:r>
    </w:p>
    <w:p w14:paraId="63C1BDE6">
      <w:pPr>
        <w:pStyle w:val="10"/>
        <w:spacing w:before="2" w:line="354" w:lineRule="auto"/>
        <w:ind w:left="29" w:right="176" w:firstLine="400"/>
        <w:jc w:val="both"/>
      </w:pPr>
      <w:r>
        <w:rPr>
          <w:spacing w:val="6"/>
        </w:rPr>
        <w:t>如乙方交付的服务成果有产权瑕疵的，视为乙方违约，乙方须向甲方支付</w:t>
      </w:r>
      <w:r>
        <w:rPr>
          <w:spacing w:val="-89"/>
        </w:rPr>
        <w:t xml:space="preserve"> </w:t>
      </w:r>
      <w:r>
        <w:rPr>
          <w:spacing w:val="3"/>
          <w:u w:val="dotted" w:color="auto"/>
        </w:rPr>
        <w:t xml:space="preserve">  </w:t>
      </w:r>
      <w:r>
        <w:rPr>
          <w:spacing w:val="-85"/>
        </w:rPr>
        <w:t xml:space="preserve"> </w:t>
      </w:r>
      <w:r>
        <w:rPr>
          <w:spacing w:val="6"/>
        </w:rPr>
        <w:t>%</w:t>
      </w:r>
      <w:r>
        <w:rPr>
          <w:spacing w:val="5"/>
        </w:rPr>
        <w:t>的违约金；如果</w:t>
      </w:r>
      <w:r>
        <w:t xml:space="preserve"> </w:t>
      </w:r>
      <w:r>
        <w:rPr>
          <w:spacing w:val="5"/>
        </w:rPr>
        <w:t>合同总金额价款已经支付完毕或者开始支付合同价款时才发现产权有瑕疵的，乙方仍须支付上述违</w:t>
      </w:r>
      <w:r>
        <w:rPr>
          <w:spacing w:val="2"/>
        </w:rPr>
        <w:t xml:space="preserve"> </w:t>
      </w:r>
      <w:r>
        <w:rPr>
          <w:spacing w:val="4"/>
        </w:rPr>
        <w:t>约金并且赔偿甲方由此所遭受的一切损失。</w:t>
      </w:r>
    </w:p>
    <w:p w14:paraId="60EC2671">
      <w:pPr>
        <w:pStyle w:val="10"/>
        <w:spacing w:before="12" w:line="219" w:lineRule="auto"/>
        <w:ind w:left="430"/>
      </w:pPr>
      <w:r>
        <w:rPr>
          <w:spacing w:val="9"/>
        </w:rPr>
        <w:t>第七条</w:t>
      </w:r>
      <w:r>
        <w:rPr>
          <w:spacing w:val="32"/>
        </w:rPr>
        <w:t xml:space="preserve"> </w:t>
      </w:r>
      <w:r>
        <w:rPr>
          <w:spacing w:val="9"/>
        </w:rPr>
        <w:t>包装、装运及运输</w:t>
      </w:r>
    </w:p>
    <w:p w14:paraId="78926D30">
      <w:pPr>
        <w:pStyle w:val="10"/>
        <w:spacing w:before="145" w:line="219" w:lineRule="auto"/>
        <w:ind w:left="430"/>
      </w:pPr>
      <w:r>
        <w:rPr>
          <w:spacing w:val="5"/>
        </w:rPr>
        <w:t>1、乙方负责包装、装运和运输，由于不适当的包装、装运和运输造成任何损坏均由乙方负责。</w:t>
      </w:r>
    </w:p>
    <w:p w14:paraId="62C0CB5A">
      <w:pPr>
        <w:pStyle w:val="10"/>
        <w:spacing w:before="145" w:line="219" w:lineRule="auto"/>
        <w:ind w:left="430"/>
      </w:pPr>
      <w:r>
        <w:rPr>
          <w:spacing w:val="3"/>
        </w:rPr>
        <w:t>2、包装费、运费及相关费用已包含在合同总金额内。</w:t>
      </w:r>
    </w:p>
    <w:p w14:paraId="1CFEA377">
      <w:pPr>
        <w:pStyle w:val="10"/>
        <w:spacing w:before="144" w:line="290" w:lineRule="auto"/>
        <w:ind w:left="29" w:right="196" w:firstLine="400"/>
      </w:pPr>
      <w:r>
        <w:rPr>
          <w:spacing w:val="11"/>
        </w:rPr>
        <w:t>3.根据财政部等三部门《关于印发&lt;商品包装政府采购需求标准(试行</w:t>
      </w:r>
      <w:r>
        <w:rPr>
          <w:spacing w:val="10"/>
        </w:rPr>
        <w:t>)&gt;、&lt;快递包装政府采</w:t>
      </w:r>
      <w:r>
        <w:t xml:space="preserve"> </w:t>
      </w:r>
      <w:r>
        <w:rPr>
          <w:spacing w:val="9"/>
        </w:rPr>
        <w:t>购需求标准(试行)&gt;的通知》规定，对乙方提出的具体包装要求：</w:t>
      </w:r>
    </w:p>
    <w:p w14:paraId="5E1FEF0F">
      <w:pPr>
        <w:pStyle w:val="10"/>
        <w:spacing w:before="153" w:line="219" w:lineRule="auto"/>
        <w:ind w:left="430"/>
      </w:pPr>
      <w:r>
        <w:rPr>
          <w:spacing w:val="12"/>
        </w:rPr>
        <w:t>第八条</w:t>
      </w:r>
      <w:r>
        <w:rPr>
          <w:spacing w:val="48"/>
        </w:rPr>
        <w:t xml:space="preserve"> </w:t>
      </w:r>
      <w:r>
        <w:rPr>
          <w:spacing w:val="12"/>
        </w:rPr>
        <w:t>款项支付</w:t>
      </w:r>
    </w:p>
    <w:p w14:paraId="11E1C831">
      <w:pPr>
        <w:pStyle w:val="10"/>
        <w:spacing w:before="145" w:line="219" w:lineRule="auto"/>
        <w:ind w:left="430"/>
      </w:pPr>
      <w:r>
        <w:rPr>
          <w:spacing w:val="4"/>
        </w:rPr>
        <w:t>1、服务成果交付甲方，经甲乙双方共同验收合格后</w:t>
      </w:r>
      <w:r>
        <w:rPr>
          <w:spacing w:val="3"/>
        </w:rPr>
        <w:t>由甲方负责办理支付手续。</w:t>
      </w:r>
    </w:p>
    <w:p w14:paraId="327EEA52">
      <w:pPr>
        <w:pStyle w:val="10"/>
        <w:spacing w:before="133" w:line="295" w:lineRule="auto"/>
        <w:ind w:left="29" w:right="197" w:firstLine="400"/>
      </w:pPr>
      <w:r>
        <w:rPr>
          <w:spacing w:val="9"/>
        </w:rPr>
        <w:t>2、允许并鼓励乙方提供电子发票，甲方自收到发票之日起2个工作日内支付资金，并不</w:t>
      </w:r>
      <w:r>
        <w:rPr>
          <w:spacing w:val="8"/>
        </w:rPr>
        <w:t>得附</w:t>
      </w:r>
      <w:r>
        <w:t xml:space="preserve"> </w:t>
      </w:r>
      <w:r>
        <w:rPr>
          <w:spacing w:val="3"/>
        </w:rPr>
        <w:t>加未经约定的其他条件。</w:t>
      </w:r>
    </w:p>
    <w:p w14:paraId="09720A23">
      <w:pPr>
        <w:pStyle w:val="10"/>
        <w:spacing w:before="144" w:line="219" w:lineRule="auto"/>
        <w:ind w:left="430"/>
      </w:pPr>
      <w:r>
        <w:rPr>
          <w:spacing w:val="7"/>
        </w:rPr>
        <w:t>3、付款方式</w:t>
      </w:r>
    </w:p>
    <w:p w14:paraId="444DDE74">
      <w:pPr>
        <w:pStyle w:val="10"/>
        <w:spacing w:before="162" w:line="335" w:lineRule="auto"/>
        <w:ind w:left="29" w:right="154" w:firstLine="400"/>
      </w:pPr>
      <w:r>
        <w:rPr>
          <w:spacing w:val="18"/>
        </w:rPr>
        <w:t>3.1</w:t>
      </w:r>
      <w:r>
        <w:rPr>
          <w:spacing w:val="64"/>
        </w:rPr>
        <w:t xml:space="preserve"> </w:t>
      </w:r>
      <w:r>
        <w:rPr>
          <w:spacing w:val="18"/>
        </w:rPr>
        <w:t>预付款比例：</w:t>
      </w:r>
      <w:r>
        <w:rPr>
          <w:spacing w:val="-25"/>
        </w:rPr>
        <w:t xml:space="preserve"> </w:t>
      </w:r>
      <w:r>
        <w:rPr>
          <w:spacing w:val="5"/>
          <w:u w:val="single" w:color="auto"/>
        </w:rPr>
        <w:t xml:space="preserve">     </w:t>
      </w:r>
      <w:r>
        <w:rPr>
          <w:spacing w:val="18"/>
        </w:rPr>
        <w:t>%</w:t>
      </w:r>
      <w:r>
        <w:rPr>
          <w:spacing w:val="-54"/>
        </w:rPr>
        <w:t xml:space="preserve"> </w:t>
      </w:r>
      <w:r>
        <w:rPr>
          <w:spacing w:val="18"/>
        </w:rPr>
        <w:t>,于政府采购合同签订生效并具备实施条件后2 个工作日内支</w:t>
      </w:r>
      <w:r>
        <w:t xml:space="preserve"> </w:t>
      </w:r>
      <w:r>
        <w:rPr>
          <w:spacing w:val="-2"/>
        </w:rPr>
        <w:t>付。</w:t>
      </w:r>
      <w:r>
        <w:rPr>
          <w:spacing w:val="-59"/>
        </w:rPr>
        <w:t xml:space="preserve"> </w:t>
      </w:r>
      <w:r>
        <w:rPr>
          <w:spacing w:val="-2"/>
        </w:rPr>
        <w:t>……</w:t>
      </w:r>
    </w:p>
    <w:p w14:paraId="7ED761B4">
      <w:pPr>
        <w:pStyle w:val="10"/>
        <w:spacing w:before="4" w:line="219" w:lineRule="auto"/>
        <w:ind w:left="430"/>
      </w:pPr>
      <w:r>
        <w:rPr>
          <w:spacing w:val="12"/>
        </w:rPr>
        <w:t>第九条</w:t>
      </w:r>
      <w:r>
        <w:rPr>
          <w:spacing w:val="56"/>
        </w:rPr>
        <w:t xml:space="preserve"> </w:t>
      </w:r>
      <w:r>
        <w:rPr>
          <w:spacing w:val="12"/>
        </w:rPr>
        <w:t>履约保证金</w:t>
      </w:r>
    </w:p>
    <w:p w14:paraId="2A6E166F">
      <w:pPr>
        <w:pStyle w:val="10"/>
        <w:spacing w:before="153" w:line="219" w:lineRule="auto"/>
        <w:ind w:left="430"/>
      </w:pPr>
      <w:r>
        <w:rPr>
          <w:spacing w:val="-1"/>
        </w:rPr>
        <w:t>根据许昌市优化政府采购营商环境要求，项目不收取履约保证金。</w:t>
      </w:r>
      <w:r>
        <w:rPr>
          <w:spacing w:val="64"/>
        </w:rPr>
        <w:t xml:space="preserve"> </w:t>
      </w:r>
      <w:r>
        <w:rPr>
          <w:spacing w:val="-1"/>
        </w:rPr>
        <w:t>……</w:t>
      </w:r>
    </w:p>
    <w:p w14:paraId="1FBE1FF3">
      <w:pPr>
        <w:pStyle w:val="10"/>
        <w:spacing w:before="62" w:line="219" w:lineRule="auto"/>
        <w:ind w:firstLine="464" w:firstLineChars="200"/>
      </w:pPr>
      <w:r>
        <w:rPr>
          <w:spacing w:val="11"/>
        </w:rPr>
        <w:t>第十条</w:t>
      </w:r>
      <w:r>
        <w:rPr>
          <w:spacing w:val="42"/>
        </w:rPr>
        <w:t xml:space="preserve"> </w:t>
      </w:r>
      <w:r>
        <w:rPr>
          <w:spacing w:val="11"/>
        </w:rPr>
        <w:t>售后服务及承诺</w:t>
      </w:r>
    </w:p>
    <w:p w14:paraId="5AF7578C">
      <w:pPr>
        <w:pStyle w:val="10"/>
        <w:spacing w:before="143" w:line="280" w:lineRule="auto"/>
        <w:ind w:left="29" w:right="195" w:firstLine="430"/>
      </w:pPr>
      <w:r>
        <w:rPr>
          <w:spacing w:val="8"/>
        </w:rPr>
        <w:t>1、服务质量保证期限自提交服务验收合格之日起</w:t>
      </w:r>
      <w:r>
        <w:rPr>
          <w:spacing w:val="8"/>
          <w:u w:val="single" w:color="auto"/>
        </w:rPr>
        <w:t xml:space="preserve">     </w:t>
      </w:r>
      <w:r>
        <w:rPr>
          <w:spacing w:val="8"/>
        </w:rPr>
        <w:t>年，在质量保证期内，乙方应对服务</w:t>
      </w:r>
      <w:r>
        <w:rPr>
          <w:spacing w:val="3"/>
        </w:rPr>
        <w:t xml:space="preserve"> </w:t>
      </w:r>
      <w:r>
        <w:rPr>
          <w:spacing w:val="4"/>
        </w:rPr>
        <w:t>出现的问题负责处理并承担一切费用，并且赔偿甲</w:t>
      </w:r>
      <w:r>
        <w:rPr>
          <w:spacing w:val="3"/>
        </w:rPr>
        <w:t>方的损失。</w:t>
      </w:r>
    </w:p>
    <w:p w14:paraId="1BCEBEDD">
      <w:pPr>
        <w:pStyle w:val="10"/>
        <w:spacing w:before="143" w:line="219" w:lineRule="auto"/>
        <w:ind w:left="459"/>
      </w:pPr>
      <w:r>
        <w:rPr>
          <w:spacing w:val="4"/>
        </w:rPr>
        <w:t>2、乙方有完善的服务体系，有能力提供持续的、本地化售后服务。</w:t>
      </w:r>
    </w:p>
    <w:p w14:paraId="6DFBEC85">
      <w:pPr>
        <w:pStyle w:val="10"/>
        <w:spacing w:before="154" w:line="285" w:lineRule="auto"/>
        <w:ind w:left="29" w:right="177" w:firstLine="430"/>
      </w:pPr>
      <w:r>
        <w:rPr>
          <w:spacing w:val="7"/>
        </w:rPr>
        <w:t>3、乙方负责系统安装和调试以及操作人员培训，并制定</w:t>
      </w:r>
      <w:r>
        <w:rPr>
          <w:spacing w:val="6"/>
        </w:rPr>
        <w:t>详细的培训计划，使操作人员能独立</w:t>
      </w:r>
      <w:r>
        <w:t xml:space="preserve"> </w:t>
      </w:r>
      <w:r>
        <w:rPr>
          <w:spacing w:val="4"/>
        </w:rPr>
        <w:t>进行管理、操作、维护和故障处理等工作，做好相关记录及技术文档收集整理，待验收</w:t>
      </w:r>
      <w:r>
        <w:rPr>
          <w:spacing w:val="3"/>
        </w:rPr>
        <w:t>后移交。</w:t>
      </w:r>
    </w:p>
    <w:p w14:paraId="01E03BB0">
      <w:pPr>
        <w:pStyle w:val="10"/>
        <w:spacing w:before="144" w:line="219" w:lineRule="auto"/>
        <w:ind w:left="459"/>
      </w:pPr>
      <w:r>
        <w:rPr>
          <w:spacing w:val="-1"/>
        </w:rPr>
        <w:t>4、服务范围：负责招标文件所涉及到的所有服务。</w:t>
      </w:r>
      <w:r>
        <w:rPr>
          <w:spacing w:val="-47"/>
        </w:rPr>
        <w:t xml:space="preserve"> </w:t>
      </w:r>
      <w:r>
        <w:rPr>
          <w:spacing w:val="-1"/>
        </w:rPr>
        <w:t>……</w:t>
      </w:r>
    </w:p>
    <w:p w14:paraId="7D66F2DD">
      <w:pPr>
        <w:pStyle w:val="10"/>
        <w:spacing w:before="145" w:line="219" w:lineRule="auto"/>
        <w:ind w:left="459"/>
      </w:pPr>
      <w:r>
        <w:rPr>
          <w:spacing w:val="4"/>
        </w:rPr>
        <w:t>第十一条  知识产权</w:t>
      </w:r>
    </w:p>
    <w:p w14:paraId="7350F907">
      <w:pPr>
        <w:pStyle w:val="10"/>
        <w:spacing w:before="164" w:line="219" w:lineRule="auto"/>
        <w:ind w:left="459"/>
      </w:pPr>
      <w:r>
        <w:rPr>
          <w:spacing w:val="6"/>
        </w:rPr>
        <w:t>1、乙方保证，甲方在享受服务或者服务的任何一部分时，免受第三方提出的</w:t>
      </w:r>
      <w:r>
        <w:rPr>
          <w:spacing w:val="5"/>
        </w:rPr>
        <w:t>侵犯其专利权、</w:t>
      </w:r>
    </w:p>
    <w:p w14:paraId="13611A67">
      <w:pPr>
        <w:pStyle w:val="10"/>
        <w:spacing w:before="146" w:line="289" w:lineRule="auto"/>
        <w:ind w:left="29"/>
      </w:pPr>
      <w:r>
        <w:rPr>
          <w:spacing w:val="5"/>
        </w:rPr>
        <w:t>商标权或其他知识产权的起诉。如发生此类纠纷，由乙方承担一切责任；如因此给甲</w:t>
      </w:r>
      <w:r>
        <w:rPr>
          <w:spacing w:val="4"/>
        </w:rPr>
        <w:t>方造成损失的，</w:t>
      </w:r>
      <w:r>
        <w:t xml:space="preserve"> </w:t>
      </w:r>
      <w:r>
        <w:rPr>
          <w:spacing w:val="3"/>
        </w:rPr>
        <w:t>乙方负责全额赔偿。</w:t>
      </w:r>
    </w:p>
    <w:p w14:paraId="533E5CFD">
      <w:pPr>
        <w:pStyle w:val="10"/>
        <w:spacing w:before="143" w:line="291" w:lineRule="auto"/>
        <w:ind w:left="29" w:right="194" w:firstLine="430"/>
      </w:pPr>
      <w:r>
        <w:rPr>
          <w:spacing w:val="20"/>
        </w:rPr>
        <w:t>2、</w:t>
      </w:r>
      <w:r>
        <w:rPr>
          <w:spacing w:val="-31"/>
        </w:rPr>
        <w:t xml:space="preserve"> </w:t>
      </w:r>
      <w:r>
        <w:rPr>
          <w:spacing w:val="20"/>
        </w:rPr>
        <w:t>乙方为执行本合同而提供的技术资料或者其他相关资料、软件等由甲方永久免费使</w:t>
      </w:r>
      <w:r>
        <w:t xml:space="preserve"> </w:t>
      </w:r>
      <w:r>
        <w:rPr>
          <w:spacing w:val="-1"/>
        </w:rPr>
        <w:t>用。</w:t>
      </w:r>
      <w:r>
        <w:rPr>
          <w:spacing w:val="-53"/>
        </w:rPr>
        <w:t xml:space="preserve"> </w:t>
      </w:r>
      <w:r>
        <w:rPr>
          <w:spacing w:val="-1"/>
        </w:rPr>
        <w:t>……</w:t>
      </w:r>
    </w:p>
    <w:p w14:paraId="2C76334B">
      <w:pPr>
        <w:pStyle w:val="10"/>
        <w:spacing w:before="142" w:line="219" w:lineRule="auto"/>
        <w:ind w:left="459"/>
      </w:pPr>
      <w:r>
        <w:rPr>
          <w:spacing w:val="4"/>
        </w:rPr>
        <w:t>第十二条  甲方责任</w:t>
      </w:r>
    </w:p>
    <w:p w14:paraId="35338D44">
      <w:pPr>
        <w:pStyle w:val="10"/>
        <w:spacing w:before="155" w:line="219" w:lineRule="auto"/>
        <w:ind w:left="459"/>
      </w:pPr>
      <w:r>
        <w:rPr>
          <w:spacing w:val="2"/>
        </w:rPr>
        <w:t>1、及时办理付款手续。</w:t>
      </w:r>
    </w:p>
    <w:p w14:paraId="47961D9F">
      <w:pPr>
        <w:pStyle w:val="10"/>
        <w:spacing w:before="143" w:line="219" w:lineRule="auto"/>
        <w:ind w:left="459"/>
      </w:pPr>
      <w:r>
        <w:rPr>
          <w:spacing w:val="4"/>
        </w:rPr>
        <w:t>2、负责提供工作场地，协助乙方办理有关事宜。</w:t>
      </w:r>
    </w:p>
    <w:p w14:paraId="6C584F81">
      <w:pPr>
        <w:pStyle w:val="10"/>
        <w:spacing w:before="126" w:line="219" w:lineRule="auto"/>
        <w:ind w:left="459"/>
      </w:pPr>
      <w:r>
        <w:rPr>
          <w:spacing w:val="-1"/>
        </w:rPr>
        <w:t>3、对合同条款及所知悉的乙方商业秘密负有保密义务。</w:t>
      </w:r>
      <w:r>
        <w:rPr>
          <w:spacing w:val="-35"/>
        </w:rPr>
        <w:t xml:space="preserve"> </w:t>
      </w:r>
      <w:r>
        <w:rPr>
          <w:spacing w:val="-1"/>
        </w:rPr>
        <w:t>……</w:t>
      </w:r>
    </w:p>
    <w:p w14:paraId="10795915">
      <w:pPr>
        <w:pStyle w:val="10"/>
        <w:spacing w:before="165" w:line="219" w:lineRule="auto"/>
        <w:ind w:left="459"/>
      </w:pPr>
      <w:r>
        <w:rPr>
          <w:spacing w:val="3"/>
        </w:rPr>
        <w:t>第十三条</w:t>
      </w:r>
      <w:r>
        <w:rPr>
          <w:spacing w:val="11"/>
        </w:rPr>
        <w:t xml:space="preserve">  </w:t>
      </w:r>
      <w:r>
        <w:rPr>
          <w:spacing w:val="3"/>
        </w:rPr>
        <w:t>乙方责任</w:t>
      </w:r>
    </w:p>
    <w:p w14:paraId="1FA7F775">
      <w:pPr>
        <w:pStyle w:val="10"/>
        <w:spacing w:before="143" w:line="280" w:lineRule="auto"/>
        <w:ind w:left="29" w:right="196" w:firstLine="430"/>
      </w:pPr>
      <w:r>
        <w:rPr>
          <w:spacing w:val="6"/>
        </w:rPr>
        <w:t>1、保证所提供服务为投标文件承诺服务，符合相关法律法规规定并且满足甲方的需求，保证</w:t>
      </w:r>
      <w:r>
        <w:rPr>
          <w:spacing w:val="5"/>
        </w:rPr>
        <w:t xml:space="preserve"> </w:t>
      </w:r>
      <w:r>
        <w:rPr>
          <w:spacing w:val="3"/>
        </w:rPr>
        <w:t>其配套项目部件为全新的未使用的且符合相关的质量要求。</w:t>
      </w:r>
    </w:p>
    <w:p w14:paraId="7A409C10">
      <w:pPr>
        <w:pStyle w:val="10"/>
        <w:spacing w:before="154" w:line="285" w:lineRule="auto"/>
        <w:ind w:left="29" w:right="168" w:firstLine="430"/>
      </w:pPr>
      <w:r>
        <w:rPr>
          <w:spacing w:val="7"/>
        </w:rPr>
        <w:t>2、保证所提供服务的售后服务，严格依据投标文件及相关承诺，对服务以及</w:t>
      </w:r>
      <w:r>
        <w:rPr>
          <w:spacing w:val="6"/>
        </w:rPr>
        <w:t>与之配套的项目</w:t>
      </w:r>
      <w:r>
        <w:t xml:space="preserve"> </w:t>
      </w:r>
      <w:r>
        <w:rPr>
          <w:spacing w:val="3"/>
        </w:rPr>
        <w:t>进行保修、维护等服务。</w:t>
      </w:r>
    </w:p>
    <w:p w14:paraId="740F5FD2">
      <w:pPr>
        <w:pStyle w:val="10"/>
        <w:spacing w:before="154" w:line="295" w:lineRule="auto"/>
        <w:ind w:left="29" w:right="195" w:firstLine="430"/>
      </w:pPr>
      <w:r>
        <w:rPr>
          <w:spacing w:val="20"/>
        </w:rPr>
        <w:t>3、</w:t>
      </w:r>
      <w:r>
        <w:rPr>
          <w:spacing w:val="-32"/>
        </w:rPr>
        <w:t xml:space="preserve"> </w:t>
      </w:r>
      <w:r>
        <w:rPr>
          <w:spacing w:val="20"/>
        </w:rPr>
        <w:t>保证其所供服务不存在侵犯第三方知识产权的行为，否则由此产生的损失由乙方承</w:t>
      </w:r>
      <w:r>
        <w:t xml:space="preserve"> </w:t>
      </w:r>
      <w:r>
        <w:rPr>
          <w:spacing w:val="-12"/>
        </w:rPr>
        <w:t>担</w:t>
      </w:r>
      <w:r>
        <w:rPr>
          <w:spacing w:val="-18"/>
        </w:rPr>
        <w:t xml:space="preserve"> </w:t>
      </w:r>
      <w:r>
        <w:rPr>
          <w:spacing w:val="-12"/>
        </w:rPr>
        <w:t>。</w:t>
      </w:r>
      <w:r>
        <w:rPr>
          <w:spacing w:val="73"/>
        </w:rPr>
        <w:t xml:space="preserve"> </w:t>
      </w:r>
      <w:r>
        <w:rPr>
          <w:spacing w:val="-12"/>
        </w:rPr>
        <w:t>…</w:t>
      </w:r>
    </w:p>
    <w:p w14:paraId="76C13D82">
      <w:pPr>
        <w:pStyle w:val="10"/>
        <w:spacing w:before="123" w:line="219" w:lineRule="auto"/>
        <w:ind w:left="459"/>
      </w:pPr>
      <w:r>
        <w:rPr>
          <w:spacing w:val="12"/>
        </w:rPr>
        <w:t>第十四条</w:t>
      </w:r>
      <w:r>
        <w:rPr>
          <w:spacing w:val="46"/>
        </w:rPr>
        <w:t xml:space="preserve"> </w:t>
      </w:r>
      <w:r>
        <w:rPr>
          <w:spacing w:val="12"/>
        </w:rPr>
        <w:t>违约责任</w:t>
      </w:r>
    </w:p>
    <w:p w14:paraId="07A0E210">
      <w:pPr>
        <w:pStyle w:val="10"/>
        <w:spacing w:before="135" w:line="299" w:lineRule="auto"/>
        <w:ind w:left="29" w:right="184" w:firstLine="430"/>
      </w:pPr>
      <w:r>
        <w:rPr>
          <w:spacing w:val="6"/>
        </w:rPr>
        <w:t>1、乙方所供服务成果及与之配套项目等不符合合同约定标准，甲方有权拒收。同时，乙方向</w:t>
      </w:r>
      <w:r>
        <w:rPr>
          <w:spacing w:val="17"/>
        </w:rPr>
        <w:t xml:space="preserve"> </w:t>
      </w:r>
      <w:r>
        <w:rPr>
          <w:spacing w:val="-2"/>
        </w:rPr>
        <w:t>甲方支付合同总金额</w:t>
      </w:r>
      <w:r>
        <w:rPr>
          <w:spacing w:val="-61"/>
        </w:rPr>
        <w:t xml:space="preserve"> </w:t>
      </w:r>
      <w:r>
        <w:rPr>
          <w:spacing w:val="21"/>
          <w:u w:val="single" w:color="auto"/>
        </w:rPr>
        <w:t xml:space="preserve">   </w:t>
      </w:r>
      <w:r>
        <w:rPr>
          <w:spacing w:val="-2"/>
        </w:rPr>
        <w:t>%的违约金。</w:t>
      </w:r>
    </w:p>
    <w:p w14:paraId="23253639">
      <w:pPr>
        <w:pStyle w:val="10"/>
        <w:spacing w:before="138" w:line="219" w:lineRule="auto"/>
        <w:ind w:left="459"/>
      </w:pPr>
      <w:r>
        <w:rPr>
          <w:spacing w:val="6"/>
        </w:rPr>
        <w:t>2、乙方不能交付服务成果时，乙方向甲方支付合同总金额</w:t>
      </w:r>
      <w:r>
        <w:rPr>
          <w:spacing w:val="-73"/>
        </w:rPr>
        <w:t xml:space="preserve"> </w:t>
      </w:r>
      <w:r>
        <w:rPr>
          <w:spacing w:val="4"/>
          <w:u w:val="dotted" w:color="auto"/>
        </w:rPr>
        <w:t xml:space="preserve">  </w:t>
      </w:r>
      <w:r>
        <w:rPr>
          <w:spacing w:val="-84"/>
        </w:rPr>
        <w:t xml:space="preserve"> </w:t>
      </w:r>
      <w:r>
        <w:rPr>
          <w:spacing w:val="6"/>
        </w:rPr>
        <w:t>%的违约金。</w:t>
      </w:r>
    </w:p>
    <w:p w14:paraId="349E0A43">
      <w:pPr>
        <w:pStyle w:val="10"/>
        <w:spacing w:before="165" w:line="308" w:lineRule="auto"/>
        <w:ind w:left="29" w:right="166" w:firstLine="430"/>
      </w:pPr>
      <w:r>
        <w:rPr>
          <w:spacing w:val="9"/>
        </w:rPr>
        <w:t>3、乙方逾期交付服务成果时，每</w:t>
      </w:r>
      <w:r>
        <w:rPr>
          <w:spacing w:val="9"/>
          <w:u w:val="single" w:color="auto"/>
        </w:rPr>
        <w:t>逾</w:t>
      </w:r>
      <w:r>
        <w:rPr>
          <w:spacing w:val="30"/>
          <w:u w:val="single" w:color="auto"/>
        </w:rPr>
        <w:t xml:space="preserve">   </w:t>
      </w:r>
      <w:r>
        <w:rPr>
          <w:spacing w:val="9"/>
        </w:rPr>
        <w:t>日乙方向甲方支付合同总金额_</w:t>
      </w:r>
      <w:r>
        <w:rPr>
          <w:spacing w:val="-68"/>
        </w:rPr>
        <w:t xml:space="preserve"> </w:t>
      </w:r>
      <w:r>
        <w:rPr>
          <w:spacing w:val="9"/>
        </w:rPr>
        <w:t>‰的滞</w:t>
      </w:r>
      <w:r>
        <w:rPr>
          <w:spacing w:val="8"/>
        </w:rPr>
        <w:t>纳金。逾期交</w:t>
      </w:r>
      <w:r>
        <w:t xml:space="preserve"> </w:t>
      </w:r>
      <w:r>
        <w:rPr>
          <w:spacing w:val="4"/>
        </w:rPr>
        <w:t>付超过</w:t>
      </w:r>
      <w:r>
        <w:rPr>
          <w:spacing w:val="-23"/>
        </w:rPr>
        <w:t xml:space="preserve"> </w:t>
      </w:r>
      <w:r>
        <w:rPr>
          <w:spacing w:val="25"/>
          <w:u w:val="single" w:color="auto"/>
        </w:rPr>
        <w:t xml:space="preserve">   </w:t>
      </w:r>
      <w:r>
        <w:rPr>
          <w:spacing w:val="-75"/>
        </w:rPr>
        <w:t xml:space="preserve"> </w:t>
      </w:r>
      <w:r>
        <w:rPr>
          <w:spacing w:val="4"/>
        </w:rPr>
        <w:t>日，甲方有权决定是否继续履行合同，如甲方决定终止履行合同的，乙方向甲方支付合</w:t>
      </w:r>
      <w:r>
        <w:t xml:space="preserve"> 同总金额</w:t>
      </w:r>
      <w:r>
        <w:rPr>
          <w:spacing w:val="-66"/>
        </w:rPr>
        <w:t xml:space="preserve"> </w:t>
      </w:r>
      <w:r>
        <w:rPr>
          <w:spacing w:val="21"/>
          <w:u w:val="single" w:color="auto"/>
        </w:rPr>
        <w:t xml:space="preserve">   </w:t>
      </w:r>
      <w:r>
        <w:t>%的违约金，并且赔偿甲方因此所遭受的损失。</w:t>
      </w:r>
    </w:p>
    <w:p w14:paraId="65F5E453">
      <w:pPr>
        <w:pStyle w:val="10"/>
        <w:spacing w:before="144" w:line="312" w:lineRule="auto"/>
        <w:ind w:left="29" w:right="186" w:firstLine="430"/>
      </w:pPr>
      <w:r>
        <w:rPr>
          <w:spacing w:val="9"/>
        </w:rPr>
        <w:t>4.甲方逾期退还履约保证金的违约责任：采购人延迟退还供应商</w:t>
      </w:r>
      <w:r>
        <w:rPr>
          <w:spacing w:val="8"/>
        </w:rPr>
        <w:t>缴纳的履约保证金的，应当</w:t>
      </w:r>
      <w:r>
        <w:t xml:space="preserve"> </w:t>
      </w:r>
      <w:r>
        <w:rPr>
          <w:spacing w:val="7"/>
        </w:rPr>
        <w:t>支付逾期利息。双方对逾期利息的利率有约定的，约定利率不得低于合同订立时</w:t>
      </w:r>
      <w:r>
        <w:rPr>
          <w:spacing w:val="7"/>
          <w:u w:val="single" w:color="auto"/>
        </w:rPr>
        <w:t xml:space="preserve">   </w:t>
      </w:r>
      <w:r>
        <w:rPr>
          <w:spacing w:val="7"/>
        </w:rPr>
        <w:t>年期贷</w:t>
      </w:r>
      <w:r>
        <w:rPr>
          <w:spacing w:val="6"/>
        </w:rPr>
        <w:t>款市场</w:t>
      </w:r>
      <w:r>
        <w:t xml:space="preserve"> </w:t>
      </w:r>
      <w:r>
        <w:rPr>
          <w:spacing w:val="1"/>
        </w:rPr>
        <w:t>报价利率；未作约定的，按照每日利率</w:t>
      </w:r>
      <w:r>
        <w:rPr>
          <w:spacing w:val="-91"/>
        </w:rPr>
        <w:t xml:space="preserve"> </w:t>
      </w:r>
      <w:r>
        <w:rPr>
          <w:spacing w:val="17"/>
          <w:u w:val="single" w:color="auto"/>
        </w:rPr>
        <w:t xml:space="preserve">    </w:t>
      </w:r>
      <w:r>
        <w:rPr>
          <w:spacing w:val="-83"/>
        </w:rPr>
        <w:t xml:space="preserve"> </w:t>
      </w:r>
      <w:r>
        <w:rPr>
          <w:spacing w:val="1"/>
        </w:rPr>
        <w:t>支付逾期利息。</w:t>
      </w:r>
    </w:p>
    <w:p w14:paraId="1BB16BB2">
      <w:pPr>
        <w:pStyle w:val="10"/>
        <w:spacing w:before="168" w:line="219" w:lineRule="auto"/>
        <w:ind w:left="419"/>
      </w:pPr>
      <w:r>
        <w:rPr>
          <w:spacing w:val="4"/>
        </w:rPr>
        <w:t>5.甲方逾期支付资金的违约责任：</w:t>
      </w:r>
      <w:r>
        <w:rPr>
          <w:spacing w:val="-81"/>
        </w:rPr>
        <w:t xml:space="preserve"> </w:t>
      </w:r>
      <w:r>
        <w:rPr>
          <w:u w:val="single" w:color="auto"/>
        </w:rPr>
        <w:t xml:space="preserve">             </w:t>
      </w:r>
    </w:p>
    <w:p w14:paraId="1A6E8E5A">
      <w:pPr>
        <w:pStyle w:val="10"/>
        <w:spacing w:before="266" w:line="360" w:lineRule="auto"/>
        <w:ind w:right="165" w:firstLine="456" w:firstLineChars="200"/>
      </w:pPr>
      <w:r>
        <w:rPr>
          <w:spacing w:val="9"/>
        </w:rPr>
        <w:t>6.因甲方原因导致变更、中止或者终止政府</w:t>
      </w:r>
      <w:r>
        <w:rPr>
          <w:spacing w:val="8"/>
        </w:rPr>
        <w:t>采购合同的，甲方对供应商受到的损失予以赔偿</w:t>
      </w:r>
      <w:r>
        <w:t xml:space="preserve"> 或者补偿：</w:t>
      </w:r>
      <w:r>
        <w:rPr>
          <w:spacing w:val="-65"/>
        </w:rPr>
        <w:t xml:space="preserve"> </w:t>
      </w:r>
      <w:r>
        <w:rPr>
          <w:u w:val="single" w:color="auto"/>
        </w:rPr>
        <w:t xml:space="preserve">             </w:t>
      </w:r>
    </w:p>
    <w:p w14:paraId="20E00DEF">
      <w:pPr>
        <w:pStyle w:val="10"/>
        <w:spacing w:line="219" w:lineRule="auto"/>
        <w:ind w:left="470"/>
      </w:pPr>
      <w:r>
        <w:t>7、因甲方过错而给乙方造成的损失，由甲方负担。 ……</w:t>
      </w:r>
    </w:p>
    <w:p w14:paraId="6D681F27">
      <w:pPr>
        <w:pStyle w:val="10"/>
        <w:spacing w:before="154" w:line="219" w:lineRule="auto"/>
        <w:ind w:left="470"/>
      </w:pPr>
      <w:r>
        <w:rPr>
          <w:spacing w:val="10"/>
        </w:rPr>
        <w:t>第十五条</w:t>
      </w:r>
      <w:r>
        <w:rPr>
          <w:spacing w:val="50"/>
        </w:rPr>
        <w:t xml:space="preserve"> </w:t>
      </w:r>
      <w:r>
        <w:rPr>
          <w:spacing w:val="10"/>
        </w:rPr>
        <w:t>不可抗力</w:t>
      </w:r>
    </w:p>
    <w:p w14:paraId="773EF3AF">
      <w:pPr>
        <w:pStyle w:val="10"/>
        <w:spacing w:before="132" w:line="360" w:lineRule="auto"/>
        <w:ind w:left="29" w:firstLine="440"/>
        <w:jc w:val="both"/>
      </w:pPr>
      <w:r>
        <w:rPr>
          <w:spacing w:val="8"/>
        </w:rPr>
        <w:t>甲乙双方的任何一方由于不可抗力不能履行合同时，应当及时通知对方不能履行或不能完全</w:t>
      </w:r>
      <w:r>
        <w:rPr>
          <w:spacing w:val="2"/>
        </w:rPr>
        <w:t xml:space="preserve">   </w:t>
      </w:r>
      <w:r>
        <w:rPr>
          <w:spacing w:val="4"/>
        </w:rPr>
        <w:t>履行的情况和理由；在取得有关主管机关证明以后，允许延期履行、部分履行或者终止履行合同的，</w:t>
      </w:r>
      <w:r>
        <w:rPr>
          <w:spacing w:val="17"/>
        </w:rPr>
        <w:t xml:space="preserve"> </w:t>
      </w:r>
      <w:r>
        <w:rPr>
          <w:spacing w:val="2"/>
        </w:rPr>
        <w:t>根据情况可部分或全部免予承担违约责任。</w:t>
      </w:r>
    </w:p>
    <w:p w14:paraId="07D90DE6">
      <w:pPr>
        <w:pStyle w:val="10"/>
        <w:spacing w:line="219" w:lineRule="auto"/>
        <w:ind w:left="470"/>
      </w:pPr>
      <w:r>
        <w:rPr>
          <w:spacing w:val="13"/>
        </w:rPr>
        <w:t>第十六条</w:t>
      </w:r>
      <w:r>
        <w:rPr>
          <w:spacing w:val="57"/>
        </w:rPr>
        <w:t xml:space="preserve"> </w:t>
      </w:r>
      <w:r>
        <w:rPr>
          <w:spacing w:val="13"/>
        </w:rPr>
        <w:t>保密</w:t>
      </w:r>
    </w:p>
    <w:p w14:paraId="226E654B">
      <w:pPr>
        <w:pStyle w:val="10"/>
        <w:spacing w:before="151" w:line="365" w:lineRule="auto"/>
        <w:ind w:left="29" w:right="158" w:firstLine="440"/>
        <w:jc w:val="both"/>
      </w:pPr>
      <w:r>
        <w:rPr>
          <w:spacing w:val="11"/>
        </w:rPr>
        <w:t>乙方在合同履行期间知悉甲方的工作秘密(包括相关业务信息),不</w:t>
      </w:r>
      <w:r>
        <w:rPr>
          <w:spacing w:val="10"/>
        </w:rPr>
        <w:t>得透露或以其他方式提供</w:t>
      </w:r>
      <w:r>
        <w:t xml:space="preserve"> </w:t>
      </w:r>
      <w:r>
        <w:rPr>
          <w:spacing w:val="12"/>
        </w:rPr>
        <w:t>给合同双方以外的其他方(包括乙方内部与本合同无关的任何人员),乙方的保密责</w:t>
      </w:r>
      <w:r>
        <w:rPr>
          <w:spacing w:val="11"/>
        </w:rPr>
        <w:t>任不因本合同</w:t>
      </w:r>
      <w:r>
        <w:t xml:space="preserve"> </w:t>
      </w:r>
      <w:r>
        <w:rPr>
          <w:spacing w:val="2"/>
        </w:rPr>
        <w:t>的终止而终止。</w:t>
      </w:r>
    </w:p>
    <w:p w14:paraId="06EB9343">
      <w:pPr>
        <w:pStyle w:val="10"/>
        <w:spacing w:before="10" w:line="213" w:lineRule="auto"/>
        <w:ind w:left="470"/>
      </w:pPr>
      <w:r>
        <w:rPr>
          <w:spacing w:val="7"/>
        </w:rPr>
        <w:t>乙方违反本合同所规定的保密义务，应按照本合同总金额的_%支</w:t>
      </w:r>
      <w:r>
        <w:rPr>
          <w:spacing w:val="6"/>
        </w:rPr>
        <w:t>付违约金。</w:t>
      </w:r>
    </w:p>
    <w:p w14:paraId="6D1FB1E3">
      <w:pPr>
        <w:pStyle w:val="10"/>
        <w:spacing w:before="138" w:line="219" w:lineRule="auto"/>
        <w:ind w:left="470"/>
      </w:pPr>
      <w:r>
        <w:rPr>
          <w:spacing w:val="11"/>
        </w:rPr>
        <w:t>第十七条</w:t>
      </w:r>
      <w:r>
        <w:rPr>
          <w:spacing w:val="53"/>
        </w:rPr>
        <w:t xml:space="preserve"> </w:t>
      </w:r>
      <w:r>
        <w:rPr>
          <w:spacing w:val="11"/>
        </w:rPr>
        <w:t>争议解决</w:t>
      </w:r>
    </w:p>
    <w:p w14:paraId="12806377">
      <w:pPr>
        <w:pStyle w:val="10"/>
        <w:spacing w:before="133" w:line="360" w:lineRule="auto"/>
        <w:ind w:left="29" w:right="166" w:firstLine="440"/>
      </w:pPr>
      <w:r>
        <w:rPr>
          <w:spacing w:val="9"/>
        </w:rPr>
        <w:t>甲乙双方在合同履行中发生争议，应通过协商解决。如协商</w:t>
      </w:r>
      <w:r>
        <w:rPr>
          <w:spacing w:val="8"/>
        </w:rPr>
        <w:t>不成，可以向合同签订地法院提</w:t>
      </w:r>
      <w:r>
        <w:t xml:space="preserve"> </w:t>
      </w:r>
      <w:r>
        <w:rPr>
          <w:spacing w:val="-2"/>
        </w:rPr>
        <w:t>起诉讼。</w:t>
      </w:r>
      <w:r>
        <w:rPr>
          <w:spacing w:val="-45"/>
        </w:rPr>
        <w:t xml:space="preserve"> </w:t>
      </w:r>
      <w:r>
        <w:rPr>
          <w:spacing w:val="-2"/>
        </w:rPr>
        <w:t>……</w:t>
      </w:r>
    </w:p>
    <w:p w14:paraId="0C46547D">
      <w:pPr>
        <w:pStyle w:val="10"/>
        <w:spacing w:line="219" w:lineRule="auto"/>
        <w:ind w:left="470"/>
      </w:pPr>
      <w:r>
        <w:rPr>
          <w:spacing w:val="9"/>
        </w:rPr>
        <w:t>第十八条</w:t>
      </w:r>
      <w:r>
        <w:rPr>
          <w:spacing w:val="42"/>
        </w:rPr>
        <w:t xml:space="preserve"> </w:t>
      </w:r>
      <w:r>
        <w:rPr>
          <w:spacing w:val="9"/>
        </w:rPr>
        <w:t>合同生效及其他</w:t>
      </w:r>
    </w:p>
    <w:p w14:paraId="774D0C94">
      <w:pPr>
        <w:pStyle w:val="10"/>
        <w:spacing w:before="143" w:line="290" w:lineRule="auto"/>
        <w:ind w:left="29" w:right="165" w:firstLine="440"/>
      </w:pPr>
      <w:r>
        <w:rPr>
          <w:spacing w:val="6"/>
        </w:rPr>
        <w:t>1、除招标文件规定且甲方事先书面同意外，乙方不得部分或者全部转让、分包履行其应履行</w:t>
      </w:r>
      <w:r>
        <w:rPr>
          <w:spacing w:val="7"/>
        </w:rPr>
        <w:t xml:space="preserve"> </w:t>
      </w:r>
      <w:r>
        <w:rPr>
          <w:spacing w:val="3"/>
        </w:rPr>
        <w:t>的合同项下的义务。</w:t>
      </w:r>
    </w:p>
    <w:p w14:paraId="293D0C28">
      <w:pPr>
        <w:pStyle w:val="10"/>
        <w:spacing w:before="144" w:line="219" w:lineRule="auto"/>
        <w:ind w:left="470"/>
      </w:pPr>
      <w:r>
        <w:rPr>
          <w:spacing w:val="10"/>
        </w:rPr>
        <w:t>2、合同由甲、乙双方法定代表人(或者被授权代表</w:t>
      </w:r>
      <w:r>
        <w:rPr>
          <w:spacing w:val="9"/>
        </w:rPr>
        <w:t>)签字并加盖单位公章。</w:t>
      </w:r>
    </w:p>
    <w:p w14:paraId="70BE94AE">
      <w:pPr>
        <w:pStyle w:val="10"/>
        <w:spacing w:before="158" w:line="219" w:lineRule="auto"/>
        <w:ind w:left="470"/>
      </w:pPr>
      <w:r>
        <w:rPr>
          <w:spacing w:val="1"/>
        </w:rPr>
        <w:t>3、本合同一式</w:t>
      </w:r>
      <w:r>
        <w:rPr>
          <w:spacing w:val="-90"/>
        </w:rPr>
        <w:t xml:space="preserve"> </w:t>
      </w:r>
      <w:r>
        <w:rPr>
          <w:spacing w:val="2"/>
          <w:u w:val="dotted" w:color="auto"/>
        </w:rPr>
        <w:t xml:space="preserve">  </w:t>
      </w:r>
      <w:r>
        <w:rPr>
          <w:spacing w:val="-82"/>
        </w:rPr>
        <w:t xml:space="preserve"> </w:t>
      </w:r>
      <w:r>
        <w:rPr>
          <w:spacing w:val="1"/>
        </w:rPr>
        <w:t>份，甲方</w:t>
      </w:r>
      <w:r>
        <w:rPr>
          <w:spacing w:val="-90"/>
        </w:rPr>
        <w:t xml:space="preserve"> </w:t>
      </w:r>
      <w:r>
        <w:rPr>
          <w:spacing w:val="3"/>
          <w:u w:val="dotted" w:color="auto"/>
        </w:rPr>
        <w:t xml:space="preserve">  </w:t>
      </w:r>
      <w:r>
        <w:rPr>
          <w:spacing w:val="-82"/>
        </w:rPr>
        <w:t xml:space="preserve"> </w:t>
      </w:r>
      <w:r>
        <w:rPr>
          <w:spacing w:val="1"/>
        </w:rPr>
        <w:t>份，乙方</w:t>
      </w:r>
      <w:r>
        <w:rPr>
          <w:spacing w:val="-90"/>
        </w:rPr>
        <w:t xml:space="preserve"> </w:t>
      </w:r>
      <w:r>
        <w:rPr>
          <w:spacing w:val="2"/>
          <w:u w:val="dotted" w:color="auto"/>
        </w:rPr>
        <w:t xml:space="preserve">  </w:t>
      </w:r>
      <w:r>
        <w:rPr>
          <w:spacing w:val="-81"/>
        </w:rPr>
        <w:t xml:space="preserve"> </w:t>
      </w:r>
      <w:r>
        <w:rPr>
          <w:spacing w:val="1"/>
        </w:rPr>
        <w:t>份。</w:t>
      </w:r>
      <w:r>
        <w:rPr>
          <w:spacing w:val="-70"/>
        </w:rPr>
        <w:t xml:space="preserve"> </w:t>
      </w:r>
      <w:r>
        <w:rPr>
          <w:spacing w:val="1"/>
        </w:rPr>
        <w:t>……</w:t>
      </w:r>
    </w:p>
    <w:p w14:paraId="3B8DA2AB">
      <w:pPr>
        <w:pStyle w:val="10"/>
        <w:spacing w:before="132" w:line="219" w:lineRule="auto"/>
        <w:ind w:left="470"/>
      </w:pPr>
      <w:r>
        <w:rPr>
          <w:spacing w:val="7"/>
        </w:rPr>
        <w:t>第十九条</w:t>
      </w:r>
      <w:r>
        <w:rPr>
          <w:spacing w:val="46"/>
        </w:rPr>
        <w:t xml:space="preserve">  </w:t>
      </w:r>
      <w:r>
        <w:rPr>
          <w:spacing w:val="7"/>
        </w:rPr>
        <w:t>服务期限</w:t>
      </w:r>
    </w:p>
    <w:p w14:paraId="6B87E483">
      <w:pPr>
        <w:pStyle w:val="10"/>
        <w:spacing w:before="136" w:line="364" w:lineRule="auto"/>
        <w:ind w:left="29" w:right="142" w:firstLine="440"/>
        <w:jc w:val="both"/>
      </w:pPr>
      <w:r>
        <w:rPr>
          <w:spacing w:val="-3"/>
        </w:rPr>
        <w:t>本合同服务期限为</w:t>
      </w:r>
      <w:r>
        <w:rPr>
          <w:spacing w:val="-87"/>
        </w:rPr>
        <w:t xml:space="preserve"> </w:t>
      </w:r>
      <w:r>
        <w:rPr>
          <w:spacing w:val="4"/>
          <w:u w:val="dotted" w:color="auto"/>
        </w:rPr>
        <w:t xml:space="preserve">  </w:t>
      </w:r>
      <w:r>
        <w:rPr>
          <w:spacing w:val="-78"/>
        </w:rPr>
        <w:t xml:space="preserve"> </w:t>
      </w:r>
      <w:r>
        <w:rPr>
          <w:spacing w:val="-3"/>
        </w:rPr>
        <w:t>年；服务期限自</w:t>
      </w:r>
      <w:r>
        <w:rPr>
          <w:spacing w:val="-37"/>
        </w:rPr>
        <w:t xml:space="preserve"> </w:t>
      </w:r>
      <w:r>
        <w:rPr>
          <w:spacing w:val="20"/>
          <w:u w:val="single" w:color="auto"/>
        </w:rPr>
        <w:t xml:space="preserve">    </w:t>
      </w:r>
      <w:r>
        <w:rPr>
          <w:spacing w:val="-85"/>
        </w:rPr>
        <w:t xml:space="preserve"> </w:t>
      </w:r>
      <w:r>
        <w:rPr>
          <w:color w:val="203040"/>
          <w:spacing w:val="-3"/>
        </w:rPr>
        <w:t>年</w:t>
      </w:r>
      <w:r>
        <w:rPr>
          <w:color w:val="203040"/>
          <w:spacing w:val="-91"/>
        </w:rPr>
        <w:t xml:space="preserve"> </w:t>
      </w:r>
      <w:r>
        <w:rPr>
          <w:spacing w:val="-3"/>
          <w:u w:val="single" w:color="auto"/>
        </w:rPr>
        <w:t xml:space="preserve">    月</w:t>
      </w:r>
      <w:r>
        <w:rPr>
          <w:spacing w:val="-4"/>
          <w:u w:val="single" w:color="auto"/>
        </w:rPr>
        <w:t xml:space="preserve">    日起至</w:t>
      </w:r>
      <w:r>
        <w:rPr>
          <w:spacing w:val="15"/>
        </w:rPr>
        <w:t xml:space="preserve">   </w:t>
      </w:r>
      <w:r>
        <w:rPr>
          <w:spacing w:val="-4"/>
        </w:rPr>
        <w:t>年</w:t>
      </w:r>
      <w:r>
        <w:rPr>
          <w:spacing w:val="-80"/>
        </w:rPr>
        <w:t xml:space="preserve"> </w:t>
      </w:r>
      <w:r>
        <w:rPr>
          <w:spacing w:val="-4"/>
          <w:u w:val="single" w:color="auto"/>
        </w:rPr>
        <w:t xml:space="preserve">    </w:t>
      </w:r>
      <w:r>
        <w:rPr>
          <w:color w:val="606070"/>
          <w:spacing w:val="-4"/>
        </w:rPr>
        <w:t>月</w:t>
      </w:r>
      <w:r>
        <w:rPr>
          <w:color w:val="606070"/>
          <w:spacing w:val="-4"/>
          <w:u w:val="single" w:color="000000"/>
        </w:rPr>
        <w:t xml:space="preserve">    </w:t>
      </w:r>
      <w:r>
        <w:rPr>
          <w:spacing w:val="-4"/>
        </w:rPr>
        <w:t>日止。本合同期</w:t>
      </w:r>
      <w:r>
        <w:t xml:space="preserve"> </w:t>
      </w:r>
      <w:r>
        <w:rPr>
          <w:spacing w:val="5"/>
        </w:rPr>
        <w:t>限届满，如需续签，根据《政府采购目录》有关规定，经财政部门批准，双方可以根据法律及各项</w:t>
      </w:r>
      <w:r>
        <w:rPr>
          <w:spacing w:val="6"/>
        </w:rPr>
        <w:t xml:space="preserve"> </w:t>
      </w:r>
      <w:r>
        <w:rPr>
          <w:spacing w:val="4"/>
        </w:rPr>
        <w:t>规定另行签订书面合同。</w:t>
      </w:r>
    </w:p>
    <w:p w14:paraId="1771E2D1">
      <w:pPr>
        <w:pStyle w:val="10"/>
        <w:spacing w:before="4" w:line="219" w:lineRule="auto"/>
        <w:ind w:left="419"/>
      </w:pPr>
      <w:r>
        <w:rPr>
          <w:spacing w:val="8"/>
        </w:rPr>
        <w:t>第二十条</w:t>
      </w:r>
      <w:r>
        <w:rPr>
          <w:spacing w:val="41"/>
          <w:w w:val="101"/>
        </w:rPr>
        <w:t xml:space="preserve"> </w:t>
      </w:r>
      <w:r>
        <w:rPr>
          <w:spacing w:val="8"/>
        </w:rPr>
        <w:t>政府采购合同融资</w:t>
      </w:r>
    </w:p>
    <w:p w14:paraId="5BFD1C01">
      <w:pPr>
        <w:pStyle w:val="10"/>
        <w:spacing w:before="132" w:line="360" w:lineRule="auto"/>
        <w:ind w:left="29" w:right="162" w:firstLine="389"/>
        <w:jc w:val="both"/>
        <w:rPr>
          <w:rFonts w:ascii="Times New Roman" w:hAnsi="Times New Roman" w:cs="Times New Roman"/>
          <w:spacing w:val="14"/>
        </w:rPr>
      </w:pPr>
      <w:r>
        <w:rPr>
          <w:spacing w:val="14"/>
        </w:rPr>
        <w:t>1.政府采购合同签订前开展融资业务的。中标(成交)供应商持政府采购中标(成交)通知书</w:t>
      </w:r>
      <w:r>
        <w:rPr>
          <w:spacing w:val="3"/>
        </w:rPr>
        <w:t xml:space="preserve"> </w:t>
      </w:r>
      <w:r>
        <w:rPr>
          <w:spacing w:val="10"/>
        </w:rPr>
        <w:t>提前与金融机构进行合同融资商洽，双方达成</w:t>
      </w:r>
      <w:r>
        <w:rPr>
          <w:spacing w:val="9"/>
        </w:rPr>
        <w:t>融资意向后，中标(成交)供应商与采购人签订政府</w:t>
      </w:r>
      <w:r>
        <w:t xml:space="preserve"> </w:t>
      </w:r>
      <w:r>
        <w:rPr>
          <w:spacing w:val="10"/>
        </w:rPr>
        <w:t>采购合同，合同中供应商的银行账户要与合同</w:t>
      </w:r>
      <w:r>
        <w:rPr>
          <w:spacing w:val="9"/>
        </w:rPr>
        <w:t>融资的回款账户一致。中标(成交)供应商和贷款金</w:t>
      </w:r>
      <w:r>
        <w:t xml:space="preserve"> </w:t>
      </w:r>
      <w:r>
        <w:rPr>
          <w:spacing w:val="5"/>
        </w:rPr>
        <w:t>融机构要及时将政府采购合同作为融资质押的信息告知采购人。采购人要从严加强合同付款账户管</w:t>
      </w:r>
      <w:r>
        <w:rPr>
          <w:spacing w:val="4"/>
        </w:rPr>
        <w:t xml:space="preserve"> 理，未经贷款银行同意，不随意更改合</w:t>
      </w:r>
      <w:r>
        <w:rPr>
          <w:rFonts w:ascii="Times New Roman" w:hAnsi="Times New Roman" w:cs="Times New Roman"/>
          <w:spacing w:val="14"/>
        </w:rPr>
        <w:t>同付款账户。</w:t>
      </w:r>
    </w:p>
    <w:p w14:paraId="69C271FF">
      <w:pPr>
        <w:pStyle w:val="10"/>
        <w:spacing w:before="132" w:line="360" w:lineRule="auto"/>
        <w:ind w:left="29" w:right="162" w:firstLine="389"/>
        <w:jc w:val="both"/>
        <w:rPr>
          <w:rFonts w:hint="eastAsia" w:ascii="Times New Roman" w:hAnsi="Times New Roman" w:eastAsia="宋体" w:cs="Times New Roman"/>
          <w:spacing w:val="14"/>
          <w:lang w:val="en-US" w:eastAsia="zh-CN"/>
        </w:rPr>
      </w:pPr>
      <w:r>
        <w:rPr>
          <w:rFonts w:ascii="Times New Roman" w:hAnsi="Times New Roman" w:cs="Times New Roman"/>
          <w:spacing w:val="14"/>
        </w:rPr>
        <w:t>2.政府采购合同签订后开展融资的账户管理。在合同履约期间，中标(成交)供应商持已签订 的政府采购合同向金融机构申请合同融资，可能出现政府采购合同中供应商收款的银行账户与拟贷 款银行回款账户不一致的情形。为支持供应商通过政府采购合同成功获得银行贷款，采购人应积极 协助供应商及时变更政府采购合同中的供应商收款银行账户，保障供应商收款的银行账户与拟贷款 银行回款账户一致</w:t>
      </w:r>
    </w:p>
    <w:p w14:paraId="2AB049F1">
      <w:pPr>
        <w:pStyle w:val="10"/>
        <w:spacing w:before="132" w:line="360" w:lineRule="auto"/>
        <w:ind w:left="29" w:right="162" w:firstLine="389"/>
        <w:jc w:val="both"/>
        <w:rPr>
          <w:rFonts w:ascii="Times New Roman" w:hAnsi="Times New Roman" w:cs="Times New Roman"/>
          <w:spacing w:val="9"/>
        </w:rPr>
      </w:pPr>
      <w:r>
        <w:rPr>
          <w:rFonts w:hint="eastAsia" w:ascii="Times New Roman" w:hAnsi="Times New Roman" w:cs="Times New Roman"/>
          <w:spacing w:val="14"/>
          <w:lang w:val="en-US" w:eastAsia="zh-CN"/>
        </w:rPr>
        <w:t>3</w:t>
      </w:r>
      <w:r>
        <w:rPr>
          <w:rFonts w:ascii="Times New Roman" w:hAnsi="Times New Roman" w:cs="Times New Roman"/>
          <w:spacing w:val="9"/>
        </w:rPr>
        <w:t>.当中标(成交)供应商成功获取银行贷款后，采购人还应根据信息公开要求，加强合同账户 及资金支付管理，确保合同资金准确支付到贷款银行确认的回款账户。采购人不得不经贷款银行同 意擅自更改合同账户、非法支付项目资金，造成不良后果的，将承担相应法律责任。</w:t>
      </w:r>
    </w:p>
    <w:p w14:paraId="1FBAAA31">
      <w:pPr>
        <w:pStyle w:val="10"/>
        <w:spacing w:before="158" w:line="225" w:lineRule="auto"/>
        <w:ind w:left="430"/>
        <w:rPr>
          <w:rFonts w:ascii="Times New Roman" w:hAnsi="Times New Roman" w:cs="Times New Roman"/>
          <w:spacing w:val="9"/>
        </w:rPr>
      </w:pPr>
      <w:r>
        <w:rPr>
          <w:rFonts w:ascii="Times New Roman" w:hAnsi="Times New Roman" w:cs="Times New Roman"/>
          <w:spacing w:val="9"/>
        </w:rPr>
        <w:t>第二十一条 下列文件为本合同不可分割部分</w:t>
      </w:r>
    </w:p>
    <w:p w14:paraId="4A898AFC">
      <w:pPr>
        <w:pStyle w:val="10"/>
        <w:spacing w:before="158" w:line="225" w:lineRule="auto"/>
        <w:ind w:left="430"/>
        <w:rPr>
          <w:rFonts w:ascii="Times New Roman" w:hAnsi="Times New Roman" w:cs="Times New Roman"/>
          <w:spacing w:val="9"/>
        </w:rPr>
      </w:pPr>
      <w:r>
        <w:rPr>
          <w:rFonts w:ascii="Times New Roman" w:hAnsi="Times New Roman" w:cs="Times New Roman"/>
          <w:spacing w:val="9"/>
        </w:rPr>
        <w:t>1、政府采购招标文件(包括澄清、修改);</w:t>
      </w:r>
    </w:p>
    <w:p w14:paraId="0E5A82C7">
      <w:pPr>
        <w:pStyle w:val="10"/>
        <w:spacing w:before="158" w:line="225" w:lineRule="auto"/>
        <w:ind w:left="430"/>
        <w:rPr>
          <w:rFonts w:ascii="Times New Roman" w:hAnsi="Times New Roman" w:cs="Times New Roman"/>
          <w:spacing w:val="9"/>
        </w:rPr>
      </w:pPr>
      <w:r>
        <w:rPr>
          <w:rFonts w:ascii="Times New Roman" w:hAnsi="Times New Roman" w:cs="Times New Roman"/>
          <w:spacing w:val="9"/>
        </w:rPr>
        <w:t>2、乙方投标文件；</w:t>
      </w:r>
    </w:p>
    <w:p w14:paraId="62E1EC98">
      <w:pPr>
        <w:pStyle w:val="10"/>
        <w:spacing w:before="158" w:line="225" w:lineRule="auto"/>
        <w:ind w:left="430"/>
        <w:rPr>
          <w:rFonts w:ascii="Times New Roman" w:hAnsi="Times New Roman" w:cs="Times New Roman"/>
          <w:spacing w:val="9"/>
        </w:rPr>
      </w:pPr>
      <w:r>
        <w:rPr>
          <w:rFonts w:ascii="Times New Roman" w:hAnsi="Times New Roman" w:cs="Times New Roman"/>
          <w:spacing w:val="9"/>
        </w:rPr>
        <w:t>3、中标(成交)通知书；</w:t>
      </w:r>
    </w:p>
    <w:p w14:paraId="3A57676C">
      <w:pPr>
        <w:pStyle w:val="10"/>
        <w:spacing w:before="158" w:line="225" w:lineRule="auto"/>
        <w:ind w:left="430"/>
        <w:rPr>
          <w:rFonts w:ascii="Times New Roman" w:hAnsi="Times New Roman" w:cs="Times New Roman"/>
          <w:spacing w:val="9"/>
        </w:rPr>
      </w:pPr>
      <w:r>
        <w:rPr>
          <w:rFonts w:ascii="Times New Roman" w:hAnsi="Times New Roman" w:cs="Times New Roman"/>
          <w:spacing w:val="9"/>
        </w:rPr>
        <w:t>4、中标人在评标过程中做出的有关澄清、说明、承诺或者补正文件；</w:t>
      </w:r>
    </w:p>
    <w:p w14:paraId="098F9067">
      <w:pPr>
        <w:pStyle w:val="10"/>
        <w:spacing w:before="158" w:line="225" w:lineRule="auto"/>
        <w:ind w:left="430"/>
        <w:rPr>
          <w:rFonts w:ascii="Times New Roman" w:hAnsi="Times New Roman" w:cs="Times New Roman"/>
          <w:spacing w:val="9"/>
        </w:rPr>
      </w:pPr>
      <w:r>
        <w:rPr>
          <w:rFonts w:ascii="Times New Roman" w:hAnsi="Times New Roman" w:cs="Times New Roman"/>
          <w:spacing w:val="9"/>
        </w:rPr>
        <w:t>5、政府采购委托协议书。</w:t>
      </w:r>
    </w:p>
    <w:p w14:paraId="7D7F3BF9">
      <w:pPr>
        <w:pStyle w:val="10"/>
        <w:spacing w:before="158" w:line="225" w:lineRule="auto"/>
        <w:rPr>
          <w:rFonts w:ascii="Times New Roman" w:hAnsi="Times New Roman" w:cs="Times New Roman"/>
          <w:spacing w:val="9"/>
        </w:rPr>
      </w:pPr>
    </w:p>
    <w:p w14:paraId="039D5A72">
      <w:pPr>
        <w:pStyle w:val="10"/>
        <w:spacing w:before="158" w:line="225" w:lineRule="auto"/>
        <w:ind w:left="430"/>
        <w:rPr>
          <w:rFonts w:ascii="Times New Roman" w:hAnsi="Times New Roman" w:cs="Times New Roman"/>
          <w:spacing w:val="9"/>
        </w:rPr>
        <w:sectPr>
          <w:footerReference r:id="rId5" w:type="default"/>
          <w:pgSz w:w="11020" w:h="15590"/>
          <w:pgMar w:top="1020" w:right="1290" w:bottom="1059" w:left="1260" w:header="1010" w:footer="941" w:gutter="0"/>
          <w:pgNumType w:fmt="decimal" w:start="1"/>
          <w:cols w:equalWidth="0" w:num="1">
            <w:col w:w="8470"/>
          </w:cols>
        </w:sectPr>
      </w:pPr>
    </w:p>
    <w:p w14:paraId="0C544FD5">
      <w:pPr>
        <w:pStyle w:val="10"/>
        <w:spacing w:before="158" w:line="225" w:lineRule="auto"/>
        <w:ind w:left="430"/>
        <w:rPr>
          <w:rFonts w:ascii="Times New Roman" w:hAnsi="Times New Roman" w:cs="Times New Roman"/>
          <w:spacing w:val="9"/>
        </w:rPr>
      </w:pPr>
      <w:r>
        <w:rPr>
          <w:rFonts w:ascii="Times New Roman" w:hAnsi="Times New Roman" w:cs="Times New Roman"/>
          <w:spacing w:val="9"/>
        </w:rPr>
        <w:t>甲    方：</w:t>
      </w:r>
    </w:p>
    <w:p w14:paraId="1A94AE22">
      <w:pPr>
        <w:pStyle w:val="10"/>
        <w:spacing w:before="158" w:line="225" w:lineRule="auto"/>
        <w:ind w:left="430"/>
        <w:rPr>
          <w:rFonts w:ascii="Times New Roman" w:hAnsi="Times New Roman" w:cs="Times New Roman"/>
          <w:spacing w:val="9"/>
        </w:rPr>
      </w:pPr>
      <w:r>
        <w:rPr>
          <w:rFonts w:ascii="Times New Roman" w:hAnsi="Times New Roman" w:cs="Times New Roman"/>
          <w:spacing w:val="9"/>
        </w:rPr>
        <w:t>单位名称(公章):</w:t>
      </w:r>
    </w:p>
    <w:p w14:paraId="61CC76BD">
      <w:pPr>
        <w:pStyle w:val="10"/>
        <w:spacing w:before="158" w:line="225" w:lineRule="auto"/>
        <w:ind w:left="430"/>
        <w:rPr>
          <w:rFonts w:ascii="Times New Roman" w:hAnsi="Times New Roman" w:cs="Times New Roman"/>
          <w:spacing w:val="9"/>
        </w:rPr>
      </w:pPr>
      <w:r>
        <w:rPr>
          <w:rFonts w:ascii="Times New Roman" w:hAnsi="Times New Roman" w:cs="Times New Roman"/>
          <w:spacing w:val="9"/>
        </w:rPr>
        <w:t>法定代表人(被授权代表)签字：</w:t>
      </w:r>
    </w:p>
    <w:p w14:paraId="0B4B1390">
      <w:pPr>
        <w:pStyle w:val="10"/>
        <w:spacing w:before="158" w:line="225" w:lineRule="auto"/>
        <w:ind w:left="430"/>
        <w:rPr>
          <w:rFonts w:ascii="Times New Roman" w:hAnsi="Times New Roman" w:cs="Times New Roman"/>
          <w:spacing w:val="9"/>
        </w:rPr>
      </w:pPr>
      <w:r>
        <w:rPr>
          <w:rFonts w:ascii="Times New Roman" w:hAnsi="Times New Roman" w:cs="Times New Roman"/>
          <w:spacing w:val="9"/>
        </w:rPr>
        <w:t>电    话：</w:t>
      </w:r>
    </w:p>
    <w:p w14:paraId="52C27713">
      <w:pPr>
        <w:pStyle w:val="10"/>
        <w:spacing w:before="158" w:line="225" w:lineRule="auto"/>
        <w:ind w:left="430"/>
        <w:rPr>
          <w:rFonts w:ascii="Times New Roman" w:hAnsi="Times New Roman" w:cs="Times New Roman"/>
          <w:spacing w:val="9"/>
        </w:rPr>
      </w:pPr>
      <w:r>
        <w:rPr>
          <w:rFonts w:ascii="Times New Roman" w:hAnsi="Times New Roman" w:cs="Times New Roman"/>
          <w:spacing w:val="9"/>
        </w:rPr>
        <w:t>乙     方：</w:t>
      </w:r>
    </w:p>
    <w:p w14:paraId="2B97A17D">
      <w:pPr>
        <w:pStyle w:val="10"/>
        <w:spacing w:before="158" w:line="225" w:lineRule="auto"/>
        <w:ind w:left="430"/>
        <w:rPr>
          <w:rFonts w:ascii="Times New Roman" w:hAnsi="Times New Roman" w:cs="Times New Roman"/>
          <w:spacing w:val="9"/>
        </w:rPr>
      </w:pPr>
      <w:r>
        <w:rPr>
          <w:rFonts w:ascii="Times New Roman" w:hAnsi="Times New Roman" w:cs="Times New Roman"/>
          <w:spacing w:val="9"/>
        </w:rPr>
        <w:t>单位名称(公章):</w:t>
      </w:r>
    </w:p>
    <w:p w14:paraId="241920E4">
      <w:pPr>
        <w:pStyle w:val="10"/>
        <w:spacing w:before="158" w:line="225" w:lineRule="auto"/>
        <w:ind w:left="430"/>
        <w:rPr>
          <w:rFonts w:ascii="Times New Roman" w:hAnsi="Times New Roman" w:cs="Times New Roman"/>
          <w:spacing w:val="9"/>
        </w:rPr>
      </w:pPr>
      <w:r>
        <w:rPr>
          <w:rFonts w:ascii="Times New Roman" w:hAnsi="Times New Roman" w:cs="Times New Roman"/>
          <w:spacing w:val="9"/>
        </w:rPr>
        <w:t>法定代表人(被授权代表)签字：</w:t>
      </w:r>
    </w:p>
    <w:p w14:paraId="28943B36">
      <w:pPr>
        <w:pStyle w:val="10"/>
        <w:spacing w:before="158" w:line="225" w:lineRule="auto"/>
        <w:ind w:left="430"/>
        <w:rPr>
          <w:rFonts w:ascii="Times New Roman" w:hAnsi="Times New Roman" w:cs="Times New Roman"/>
          <w:spacing w:val="9"/>
        </w:rPr>
      </w:pPr>
      <w:r>
        <w:rPr>
          <w:rFonts w:ascii="Times New Roman" w:hAnsi="Times New Roman" w:cs="Times New Roman"/>
          <w:spacing w:val="9"/>
        </w:rPr>
        <w:t>电    话：</w:t>
      </w:r>
    </w:p>
    <w:p w14:paraId="7242EDE4">
      <w:pPr>
        <w:pStyle w:val="10"/>
        <w:spacing w:before="158" w:line="225" w:lineRule="auto"/>
        <w:ind w:left="430"/>
        <w:rPr>
          <w:rFonts w:ascii="Times New Roman" w:hAnsi="Times New Roman" w:cs="Times New Roman"/>
          <w:spacing w:val="9"/>
        </w:rPr>
        <w:sectPr>
          <w:type w:val="continuous"/>
          <w:pgSz w:w="11020" w:h="15590"/>
          <w:pgMar w:top="1020" w:right="1290" w:bottom="1059" w:left="1260" w:header="1010" w:footer="941" w:gutter="0"/>
          <w:pgNumType w:fmt="decimal"/>
          <w:cols w:equalWidth="0" w:num="2">
            <w:col w:w="4170" w:space="100"/>
            <w:col w:w="4201"/>
          </w:cols>
        </w:sectPr>
      </w:pPr>
    </w:p>
    <w:p w14:paraId="37234771">
      <w:pPr>
        <w:tabs>
          <w:tab w:val="left" w:pos="1260"/>
        </w:tabs>
        <w:autoSpaceDE w:val="0"/>
        <w:autoSpaceDN w:val="0"/>
        <w:adjustRightInd w:val="0"/>
        <w:spacing w:line="360" w:lineRule="auto"/>
        <w:contextualSpacing/>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14:paraId="54FDA93D">
      <w:pPr>
        <w:pStyle w:val="67"/>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6"/>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14:paraId="62986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14:paraId="72992F0C">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vAlign w:val="center"/>
          </w:tcPr>
          <w:p w14:paraId="5D5690C8">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14:paraId="19962772">
            <w:pPr>
              <w:snapToGrid w:val="0"/>
              <w:spacing w:line="400" w:lineRule="exact"/>
              <w:jc w:val="center"/>
              <w:rPr>
                <w:rFonts w:ascii="宋体" w:hAnsi="宋体" w:cs="微软雅黑"/>
                <w:b/>
                <w:szCs w:val="21"/>
              </w:rPr>
            </w:pPr>
            <w:r>
              <w:rPr>
                <w:rFonts w:hint="eastAsia" w:ascii="宋体" w:hAnsi="宋体" w:cs="微软雅黑"/>
                <w:b/>
                <w:szCs w:val="21"/>
                <w:lang w:eastAsia="zh-CN"/>
              </w:rPr>
              <w:t>供应商</w:t>
            </w:r>
            <w:r>
              <w:rPr>
                <w:rFonts w:hint="eastAsia" w:ascii="宋体" w:hAnsi="宋体" w:cs="微软雅黑"/>
                <w:b/>
                <w:szCs w:val="21"/>
              </w:rPr>
              <w:t>应答</w:t>
            </w:r>
          </w:p>
          <w:p w14:paraId="3C1E8680">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14:paraId="75B9F748">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14:paraId="7B08C599">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14:paraId="08C96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1C1D97F6">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w:t>
            </w:r>
          </w:p>
        </w:tc>
        <w:tc>
          <w:tcPr>
            <w:tcW w:w="3751" w:type="dxa"/>
            <w:vAlign w:val="center"/>
          </w:tcPr>
          <w:p w14:paraId="2A872865">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olor w:val="000000" w:themeColor="text1"/>
                <w:kern w:val="0"/>
                <w:sz w:val="21"/>
                <w:szCs w:val="21"/>
                <w:lang w:eastAsia="zh-CN"/>
                <w14:textFill>
                  <w14:solidFill>
                    <w14:schemeClr w14:val="tx1"/>
                  </w14:solidFill>
                </w14:textFill>
              </w:rPr>
              <w:t>供应商</w:t>
            </w:r>
            <w:r>
              <w:rPr>
                <w:rFonts w:hint="eastAsia" w:hAnsi="宋体"/>
                <w:color w:val="000000" w:themeColor="text1"/>
                <w:kern w:val="0"/>
                <w:sz w:val="21"/>
                <w:szCs w:val="21"/>
                <w14:textFill>
                  <w14:solidFill>
                    <w14:schemeClr w14:val="tx1"/>
                  </w14:solidFill>
                </w14:textFill>
              </w:rPr>
              <w:t>应答索引表</w:t>
            </w:r>
          </w:p>
        </w:tc>
        <w:tc>
          <w:tcPr>
            <w:tcW w:w="1559" w:type="dxa"/>
            <w:vAlign w:val="center"/>
          </w:tcPr>
          <w:p w14:paraId="633B99F8">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75C28D83">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32E5DAB0">
            <w:pPr>
              <w:snapToGrid w:val="0"/>
              <w:spacing w:line="400" w:lineRule="exact"/>
              <w:rPr>
                <w:rFonts w:ascii="宋体" w:hAnsi="宋体" w:cs="微软雅黑"/>
                <w:color w:val="000000" w:themeColor="text1"/>
                <w:szCs w:val="21"/>
                <w14:textFill>
                  <w14:solidFill>
                    <w14:schemeClr w14:val="tx1"/>
                  </w14:solidFill>
                </w14:textFill>
              </w:rPr>
            </w:pPr>
          </w:p>
        </w:tc>
      </w:tr>
      <w:tr w14:paraId="12606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393C1EB8">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2</w:t>
            </w:r>
          </w:p>
        </w:tc>
        <w:tc>
          <w:tcPr>
            <w:tcW w:w="3751" w:type="dxa"/>
            <w:vAlign w:val="center"/>
          </w:tcPr>
          <w:p w14:paraId="7400E50A">
            <w:pPr>
              <w:pStyle w:val="15"/>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报价一览表</w:t>
            </w:r>
          </w:p>
        </w:tc>
        <w:tc>
          <w:tcPr>
            <w:tcW w:w="1559" w:type="dxa"/>
            <w:vAlign w:val="center"/>
          </w:tcPr>
          <w:p w14:paraId="26C0A8A2">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1E86A8A6">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0D629113">
            <w:pPr>
              <w:snapToGrid w:val="0"/>
              <w:spacing w:line="400" w:lineRule="exact"/>
              <w:rPr>
                <w:rFonts w:ascii="宋体" w:hAnsi="宋体" w:cs="微软雅黑"/>
                <w:color w:val="000000" w:themeColor="text1"/>
                <w:szCs w:val="21"/>
                <w14:textFill>
                  <w14:solidFill>
                    <w14:schemeClr w14:val="tx1"/>
                  </w14:solidFill>
                </w14:textFill>
              </w:rPr>
            </w:pPr>
          </w:p>
        </w:tc>
      </w:tr>
      <w:tr w14:paraId="097CB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1F9B16DC">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3</w:t>
            </w:r>
          </w:p>
        </w:tc>
        <w:tc>
          <w:tcPr>
            <w:tcW w:w="3751" w:type="dxa"/>
            <w:vAlign w:val="center"/>
          </w:tcPr>
          <w:p w14:paraId="400CCAC0">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投标函</w:t>
            </w:r>
          </w:p>
        </w:tc>
        <w:tc>
          <w:tcPr>
            <w:tcW w:w="1559" w:type="dxa"/>
            <w:vAlign w:val="center"/>
          </w:tcPr>
          <w:p w14:paraId="3858E471">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1E1FEC7A">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29073095">
            <w:pPr>
              <w:snapToGrid w:val="0"/>
              <w:spacing w:line="400" w:lineRule="exact"/>
              <w:rPr>
                <w:rFonts w:ascii="宋体" w:hAnsi="宋体" w:cs="微软雅黑"/>
                <w:color w:val="000000" w:themeColor="text1"/>
                <w:szCs w:val="21"/>
                <w14:textFill>
                  <w14:solidFill>
                    <w14:schemeClr w14:val="tx1"/>
                  </w14:solidFill>
                </w14:textFill>
              </w:rPr>
            </w:pPr>
          </w:p>
        </w:tc>
      </w:tr>
      <w:tr w14:paraId="20FB6D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655A40D3">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4</w:t>
            </w:r>
          </w:p>
        </w:tc>
        <w:tc>
          <w:tcPr>
            <w:tcW w:w="3751" w:type="dxa"/>
            <w:vAlign w:val="center"/>
          </w:tcPr>
          <w:p w14:paraId="0B21E89E">
            <w:pPr>
              <w:pStyle w:val="15"/>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法定代表人（单位负责人）</w:t>
            </w:r>
            <w:r>
              <w:rPr>
                <w:rFonts w:asciiTheme="majorEastAsia" w:hAnsiTheme="majorEastAsia" w:eastAsiaTheme="majorEastAsia" w:cstheme="majorEastAsia"/>
                <w:bCs/>
                <w:color w:val="000000" w:themeColor="text1"/>
                <w:sz w:val="21"/>
                <w:szCs w:val="21"/>
                <w:lang w:val="zh-CN"/>
                <w14:textFill>
                  <w14:solidFill>
                    <w14:schemeClr w14:val="tx1"/>
                  </w14:solidFill>
                </w14:textFill>
              </w:rPr>
              <w:t>资</w:t>
            </w: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格</w:t>
            </w:r>
            <w:r>
              <w:rPr>
                <w:rFonts w:asciiTheme="majorEastAsia" w:hAnsiTheme="majorEastAsia" w:eastAsiaTheme="majorEastAsia" w:cstheme="majorEastAsia"/>
                <w:bCs/>
                <w:color w:val="000000" w:themeColor="text1"/>
                <w:sz w:val="21"/>
                <w:szCs w:val="21"/>
                <w:lang w:val="zh-CN"/>
                <w14:textFill>
                  <w14:solidFill>
                    <w14:schemeClr w14:val="tx1"/>
                  </w14:solidFill>
                </w14:textFill>
              </w:rPr>
              <w:t>证</w:t>
            </w: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明</w:t>
            </w:r>
            <w:r>
              <w:rPr>
                <w:rFonts w:asciiTheme="majorEastAsia" w:hAnsiTheme="majorEastAsia" w:eastAsiaTheme="majorEastAsia" w:cstheme="majorEastAsia"/>
                <w:bCs/>
                <w:color w:val="000000" w:themeColor="text1"/>
                <w:sz w:val="21"/>
                <w:szCs w:val="21"/>
                <w:lang w:val="zh-CN"/>
                <w14:textFill>
                  <w14:solidFill>
                    <w14:schemeClr w14:val="tx1"/>
                  </w14:solidFill>
                </w14:textFill>
              </w:rPr>
              <w:t>书</w:t>
            </w:r>
          </w:p>
        </w:tc>
        <w:tc>
          <w:tcPr>
            <w:tcW w:w="1559" w:type="dxa"/>
            <w:vAlign w:val="center"/>
          </w:tcPr>
          <w:p w14:paraId="2AFA4DFE">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0A9B4B15">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3C15566E">
            <w:pPr>
              <w:snapToGrid w:val="0"/>
              <w:spacing w:line="400" w:lineRule="exact"/>
              <w:rPr>
                <w:rFonts w:ascii="宋体" w:hAnsi="宋体" w:cs="微软雅黑"/>
                <w:color w:val="000000" w:themeColor="text1"/>
                <w:szCs w:val="21"/>
                <w14:textFill>
                  <w14:solidFill>
                    <w14:schemeClr w14:val="tx1"/>
                  </w14:solidFill>
                </w14:textFill>
              </w:rPr>
            </w:pPr>
          </w:p>
        </w:tc>
      </w:tr>
      <w:tr w14:paraId="297D6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7DC81FA6">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5</w:t>
            </w:r>
          </w:p>
        </w:tc>
        <w:tc>
          <w:tcPr>
            <w:tcW w:w="3751" w:type="dxa"/>
            <w:vAlign w:val="center"/>
          </w:tcPr>
          <w:p w14:paraId="7529A388">
            <w:pPr>
              <w:pStyle w:val="15"/>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法定代表人（单位负责人）授权书</w:t>
            </w:r>
          </w:p>
        </w:tc>
        <w:tc>
          <w:tcPr>
            <w:tcW w:w="1559" w:type="dxa"/>
            <w:vAlign w:val="center"/>
          </w:tcPr>
          <w:p w14:paraId="796DF6AA">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6509B324">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33F2D34D">
            <w:pPr>
              <w:snapToGrid w:val="0"/>
              <w:spacing w:line="400" w:lineRule="exact"/>
              <w:rPr>
                <w:rFonts w:ascii="宋体" w:hAnsi="宋体" w:cs="微软雅黑"/>
                <w:color w:val="000000" w:themeColor="text1"/>
                <w:szCs w:val="21"/>
                <w14:textFill>
                  <w14:solidFill>
                    <w14:schemeClr w14:val="tx1"/>
                  </w14:solidFill>
                </w14:textFill>
              </w:rPr>
            </w:pPr>
          </w:p>
        </w:tc>
      </w:tr>
      <w:tr w14:paraId="390CC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7F1B0481">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6</w:t>
            </w:r>
          </w:p>
        </w:tc>
        <w:tc>
          <w:tcPr>
            <w:tcW w:w="3751" w:type="dxa"/>
            <w:vAlign w:val="center"/>
          </w:tcPr>
          <w:p w14:paraId="6AE69737">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谈判承诺函</w:t>
            </w:r>
          </w:p>
        </w:tc>
        <w:tc>
          <w:tcPr>
            <w:tcW w:w="1559" w:type="dxa"/>
            <w:vAlign w:val="center"/>
          </w:tcPr>
          <w:p w14:paraId="5458265A">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7B8145F4">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5EAF3327">
            <w:pPr>
              <w:snapToGrid w:val="0"/>
              <w:spacing w:line="400" w:lineRule="exact"/>
              <w:rPr>
                <w:rFonts w:ascii="宋体" w:hAnsi="宋体" w:cs="微软雅黑"/>
                <w:color w:val="000000" w:themeColor="text1"/>
                <w:szCs w:val="21"/>
                <w14:textFill>
                  <w14:solidFill>
                    <w14:schemeClr w14:val="tx1"/>
                  </w14:solidFill>
                </w14:textFill>
              </w:rPr>
            </w:pPr>
          </w:p>
        </w:tc>
      </w:tr>
      <w:tr w14:paraId="33F6E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36E232E1">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7</w:t>
            </w:r>
          </w:p>
        </w:tc>
        <w:tc>
          <w:tcPr>
            <w:tcW w:w="3751" w:type="dxa"/>
            <w:vAlign w:val="center"/>
          </w:tcPr>
          <w:p w14:paraId="51FFB90B">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禹州市政府采购供应商信用承诺函</w:t>
            </w:r>
          </w:p>
        </w:tc>
        <w:tc>
          <w:tcPr>
            <w:tcW w:w="1559" w:type="dxa"/>
            <w:vAlign w:val="center"/>
          </w:tcPr>
          <w:p w14:paraId="5DEEA134">
            <w:pPr>
              <w:jc w:val="center"/>
              <w:rPr>
                <w:color w:val="000000" w:themeColor="text1"/>
                <w:szCs w:val="21"/>
                <w14:textFill>
                  <w14:solidFill>
                    <w14:schemeClr w14:val="tx1"/>
                  </w14:solidFill>
                </w14:textFill>
              </w:rPr>
            </w:pPr>
          </w:p>
        </w:tc>
        <w:tc>
          <w:tcPr>
            <w:tcW w:w="1560" w:type="dxa"/>
            <w:vAlign w:val="center"/>
          </w:tcPr>
          <w:p w14:paraId="14F4958C">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3E5E63F2">
            <w:pPr>
              <w:snapToGrid w:val="0"/>
              <w:spacing w:line="400" w:lineRule="exact"/>
              <w:rPr>
                <w:rFonts w:ascii="宋体" w:hAnsi="宋体" w:cs="微软雅黑"/>
                <w:color w:val="000000" w:themeColor="text1"/>
                <w:szCs w:val="21"/>
                <w14:textFill>
                  <w14:solidFill>
                    <w14:schemeClr w14:val="tx1"/>
                  </w14:solidFill>
                </w14:textFill>
              </w:rPr>
            </w:pPr>
          </w:p>
        </w:tc>
      </w:tr>
      <w:tr w14:paraId="06135B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9903079">
            <w:pPr>
              <w:adjustRightInd w:val="0"/>
              <w:snapToGrid w:val="0"/>
              <w:spacing w:line="400" w:lineRule="exact"/>
              <w:jc w:val="center"/>
              <w:textAlignment w:val="baseline"/>
              <w:rPr>
                <w:rFonts w:asciiTheme="majorEastAsia" w:hAnsiTheme="majorEastAsia" w:eastAsiaTheme="majorEastAsia" w:cstheme="majorEastAsia"/>
                <w:bCs/>
                <w:color w:val="000000" w:themeColor="text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Cs w:val="21"/>
                <w:lang w:val="zh-CN"/>
                <w14:textFill>
                  <w14:solidFill>
                    <w14:schemeClr w14:val="tx1"/>
                  </w14:solidFill>
                </w14:textFill>
              </w:rPr>
              <w:t>8</w:t>
            </w:r>
          </w:p>
        </w:tc>
        <w:tc>
          <w:tcPr>
            <w:tcW w:w="3751" w:type="dxa"/>
            <w:vAlign w:val="center"/>
          </w:tcPr>
          <w:p w14:paraId="22A8D394">
            <w:pPr>
              <w:pStyle w:val="15"/>
              <w:kinsoku w:val="0"/>
              <w:overflowPunct w:val="0"/>
              <w:autoSpaceDE w:val="0"/>
              <w:autoSpaceDN w:val="0"/>
              <w:spacing w:line="320" w:lineRule="exact"/>
              <w:rPr>
                <w:rFonts w:asciiTheme="majorEastAsia" w:hAnsiTheme="majorEastAsia" w:eastAsiaTheme="majorEastAsia" w:cstheme="majorEastAsia"/>
                <w:bCs/>
                <w:color w:val="000000" w:themeColor="text1"/>
                <w:sz w:val="2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联合体协议</w:t>
            </w:r>
          </w:p>
        </w:tc>
        <w:tc>
          <w:tcPr>
            <w:tcW w:w="1559" w:type="dxa"/>
            <w:vAlign w:val="center"/>
          </w:tcPr>
          <w:p w14:paraId="53C5197E">
            <w:pPr>
              <w:jc w:val="center"/>
              <w:rPr>
                <w:color w:val="000000" w:themeColor="text1"/>
                <w:szCs w:val="21"/>
                <w14:textFill>
                  <w14:solidFill>
                    <w14:schemeClr w14:val="tx1"/>
                  </w14:solidFill>
                </w14:textFill>
              </w:rPr>
            </w:pPr>
          </w:p>
        </w:tc>
        <w:tc>
          <w:tcPr>
            <w:tcW w:w="1560" w:type="dxa"/>
            <w:vAlign w:val="center"/>
          </w:tcPr>
          <w:p w14:paraId="28769809">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6340C7E0">
            <w:pPr>
              <w:snapToGrid w:val="0"/>
              <w:spacing w:line="400" w:lineRule="exact"/>
              <w:rPr>
                <w:rFonts w:ascii="宋体" w:hAnsi="宋体" w:cs="微软雅黑"/>
                <w:color w:val="000000" w:themeColor="text1"/>
                <w:szCs w:val="21"/>
                <w14:textFill>
                  <w14:solidFill>
                    <w14:schemeClr w14:val="tx1"/>
                  </w14:solidFill>
                </w14:textFill>
              </w:rPr>
            </w:pPr>
          </w:p>
        </w:tc>
      </w:tr>
      <w:tr w14:paraId="361218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97580C3">
            <w:pPr>
              <w:adjustRightInd w:val="0"/>
              <w:snapToGrid w:val="0"/>
              <w:spacing w:line="400" w:lineRule="exact"/>
              <w:jc w:val="center"/>
              <w:textAlignment w:val="baseline"/>
              <w:rPr>
                <w:rFonts w:asciiTheme="majorEastAsia" w:hAnsiTheme="majorEastAsia" w:eastAsiaTheme="majorEastAsia" w:cstheme="majorEastAsia"/>
                <w:bCs/>
                <w:color w:val="000000" w:themeColor="text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Cs w:val="21"/>
                <w:lang w:val="zh-CN"/>
                <w14:textFill>
                  <w14:solidFill>
                    <w14:schemeClr w14:val="tx1"/>
                  </w14:solidFill>
                </w14:textFill>
              </w:rPr>
              <w:t>9</w:t>
            </w:r>
          </w:p>
        </w:tc>
        <w:tc>
          <w:tcPr>
            <w:tcW w:w="3751" w:type="dxa"/>
            <w:vAlign w:val="center"/>
          </w:tcPr>
          <w:p w14:paraId="540CEB65">
            <w:pPr>
              <w:pStyle w:val="15"/>
              <w:kinsoku w:val="0"/>
              <w:overflowPunct w:val="0"/>
              <w:autoSpaceDE w:val="0"/>
              <w:autoSpaceDN w:val="0"/>
              <w:spacing w:line="320" w:lineRule="exact"/>
              <w:rPr>
                <w:rFonts w:asciiTheme="majorEastAsia" w:hAnsiTheme="majorEastAsia" w:eastAsiaTheme="majorEastAsia" w:cstheme="majorEastAsia"/>
                <w:bCs/>
                <w:color w:val="000000" w:themeColor="text1"/>
                <w:sz w:val="2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供应商与参加本项目投标的其他供应商之间，单位负责人不为同一人并且不存在直接控股、管理关系承诺函</w:t>
            </w:r>
          </w:p>
        </w:tc>
        <w:tc>
          <w:tcPr>
            <w:tcW w:w="1559" w:type="dxa"/>
            <w:vAlign w:val="center"/>
          </w:tcPr>
          <w:p w14:paraId="54C3314D">
            <w:pPr>
              <w:jc w:val="center"/>
              <w:rPr>
                <w:color w:val="000000" w:themeColor="text1"/>
                <w:szCs w:val="21"/>
                <w14:textFill>
                  <w14:solidFill>
                    <w14:schemeClr w14:val="tx1"/>
                  </w14:solidFill>
                </w14:textFill>
              </w:rPr>
            </w:pPr>
          </w:p>
        </w:tc>
        <w:tc>
          <w:tcPr>
            <w:tcW w:w="1560" w:type="dxa"/>
            <w:vAlign w:val="center"/>
          </w:tcPr>
          <w:p w14:paraId="100CA08A">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70135A30">
            <w:pPr>
              <w:snapToGrid w:val="0"/>
              <w:spacing w:line="400" w:lineRule="exact"/>
              <w:rPr>
                <w:rFonts w:ascii="宋体" w:hAnsi="宋体" w:cs="微软雅黑"/>
                <w:color w:val="000000" w:themeColor="text1"/>
                <w:szCs w:val="21"/>
                <w14:textFill>
                  <w14:solidFill>
                    <w14:schemeClr w14:val="tx1"/>
                  </w14:solidFill>
                </w14:textFill>
              </w:rPr>
            </w:pPr>
          </w:p>
        </w:tc>
      </w:tr>
      <w:tr w14:paraId="68391A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4E986A05">
            <w:pPr>
              <w:adjustRightInd w:val="0"/>
              <w:snapToGrid w:val="0"/>
              <w:spacing w:line="400" w:lineRule="exact"/>
              <w:jc w:val="center"/>
              <w:textAlignment w:val="baseline"/>
              <w:rPr>
                <w:rFonts w:asciiTheme="majorEastAsia" w:hAnsiTheme="majorEastAsia" w:eastAsiaTheme="majorEastAsia" w:cstheme="majorEastAsia"/>
                <w:bCs/>
                <w:color w:val="000000" w:themeColor="text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Cs w:val="21"/>
                <w:lang w:val="zh-CN"/>
                <w14:textFill>
                  <w14:solidFill>
                    <w14:schemeClr w14:val="tx1"/>
                  </w14:solidFill>
                </w14:textFill>
              </w:rPr>
              <w:t>10</w:t>
            </w:r>
          </w:p>
        </w:tc>
        <w:tc>
          <w:tcPr>
            <w:tcW w:w="3751" w:type="dxa"/>
            <w:vAlign w:val="center"/>
          </w:tcPr>
          <w:p w14:paraId="11F3BB2D">
            <w:pPr>
              <w:pStyle w:val="15"/>
              <w:kinsoku w:val="0"/>
              <w:overflowPunct w:val="0"/>
              <w:autoSpaceDE w:val="0"/>
              <w:autoSpaceDN w:val="0"/>
              <w:spacing w:line="320" w:lineRule="exact"/>
              <w:rPr>
                <w:rFonts w:asciiTheme="majorEastAsia" w:hAnsiTheme="majorEastAsia" w:eastAsiaTheme="majorEastAsia" w:cstheme="majorEastAsia"/>
                <w:bCs/>
                <w:color w:val="000000" w:themeColor="text1"/>
                <w:sz w:val="21"/>
                <w:szCs w:val="21"/>
                <w:lang w:val="zh-CN"/>
                <w14:textFill>
                  <w14:solidFill>
                    <w14:schemeClr w14:val="tx1"/>
                  </w14:solidFill>
                </w14:textFill>
              </w:rPr>
            </w:pPr>
            <w:r>
              <w:rPr>
                <w:rFonts w:hint="eastAsia" w:cs="仿宋_GB2312" w:asciiTheme="minorEastAsia" w:hAnsiTheme="minorEastAsia"/>
                <w:color w:val="000000" w:themeColor="text1"/>
                <w:sz w:val="21"/>
                <w:szCs w:val="21"/>
                <w:lang w:val="zh-CN"/>
                <w14:textFill>
                  <w14:solidFill>
                    <w14:schemeClr w14:val="tx1"/>
                  </w14:solidFill>
                </w14:textFill>
              </w:rPr>
              <w:t>供应商未为本项目提供整体设计、规范编制或者项目管理、监理、检测等服务承诺函</w:t>
            </w:r>
          </w:p>
        </w:tc>
        <w:tc>
          <w:tcPr>
            <w:tcW w:w="1559" w:type="dxa"/>
            <w:vAlign w:val="center"/>
          </w:tcPr>
          <w:p w14:paraId="3F2E9A44">
            <w:pPr>
              <w:jc w:val="center"/>
              <w:rPr>
                <w:color w:val="000000" w:themeColor="text1"/>
                <w:szCs w:val="21"/>
                <w14:textFill>
                  <w14:solidFill>
                    <w14:schemeClr w14:val="tx1"/>
                  </w14:solidFill>
                </w14:textFill>
              </w:rPr>
            </w:pPr>
          </w:p>
        </w:tc>
        <w:tc>
          <w:tcPr>
            <w:tcW w:w="1560" w:type="dxa"/>
            <w:vAlign w:val="center"/>
          </w:tcPr>
          <w:p w14:paraId="74C5F197">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5E0E3BB0">
            <w:pPr>
              <w:snapToGrid w:val="0"/>
              <w:spacing w:line="400" w:lineRule="exact"/>
              <w:rPr>
                <w:rFonts w:ascii="宋体" w:hAnsi="宋体" w:cs="微软雅黑"/>
                <w:color w:val="000000" w:themeColor="text1"/>
                <w:szCs w:val="21"/>
                <w14:textFill>
                  <w14:solidFill>
                    <w14:schemeClr w14:val="tx1"/>
                  </w14:solidFill>
                </w14:textFill>
              </w:rPr>
            </w:pPr>
          </w:p>
        </w:tc>
      </w:tr>
      <w:tr w14:paraId="49544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14:paraId="0F7863A4">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11</w:t>
            </w:r>
          </w:p>
        </w:tc>
        <w:tc>
          <w:tcPr>
            <w:tcW w:w="3751" w:type="dxa"/>
            <w:tcBorders>
              <w:top w:val="double" w:color="auto" w:sz="4" w:space="0"/>
            </w:tcBorders>
            <w:vAlign w:val="center"/>
          </w:tcPr>
          <w:p w14:paraId="5D5C3019">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投标分项报价表</w:t>
            </w:r>
          </w:p>
        </w:tc>
        <w:tc>
          <w:tcPr>
            <w:tcW w:w="1559" w:type="dxa"/>
            <w:tcBorders>
              <w:top w:val="double" w:color="auto" w:sz="4" w:space="0"/>
            </w:tcBorders>
            <w:vAlign w:val="center"/>
          </w:tcPr>
          <w:p w14:paraId="5C43DCD8">
            <w:pPr>
              <w:jc w:val="center"/>
              <w:rPr>
                <w:color w:val="000000" w:themeColor="text1"/>
                <w:szCs w:val="21"/>
                <w14:textFill>
                  <w14:solidFill>
                    <w14:schemeClr w14:val="tx1"/>
                  </w14:solidFill>
                </w14:textFill>
              </w:rPr>
            </w:pPr>
          </w:p>
        </w:tc>
        <w:tc>
          <w:tcPr>
            <w:tcW w:w="1560" w:type="dxa"/>
            <w:tcBorders>
              <w:top w:val="double" w:color="auto" w:sz="4" w:space="0"/>
            </w:tcBorders>
            <w:vAlign w:val="center"/>
          </w:tcPr>
          <w:p w14:paraId="553C88E2">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tcBorders>
              <w:top w:val="double" w:color="auto" w:sz="4" w:space="0"/>
            </w:tcBorders>
            <w:vAlign w:val="center"/>
          </w:tcPr>
          <w:p w14:paraId="30033E26">
            <w:pPr>
              <w:snapToGrid w:val="0"/>
              <w:spacing w:line="400" w:lineRule="exact"/>
              <w:rPr>
                <w:rFonts w:ascii="宋体" w:hAnsi="宋体" w:cs="微软雅黑"/>
                <w:color w:val="000000" w:themeColor="text1"/>
                <w:szCs w:val="21"/>
                <w14:textFill>
                  <w14:solidFill>
                    <w14:schemeClr w14:val="tx1"/>
                  </w14:solidFill>
                </w14:textFill>
              </w:rPr>
            </w:pPr>
          </w:p>
        </w:tc>
      </w:tr>
      <w:tr w14:paraId="0382D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3367274D">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12</w:t>
            </w:r>
          </w:p>
        </w:tc>
        <w:tc>
          <w:tcPr>
            <w:tcW w:w="3751" w:type="dxa"/>
            <w:vAlign w:val="center"/>
          </w:tcPr>
          <w:p w14:paraId="71A74DDC">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技术规格偏离表</w:t>
            </w:r>
          </w:p>
        </w:tc>
        <w:tc>
          <w:tcPr>
            <w:tcW w:w="1559" w:type="dxa"/>
            <w:vAlign w:val="center"/>
          </w:tcPr>
          <w:p w14:paraId="6D01B567">
            <w:pPr>
              <w:jc w:val="center"/>
              <w:rPr>
                <w:color w:val="000000" w:themeColor="text1"/>
                <w:szCs w:val="21"/>
                <w14:textFill>
                  <w14:solidFill>
                    <w14:schemeClr w14:val="tx1"/>
                  </w14:solidFill>
                </w14:textFill>
              </w:rPr>
            </w:pPr>
          </w:p>
        </w:tc>
        <w:tc>
          <w:tcPr>
            <w:tcW w:w="1560" w:type="dxa"/>
            <w:vAlign w:val="center"/>
          </w:tcPr>
          <w:p w14:paraId="29408F7D">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49D596AA">
            <w:pPr>
              <w:snapToGrid w:val="0"/>
              <w:spacing w:line="400" w:lineRule="exact"/>
              <w:rPr>
                <w:rFonts w:ascii="宋体" w:hAnsi="宋体" w:cs="微软雅黑"/>
                <w:color w:val="000000" w:themeColor="text1"/>
                <w:szCs w:val="21"/>
                <w14:textFill>
                  <w14:solidFill>
                    <w14:schemeClr w14:val="tx1"/>
                  </w14:solidFill>
                </w14:textFill>
              </w:rPr>
            </w:pPr>
          </w:p>
        </w:tc>
      </w:tr>
      <w:tr w14:paraId="79E45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709FC1A6">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13</w:t>
            </w:r>
          </w:p>
        </w:tc>
        <w:tc>
          <w:tcPr>
            <w:tcW w:w="3751" w:type="dxa"/>
            <w:vAlign w:val="center"/>
          </w:tcPr>
          <w:p w14:paraId="38A704CB">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技术方案（实施方案）</w:t>
            </w:r>
          </w:p>
        </w:tc>
        <w:tc>
          <w:tcPr>
            <w:tcW w:w="1559" w:type="dxa"/>
            <w:vAlign w:val="center"/>
          </w:tcPr>
          <w:p w14:paraId="06364D4B">
            <w:pPr>
              <w:jc w:val="center"/>
              <w:rPr>
                <w:color w:val="000000" w:themeColor="text1"/>
                <w:szCs w:val="21"/>
                <w14:textFill>
                  <w14:solidFill>
                    <w14:schemeClr w14:val="tx1"/>
                  </w14:solidFill>
                </w14:textFill>
              </w:rPr>
            </w:pPr>
          </w:p>
        </w:tc>
        <w:tc>
          <w:tcPr>
            <w:tcW w:w="1560" w:type="dxa"/>
            <w:tcBorders>
              <w:top w:val="single" w:color="auto" w:sz="4" w:space="0"/>
            </w:tcBorders>
            <w:vAlign w:val="center"/>
          </w:tcPr>
          <w:p w14:paraId="5B060903">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tcBorders>
              <w:top w:val="single" w:color="auto" w:sz="4" w:space="0"/>
            </w:tcBorders>
            <w:vAlign w:val="center"/>
          </w:tcPr>
          <w:p w14:paraId="2A2061AB">
            <w:pPr>
              <w:snapToGrid w:val="0"/>
              <w:spacing w:line="400" w:lineRule="exact"/>
              <w:rPr>
                <w:rFonts w:ascii="宋体" w:hAnsi="宋体" w:cs="微软雅黑"/>
                <w:color w:val="000000" w:themeColor="text1"/>
                <w:szCs w:val="21"/>
                <w14:textFill>
                  <w14:solidFill>
                    <w14:schemeClr w14:val="tx1"/>
                  </w14:solidFill>
                </w14:textFill>
              </w:rPr>
            </w:pPr>
          </w:p>
        </w:tc>
      </w:tr>
      <w:tr w14:paraId="19F59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70224088">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14</w:t>
            </w:r>
          </w:p>
        </w:tc>
        <w:tc>
          <w:tcPr>
            <w:tcW w:w="3751" w:type="dxa"/>
            <w:vAlign w:val="center"/>
          </w:tcPr>
          <w:p w14:paraId="7F01E4EF">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售后服务方案</w:t>
            </w:r>
          </w:p>
        </w:tc>
        <w:tc>
          <w:tcPr>
            <w:tcW w:w="1559" w:type="dxa"/>
            <w:vAlign w:val="center"/>
          </w:tcPr>
          <w:p w14:paraId="616A002F">
            <w:pPr>
              <w:jc w:val="center"/>
              <w:rPr>
                <w:color w:val="000000" w:themeColor="text1"/>
                <w:szCs w:val="21"/>
                <w14:textFill>
                  <w14:solidFill>
                    <w14:schemeClr w14:val="tx1"/>
                  </w14:solidFill>
                </w14:textFill>
              </w:rPr>
            </w:pPr>
          </w:p>
        </w:tc>
        <w:tc>
          <w:tcPr>
            <w:tcW w:w="1560" w:type="dxa"/>
            <w:vAlign w:val="center"/>
          </w:tcPr>
          <w:p w14:paraId="5884B951">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724DD910">
            <w:pPr>
              <w:snapToGrid w:val="0"/>
              <w:spacing w:line="400" w:lineRule="exact"/>
              <w:rPr>
                <w:rFonts w:ascii="宋体" w:hAnsi="宋体" w:cs="微软雅黑"/>
                <w:color w:val="000000" w:themeColor="text1"/>
                <w:szCs w:val="21"/>
                <w14:textFill>
                  <w14:solidFill>
                    <w14:schemeClr w14:val="tx1"/>
                  </w14:solidFill>
                </w14:textFill>
              </w:rPr>
            </w:pPr>
          </w:p>
        </w:tc>
      </w:tr>
      <w:tr w14:paraId="4AF64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771040D2">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15</w:t>
            </w:r>
          </w:p>
        </w:tc>
        <w:tc>
          <w:tcPr>
            <w:tcW w:w="3751" w:type="dxa"/>
            <w:vAlign w:val="center"/>
          </w:tcPr>
          <w:p w14:paraId="70590936">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业绩情况表</w:t>
            </w:r>
          </w:p>
        </w:tc>
        <w:tc>
          <w:tcPr>
            <w:tcW w:w="1559" w:type="dxa"/>
            <w:vAlign w:val="center"/>
          </w:tcPr>
          <w:p w14:paraId="74D4FE44">
            <w:pPr>
              <w:jc w:val="center"/>
              <w:rPr>
                <w:color w:val="000000" w:themeColor="text1"/>
                <w:szCs w:val="21"/>
                <w14:textFill>
                  <w14:solidFill>
                    <w14:schemeClr w14:val="tx1"/>
                  </w14:solidFill>
                </w14:textFill>
              </w:rPr>
            </w:pPr>
          </w:p>
        </w:tc>
        <w:tc>
          <w:tcPr>
            <w:tcW w:w="1560" w:type="dxa"/>
            <w:vAlign w:val="center"/>
          </w:tcPr>
          <w:p w14:paraId="548544D8">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223106CF">
            <w:pPr>
              <w:snapToGrid w:val="0"/>
              <w:spacing w:line="400" w:lineRule="exact"/>
              <w:rPr>
                <w:rFonts w:ascii="宋体" w:hAnsi="宋体" w:cs="微软雅黑"/>
                <w:color w:val="000000" w:themeColor="text1"/>
                <w:szCs w:val="21"/>
                <w14:textFill>
                  <w14:solidFill>
                    <w14:schemeClr w14:val="tx1"/>
                  </w14:solidFill>
                </w14:textFill>
              </w:rPr>
            </w:pPr>
          </w:p>
        </w:tc>
      </w:tr>
      <w:tr w14:paraId="66F39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4E245627">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16</w:t>
            </w:r>
          </w:p>
        </w:tc>
        <w:tc>
          <w:tcPr>
            <w:tcW w:w="3751" w:type="dxa"/>
            <w:vAlign w:val="center"/>
          </w:tcPr>
          <w:p w14:paraId="4E05FB1B">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政府强制采购节能产品品目清单情况</w:t>
            </w:r>
          </w:p>
        </w:tc>
        <w:tc>
          <w:tcPr>
            <w:tcW w:w="1559" w:type="dxa"/>
            <w:vAlign w:val="center"/>
          </w:tcPr>
          <w:p w14:paraId="28B784BF">
            <w:pPr>
              <w:jc w:val="center"/>
              <w:rPr>
                <w:color w:val="000000" w:themeColor="text1"/>
                <w:szCs w:val="21"/>
                <w14:textFill>
                  <w14:solidFill>
                    <w14:schemeClr w14:val="tx1"/>
                  </w14:solidFill>
                </w14:textFill>
              </w:rPr>
            </w:pPr>
          </w:p>
        </w:tc>
        <w:tc>
          <w:tcPr>
            <w:tcW w:w="1560" w:type="dxa"/>
            <w:vAlign w:val="center"/>
          </w:tcPr>
          <w:p w14:paraId="613DB31A">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23109297">
            <w:pPr>
              <w:snapToGrid w:val="0"/>
              <w:spacing w:line="400" w:lineRule="exact"/>
              <w:rPr>
                <w:rFonts w:ascii="宋体" w:hAnsi="宋体" w:cs="微软雅黑"/>
                <w:color w:val="000000" w:themeColor="text1"/>
                <w:szCs w:val="21"/>
                <w14:textFill>
                  <w14:solidFill>
                    <w14:schemeClr w14:val="tx1"/>
                  </w14:solidFill>
                </w14:textFill>
              </w:rPr>
            </w:pPr>
          </w:p>
        </w:tc>
      </w:tr>
      <w:tr w14:paraId="789284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247780FF">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17</w:t>
            </w:r>
          </w:p>
        </w:tc>
        <w:tc>
          <w:tcPr>
            <w:tcW w:w="3751" w:type="dxa"/>
            <w:vAlign w:val="center"/>
          </w:tcPr>
          <w:p w14:paraId="25DED2BE">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优先采购节能产品政府采购品目清单情况</w:t>
            </w:r>
          </w:p>
        </w:tc>
        <w:tc>
          <w:tcPr>
            <w:tcW w:w="1559" w:type="dxa"/>
            <w:vAlign w:val="center"/>
          </w:tcPr>
          <w:p w14:paraId="51E0994A">
            <w:pPr>
              <w:jc w:val="center"/>
              <w:rPr>
                <w:color w:val="000000" w:themeColor="text1"/>
                <w:szCs w:val="21"/>
                <w14:textFill>
                  <w14:solidFill>
                    <w14:schemeClr w14:val="tx1"/>
                  </w14:solidFill>
                </w14:textFill>
              </w:rPr>
            </w:pPr>
          </w:p>
        </w:tc>
        <w:tc>
          <w:tcPr>
            <w:tcW w:w="1560" w:type="dxa"/>
            <w:vAlign w:val="center"/>
          </w:tcPr>
          <w:p w14:paraId="5092310D">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4EA4AB0C">
            <w:pPr>
              <w:snapToGrid w:val="0"/>
              <w:spacing w:line="400" w:lineRule="exact"/>
              <w:rPr>
                <w:rFonts w:ascii="宋体" w:hAnsi="宋体" w:cs="微软雅黑"/>
                <w:color w:val="000000" w:themeColor="text1"/>
                <w:szCs w:val="21"/>
                <w14:textFill>
                  <w14:solidFill>
                    <w14:schemeClr w14:val="tx1"/>
                  </w14:solidFill>
                </w14:textFill>
              </w:rPr>
            </w:pPr>
          </w:p>
        </w:tc>
      </w:tr>
      <w:tr w14:paraId="01A0E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7E2BCA92">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18</w:t>
            </w:r>
          </w:p>
        </w:tc>
        <w:tc>
          <w:tcPr>
            <w:tcW w:w="3751" w:type="dxa"/>
            <w:vAlign w:val="center"/>
          </w:tcPr>
          <w:p w14:paraId="16F077E0">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ascii="宋体" w:hAnsi="宋体"/>
                <w:color w:val="000000" w:themeColor="text1"/>
                <w:sz w:val="21"/>
                <w:szCs w:val="21"/>
                <w:lang w:val="en-GB"/>
                <w14:textFill>
                  <w14:solidFill>
                    <w14:schemeClr w14:val="tx1"/>
                  </w14:solidFill>
                </w14:textFill>
              </w:rPr>
              <w:t>优先采购环境标志产品政府采购品目清单情况</w:t>
            </w:r>
          </w:p>
        </w:tc>
        <w:tc>
          <w:tcPr>
            <w:tcW w:w="1559" w:type="dxa"/>
            <w:vAlign w:val="center"/>
          </w:tcPr>
          <w:p w14:paraId="42302AF3">
            <w:pPr>
              <w:jc w:val="center"/>
              <w:rPr>
                <w:color w:val="000000" w:themeColor="text1"/>
                <w:szCs w:val="21"/>
                <w14:textFill>
                  <w14:solidFill>
                    <w14:schemeClr w14:val="tx1"/>
                  </w14:solidFill>
                </w14:textFill>
              </w:rPr>
            </w:pPr>
          </w:p>
        </w:tc>
        <w:tc>
          <w:tcPr>
            <w:tcW w:w="1560" w:type="dxa"/>
            <w:vAlign w:val="center"/>
          </w:tcPr>
          <w:p w14:paraId="46B51FA4">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2551E3C5">
            <w:pPr>
              <w:snapToGrid w:val="0"/>
              <w:spacing w:line="400" w:lineRule="exact"/>
              <w:rPr>
                <w:rFonts w:ascii="宋体" w:hAnsi="宋体" w:cs="微软雅黑"/>
                <w:color w:val="000000" w:themeColor="text1"/>
                <w:szCs w:val="21"/>
                <w14:textFill>
                  <w14:solidFill>
                    <w14:schemeClr w14:val="tx1"/>
                  </w14:solidFill>
                </w14:textFill>
              </w:rPr>
            </w:pPr>
          </w:p>
        </w:tc>
      </w:tr>
      <w:tr w14:paraId="141890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206E3383">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19</w:t>
            </w:r>
          </w:p>
        </w:tc>
        <w:tc>
          <w:tcPr>
            <w:tcW w:w="3751" w:type="dxa"/>
            <w:vAlign w:val="center"/>
          </w:tcPr>
          <w:p w14:paraId="5B62A5A1">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中小企业声明函</w:t>
            </w:r>
          </w:p>
        </w:tc>
        <w:tc>
          <w:tcPr>
            <w:tcW w:w="1559" w:type="dxa"/>
            <w:vAlign w:val="center"/>
          </w:tcPr>
          <w:p w14:paraId="2A33DF1B">
            <w:pPr>
              <w:jc w:val="center"/>
              <w:rPr>
                <w:color w:val="000000" w:themeColor="text1"/>
                <w:szCs w:val="21"/>
                <w14:textFill>
                  <w14:solidFill>
                    <w14:schemeClr w14:val="tx1"/>
                  </w14:solidFill>
                </w14:textFill>
              </w:rPr>
            </w:pPr>
          </w:p>
        </w:tc>
        <w:tc>
          <w:tcPr>
            <w:tcW w:w="1560" w:type="dxa"/>
            <w:vAlign w:val="center"/>
          </w:tcPr>
          <w:p w14:paraId="6C68E873">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2183EAFC">
            <w:pPr>
              <w:snapToGrid w:val="0"/>
              <w:spacing w:line="400" w:lineRule="exact"/>
              <w:rPr>
                <w:rFonts w:ascii="宋体" w:hAnsi="宋体" w:cs="微软雅黑"/>
                <w:color w:val="000000" w:themeColor="text1"/>
                <w:szCs w:val="21"/>
                <w14:textFill>
                  <w14:solidFill>
                    <w14:schemeClr w14:val="tx1"/>
                  </w14:solidFill>
                </w14:textFill>
              </w:rPr>
            </w:pPr>
          </w:p>
        </w:tc>
      </w:tr>
      <w:tr w14:paraId="4EBBA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41A730A7">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20</w:t>
            </w:r>
          </w:p>
        </w:tc>
        <w:tc>
          <w:tcPr>
            <w:tcW w:w="3751" w:type="dxa"/>
            <w:vAlign w:val="center"/>
          </w:tcPr>
          <w:p w14:paraId="3C9BE8F4">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残疾人福利性单位声明函</w:t>
            </w:r>
          </w:p>
        </w:tc>
        <w:tc>
          <w:tcPr>
            <w:tcW w:w="1559" w:type="dxa"/>
            <w:vAlign w:val="center"/>
          </w:tcPr>
          <w:p w14:paraId="5047A7A3">
            <w:pPr>
              <w:jc w:val="center"/>
              <w:rPr>
                <w:color w:val="000000" w:themeColor="text1"/>
                <w:szCs w:val="21"/>
                <w14:textFill>
                  <w14:solidFill>
                    <w14:schemeClr w14:val="tx1"/>
                  </w14:solidFill>
                </w14:textFill>
              </w:rPr>
            </w:pPr>
          </w:p>
        </w:tc>
        <w:tc>
          <w:tcPr>
            <w:tcW w:w="1560" w:type="dxa"/>
            <w:vAlign w:val="center"/>
          </w:tcPr>
          <w:p w14:paraId="1AEDFC14">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78AECC48">
            <w:pPr>
              <w:snapToGrid w:val="0"/>
              <w:spacing w:line="400" w:lineRule="exact"/>
              <w:rPr>
                <w:rFonts w:ascii="宋体" w:hAnsi="宋体" w:cs="微软雅黑"/>
                <w:color w:val="000000" w:themeColor="text1"/>
                <w:szCs w:val="21"/>
                <w14:textFill>
                  <w14:solidFill>
                    <w14:schemeClr w14:val="tx1"/>
                  </w14:solidFill>
                </w14:textFill>
              </w:rPr>
            </w:pPr>
          </w:p>
        </w:tc>
      </w:tr>
      <w:tr w14:paraId="68193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209FDFB6">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21</w:t>
            </w:r>
          </w:p>
        </w:tc>
        <w:tc>
          <w:tcPr>
            <w:tcW w:w="3751" w:type="dxa"/>
            <w:vAlign w:val="center"/>
          </w:tcPr>
          <w:p w14:paraId="318F205C">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监狱企业证明文件</w:t>
            </w:r>
          </w:p>
        </w:tc>
        <w:tc>
          <w:tcPr>
            <w:tcW w:w="1559" w:type="dxa"/>
            <w:vAlign w:val="center"/>
          </w:tcPr>
          <w:p w14:paraId="3899A5AD">
            <w:pPr>
              <w:jc w:val="center"/>
              <w:rPr>
                <w:color w:val="000000" w:themeColor="text1"/>
                <w:szCs w:val="21"/>
                <w14:textFill>
                  <w14:solidFill>
                    <w14:schemeClr w14:val="tx1"/>
                  </w14:solidFill>
                </w14:textFill>
              </w:rPr>
            </w:pPr>
          </w:p>
        </w:tc>
        <w:tc>
          <w:tcPr>
            <w:tcW w:w="1560" w:type="dxa"/>
            <w:vAlign w:val="center"/>
          </w:tcPr>
          <w:p w14:paraId="2AAEE608">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1259E863">
            <w:pPr>
              <w:snapToGrid w:val="0"/>
              <w:spacing w:line="400" w:lineRule="exact"/>
              <w:rPr>
                <w:rFonts w:ascii="宋体" w:hAnsi="宋体" w:cs="微软雅黑"/>
                <w:color w:val="000000" w:themeColor="text1"/>
                <w:szCs w:val="21"/>
                <w14:textFill>
                  <w14:solidFill>
                    <w14:schemeClr w14:val="tx1"/>
                  </w14:solidFill>
                </w14:textFill>
              </w:rPr>
            </w:pPr>
          </w:p>
        </w:tc>
      </w:tr>
      <w:tr w14:paraId="64347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14:paraId="2E025F4A">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22</w:t>
            </w:r>
          </w:p>
        </w:tc>
        <w:tc>
          <w:tcPr>
            <w:tcW w:w="3751" w:type="dxa"/>
            <w:vAlign w:val="center"/>
          </w:tcPr>
          <w:p w14:paraId="123E40AD">
            <w:pPr>
              <w:pStyle w:val="15"/>
              <w:kinsoku w:val="0"/>
              <w:overflowPunct w:val="0"/>
              <w:autoSpaceDE w:val="0"/>
              <w:autoSpaceDN w:val="0"/>
              <w:spacing w:line="320" w:lineRule="exact"/>
              <w:rPr>
                <w:rFonts w:asciiTheme="majorEastAsia" w:hAnsiTheme="majorEastAsia" w:eastAsiaTheme="majorEastAsia" w:cstheme="majorEastAsia"/>
                <w:bCs/>
                <w:color w:val="000000" w:themeColor="text1"/>
                <w:sz w:val="21"/>
                <w:szCs w:val="21"/>
                <w:lang w:val="zh-CN"/>
                <w14:textFill>
                  <w14:solidFill>
                    <w14:schemeClr w14:val="tx1"/>
                  </w14:solidFill>
                </w14:textFill>
              </w:rPr>
            </w:pPr>
            <w:r>
              <w:rPr>
                <w:rFonts w:hint="eastAsia" w:cs="宋体" w:asciiTheme="minorEastAsia" w:hAnsiTheme="minorEastAsia"/>
                <w:bCs/>
                <w:color w:val="000000" w:themeColor="text1"/>
                <w:sz w:val="21"/>
                <w:szCs w:val="21"/>
                <w:lang w:val="zh-CN"/>
                <w14:textFill>
                  <w14:solidFill>
                    <w14:schemeClr w14:val="tx1"/>
                  </w14:solidFill>
                </w14:textFill>
              </w:rPr>
              <w:t>中国信息安全认证中心按国家标准认证颁发的</w:t>
            </w:r>
            <w:r>
              <w:rPr>
                <w:rFonts w:cs="宋体" w:asciiTheme="minorEastAsia" w:hAnsiTheme="minorEastAsia"/>
                <w:color w:val="000000" w:themeColor="text1"/>
                <w:kern w:val="0"/>
                <w:sz w:val="21"/>
                <w:szCs w:val="21"/>
                <w14:textFill>
                  <w14:solidFill>
                    <w14:schemeClr w14:val="tx1"/>
                  </w14:solidFill>
                </w14:textFill>
              </w:rPr>
              <w:t>信息安全产品</w:t>
            </w:r>
            <w:r>
              <w:rPr>
                <w:rFonts w:hint="eastAsia" w:cs="宋体" w:asciiTheme="minorEastAsia" w:hAnsiTheme="minorEastAsia"/>
                <w:bCs/>
                <w:color w:val="000000" w:themeColor="text1"/>
                <w:sz w:val="21"/>
                <w:szCs w:val="21"/>
                <w:lang w:val="zh-CN"/>
                <w14:textFill>
                  <w14:solidFill>
                    <w14:schemeClr w14:val="tx1"/>
                  </w14:solidFill>
                </w14:textFill>
              </w:rPr>
              <w:t>有效认证证书</w:t>
            </w:r>
          </w:p>
        </w:tc>
        <w:tc>
          <w:tcPr>
            <w:tcW w:w="1559" w:type="dxa"/>
            <w:vAlign w:val="center"/>
          </w:tcPr>
          <w:p w14:paraId="553739F1">
            <w:pPr>
              <w:pStyle w:val="15"/>
              <w:rPr>
                <w:color w:val="000000" w:themeColor="text1"/>
                <w:sz w:val="21"/>
                <w:szCs w:val="21"/>
                <w14:textFill>
                  <w14:solidFill>
                    <w14:schemeClr w14:val="tx1"/>
                  </w14:solidFill>
                </w14:textFill>
              </w:rPr>
            </w:pPr>
          </w:p>
        </w:tc>
        <w:tc>
          <w:tcPr>
            <w:tcW w:w="1560" w:type="dxa"/>
            <w:vAlign w:val="center"/>
          </w:tcPr>
          <w:p w14:paraId="08C96285">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7C3BF3DC">
            <w:pPr>
              <w:snapToGrid w:val="0"/>
              <w:spacing w:line="400" w:lineRule="exact"/>
              <w:rPr>
                <w:rFonts w:ascii="宋体" w:hAnsi="宋体" w:cs="微软雅黑"/>
                <w:color w:val="000000" w:themeColor="text1"/>
                <w:szCs w:val="21"/>
                <w14:textFill>
                  <w14:solidFill>
                    <w14:schemeClr w14:val="tx1"/>
                  </w14:solidFill>
                </w14:textFill>
              </w:rPr>
            </w:pPr>
          </w:p>
        </w:tc>
      </w:tr>
      <w:tr w14:paraId="5511C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14:paraId="5C4894E4">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23</w:t>
            </w:r>
          </w:p>
        </w:tc>
        <w:tc>
          <w:tcPr>
            <w:tcW w:w="3751" w:type="dxa"/>
            <w:tcBorders>
              <w:bottom w:val="single" w:color="auto" w:sz="4" w:space="0"/>
            </w:tcBorders>
            <w:vAlign w:val="center"/>
          </w:tcPr>
          <w:p w14:paraId="27D8B8DC">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其它资料</w:t>
            </w:r>
          </w:p>
        </w:tc>
        <w:tc>
          <w:tcPr>
            <w:tcW w:w="1559" w:type="dxa"/>
            <w:vAlign w:val="center"/>
          </w:tcPr>
          <w:p w14:paraId="2A4A59F1">
            <w:pPr>
              <w:pStyle w:val="15"/>
              <w:rPr>
                <w:color w:val="000000" w:themeColor="text1"/>
                <w:szCs w:val="21"/>
                <w14:textFill>
                  <w14:solidFill>
                    <w14:schemeClr w14:val="tx1"/>
                  </w14:solidFill>
                </w14:textFill>
              </w:rPr>
            </w:pPr>
          </w:p>
        </w:tc>
        <w:tc>
          <w:tcPr>
            <w:tcW w:w="1560" w:type="dxa"/>
            <w:vAlign w:val="center"/>
          </w:tcPr>
          <w:p w14:paraId="4EE184FB">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2257D369">
            <w:pPr>
              <w:snapToGrid w:val="0"/>
              <w:spacing w:line="400" w:lineRule="exact"/>
              <w:rPr>
                <w:rFonts w:ascii="宋体" w:hAnsi="宋体" w:cs="微软雅黑"/>
                <w:color w:val="000000" w:themeColor="text1"/>
                <w:szCs w:val="21"/>
                <w14:textFill>
                  <w14:solidFill>
                    <w14:schemeClr w14:val="tx1"/>
                  </w14:solidFill>
                </w14:textFill>
              </w:rPr>
            </w:pPr>
          </w:p>
        </w:tc>
      </w:tr>
    </w:tbl>
    <w:p w14:paraId="756D84AD">
      <w:pPr>
        <w:widowControl/>
        <w:jc w:val="left"/>
        <w:rPr>
          <w:rFonts w:asciiTheme="majorEastAsia" w:hAnsiTheme="majorEastAsia" w:eastAsiaTheme="majorEastAsia"/>
          <w:b/>
          <w:snapToGrid w:val="0"/>
          <w:kern w:val="0"/>
          <w:sz w:val="28"/>
          <w:szCs w:val="28"/>
        </w:rPr>
      </w:pPr>
      <w:r>
        <w:rPr>
          <w:rFonts w:asciiTheme="majorEastAsia" w:hAnsiTheme="majorEastAsia" w:eastAsiaTheme="majorEastAsia"/>
          <w:b/>
          <w:snapToGrid w:val="0"/>
          <w:color w:val="000000" w:themeColor="text1"/>
          <w:kern w:val="0"/>
          <w:sz w:val="28"/>
          <w:szCs w:val="28"/>
          <w14:textFill>
            <w14:solidFill>
              <w14:schemeClr w14:val="tx1"/>
            </w14:solidFill>
          </w14:textFill>
        </w:rPr>
        <w:br w:type="page"/>
      </w:r>
    </w:p>
    <w:p w14:paraId="46C789C7">
      <w:pPr>
        <w:pStyle w:val="15"/>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14:paraId="7BA113F4">
      <w:pPr>
        <w:pStyle w:val="15"/>
        <w:spacing w:line="360" w:lineRule="auto"/>
        <w:jc w:val="center"/>
        <w:rPr>
          <w:rFonts w:asciiTheme="majorEastAsia" w:hAnsiTheme="majorEastAsia" w:eastAsiaTheme="majorEastAsia"/>
          <w:b/>
          <w:snapToGrid w:val="0"/>
          <w:kern w:val="0"/>
          <w:sz w:val="28"/>
          <w:szCs w:val="28"/>
        </w:rPr>
      </w:pPr>
    </w:p>
    <w:p w14:paraId="13326085">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3585F523">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26"/>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14:paraId="73A34B32">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221710A">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D3B01A4">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24C586C">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2C81C92">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合同履约期限</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9B53DA9">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14:paraId="382D97F2">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2CE3682B">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14:paraId="72655634">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14:paraId="438B7C63">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481A0CD3">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4BAEB860">
            <w:pPr>
              <w:autoSpaceDE w:val="0"/>
              <w:autoSpaceDN w:val="0"/>
              <w:adjustRightInd w:val="0"/>
              <w:spacing w:line="480" w:lineRule="exact"/>
              <w:ind w:firstLine="240"/>
              <w:rPr>
                <w:rFonts w:cs="宋体" w:asciiTheme="minorEastAsia" w:hAnsiTheme="minorEastAsia"/>
                <w:szCs w:val="21"/>
                <w:lang w:val="zh-CN"/>
              </w:rPr>
            </w:pPr>
          </w:p>
        </w:tc>
      </w:tr>
      <w:tr w14:paraId="7C0BA98C">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65486206">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14:paraId="0D7E3612">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14:paraId="709230F7">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679E42FA">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4ABD1FC9">
            <w:pPr>
              <w:autoSpaceDE w:val="0"/>
              <w:autoSpaceDN w:val="0"/>
              <w:adjustRightInd w:val="0"/>
              <w:spacing w:line="480" w:lineRule="exact"/>
              <w:ind w:firstLine="240"/>
              <w:rPr>
                <w:rFonts w:cs="宋体" w:asciiTheme="minorEastAsia" w:hAnsiTheme="minorEastAsia"/>
                <w:szCs w:val="21"/>
                <w:lang w:val="zh-CN"/>
              </w:rPr>
            </w:pPr>
          </w:p>
        </w:tc>
      </w:tr>
    </w:tbl>
    <w:p w14:paraId="595AD1DE">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14:paraId="3A768C6B">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14:paraId="03B071AC">
      <w:pPr>
        <w:autoSpaceDE w:val="0"/>
        <w:autoSpaceDN w:val="0"/>
        <w:adjustRightInd w:val="0"/>
        <w:spacing w:line="480" w:lineRule="auto"/>
        <w:rPr>
          <w:rFonts w:cs="宋体" w:asciiTheme="minorEastAsia" w:hAnsiTheme="minorEastAsia"/>
          <w:szCs w:val="21"/>
        </w:rPr>
      </w:pPr>
      <w:r>
        <w:rPr>
          <w:rFonts w:hint="eastAsia" w:cs="宋体" w:asciiTheme="minorEastAsia" w:hAnsiTheme="minorEastAsia"/>
          <w:szCs w:val="21"/>
          <w:lang w:val="zh-CN"/>
        </w:rPr>
        <w:t>注：</w:t>
      </w:r>
    </w:p>
    <w:p w14:paraId="2E395D45">
      <w:pPr>
        <w:autoSpaceDE w:val="0"/>
        <w:autoSpaceDN w:val="0"/>
        <w:adjustRightInd w:val="0"/>
        <w:spacing w:line="480" w:lineRule="auto"/>
        <w:ind w:firstLine="420" w:firstLineChars="200"/>
        <w:outlineLvl w:val="2"/>
        <w:rPr>
          <w:rFonts w:cs="宋体" w:asciiTheme="minorEastAsia" w:hAnsiTheme="minorEastAsia"/>
          <w:szCs w:val="21"/>
          <w:lang w:val="zh-CN"/>
        </w:rPr>
      </w:pPr>
      <w:r>
        <w:rPr>
          <w:rFonts w:hint="eastAsia" w:cs="宋体" w:asciiTheme="minorEastAsia" w:hAnsiTheme="minorEastAsia"/>
          <w:szCs w:val="21"/>
          <w:lang w:val="zh-CN"/>
        </w:rPr>
        <w:t>1、交付日期指完成该项目的最终时间（日历天）。</w:t>
      </w:r>
    </w:p>
    <w:p w14:paraId="0060DB0E">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14:paraId="04E0A1F7">
      <w:pPr>
        <w:autoSpaceDE w:val="0"/>
        <w:autoSpaceDN w:val="0"/>
        <w:adjustRightInd w:val="0"/>
        <w:spacing w:line="360" w:lineRule="auto"/>
        <w:rPr>
          <w:rFonts w:ascii="宋体" w:cs="宋体"/>
          <w:sz w:val="24"/>
          <w:lang w:val="zh-CN"/>
        </w:rPr>
      </w:pPr>
    </w:p>
    <w:p w14:paraId="0609B928">
      <w:pPr>
        <w:autoSpaceDE w:val="0"/>
        <w:autoSpaceDN w:val="0"/>
        <w:adjustRightInd w:val="0"/>
        <w:spacing w:line="360" w:lineRule="auto"/>
        <w:rPr>
          <w:rFonts w:ascii="宋体" w:cs="宋体"/>
          <w:sz w:val="24"/>
          <w:lang w:val="zh-CN"/>
        </w:rPr>
      </w:pPr>
    </w:p>
    <w:p w14:paraId="62BAAACB">
      <w:pPr>
        <w:autoSpaceDE w:val="0"/>
        <w:autoSpaceDN w:val="0"/>
        <w:adjustRightInd w:val="0"/>
        <w:spacing w:line="360" w:lineRule="auto"/>
        <w:rPr>
          <w:rFonts w:ascii="宋体" w:cs="宋体"/>
          <w:sz w:val="24"/>
          <w:lang w:val="zh-CN"/>
        </w:rPr>
      </w:pPr>
    </w:p>
    <w:p w14:paraId="643E1B12">
      <w:pPr>
        <w:autoSpaceDE w:val="0"/>
        <w:autoSpaceDN w:val="0"/>
        <w:adjustRightInd w:val="0"/>
        <w:spacing w:line="360" w:lineRule="auto"/>
        <w:rPr>
          <w:rFonts w:ascii="宋体" w:cs="宋体"/>
          <w:sz w:val="24"/>
          <w:lang w:val="zh-CN"/>
        </w:rPr>
      </w:pPr>
    </w:p>
    <w:p w14:paraId="55797E33">
      <w:pPr>
        <w:autoSpaceDE w:val="0"/>
        <w:autoSpaceDN w:val="0"/>
        <w:adjustRightInd w:val="0"/>
        <w:spacing w:line="360" w:lineRule="auto"/>
        <w:rPr>
          <w:rFonts w:ascii="宋体" w:cs="宋体"/>
          <w:sz w:val="24"/>
          <w:lang w:val="zh-CN"/>
        </w:rPr>
      </w:pPr>
    </w:p>
    <w:p w14:paraId="2A1BBC1A">
      <w:pPr>
        <w:autoSpaceDE w:val="0"/>
        <w:autoSpaceDN w:val="0"/>
        <w:adjustRightInd w:val="0"/>
        <w:spacing w:line="360" w:lineRule="auto"/>
        <w:rPr>
          <w:rFonts w:ascii="宋体" w:cs="宋体"/>
          <w:sz w:val="24"/>
          <w:lang w:val="zh-CN"/>
        </w:rPr>
      </w:pPr>
    </w:p>
    <w:p w14:paraId="2A474175">
      <w:pPr>
        <w:autoSpaceDE w:val="0"/>
        <w:autoSpaceDN w:val="0"/>
        <w:adjustRightInd w:val="0"/>
        <w:spacing w:line="360" w:lineRule="auto"/>
        <w:rPr>
          <w:rFonts w:cs="黑体" w:asciiTheme="minorEastAsia" w:hAnsiTheme="minorEastAsia"/>
          <w:b/>
          <w:bCs/>
          <w:sz w:val="44"/>
          <w:szCs w:val="44"/>
          <w:lang w:val="zh-CN"/>
        </w:rPr>
      </w:pPr>
    </w:p>
    <w:p w14:paraId="37ED7B87">
      <w:pPr>
        <w:pStyle w:val="37"/>
        <w:rPr>
          <w:lang w:val="zh-CN"/>
        </w:rPr>
      </w:pPr>
    </w:p>
    <w:p w14:paraId="20C60BFD">
      <w:pPr>
        <w:pStyle w:val="37"/>
        <w:rPr>
          <w:lang w:val="zh-CN"/>
        </w:rPr>
      </w:pPr>
    </w:p>
    <w:p w14:paraId="068248E6">
      <w:pPr>
        <w:pStyle w:val="37"/>
        <w:rPr>
          <w:lang w:val="zh-CN"/>
        </w:rPr>
      </w:pPr>
    </w:p>
    <w:p w14:paraId="65A7DAB7">
      <w:pPr>
        <w:rPr>
          <w:rFonts w:hint="eastAsia" w:cs="黑体" w:asciiTheme="minorEastAsia" w:hAnsiTheme="minorEastAsia"/>
          <w:b/>
          <w:bCs/>
          <w:sz w:val="28"/>
          <w:szCs w:val="28"/>
          <w:lang w:val="zh-CN"/>
        </w:rPr>
      </w:pPr>
      <w:r>
        <w:rPr>
          <w:rFonts w:hint="eastAsia" w:cs="黑体" w:asciiTheme="minorEastAsia" w:hAnsiTheme="minorEastAsia"/>
          <w:b/>
          <w:bCs/>
          <w:sz w:val="28"/>
          <w:szCs w:val="28"/>
          <w:lang w:val="zh-CN"/>
        </w:rPr>
        <w:br w:type="page"/>
      </w:r>
    </w:p>
    <w:p w14:paraId="51663655">
      <w:pPr>
        <w:autoSpaceDE w:val="0"/>
        <w:autoSpaceDN w:val="0"/>
        <w:adjustRightInd w:val="0"/>
        <w:spacing w:line="360" w:lineRule="auto"/>
        <w:jc w:val="center"/>
        <w:outlineLvl w:val="1"/>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三、资格审查相关材料</w:t>
      </w:r>
    </w:p>
    <w:p w14:paraId="56C974F4">
      <w:pPr>
        <w:pStyle w:val="15"/>
        <w:spacing w:line="360" w:lineRule="auto"/>
        <w:jc w:val="center"/>
        <w:outlineLvl w:val="2"/>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报 价 函</w:t>
      </w:r>
    </w:p>
    <w:p w14:paraId="3A6DBC47">
      <w:pPr>
        <w:pStyle w:val="15"/>
        <w:spacing w:line="360" w:lineRule="auto"/>
        <w:jc w:val="center"/>
        <w:rPr>
          <w:rFonts w:asciiTheme="majorEastAsia" w:hAnsiTheme="majorEastAsia" w:eastAsiaTheme="majorEastAsia"/>
          <w:b/>
          <w:snapToGrid w:val="0"/>
          <w:kern w:val="0"/>
          <w:sz w:val="28"/>
          <w:szCs w:val="28"/>
        </w:rPr>
      </w:pPr>
    </w:p>
    <w:p w14:paraId="50C473BA">
      <w:pPr>
        <w:adjustRightInd w:val="0"/>
        <w:spacing w:line="360" w:lineRule="auto"/>
        <w:contextualSpacing/>
        <w:rPr>
          <w:rFonts w:hint="default" w:asciiTheme="minorEastAsia" w:hAnsiTheme="minorEastAsia" w:eastAsiaTheme="minorEastAsia"/>
          <w:b/>
          <w:snapToGrid w:val="0"/>
          <w:kern w:val="0"/>
          <w:szCs w:val="21"/>
          <w:lang w:val="en-US" w:eastAsia="zh-CN"/>
        </w:rPr>
      </w:pPr>
      <w:r>
        <w:rPr>
          <w:rFonts w:hint="eastAsia" w:asciiTheme="minorEastAsia" w:hAnsiTheme="minorEastAsia"/>
          <w:snapToGrid w:val="0"/>
          <w:kern w:val="0"/>
          <w:szCs w:val="21"/>
        </w:rPr>
        <w:t>致：</w:t>
      </w:r>
      <w:r>
        <w:rPr>
          <w:rFonts w:hint="eastAsia" w:asciiTheme="minorEastAsia" w:hAnsiTheme="minorEastAsia"/>
          <w:snapToGrid w:val="0"/>
          <w:kern w:val="0"/>
          <w:szCs w:val="21"/>
          <w:u w:val="single"/>
          <w:lang w:val="en-US" w:eastAsia="zh-CN"/>
        </w:rPr>
        <w:t xml:space="preserve">            </w:t>
      </w:r>
      <w:r>
        <w:rPr>
          <w:rFonts w:hint="eastAsia" w:asciiTheme="minorEastAsia" w:hAnsiTheme="minorEastAsia"/>
          <w:snapToGrid w:val="0"/>
          <w:color w:val="auto"/>
          <w:kern w:val="0"/>
          <w:szCs w:val="21"/>
          <w:highlight w:val="none"/>
          <w:u w:val="single"/>
          <w:lang w:val="en-US" w:eastAsia="zh-CN"/>
        </w:rPr>
        <w:t>（采购人）</w:t>
      </w:r>
      <w:r>
        <w:rPr>
          <w:rFonts w:hint="eastAsia" w:asciiTheme="minorEastAsia" w:hAnsiTheme="minorEastAsia"/>
          <w:snapToGrid w:val="0"/>
          <w:kern w:val="0"/>
          <w:szCs w:val="21"/>
          <w:u w:val="single"/>
          <w:lang w:val="en-US" w:eastAsia="zh-CN"/>
        </w:rPr>
        <w:t xml:space="preserve">         </w:t>
      </w:r>
    </w:p>
    <w:p w14:paraId="35E25105">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根据贵方_______（项目名称、项目编号）采购的竞争性谈判公告及谈判邀请，_______（姓名和职务）被正式授权并代表供应商（供应商名称、地址）提交。</w:t>
      </w:r>
    </w:p>
    <w:p w14:paraId="28E04794">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14:paraId="0F89BEEA">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14:paraId="313E1AFC">
      <w:pPr>
        <w:adjustRightInd w:val="0"/>
        <w:spacing w:line="360" w:lineRule="auto"/>
        <w:ind w:firstLine="525" w:firstLineChars="25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w:t>
      </w:r>
      <w:r>
        <w:rPr>
          <w:rFonts w:hint="eastAsia" w:cs="Courier New" w:asciiTheme="minorEastAsia" w:hAnsiTheme="minorEastAsia"/>
          <w:szCs w:val="21"/>
          <w:lang w:val="en-US" w:eastAsia="zh-CN"/>
        </w:rPr>
        <w:t>声</w:t>
      </w:r>
      <w:r>
        <w:rPr>
          <w:rFonts w:hint="eastAsia" w:cs="Courier New" w:asciiTheme="minorEastAsia" w:hAnsiTheme="minorEastAsia"/>
          <w:szCs w:val="21"/>
        </w:rPr>
        <w:t>明如下：</w:t>
      </w:r>
    </w:p>
    <w:p w14:paraId="1AC92B21">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14:paraId="7C072BC7">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我方同意在本项目谈判文件中规定的开标日起90天内遵守本谈判文件中的承诺且在此期限期满之前均具有约束力。我方同意并遵守本谈判文件“</w:t>
      </w:r>
      <w:r>
        <w:rPr>
          <w:rFonts w:hint="eastAsia" w:ascii="宋体" w:hAnsi="宋体"/>
          <w:szCs w:val="21"/>
          <w:lang w:eastAsia="zh-CN"/>
        </w:rPr>
        <w:t>供应商</w:t>
      </w:r>
      <w:r>
        <w:rPr>
          <w:rFonts w:hint="eastAsia" w:ascii="宋体" w:hAnsi="宋体"/>
          <w:szCs w:val="21"/>
        </w:rPr>
        <w:t>须知”中第十四条第三款关于延长投标有效期的规定。</w:t>
      </w:r>
      <w:r>
        <w:rPr>
          <w:rFonts w:hint="eastAsia" w:cs="Courier New" w:asciiTheme="minorEastAsia" w:hAnsiTheme="minor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14:paraId="51C9A29F">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三、我方明白并同意，在规定的谈判响应时间截止之后，响应有效期之内撤销谈判响应的，则我方承担违背响应承诺的责任追究。</w:t>
      </w:r>
    </w:p>
    <w:p w14:paraId="31600B7F">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四、我方同意按照贵方可能提出的要求而提供与谈判响应有关的任何其他数据、信息或资料。</w:t>
      </w:r>
    </w:p>
    <w:p w14:paraId="321B4028">
      <w:pPr>
        <w:pStyle w:val="23"/>
        <w:adjustRightInd w:val="0"/>
        <w:spacing w:line="360" w:lineRule="auto"/>
        <w:ind w:firstLine="420" w:firstLineChars="200"/>
        <w:contextualSpacing/>
        <w:outlineLvl w:val="1"/>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五、我方理解贵方不一定接受最低响应报价。</w:t>
      </w:r>
    </w:p>
    <w:p w14:paraId="4D9A15FD">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14:paraId="3783EAB9">
      <w:pPr>
        <w:pStyle w:val="23"/>
        <w:adjustRightInd w:val="0"/>
        <w:spacing w:line="360" w:lineRule="auto"/>
        <w:ind w:firstLine="420" w:firstLineChars="200"/>
        <w:contextualSpacing/>
        <w:outlineLvl w:val="1"/>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14:paraId="4BF879B3">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14:paraId="27C0CF15">
      <w:pPr>
        <w:pStyle w:val="15"/>
        <w:adjustRightInd w:val="0"/>
        <w:spacing w:line="360" w:lineRule="auto"/>
        <w:ind w:firstLine="420" w:firstLineChars="200"/>
        <w:contextualSpacing/>
        <w:outlineLvl w:val="1"/>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九、我方具备《中华人民共和国政府采购法》第二十二条规定的条件；承诺如下：</w:t>
      </w:r>
    </w:p>
    <w:p w14:paraId="6190D37F">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1.具有独立承担民事责任能力的在中华人民共和国境内注册的法人或其他组织或自然人，有效的营业执照（或事业法人登记证或身份证等相关证明）。</w:t>
      </w:r>
    </w:p>
    <w:p w14:paraId="7B82645D">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2.我方已依法缴纳了各项税费及社会保险费用，如有需要，可随时向采购人提供近六个月内的相关缴费证明，以便核查。</w:t>
      </w:r>
    </w:p>
    <w:p w14:paraId="4ADFD211">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3.我方已依法建立健全的财务会计制度，如有需要，可随时向采购人提供相关证明材料，以便核查。</w:t>
      </w:r>
    </w:p>
    <w:p w14:paraId="49BE4D27">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4.参加政府采购活动前三年内，在经营活动中没有重大违法记录。</w:t>
      </w:r>
    </w:p>
    <w:p w14:paraId="09048648">
      <w:pPr>
        <w:adjustRightInd w:val="0"/>
        <w:spacing w:line="360" w:lineRule="auto"/>
        <w:ind w:firstLine="441" w:firstLineChars="210"/>
        <w:contextualSpacing/>
        <w:outlineLvl w:val="2"/>
        <w:rPr>
          <w:rFonts w:cs="Arial" w:asciiTheme="minorEastAsia" w:hAnsiTheme="minorEastAsia"/>
          <w:szCs w:val="21"/>
        </w:rPr>
      </w:pPr>
      <w:r>
        <w:rPr>
          <w:rFonts w:hint="eastAsia" w:cs="Arial" w:asciiTheme="minorEastAsia" w:hAnsiTheme="minorEastAsia"/>
          <w:szCs w:val="21"/>
        </w:rPr>
        <w:t>5.符合法律、行政法规规定的其他条件。</w:t>
      </w:r>
    </w:p>
    <w:p w14:paraId="6AE30E97">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我方作无效投标处理，我方愿意承担相应的法律责任。</w:t>
      </w:r>
    </w:p>
    <w:p w14:paraId="1D9348DB">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14:paraId="20F23299">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14:paraId="6120F7BB">
      <w:pPr>
        <w:pStyle w:val="15"/>
        <w:adjustRightInd w:val="0"/>
        <w:snapToGrid w:val="0"/>
        <w:spacing w:line="360" w:lineRule="auto"/>
        <w:rPr>
          <w:rFonts w:asciiTheme="minorEastAsia" w:hAnsiTheme="minorEastAsia" w:eastAsiaTheme="minorEastAsia"/>
          <w:sz w:val="21"/>
          <w:szCs w:val="21"/>
        </w:rPr>
      </w:pPr>
    </w:p>
    <w:p w14:paraId="656B9A4A">
      <w:pPr>
        <w:pStyle w:val="15"/>
        <w:adjustRightInd w:val="0"/>
        <w:snapToGrid w:val="0"/>
        <w:spacing w:line="360" w:lineRule="auto"/>
        <w:rPr>
          <w:rFonts w:asciiTheme="minorEastAsia" w:hAnsiTheme="minorEastAsia" w:eastAsiaTheme="minorEastAsia"/>
          <w:sz w:val="21"/>
          <w:szCs w:val="21"/>
        </w:rPr>
      </w:pPr>
    </w:p>
    <w:p w14:paraId="659CC6DB">
      <w:pPr>
        <w:pStyle w:val="15"/>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所有与本项目谈判有关的一切正式往来请联系：</w:t>
      </w:r>
    </w:p>
    <w:p w14:paraId="4C39C5F2">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地    址：邮政编码：</w:t>
      </w:r>
    </w:p>
    <w:p w14:paraId="3431030D">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供应商代表姓名：职    务：</w:t>
      </w:r>
    </w:p>
    <w:p w14:paraId="7F98E365">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手    机： 固定电话：</w:t>
      </w:r>
    </w:p>
    <w:p w14:paraId="0A698D37">
      <w:pPr>
        <w:adjustRightInd w:val="0"/>
        <w:snapToGrid w:val="0"/>
        <w:spacing w:line="360" w:lineRule="auto"/>
        <w:rPr>
          <w:rFonts w:cs="宋体" w:asciiTheme="minorEastAsia" w:hAnsiTheme="minorEastAsia"/>
          <w:b/>
          <w:szCs w:val="21"/>
        </w:rPr>
      </w:pPr>
      <w:r>
        <w:rPr>
          <w:rFonts w:hint="eastAsia" w:cs="宋体" w:asciiTheme="minorEastAsia" w:hAnsiTheme="minorEastAsia"/>
          <w:b/>
          <w:szCs w:val="21"/>
        </w:rPr>
        <w:t>注：</w:t>
      </w:r>
    </w:p>
    <w:p w14:paraId="530FA138">
      <w:pPr>
        <w:adjustRightInd w:val="0"/>
        <w:snapToGrid w:val="0"/>
        <w:spacing w:line="360" w:lineRule="auto"/>
        <w:rPr>
          <w:rFonts w:cs="宋体" w:asciiTheme="minorEastAsia" w:hAnsiTheme="minorEastAsia"/>
          <w:b/>
          <w:szCs w:val="21"/>
        </w:rPr>
      </w:pPr>
      <w:r>
        <w:rPr>
          <w:rFonts w:hint="eastAsia" w:cs="宋体" w:asciiTheme="minorEastAsia" w:hAnsiTheme="minorEastAsia"/>
          <w:b/>
          <w:szCs w:val="21"/>
        </w:rPr>
        <w:t>供应商代表应为参加谈判的法定代表人（单位负责人）或</w:t>
      </w:r>
      <w:r>
        <w:rPr>
          <w:rFonts w:hint="eastAsia" w:cs="Arial" w:asciiTheme="minorEastAsia" w:hAnsiTheme="minorEastAsia"/>
          <w:b/>
          <w:szCs w:val="21"/>
        </w:rPr>
        <w:t>法定代表人（单位负责人）</w:t>
      </w:r>
      <w:r>
        <w:rPr>
          <w:rFonts w:hint="eastAsia" w:asciiTheme="minorEastAsia" w:hAnsiTheme="minorEastAsia"/>
          <w:b/>
          <w:szCs w:val="21"/>
        </w:rPr>
        <w:t>授权代表。</w:t>
      </w:r>
    </w:p>
    <w:p w14:paraId="021596E8">
      <w:pPr>
        <w:adjustRightInd w:val="0"/>
        <w:snapToGrid w:val="0"/>
        <w:spacing w:line="360" w:lineRule="auto"/>
        <w:rPr>
          <w:rFonts w:cs="宋体" w:asciiTheme="minorEastAsia" w:hAnsiTheme="minorEastAsia"/>
          <w:szCs w:val="21"/>
          <w:u w:val="single"/>
        </w:rPr>
      </w:pPr>
    </w:p>
    <w:p w14:paraId="719C188A">
      <w:pPr>
        <w:adjustRightInd w:val="0"/>
        <w:snapToGrid w:val="0"/>
        <w:spacing w:line="360" w:lineRule="auto"/>
        <w:rPr>
          <w:rFonts w:cs="宋体" w:asciiTheme="minorEastAsia" w:hAnsiTheme="minorEastAsia"/>
          <w:szCs w:val="21"/>
          <w:u w:val="single"/>
        </w:rPr>
      </w:pPr>
    </w:p>
    <w:p w14:paraId="00AAB018">
      <w:pPr>
        <w:adjustRightInd w:val="0"/>
        <w:snapToGrid w:val="0"/>
        <w:spacing w:line="360" w:lineRule="auto"/>
        <w:rPr>
          <w:rFonts w:cs="宋体" w:asciiTheme="minorEastAsia" w:hAnsiTheme="minorEastAsia"/>
          <w:szCs w:val="21"/>
          <w:u w:val="single"/>
        </w:rPr>
      </w:pPr>
    </w:p>
    <w:p w14:paraId="7749A7C1">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14:paraId="43A7688C">
      <w:pPr>
        <w:adjustRightInd w:val="0"/>
        <w:snapToGrid w:val="0"/>
        <w:spacing w:line="360" w:lineRule="auto"/>
        <w:ind w:firstLine="4305" w:firstLineChars="2050"/>
        <w:rPr>
          <w:rFonts w:cs="宋体" w:asciiTheme="minorEastAsia" w:hAnsiTheme="minorEastAsia"/>
          <w:szCs w:val="21"/>
        </w:rPr>
      </w:pPr>
    </w:p>
    <w:p w14:paraId="0F312AA9">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14:paraId="7C5B392A">
      <w:pPr>
        <w:adjustRightInd w:val="0"/>
        <w:snapToGrid w:val="0"/>
        <w:spacing w:line="360" w:lineRule="auto"/>
        <w:ind w:firstLine="4305" w:firstLineChars="2050"/>
        <w:rPr>
          <w:rFonts w:cs="宋体" w:asciiTheme="minorEastAsia" w:hAnsiTheme="minorEastAsia"/>
          <w:szCs w:val="21"/>
        </w:rPr>
      </w:pPr>
    </w:p>
    <w:p w14:paraId="34AF82A1">
      <w:pPr>
        <w:rPr>
          <w:rFonts w:hint="eastAsia" w:asciiTheme="majorEastAsia" w:hAnsiTheme="majorEastAsia" w:eastAsiaTheme="majorEastAsia"/>
          <w:b/>
          <w:bCs/>
          <w:sz w:val="24"/>
          <w:szCs w:val="24"/>
        </w:rPr>
      </w:pPr>
      <w:r>
        <w:rPr>
          <w:rFonts w:hint="eastAsia" w:asciiTheme="majorEastAsia" w:hAnsiTheme="majorEastAsia" w:eastAsiaTheme="majorEastAsia"/>
          <w:b/>
          <w:bCs/>
          <w:sz w:val="24"/>
          <w:szCs w:val="24"/>
        </w:rPr>
        <w:br w:type="page"/>
      </w:r>
    </w:p>
    <w:p w14:paraId="29128E08">
      <w:pPr>
        <w:spacing w:line="480" w:lineRule="exact"/>
        <w:jc w:val="center"/>
        <w:outlineLvl w:val="3"/>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14:paraId="027BC253">
      <w:pPr>
        <w:autoSpaceDE w:val="0"/>
        <w:autoSpaceDN w:val="0"/>
        <w:adjustRightInd w:val="0"/>
        <w:spacing w:line="480" w:lineRule="auto"/>
        <w:ind w:firstLine="616" w:firstLineChars="257"/>
        <w:rPr>
          <w:rFonts w:ascii="宋体" w:hAnsi="宋体"/>
          <w:sz w:val="24"/>
          <w:szCs w:val="24"/>
        </w:rPr>
      </w:pPr>
    </w:p>
    <w:p w14:paraId="79A1FC0B">
      <w:pPr>
        <w:pStyle w:val="59"/>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14:paraId="28632980">
      <w:pPr>
        <w:pStyle w:val="59"/>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14:paraId="14F9FC3C">
      <w:pPr>
        <w:pStyle w:val="59"/>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14:paraId="7CF635E8">
      <w:pPr>
        <w:pStyle w:val="59"/>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加贵方项目</w:t>
      </w:r>
      <w:r>
        <w:rPr>
          <w:rFonts w:asciiTheme="minorEastAsia" w:hAnsiTheme="minorEastAsia"/>
          <w:sz w:val="21"/>
          <w:szCs w:val="21"/>
        </w:rPr>
        <w:t>编号为</w:t>
      </w:r>
      <w:r>
        <w:rPr>
          <w:rFonts w:asciiTheme="minorEastAsia" w:hAnsiTheme="minorEastAsia"/>
          <w:i/>
          <w:sz w:val="21"/>
          <w:szCs w:val="21"/>
          <w:u w:val="single"/>
        </w:rPr>
        <w:t>项目编号</w:t>
      </w:r>
      <w:r>
        <w:rPr>
          <w:rFonts w:hint="eastAsia" w:asciiTheme="minorEastAsia" w:hAnsiTheme="minorEastAsia"/>
          <w:sz w:val="21"/>
          <w:szCs w:val="21"/>
        </w:rPr>
        <w:t>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sz w:val="21"/>
          <w:szCs w:val="21"/>
        </w:rPr>
        <w:t>竞争性谈判</w:t>
      </w:r>
      <w:r>
        <w:rPr>
          <w:rFonts w:asciiTheme="minorEastAsia" w:hAnsiTheme="minorEastAsia"/>
          <w:sz w:val="21"/>
          <w:szCs w:val="21"/>
        </w:rPr>
        <w:t>项目</w:t>
      </w:r>
      <w:r>
        <w:rPr>
          <w:rFonts w:hint="eastAsia" w:asciiTheme="minorEastAsia" w:hAnsiTheme="minorEastAsia"/>
          <w:sz w:val="21"/>
          <w:szCs w:val="21"/>
        </w:rPr>
        <w:t>的响应</w:t>
      </w:r>
      <w:r>
        <w:rPr>
          <w:rFonts w:asciiTheme="minorEastAsia" w:hAnsiTheme="minorEastAsia"/>
          <w:sz w:val="21"/>
          <w:szCs w:val="21"/>
        </w:rPr>
        <w:t>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的响应文件及合同的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14:paraId="789BB64D">
      <w:pPr>
        <w:pStyle w:val="59"/>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14:paraId="60C6A16C">
      <w:pPr>
        <w:pStyle w:val="59"/>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法定代表人（单位负责人）联系电话（手机）：</w:t>
      </w:r>
    </w:p>
    <w:p w14:paraId="7CC92C07">
      <w:pPr>
        <w:pStyle w:val="59"/>
        <w:spacing w:line="480" w:lineRule="auto"/>
        <w:ind w:firstLine="472" w:firstLineChars="225"/>
        <w:jc w:val="left"/>
        <w:rPr>
          <w:rFonts w:asciiTheme="minorEastAsia" w:hAnsiTheme="minorEastAsia"/>
          <w:sz w:val="21"/>
          <w:szCs w:val="21"/>
        </w:rPr>
      </w:pPr>
    </w:p>
    <w:p w14:paraId="381AE921">
      <w:pPr>
        <w:pStyle w:val="59"/>
        <w:spacing w:line="480" w:lineRule="auto"/>
        <w:ind w:firstLine="472" w:firstLineChars="225"/>
        <w:jc w:val="left"/>
        <w:rPr>
          <w:rFonts w:asciiTheme="minorEastAsia" w:hAnsiTheme="minorEastAsia"/>
          <w:sz w:val="21"/>
          <w:szCs w:val="21"/>
        </w:rPr>
      </w:pPr>
    </w:p>
    <w:p w14:paraId="4B23521E">
      <w:pPr>
        <w:pStyle w:val="59"/>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14:paraId="5D6B5202">
      <w:pPr>
        <w:pStyle w:val="59"/>
        <w:spacing w:line="480" w:lineRule="auto"/>
        <w:ind w:left="-538" w:leftChars="-256" w:firstLine="539" w:firstLineChars="257"/>
        <w:jc w:val="center"/>
        <w:rPr>
          <w:rFonts w:asciiTheme="minorEastAsia" w:hAnsiTheme="minorEastAsia"/>
          <w:bCs/>
          <w:sz w:val="21"/>
          <w:szCs w:val="21"/>
        </w:rPr>
      </w:pPr>
    </w:p>
    <w:p w14:paraId="1BD826F6">
      <w:pPr>
        <w:autoSpaceDE w:val="0"/>
        <w:autoSpaceDN w:val="0"/>
        <w:adjustRightInd w:val="0"/>
        <w:spacing w:line="360" w:lineRule="auto"/>
        <w:ind w:right="-11"/>
        <w:rPr>
          <w:rFonts w:cs="宋体" w:asciiTheme="minorEastAsia" w:hAnsiTheme="minorEastAsia"/>
          <w:szCs w:val="21"/>
          <w:lang w:val="zh-CN"/>
        </w:rPr>
      </w:pPr>
    </w:p>
    <w:p w14:paraId="17573C00">
      <w:pPr>
        <w:autoSpaceDE w:val="0"/>
        <w:autoSpaceDN w:val="0"/>
        <w:adjustRightInd w:val="0"/>
        <w:spacing w:line="360" w:lineRule="auto"/>
        <w:ind w:right="-11"/>
        <w:rPr>
          <w:rFonts w:cs="宋体" w:asciiTheme="minorEastAsia" w:hAnsiTheme="minorEastAsia"/>
          <w:szCs w:val="21"/>
          <w:lang w:val="zh-CN"/>
        </w:rPr>
      </w:pPr>
    </w:p>
    <w:p w14:paraId="3DD73F1F">
      <w:pPr>
        <w:autoSpaceDE w:val="0"/>
        <w:autoSpaceDN w:val="0"/>
        <w:adjustRightInd w:val="0"/>
        <w:spacing w:line="360" w:lineRule="auto"/>
        <w:ind w:right="-11"/>
        <w:rPr>
          <w:rFonts w:cs="宋体" w:asciiTheme="minorEastAsia" w:hAnsiTheme="minorEastAsia"/>
          <w:szCs w:val="21"/>
          <w:lang w:val="zh-CN"/>
        </w:rPr>
      </w:pPr>
    </w:p>
    <w:p w14:paraId="6ADC097A">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14:paraId="3FE9CD0A">
      <w:pPr>
        <w:pStyle w:val="62"/>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14:paraId="5BDC7261">
      <w:pPr>
        <w:pStyle w:val="61"/>
        <w:spacing w:line="480" w:lineRule="auto"/>
        <w:rPr>
          <w:rFonts w:cs="Arial" w:asciiTheme="minorEastAsia" w:hAnsiTheme="minorEastAsia"/>
          <w:sz w:val="21"/>
          <w:szCs w:val="21"/>
        </w:rPr>
      </w:pPr>
    </w:p>
    <w:p w14:paraId="43BF821B">
      <w:pPr>
        <w:rPr>
          <w:szCs w:val="21"/>
        </w:rPr>
      </w:pPr>
    </w:p>
    <w:p w14:paraId="5DBBE82C">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加本竞争性谈判</w:t>
      </w:r>
      <w:r>
        <w:rPr>
          <w:rFonts w:asciiTheme="minorEastAsia" w:hAnsiTheme="minorEastAsia"/>
          <w:bCs/>
          <w:kern w:val="12"/>
          <w:szCs w:val="21"/>
        </w:rPr>
        <w:t>项目</w:t>
      </w:r>
      <w:r>
        <w:rPr>
          <w:rFonts w:hint="eastAsia" w:asciiTheme="minorEastAsia" w:hAnsiTheme="minorEastAsia"/>
          <w:bCs/>
          <w:kern w:val="12"/>
          <w:szCs w:val="21"/>
        </w:rPr>
        <w:t>响应的，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14:paraId="2C4A0F81">
      <w:pPr>
        <w:spacing w:line="320" w:lineRule="exact"/>
        <w:ind w:firstLine="420" w:firstLineChars="200"/>
        <w:rPr>
          <w:rFonts w:asciiTheme="minorEastAsia" w:hAnsiTheme="minorEastAsia"/>
          <w:bCs/>
          <w:kern w:val="12"/>
          <w:szCs w:val="21"/>
        </w:rPr>
      </w:pPr>
    </w:p>
    <w:p w14:paraId="18AE8783">
      <w:pPr>
        <w:rPr>
          <w:rFonts w:hint="eastAsia" w:ascii="宋体" w:hAnsi="宋体"/>
          <w:b/>
          <w:bCs/>
          <w:sz w:val="24"/>
          <w:szCs w:val="24"/>
        </w:rPr>
      </w:pPr>
      <w:r>
        <w:rPr>
          <w:rFonts w:hint="eastAsia" w:ascii="宋体" w:hAnsi="宋体"/>
          <w:b/>
          <w:bCs/>
          <w:sz w:val="24"/>
          <w:szCs w:val="24"/>
        </w:rPr>
        <w:br w:type="page"/>
      </w:r>
    </w:p>
    <w:p w14:paraId="093737F0">
      <w:pPr>
        <w:spacing w:line="480" w:lineRule="exact"/>
        <w:jc w:val="center"/>
        <w:outlineLvl w:val="3"/>
        <w:rPr>
          <w:rFonts w:ascii="宋体" w:hAnsi="宋体"/>
          <w:b/>
          <w:bCs/>
          <w:sz w:val="24"/>
          <w:szCs w:val="24"/>
        </w:rPr>
      </w:pPr>
      <w:r>
        <w:rPr>
          <w:rFonts w:hint="eastAsia" w:ascii="宋体" w:hAnsi="宋体"/>
          <w:b/>
          <w:bCs/>
          <w:sz w:val="24"/>
          <w:szCs w:val="24"/>
        </w:rPr>
        <w:t>3.3 法定代表人（单位负责人）授权书</w:t>
      </w:r>
    </w:p>
    <w:p w14:paraId="11E1CE76">
      <w:pPr>
        <w:spacing w:line="480" w:lineRule="exact"/>
        <w:jc w:val="center"/>
        <w:rPr>
          <w:rFonts w:ascii="宋体" w:hAnsi="宋体"/>
          <w:b/>
          <w:bCs/>
          <w:sz w:val="36"/>
          <w:szCs w:val="36"/>
        </w:rPr>
      </w:pPr>
    </w:p>
    <w:p w14:paraId="2651780D">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14:paraId="7384F84B">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14:paraId="038F0DE5">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69C22011">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14:paraId="1FC2C634">
      <w:pPr>
        <w:spacing w:line="480" w:lineRule="auto"/>
        <w:ind w:firstLine="420" w:firstLineChars="200"/>
        <w:rPr>
          <w:rFonts w:asciiTheme="minorEastAsia" w:hAnsiTheme="minorEastAsia"/>
          <w:szCs w:val="21"/>
        </w:rPr>
      </w:pPr>
      <w:r>
        <w:rPr>
          <w:rFonts w:hint="eastAsia" w:asciiTheme="minorEastAsia" w:hAnsiTheme="minorEastAsia"/>
          <w:szCs w:val="21"/>
        </w:rPr>
        <w:t xml:space="preserve">供应商名称： </w:t>
      </w:r>
      <w:r>
        <w:rPr>
          <w:rFonts w:hint="eastAsia" w:asciiTheme="minorEastAsia" w:hAnsiTheme="minorEastAsia"/>
          <w:szCs w:val="21"/>
          <w:u w:val="single"/>
        </w:rPr>
        <w:t xml:space="preserve">       （全称）       </w:t>
      </w:r>
      <w:r>
        <w:rPr>
          <w:rFonts w:hint="eastAsia" w:asciiTheme="minorEastAsia" w:hAnsiTheme="minorEastAsia"/>
          <w:szCs w:val="21"/>
        </w:rPr>
        <w:t xml:space="preserve"> （并加盖单位公章）</w:t>
      </w:r>
    </w:p>
    <w:p w14:paraId="4D80A03D">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法定代表人（单位负责人）：（签字或加盖名章）</w:t>
      </w:r>
    </w:p>
    <w:p w14:paraId="00A53262">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授权代表：（签字或加盖</w:t>
      </w:r>
      <w:r>
        <w:rPr>
          <w:rFonts w:hint="eastAsia" w:asciiTheme="minorEastAsia" w:hAnsiTheme="minorEastAsia"/>
          <w:szCs w:val="21"/>
          <w:lang w:val="en-US" w:eastAsia="zh-CN"/>
        </w:rPr>
        <w:t>公</w:t>
      </w:r>
      <w:r>
        <w:rPr>
          <w:rFonts w:hint="eastAsia" w:asciiTheme="minorEastAsia" w:hAnsiTheme="minorEastAsia"/>
          <w:szCs w:val="21"/>
        </w:rPr>
        <w:t>章）</w:t>
      </w:r>
    </w:p>
    <w:p w14:paraId="6E95FB8C">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26"/>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14:paraId="56A9C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14:paraId="604F4881">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14:paraId="233DB487">
            <w:pPr>
              <w:jc w:val="center"/>
              <w:rPr>
                <w:rFonts w:asciiTheme="minorEastAsia" w:hAnsiTheme="minorEastAsia"/>
                <w:szCs w:val="21"/>
              </w:rPr>
            </w:pPr>
            <w:r>
              <w:rPr>
                <w:rFonts w:hint="eastAsia" w:asciiTheme="minorEastAsia" w:hAnsiTheme="minorEastAsia"/>
                <w:szCs w:val="21"/>
              </w:rPr>
              <w:t>法定代表人（单位负责人）身份证（反面）</w:t>
            </w:r>
          </w:p>
        </w:tc>
      </w:tr>
      <w:tr w14:paraId="789DC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14:paraId="183C61BE">
            <w:pPr>
              <w:jc w:val="center"/>
              <w:rPr>
                <w:rFonts w:asciiTheme="minorEastAsia" w:hAnsiTheme="minorEastAsia"/>
                <w:szCs w:val="21"/>
              </w:rPr>
            </w:pPr>
            <w:r>
              <w:rPr>
                <w:rFonts w:hint="eastAsia" w:asciiTheme="minorEastAsia" w:hAnsiTheme="minorEastAsia"/>
                <w:szCs w:val="21"/>
              </w:rPr>
              <w:t>法定代表人（单位负责人）授权代表身份证</w:t>
            </w:r>
          </w:p>
          <w:p w14:paraId="7223806E">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14:paraId="04C4A9FF">
            <w:pPr>
              <w:jc w:val="center"/>
              <w:rPr>
                <w:rFonts w:asciiTheme="minorEastAsia" w:hAnsiTheme="minorEastAsia"/>
                <w:szCs w:val="21"/>
              </w:rPr>
            </w:pPr>
            <w:r>
              <w:rPr>
                <w:rFonts w:hint="eastAsia" w:asciiTheme="minorEastAsia" w:hAnsiTheme="minorEastAsia"/>
                <w:szCs w:val="21"/>
              </w:rPr>
              <w:t>法定代表人（单位负责人）授权代表身份证</w:t>
            </w:r>
          </w:p>
          <w:p w14:paraId="5C8B9D88">
            <w:pPr>
              <w:jc w:val="center"/>
              <w:rPr>
                <w:rFonts w:asciiTheme="minorEastAsia" w:hAnsiTheme="minorEastAsia"/>
                <w:szCs w:val="21"/>
              </w:rPr>
            </w:pPr>
            <w:r>
              <w:rPr>
                <w:rFonts w:hint="eastAsia" w:asciiTheme="minorEastAsia" w:hAnsiTheme="minorEastAsia"/>
                <w:szCs w:val="21"/>
              </w:rPr>
              <w:t>（反面）</w:t>
            </w:r>
          </w:p>
        </w:tc>
      </w:tr>
    </w:tbl>
    <w:p w14:paraId="495FD8B9">
      <w:pPr>
        <w:rPr>
          <w:rFonts w:hint="eastAsia" w:ascii="宋体" w:hAnsi="宋体"/>
          <w:b/>
          <w:bCs/>
          <w:sz w:val="24"/>
          <w:szCs w:val="24"/>
        </w:rPr>
      </w:pPr>
      <w:r>
        <w:rPr>
          <w:rFonts w:hint="eastAsia" w:ascii="宋体" w:hAnsi="宋体"/>
          <w:b/>
          <w:bCs/>
          <w:sz w:val="24"/>
          <w:szCs w:val="24"/>
        </w:rPr>
        <w:br w:type="page"/>
      </w:r>
    </w:p>
    <w:p w14:paraId="20CC9E99">
      <w:pPr>
        <w:widowControl/>
        <w:spacing w:before="100" w:beforeAutospacing="1" w:after="100" w:afterAutospacing="1" w:line="360" w:lineRule="auto"/>
        <w:jc w:val="center"/>
        <w:outlineLvl w:val="3"/>
        <w:rPr>
          <w:rFonts w:ascii="宋体" w:hAnsi="宋体"/>
          <w:b/>
          <w:bCs/>
          <w:sz w:val="24"/>
          <w:szCs w:val="24"/>
        </w:rPr>
      </w:pPr>
      <w:r>
        <w:rPr>
          <w:rFonts w:hint="eastAsia" w:ascii="宋体" w:hAnsi="宋体"/>
          <w:b/>
          <w:bCs/>
          <w:sz w:val="24"/>
          <w:szCs w:val="24"/>
        </w:rPr>
        <w:t>3.4谈判承诺函</w:t>
      </w:r>
    </w:p>
    <w:p w14:paraId="5A32C8A5">
      <w:pPr>
        <w:autoSpaceDE w:val="0"/>
        <w:autoSpaceDN w:val="0"/>
        <w:snapToGrid w:val="0"/>
        <w:spacing w:line="360" w:lineRule="auto"/>
        <w:jc w:val="center"/>
        <w:rPr>
          <w:rFonts w:ascii="宋体" w:hAnsi="宋体"/>
          <w:b/>
          <w:bCs/>
          <w:sz w:val="24"/>
          <w:szCs w:val="24"/>
        </w:rPr>
      </w:pPr>
    </w:p>
    <w:p w14:paraId="40F108E1">
      <w:pPr>
        <w:spacing w:beforeLines="50" w:afterLines="50" w:line="360" w:lineRule="auto"/>
        <w:contextualSpacing/>
        <w:rPr>
          <w:rFonts w:ascii="宋体" w:hAnsi="宋体" w:eastAsia="宋体" w:cs="宋体"/>
          <w:color w:val="auto"/>
          <w:szCs w:val="21"/>
          <w:highlight w:val="none"/>
          <w:lang w:val="zh-CN"/>
        </w:rPr>
      </w:pPr>
      <w:r>
        <w:rPr>
          <w:rFonts w:hint="eastAsia" w:ascii="宋体" w:hAnsi="宋体" w:eastAsia="宋体" w:cs="宋体"/>
          <w:color w:val="auto"/>
          <w:szCs w:val="21"/>
          <w:highlight w:val="none"/>
          <w:u w:val="single"/>
          <w:lang w:val="en-US" w:eastAsia="zh-CN"/>
        </w:rPr>
        <w:t xml:space="preserve">     （采购人）</w:t>
      </w:r>
      <w:r>
        <w:rPr>
          <w:rFonts w:ascii="宋体" w:hAnsi="宋体" w:eastAsia="宋体" w:cs="宋体"/>
          <w:color w:val="auto"/>
          <w:szCs w:val="21"/>
          <w:highlight w:val="none"/>
          <w:lang w:val="zh-CN"/>
        </w:rPr>
        <w:t>：</w:t>
      </w:r>
    </w:p>
    <w:p w14:paraId="5A4FF548">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w:t>
      </w:r>
      <w:r>
        <w:rPr>
          <w:rFonts w:hint="eastAsia" w:cs="宋体" w:asciiTheme="minorEastAsia" w:hAnsiTheme="minorEastAsia"/>
          <w:szCs w:val="21"/>
          <w:lang w:val="zh-CN"/>
        </w:rPr>
        <w:t>（项目编号、项目名称）的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响应</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14:paraId="4C8EB593">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一、在响应有效期内撤销响应文件；</w:t>
      </w:r>
    </w:p>
    <w:p w14:paraId="700010AA">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二、在响应文件中提供虚假材料；</w:t>
      </w:r>
    </w:p>
    <w:p w14:paraId="5C8B9BB2">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三、除因不可抗力或谈判文件认可的情形以外，成交后不与采购人签订合同；</w:t>
      </w:r>
    </w:p>
    <w:p w14:paraId="145208E9">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四、与采购人、其他供应商或者采购代理机构恶意串通；</w:t>
      </w:r>
    </w:p>
    <w:p w14:paraId="51A1ACAB">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五、法律法规及本谈判文件规定的其他严重违法行为。</w:t>
      </w:r>
    </w:p>
    <w:p w14:paraId="4EABDBED">
      <w:pPr>
        <w:rPr>
          <w:sz w:val="28"/>
          <w:szCs w:val="28"/>
          <w:u w:val="single"/>
        </w:rPr>
      </w:pPr>
    </w:p>
    <w:p w14:paraId="36BD6171">
      <w:pPr>
        <w:rPr>
          <w:sz w:val="28"/>
          <w:szCs w:val="28"/>
          <w:u w:val="single"/>
        </w:rPr>
      </w:pPr>
    </w:p>
    <w:p w14:paraId="6CD98F58">
      <w:pPr>
        <w:spacing w:line="480" w:lineRule="auto"/>
        <w:ind w:firstLine="4357" w:firstLineChars="2075"/>
        <w:rPr>
          <w:rFonts w:cs="Arial" w:asciiTheme="minorEastAsia" w:hAnsiTheme="minorEastAsia"/>
          <w:szCs w:val="21"/>
        </w:rPr>
      </w:pPr>
      <w:r>
        <w:rPr>
          <w:rFonts w:hint="eastAsia" w:cs="宋体" w:asciiTheme="minorEastAsia" w:hAnsiTheme="minorEastAsia"/>
          <w:szCs w:val="21"/>
          <w:lang w:val="zh-CN"/>
        </w:rPr>
        <w:t>供应商名称（</w:t>
      </w:r>
      <w:r>
        <w:rPr>
          <w:rFonts w:hint="eastAsia" w:cs="Arial" w:asciiTheme="minorEastAsia" w:hAnsiTheme="minorEastAsia"/>
          <w:szCs w:val="21"/>
        </w:rPr>
        <w:t>并加盖公章</w:t>
      </w:r>
      <w:r>
        <w:rPr>
          <w:rFonts w:hint="eastAsia" w:cs="宋体" w:asciiTheme="minorEastAsia" w:hAnsiTheme="minorEastAsia"/>
          <w:szCs w:val="21"/>
          <w:lang w:val="zh-CN"/>
        </w:rPr>
        <w:t>）：</w:t>
      </w:r>
      <w:r>
        <w:rPr>
          <w:rFonts w:hint="eastAsia" w:cs="Arial" w:asciiTheme="minorEastAsia" w:hAnsiTheme="minorEastAsia"/>
          <w:szCs w:val="21"/>
        </w:rPr>
        <w:t>　　　　　　　　　</w:t>
      </w:r>
    </w:p>
    <w:p w14:paraId="788504A5">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日　  期：      年    月    日</w:t>
      </w:r>
    </w:p>
    <w:p w14:paraId="4A6D17C1">
      <w:pPr>
        <w:autoSpaceDE w:val="0"/>
        <w:autoSpaceDN w:val="0"/>
        <w:adjustRightInd w:val="0"/>
        <w:spacing w:line="360" w:lineRule="auto"/>
        <w:jc w:val="center"/>
        <w:rPr>
          <w:rFonts w:ascii="宋体" w:cs="宋体"/>
          <w:szCs w:val="21"/>
          <w:lang w:val="zh-CN"/>
        </w:rPr>
      </w:pPr>
    </w:p>
    <w:p w14:paraId="27B12343">
      <w:pPr>
        <w:autoSpaceDE w:val="0"/>
        <w:autoSpaceDN w:val="0"/>
        <w:adjustRightInd w:val="0"/>
        <w:spacing w:line="360" w:lineRule="auto"/>
        <w:ind w:right="-11"/>
        <w:rPr>
          <w:rFonts w:ascii="宋体" w:cs="宋体"/>
          <w:szCs w:val="21"/>
          <w:lang w:val="zh-CN"/>
        </w:rPr>
      </w:pPr>
    </w:p>
    <w:p w14:paraId="349BAACF">
      <w:pPr>
        <w:autoSpaceDE w:val="0"/>
        <w:autoSpaceDN w:val="0"/>
        <w:adjustRightInd w:val="0"/>
        <w:spacing w:line="360" w:lineRule="auto"/>
        <w:jc w:val="center"/>
        <w:rPr>
          <w:rFonts w:cs="宋体" w:asciiTheme="minorEastAsia" w:hAnsiTheme="minorEastAsia"/>
          <w:sz w:val="24"/>
          <w:szCs w:val="24"/>
          <w:lang w:val="zh-CN"/>
        </w:rPr>
      </w:pPr>
    </w:p>
    <w:p w14:paraId="4AA8F765">
      <w:pPr>
        <w:autoSpaceDE w:val="0"/>
        <w:autoSpaceDN w:val="0"/>
        <w:adjustRightInd w:val="0"/>
        <w:spacing w:line="360" w:lineRule="auto"/>
        <w:jc w:val="center"/>
        <w:rPr>
          <w:rFonts w:cs="宋体" w:asciiTheme="minorEastAsia" w:hAnsiTheme="minorEastAsia"/>
          <w:sz w:val="24"/>
          <w:szCs w:val="24"/>
          <w:lang w:val="zh-CN"/>
        </w:rPr>
      </w:pPr>
    </w:p>
    <w:p w14:paraId="28C89D31">
      <w:pPr>
        <w:autoSpaceDE w:val="0"/>
        <w:autoSpaceDN w:val="0"/>
        <w:adjustRightInd w:val="0"/>
        <w:spacing w:line="360" w:lineRule="auto"/>
        <w:jc w:val="center"/>
        <w:rPr>
          <w:rFonts w:cs="宋体" w:asciiTheme="minorEastAsia" w:hAnsiTheme="minorEastAsia"/>
          <w:sz w:val="24"/>
          <w:szCs w:val="24"/>
          <w:lang w:val="zh-CN"/>
        </w:rPr>
      </w:pPr>
    </w:p>
    <w:p w14:paraId="108C8777">
      <w:pPr>
        <w:autoSpaceDE w:val="0"/>
        <w:autoSpaceDN w:val="0"/>
        <w:adjustRightInd w:val="0"/>
        <w:spacing w:line="360" w:lineRule="auto"/>
        <w:jc w:val="center"/>
        <w:rPr>
          <w:rFonts w:cs="宋体" w:asciiTheme="minorEastAsia" w:hAnsiTheme="minorEastAsia"/>
          <w:sz w:val="24"/>
          <w:szCs w:val="24"/>
          <w:lang w:val="zh-CN"/>
        </w:rPr>
      </w:pPr>
    </w:p>
    <w:p w14:paraId="61FE94CE">
      <w:pPr>
        <w:autoSpaceDE w:val="0"/>
        <w:autoSpaceDN w:val="0"/>
        <w:adjustRightInd w:val="0"/>
        <w:spacing w:line="360" w:lineRule="auto"/>
        <w:jc w:val="center"/>
        <w:rPr>
          <w:rFonts w:cs="宋体" w:asciiTheme="minorEastAsia" w:hAnsiTheme="minorEastAsia"/>
          <w:sz w:val="24"/>
          <w:szCs w:val="24"/>
          <w:lang w:val="zh-CN"/>
        </w:rPr>
      </w:pPr>
    </w:p>
    <w:p w14:paraId="4EA3167E">
      <w:pPr>
        <w:autoSpaceDE w:val="0"/>
        <w:autoSpaceDN w:val="0"/>
        <w:adjustRightInd w:val="0"/>
        <w:spacing w:line="360" w:lineRule="auto"/>
        <w:jc w:val="center"/>
        <w:rPr>
          <w:rFonts w:cs="宋体" w:asciiTheme="minorEastAsia" w:hAnsiTheme="minorEastAsia"/>
          <w:sz w:val="24"/>
          <w:szCs w:val="24"/>
          <w:lang w:val="zh-CN"/>
        </w:rPr>
      </w:pPr>
    </w:p>
    <w:p w14:paraId="03F9D9FE">
      <w:pPr>
        <w:autoSpaceDE w:val="0"/>
        <w:autoSpaceDN w:val="0"/>
        <w:adjustRightInd w:val="0"/>
        <w:spacing w:line="360" w:lineRule="auto"/>
        <w:jc w:val="center"/>
        <w:rPr>
          <w:rFonts w:cs="宋体" w:asciiTheme="minorEastAsia" w:hAnsiTheme="minorEastAsia"/>
          <w:sz w:val="24"/>
          <w:szCs w:val="24"/>
          <w:lang w:val="zh-CN"/>
        </w:rPr>
      </w:pPr>
    </w:p>
    <w:p w14:paraId="0E9ED5EF">
      <w:pPr>
        <w:rPr>
          <w:rFonts w:hint="eastAsia" w:ascii="宋体" w:hAnsi="宋体"/>
          <w:b/>
          <w:bCs/>
          <w:sz w:val="24"/>
          <w:szCs w:val="24"/>
        </w:rPr>
      </w:pPr>
      <w:r>
        <w:rPr>
          <w:rFonts w:hint="eastAsia" w:ascii="宋体" w:hAnsi="宋体"/>
          <w:b/>
          <w:bCs/>
          <w:sz w:val="24"/>
          <w:szCs w:val="24"/>
        </w:rPr>
        <w:br w:type="page"/>
      </w:r>
    </w:p>
    <w:p w14:paraId="20AF90C9">
      <w:pPr>
        <w:spacing w:line="360" w:lineRule="auto"/>
        <w:jc w:val="center"/>
        <w:outlineLvl w:val="3"/>
        <w:rPr>
          <w:rFonts w:ascii="宋体" w:hAnsi="宋体"/>
          <w:b/>
          <w:bCs/>
          <w:sz w:val="24"/>
          <w:szCs w:val="24"/>
        </w:rPr>
      </w:pPr>
      <w:r>
        <w:rPr>
          <w:rFonts w:hint="eastAsia" w:ascii="宋体" w:hAnsi="宋体"/>
          <w:b/>
          <w:bCs/>
          <w:sz w:val="24"/>
          <w:szCs w:val="24"/>
        </w:rPr>
        <w:t>3.5  禹州市政府采购供应商信用承诺函</w:t>
      </w:r>
    </w:p>
    <w:p w14:paraId="16633757">
      <w:pPr>
        <w:rPr>
          <w:rFonts w:cs="宋体" w:asciiTheme="minorEastAsia" w:hAnsiTheme="minorEastAsia"/>
          <w:szCs w:val="21"/>
          <w:lang w:val="zh-CN"/>
        </w:rPr>
      </w:pPr>
    </w:p>
    <w:p w14:paraId="189BF82E">
      <w:pPr>
        <w:spacing w:line="600" w:lineRule="exact"/>
        <w:rPr>
          <w:rFonts w:cs="宋体" w:asciiTheme="minorEastAsia" w:hAnsiTheme="minorEastAsia"/>
          <w:szCs w:val="21"/>
          <w:lang w:val="zh-CN"/>
        </w:rPr>
      </w:pPr>
      <w:r>
        <w:rPr>
          <w:rFonts w:cs="宋体" w:asciiTheme="minorEastAsia" w:hAnsiTheme="minorEastAsia"/>
          <w:szCs w:val="21"/>
          <w:lang w:val="zh-CN"/>
        </w:rPr>
        <w:t>致（采购人或采购代理机构）：</w:t>
      </w:r>
    </w:p>
    <w:p w14:paraId="7063478A">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单位名称（自然人姓名）</w:t>
      </w:r>
      <w:r>
        <w:rPr>
          <w:rFonts w:hint="eastAsia" w:cs="宋体" w:asciiTheme="minorEastAsia" w:hAnsiTheme="minorEastAsia"/>
          <w:szCs w:val="21"/>
          <w:lang w:val="zh-CN"/>
        </w:rPr>
        <w:t>：</w:t>
      </w:r>
    </w:p>
    <w:p w14:paraId="6EADCE3A">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统一社会信用代码（身份证号码）</w:t>
      </w:r>
      <w:r>
        <w:rPr>
          <w:rFonts w:hint="eastAsia" w:cs="宋体" w:asciiTheme="minorEastAsia" w:hAnsiTheme="minorEastAsia"/>
          <w:szCs w:val="21"/>
          <w:lang w:val="zh-CN"/>
        </w:rPr>
        <w:t>：</w:t>
      </w:r>
    </w:p>
    <w:p w14:paraId="1DF78672">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w:t>
      </w:r>
      <w:r>
        <w:rPr>
          <w:rFonts w:hint="eastAsia" w:cs="宋体" w:asciiTheme="minorEastAsia" w:hAnsiTheme="minorEastAsia"/>
          <w:szCs w:val="21"/>
          <w:lang w:val="zh-CN"/>
        </w:rPr>
        <w:t>：</w:t>
      </w:r>
    </w:p>
    <w:p w14:paraId="2E3E6AE0">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联系地址和电话：</w:t>
      </w:r>
    </w:p>
    <w:p w14:paraId="200E5D64">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为维护公平、公正、公开的政府采购市场秩序，树立诚实守信的政府采购供应商形象，我单位（本人）自愿作出以下承诺：</w:t>
      </w:r>
    </w:p>
    <w:p w14:paraId="032FD285">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5B76947F">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（一）具有独立承担民事责任的能力；</w:t>
      </w:r>
    </w:p>
    <w:p w14:paraId="2FAD1DD0">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（二）具有良好的商业信誉和健全的财务会计制度；</w:t>
      </w:r>
    </w:p>
    <w:p w14:paraId="2A9C9223">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（三）具有履行合同所必需的设备和专业技术能力；</w:t>
      </w:r>
    </w:p>
    <w:p w14:paraId="53585210">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（四）有依法缴纳税收和社会保障资金的良好记录；</w:t>
      </w:r>
    </w:p>
    <w:p w14:paraId="3C74A7E2">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（五）参加政府采购活动前三年内，在经营活动中没有重大违法记录；</w:t>
      </w:r>
    </w:p>
    <w:p w14:paraId="69C4144F">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（六）未被列入经营异常名录或者严重违法失信名单、失信被执行人，重大税收违法案件当事人名单、政府采购严重违法失信行为记录名单；</w:t>
      </w:r>
    </w:p>
    <w:p w14:paraId="5B321F0D">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（七）未被相关监管部门作出行政处罚且尚在处罚有效期的；</w:t>
      </w:r>
    </w:p>
    <w:p w14:paraId="1D403AE2">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（八）未曾作出虚假采购承诺；</w:t>
      </w:r>
    </w:p>
    <w:p w14:paraId="53C8F73C">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（九）符合法律、行政法规规定的其他条件。</w:t>
      </w:r>
    </w:p>
    <w:p w14:paraId="324467A3">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二、我单位（本人）保证上述承诺事项的真实性。如有弄虚作假或其他违法违规行为，自愿按照规定将违背承诺行为作为失信行为记录到社会信用信息平台，并视同为“提供虚假材料谋取中标、成交”按照《</w:t>
      </w:r>
      <w:r>
        <w:rPr>
          <w:rFonts w:hint="eastAsia" w:cs="Arial" w:asciiTheme="minorEastAsia" w:hAnsiTheme="minorEastAsia" w:eastAsiaTheme="minorEastAsia"/>
          <w:sz w:val="21"/>
          <w:szCs w:val="21"/>
        </w:rPr>
        <w:t>中华人民共和国政府采购法</w:t>
      </w:r>
      <w:r>
        <w:rPr>
          <w:rFonts w:cs="宋体" w:asciiTheme="minorEastAsia" w:hAnsiTheme="minorEastAsia"/>
          <w:szCs w:val="21"/>
          <w:lang w:val="zh-CN"/>
        </w:rPr>
        <w:t>》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7D28888C">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供应商（电子章）</w:t>
      </w:r>
      <w:r>
        <w:rPr>
          <w:rFonts w:hint="eastAsia" w:cs="宋体" w:asciiTheme="minorEastAsia" w:hAnsiTheme="minorEastAsia"/>
          <w:szCs w:val="21"/>
          <w:lang w:val="zh-CN"/>
        </w:rPr>
        <w:t>：</w:t>
      </w:r>
    </w:p>
    <w:p w14:paraId="2B8902A9">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法定代表人、负责人、本人</w:t>
      </w:r>
      <w:r>
        <w:rPr>
          <w:rFonts w:hint="eastAsia" w:cs="宋体" w:asciiTheme="minorEastAsia" w:hAnsiTheme="minorEastAsia"/>
          <w:szCs w:val="21"/>
          <w:lang w:val="zh-CN"/>
        </w:rPr>
        <w:t>或</w:t>
      </w:r>
      <w:r>
        <w:rPr>
          <w:rFonts w:cs="宋体" w:asciiTheme="minorEastAsia" w:hAnsiTheme="minorEastAsia"/>
          <w:szCs w:val="21"/>
          <w:lang w:val="zh-CN"/>
        </w:rPr>
        <w:t>授权代表（签字或电子印章）</w:t>
      </w:r>
      <w:r>
        <w:rPr>
          <w:rFonts w:hint="eastAsia" w:cs="宋体" w:asciiTheme="minorEastAsia" w:hAnsiTheme="minorEastAsia"/>
          <w:szCs w:val="21"/>
          <w:lang w:val="zh-CN"/>
        </w:rPr>
        <w:t>：</w:t>
      </w:r>
    </w:p>
    <w:p w14:paraId="41D7BEAA">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日期：年月日</w:t>
      </w:r>
    </w:p>
    <w:p w14:paraId="456AC79F">
      <w:pPr>
        <w:rPr>
          <w:rFonts w:cs="宋体" w:asciiTheme="minorEastAsia" w:hAnsiTheme="minorEastAsia"/>
          <w:szCs w:val="21"/>
          <w:lang w:val="zh-CN"/>
        </w:rPr>
      </w:pPr>
    </w:p>
    <w:p w14:paraId="44383893">
      <w:pPr>
        <w:rPr>
          <w:rFonts w:ascii="仿宋" w:hAnsi="仿宋" w:eastAsia="仿宋" w:cs="华文仿宋"/>
          <w:szCs w:val="21"/>
        </w:rPr>
      </w:pPr>
    </w:p>
    <w:p w14:paraId="10F9ACD0">
      <w:pPr>
        <w:rPr>
          <w:rFonts w:ascii="仿宋" w:hAnsi="仿宋" w:eastAsia="仿宋"/>
        </w:rPr>
      </w:pPr>
      <w:r>
        <w:rPr>
          <w:rFonts w:ascii="仿宋" w:hAnsi="仿宋" w:eastAsia="仿宋" w:cs="华文仿宋"/>
          <w:szCs w:val="21"/>
        </w:rPr>
        <w:t>注：1.供应商须在</w:t>
      </w:r>
      <w:r>
        <w:rPr>
          <w:rFonts w:hint="eastAsia" w:ascii="仿宋" w:hAnsi="仿宋" w:eastAsia="仿宋" w:cs="华文仿宋"/>
          <w:szCs w:val="21"/>
        </w:rPr>
        <w:t>谈判</w:t>
      </w:r>
      <w:r>
        <w:rPr>
          <w:rFonts w:ascii="仿宋" w:hAnsi="仿宋" w:eastAsia="仿宋" w:cs="华文仿宋"/>
          <w:szCs w:val="21"/>
        </w:rPr>
        <w:t>文件中按此模板提供承诺函，未提供视为未实质性响应</w:t>
      </w:r>
      <w:r>
        <w:rPr>
          <w:rFonts w:hint="eastAsia" w:ascii="仿宋" w:hAnsi="仿宋" w:eastAsia="仿宋" w:cs="华文仿宋"/>
          <w:szCs w:val="21"/>
        </w:rPr>
        <w:t>谈判</w:t>
      </w:r>
      <w:r>
        <w:rPr>
          <w:rFonts w:ascii="仿宋" w:hAnsi="仿宋" w:eastAsia="仿宋" w:cs="华文仿宋"/>
          <w:szCs w:val="21"/>
        </w:rPr>
        <w:t>文件要求，按无效投标处理。</w:t>
      </w:r>
    </w:p>
    <w:p w14:paraId="1621A3A9">
      <w:pPr>
        <w:rPr>
          <w:rFonts w:ascii="仿宋" w:hAnsi="仿宋" w:eastAsia="仿宋"/>
        </w:rPr>
      </w:pPr>
      <w:r>
        <w:rPr>
          <w:rFonts w:ascii="仿宋" w:hAnsi="仿宋" w:eastAsia="仿宋" w:cs="华文仿宋"/>
          <w:szCs w:val="21"/>
        </w:rPr>
        <w:t>2.供应商的法定代表人或者授权代表的签字或盖章应真实、有效，如由授权代表签字或盖章的，应提供“法定代表人授权书”。</w:t>
      </w:r>
    </w:p>
    <w:p w14:paraId="5EE9E7A6">
      <w:pPr>
        <w:rPr>
          <w:rFonts w:ascii="仿宋" w:hAnsi="仿宋" w:eastAsia="仿宋"/>
          <w:sz w:val="32"/>
          <w:szCs w:val="32"/>
        </w:rPr>
      </w:pPr>
    </w:p>
    <w:p w14:paraId="64B17108">
      <w:pPr>
        <w:rPr>
          <w:rFonts w:ascii="仿宋" w:hAnsi="仿宋" w:eastAsia="仿宋"/>
          <w:sz w:val="32"/>
          <w:szCs w:val="32"/>
        </w:rPr>
      </w:pPr>
    </w:p>
    <w:p w14:paraId="7C748700">
      <w:pPr>
        <w:rPr>
          <w:rFonts w:ascii="仿宋" w:hAnsi="仿宋" w:eastAsia="仿宋"/>
          <w:sz w:val="32"/>
          <w:szCs w:val="32"/>
        </w:rPr>
      </w:pPr>
    </w:p>
    <w:p w14:paraId="4E2C0644">
      <w:pPr>
        <w:rPr>
          <w:rFonts w:ascii="仿宋" w:hAnsi="仿宋" w:eastAsia="仿宋"/>
          <w:sz w:val="32"/>
          <w:szCs w:val="32"/>
        </w:rPr>
      </w:pPr>
    </w:p>
    <w:p w14:paraId="447D0B53">
      <w:pPr>
        <w:rPr>
          <w:rFonts w:ascii="仿宋" w:hAnsi="仿宋" w:eastAsia="仿宋"/>
          <w:sz w:val="32"/>
          <w:szCs w:val="32"/>
        </w:rPr>
      </w:pPr>
    </w:p>
    <w:p w14:paraId="37395477">
      <w:pPr>
        <w:pStyle w:val="10"/>
        <w:rPr>
          <w:rFonts w:ascii="宋体" w:cs="宋体"/>
          <w:sz w:val="24"/>
          <w:lang w:val="zh-CN"/>
        </w:rPr>
      </w:pPr>
    </w:p>
    <w:p w14:paraId="247674EE">
      <w:pPr>
        <w:pStyle w:val="10"/>
        <w:rPr>
          <w:rFonts w:ascii="宋体" w:cs="宋体"/>
          <w:sz w:val="24"/>
          <w:lang w:val="zh-CN"/>
        </w:rPr>
      </w:pPr>
    </w:p>
    <w:p w14:paraId="6A1CD75E">
      <w:pPr>
        <w:pStyle w:val="10"/>
        <w:rPr>
          <w:rFonts w:ascii="宋体" w:cs="宋体"/>
          <w:sz w:val="24"/>
          <w:lang w:val="zh-CN"/>
        </w:rPr>
      </w:pPr>
    </w:p>
    <w:p w14:paraId="13BD3701">
      <w:pPr>
        <w:spacing w:line="360" w:lineRule="auto"/>
        <w:jc w:val="center"/>
        <w:rPr>
          <w:rFonts w:ascii="宋体" w:hAnsi="宋体"/>
          <w:b/>
          <w:bCs/>
          <w:sz w:val="24"/>
          <w:szCs w:val="24"/>
        </w:rPr>
      </w:pPr>
    </w:p>
    <w:p w14:paraId="43A45332">
      <w:pPr>
        <w:rPr>
          <w:rFonts w:hint="eastAsia" w:ascii="宋体" w:hAnsi="宋体" w:eastAsia="宋体" w:cs="Arial"/>
          <w:b/>
          <w:bCs/>
          <w:color w:val="auto"/>
          <w:kern w:val="0"/>
          <w:sz w:val="29"/>
          <w:highlight w:val="none"/>
          <w:lang w:val="en-US" w:eastAsia="zh-CN"/>
        </w:rPr>
      </w:pPr>
      <w:r>
        <w:rPr>
          <w:rFonts w:hint="eastAsia" w:ascii="宋体" w:hAnsi="宋体" w:eastAsia="宋体" w:cs="Arial"/>
          <w:b/>
          <w:bCs/>
          <w:color w:val="auto"/>
          <w:kern w:val="0"/>
          <w:sz w:val="29"/>
          <w:highlight w:val="none"/>
          <w:lang w:val="en-US" w:eastAsia="zh-CN"/>
        </w:rPr>
        <w:br w:type="page"/>
      </w:r>
    </w:p>
    <w:p w14:paraId="4D772AF2">
      <w:pPr>
        <w:shd w:val="clear" w:color="auto" w:fill="FFFFFF"/>
        <w:spacing w:before="100" w:beforeAutospacing="1" w:after="100" w:afterAutospacing="1" w:line="435" w:lineRule="atLeast"/>
        <w:jc w:val="center"/>
        <w:rPr>
          <w:rFonts w:ascii="宋体" w:hAnsi="宋体" w:eastAsia="宋体" w:cs="Arial"/>
          <w:b/>
          <w:bCs/>
          <w:color w:val="FF0000"/>
          <w:kern w:val="0"/>
          <w:sz w:val="29"/>
          <w:highlight w:val="none"/>
        </w:rPr>
      </w:pPr>
      <w:r>
        <w:rPr>
          <w:rFonts w:hint="eastAsia" w:ascii="宋体" w:hAnsi="宋体" w:eastAsia="宋体" w:cs="Arial"/>
          <w:b/>
          <w:bCs/>
          <w:color w:val="FF0000"/>
          <w:kern w:val="0"/>
          <w:sz w:val="29"/>
          <w:highlight w:val="none"/>
          <w:lang w:val="en-US" w:eastAsia="zh-CN"/>
        </w:rPr>
        <w:t xml:space="preserve">3.6 </w:t>
      </w:r>
      <w:r>
        <w:rPr>
          <w:rFonts w:hint="eastAsia" w:ascii="宋体" w:hAnsi="宋体" w:eastAsia="宋体" w:cs="Arial"/>
          <w:b/>
          <w:bCs/>
          <w:color w:val="FF0000"/>
          <w:kern w:val="0"/>
          <w:sz w:val="29"/>
          <w:highlight w:val="none"/>
        </w:rPr>
        <w:t>中小企业声明函（</w:t>
      </w:r>
      <w:r>
        <w:rPr>
          <w:rFonts w:hint="eastAsia" w:ascii="宋体" w:hAnsi="宋体" w:eastAsia="宋体" w:cs="Arial"/>
          <w:b/>
          <w:bCs/>
          <w:color w:val="FF0000"/>
          <w:kern w:val="0"/>
          <w:sz w:val="29"/>
          <w:highlight w:val="none"/>
          <w:lang w:val="en-US" w:eastAsia="zh-CN"/>
        </w:rPr>
        <w:t>服务</w:t>
      </w:r>
      <w:r>
        <w:rPr>
          <w:rFonts w:hint="eastAsia" w:ascii="宋体" w:hAnsi="宋体" w:eastAsia="宋体" w:cs="Arial"/>
          <w:b/>
          <w:bCs/>
          <w:color w:val="FF0000"/>
          <w:kern w:val="0"/>
          <w:sz w:val="29"/>
          <w:highlight w:val="none"/>
        </w:rPr>
        <w:t>）</w:t>
      </w:r>
    </w:p>
    <w:p w14:paraId="320F746B">
      <w:pPr>
        <w:widowControl/>
        <w:shd w:val="clear" w:color="auto" w:fill="FFFFFF"/>
        <w:spacing w:before="100" w:beforeAutospacing="1" w:after="100" w:afterAutospacing="1" w:line="435" w:lineRule="atLeast"/>
        <w:ind w:firstLine="480"/>
        <w:jc w:val="left"/>
        <w:rPr>
          <w:rFonts w:ascii="Arial" w:hAnsi="Arial" w:eastAsia="宋体" w:cs="Arial"/>
          <w:color w:val="auto"/>
          <w:kern w:val="0"/>
          <w:szCs w:val="21"/>
          <w:highlight w:val="none"/>
        </w:rPr>
      </w:pPr>
      <w:r>
        <w:rPr>
          <w:rFonts w:hint="eastAsia" w:ascii="宋体" w:hAnsi="宋体" w:eastAsia="宋体" w:cs="Arial"/>
          <w:color w:val="FF0000"/>
          <w:kern w:val="0"/>
          <w:szCs w:val="21"/>
          <w:highlight w:val="none"/>
        </w:rPr>
        <w:t>本公司（联合体）郑重声明，根据《政府采购促进中小企业发展管理办法》（财库﹝2020﹞</w:t>
      </w:r>
      <w:r>
        <w:rPr>
          <w:rFonts w:hint="eastAsia" w:ascii="宋体" w:hAnsi="宋体" w:eastAsia="宋体" w:cs="Arial"/>
          <w:color w:val="auto"/>
          <w:kern w:val="0"/>
          <w:szCs w:val="21"/>
          <w:highlight w:val="none"/>
        </w:rPr>
        <w:t>46 号）的规定，本公司（联合体）参加</w:t>
      </w:r>
      <w:r>
        <w:rPr>
          <w:rFonts w:hint="eastAsia" w:ascii="宋体" w:hAnsi="宋体" w:eastAsia="宋体" w:cs="Arial"/>
          <w:color w:val="auto"/>
          <w:kern w:val="0"/>
          <w:szCs w:val="21"/>
          <w:highlight w:val="none"/>
          <w:u w:val="single"/>
        </w:rPr>
        <w:t>    （单位名称）</w:t>
      </w:r>
      <w:r>
        <w:rPr>
          <w:rFonts w:hint="eastAsia" w:ascii="宋体" w:hAnsi="宋体" w:eastAsia="宋体" w:cs="Arial"/>
          <w:color w:val="auto"/>
          <w:kern w:val="0"/>
          <w:szCs w:val="21"/>
          <w:highlight w:val="none"/>
        </w:rPr>
        <w:t>的（项目名称）采购活动，服务全部由符合政策要求的中小企业承接）。相关企业（含联合体中的中小企业、签订分包意向协议的中小企业）的具体情况如下：</w:t>
      </w:r>
    </w:p>
    <w:p w14:paraId="65AFCD48">
      <w:pPr>
        <w:widowControl/>
        <w:shd w:val="clear" w:color="auto" w:fill="FFFFFF"/>
        <w:spacing w:before="100" w:beforeAutospacing="1" w:after="100" w:afterAutospacing="1" w:line="435" w:lineRule="atLeast"/>
        <w:ind w:firstLine="480"/>
        <w:jc w:val="left"/>
        <w:rPr>
          <w:rFonts w:ascii="Arial" w:hAnsi="Arial" w:eastAsia="宋体" w:cs="Arial"/>
          <w:color w:val="auto"/>
          <w:kern w:val="0"/>
          <w:szCs w:val="21"/>
          <w:highlight w:val="none"/>
        </w:rPr>
      </w:pPr>
      <w:r>
        <w:rPr>
          <w:rFonts w:hint="eastAsia" w:ascii="宋体" w:hAnsi="宋体" w:eastAsia="宋体" w:cs="Arial"/>
          <w:color w:val="auto"/>
          <w:kern w:val="0"/>
          <w:szCs w:val="21"/>
          <w:highlight w:val="none"/>
          <w:u w:val="single"/>
        </w:rPr>
        <w:t>1.   （标的名称）</w:t>
      </w:r>
      <w:r>
        <w:rPr>
          <w:rFonts w:hint="eastAsia" w:ascii="宋体" w:hAnsi="宋体" w:eastAsia="宋体" w:cs="Arial"/>
          <w:color w:val="auto"/>
          <w:kern w:val="0"/>
          <w:szCs w:val="21"/>
          <w:highlight w:val="none"/>
        </w:rPr>
        <w:t>，属于</w:t>
      </w:r>
      <w:r>
        <w:rPr>
          <w:rFonts w:hint="eastAsia" w:ascii="宋体" w:hAnsi="宋体" w:eastAsia="宋体" w:cs="Arial"/>
          <w:color w:val="auto"/>
          <w:kern w:val="0"/>
          <w:szCs w:val="21"/>
          <w:highlight w:val="none"/>
          <w:u w:val="single"/>
        </w:rPr>
        <w:t>    （采购文件中明确的所属行业）</w:t>
      </w:r>
      <w:r>
        <w:rPr>
          <w:rFonts w:hint="eastAsia" w:ascii="宋体" w:hAnsi="宋体" w:eastAsia="宋体" w:cs="Arial"/>
          <w:color w:val="auto"/>
          <w:kern w:val="0"/>
          <w:szCs w:val="21"/>
          <w:highlight w:val="none"/>
        </w:rPr>
        <w:t>；承建（承接）企业为</w:t>
      </w:r>
      <w:r>
        <w:rPr>
          <w:rFonts w:hint="eastAsia" w:ascii="宋体" w:hAnsi="宋体" w:eastAsia="宋体" w:cs="Arial"/>
          <w:color w:val="auto"/>
          <w:kern w:val="0"/>
          <w:szCs w:val="21"/>
          <w:highlight w:val="none"/>
          <w:u w:val="single"/>
        </w:rPr>
        <w:t>    （企业名称）</w:t>
      </w:r>
      <w:r>
        <w:rPr>
          <w:rFonts w:hint="eastAsia" w:ascii="宋体" w:hAnsi="宋体" w:eastAsia="宋体" w:cs="Arial"/>
          <w:color w:val="auto"/>
          <w:kern w:val="0"/>
          <w:szCs w:val="21"/>
          <w:highlight w:val="none"/>
        </w:rPr>
        <w:t>，从业人员</w:t>
      </w:r>
      <w:r>
        <w:rPr>
          <w:rFonts w:hint="eastAsia" w:ascii="宋体" w:hAnsi="宋体" w:eastAsia="宋体" w:cs="Arial"/>
          <w:color w:val="auto"/>
          <w:kern w:val="0"/>
          <w:szCs w:val="21"/>
          <w:highlight w:val="none"/>
          <w:u w:val="single"/>
        </w:rPr>
        <w:t>    </w:t>
      </w:r>
      <w:r>
        <w:rPr>
          <w:rFonts w:hint="eastAsia" w:ascii="宋体" w:hAnsi="宋体" w:eastAsia="宋体" w:cs="Arial"/>
          <w:color w:val="auto"/>
          <w:kern w:val="0"/>
          <w:szCs w:val="21"/>
          <w:highlight w:val="none"/>
        </w:rPr>
        <w:t>人，营业收入为</w:t>
      </w:r>
      <w:r>
        <w:rPr>
          <w:rFonts w:hint="eastAsia" w:ascii="宋体" w:hAnsi="宋体" w:eastAsia="宋体" w:cs="Arial"/>
          <w:color w:val="auto"/>
          <w:kern w:val="0"/>
          <w:szCs w:val="21"/>
          <w:highlight w:val="none"/>
          <w:u w:val="single"/>
        </w:rPr>
        <w:t>    </w:t>
      </w:r>
      <w:r>
        <w:rPr>
          <w:rFonts w:hint="eastAsia" w:ascii="宋体" w:hAnsi="宋体" w:eastAsia="宋体" w:cs="Arial"/>
          <w:color w:val="auto"/>
          <w:kern w:val="0"/>
          <w:szCs w:val="21"/>
          <w:highlight w:val="none"/>
        </w:rPr>
        <w:t>万元，资产总额为</w:t>
      </w:r>
      <w:r>
        <w:rPr>
          <w:rFonts w:hint="eastAsia" w:ascii="宋体" w:hAnsi="宋体" w:eastAsia="宋体" w:cs="Arial"/>
          <w:color w:val="auto"/>
          <w:kern w:val="0"/>
          <w:szCs w:val="21"/>
          <w:highlight w:val="none"/>
          <w:u w:val="single"/>
        </w:rPr>
        <w:t>    </w:t>
      </w:r>
      <w:r>
        <w:rPr>
          <w:rFonts w:hint="eastAsia" w:ascii="宋体" w:hAnsi="宋体" w:eastAsia="宋体" w:cs="Arial"/>
          <w:color w:val="auto"/>
          <w:kern w:val="0"/>
          <w:szCs w:val="21"/>
          <w:highlight w:val="none"/>
        </w:rPr>
        <w:t>万元，属于</w:t>
      </w:r>
      <w:r>
        <w:rPr>
          <w:rFonts w:hint="eastAsia" w:ascii="宋体" w:hAnsi="宋体" w:eastAsia="宋体" w:cs="Arial"/>
          <w:color w:val="auto"/>
          <w:kern w:val="0"/>
          <w:szCs w:val="21"/>
          <w:highlight w:val="none"/>
          <w:u w:val="single"/>
        </w:rPr>
        <w:t>     （中型企业、小型企业、微型企业）</w:t>
      </w:r>
      <w:r>
        <w:rPr>
          <w:rFonts w:hint="eastAsia" w:ascii="宋体" w:hAnsi="宋体" w:eastAsia="宋体" w:cs="Arial"/>
          <w:color w:val="auto"/>
          <w:kern w:val="0"/>
          <w:szCs w:val="21"/>
          <w:highlight w:val="none"/>
        </w:rPr>
        <w:t>；</w:t>
      </w:r>
    </w:p>
    <w:p w14:paraId="5767D5A3">
      <w:pPr>
        <w:widowControl/>
        <w:shd w:val="clear" w:color="auto" w:fill="FFFFFF"/>
        <w:spacing w:before="100" w:beforeAutospacing="1" w:after="100" w:afterAutospacing="1" w:line="435" w:lineRule="atLeast"/>
        <w:ind w:firstLine="480"/>
        <w:jc w:val="left"/>
        <w:rPr>
          <w:rFonts w:ascii="Arial" w:hAnsi="Arial" w:eastAsia="宋体" w:cs="Arial"/>
          <w:color w:val="auto"/>
          <w:kern w:val="0"/>
          <w:szCs w:val="21"/>
          <w:highlight w:val="none"/>
        </w:rPr>
      </w:pPr>
      <w:r>
        <w:rPr>
          <w:rFonts w:hint="eastAsia" w:ascii="宋体" w:hAnsi="宋体" w:eastAsia="宋体" w:cs="Arial"/>
          <w:color w:val="auto"/>
          <w:kern w:val="0"/>
          <w:szCs w:val="21"/>
          <w:highlight w:val="none"/>
        </w:rPr>
        <w:t>2.</w:t>
      </w:r>
      <w:r>
        <w:rPr>
          <w:rFonts w:hint="eastAsia" w:ascii="宋体" w:hAnsi="宋体" w:eastAsia="宋体" w:cs="Arial"/>
          <w:color w:val="auto"/>
          <w:kern w:val="0"/>
          <w:szCs w:val="21"/>
          <w:highlight w:val="none"/>
          <w:u w:val="single"/>
        </w:rPr>
        <w:t>     （标的名称）</w:t>
      </w:r>
      <w:r>
        <w:rPr>
          <w:rFonts w:hint="eastAsia" w:ascii="宋体" w:hAnsi="宋体" w:eastAsia="宋体" w:cs="Arial"/>
          <w:color w:val="auto"/>
          <w:kern w:val="0"/>
          <w:szCs w:val="21"/>
          <w:highlight w:val="none"/>
        </w:rPr>
        <w:t>，属于</w:t>
      </w:r>
      <w:r>
        <w:rPr>
          <w:rFonts w:hint="eastAsia" w:ascii="宋体" w:hAnsi="宋体" w:eastAsia="宋体" w:cs="Arial"/>
          <w:color w:val="auto"/>
          <w:kern w:val="0"/>
          <w:szCs w:val="21"/>
          <w:highlight w:val="none"/>
          <w:u w:val="single"/>
        </w:rPr>
        <w:t>     （采购文件中明确的所属行业）</w:t>
      </w:r>
      <w:r>
        <w:rPr>
          <w:rFonts w:hint="eastAsia" w:ascii="宋体" w:hAnsi="宋体" w:eastAsia="宋体" w:cs="Arial"/>
          <w:color w:val="auto"/>
          <w:kern w:val="0"/>
          <w:szCs w:val="21"/>
          <w:highlight w:val="none"/>
        </w:rPr>
        <w:t>行业；制造商为</w:t>
      </w:r>
      <w:r>
        <w:rPr>
          <w:rFonts w:hint="eastAsia" w:ascii="宋体" w:hAnsi="宋体" w:eastAsia="宋体" w:cs="Arial"/>
          <w:color w:val="auto"/>
          <w:kern w:val="0"/>
          <w:szCs w:val="21"/>
          <w:highlight w:val="none"/>
          <w:u w:val="single"/>
        </w:rPr>
        <w:t>       （企业名称）</w:t>
      </w:r>
      <w:r>
        <w:rPr>
          <w:rFonts w:hint="eastAsia" w:ascii="宋体" w:hAnsi="宋体" w:eastAsia="宋体" w:cs="Arial"/>
          <w:color w:val="auto"/>
          <w:kern w:val="0"/>
          <w:szCs w:val="21"/>
          <w:highlight w:val="none"/>
        </w:rPr>
        <w:t>，从业人员</w:t>
      </w:r>
      <w:r>
        <w:rPr>
          <w:rFonts w:hint="eastAsia" w:ascii="宋体" w:hAnsi="宋体" w:eastAsia="宋体" w:cs="Arial"/>
          <w:color w:val="auto"/>
          <w:kern w:val="0"/>
          <w:szCs w:val="21"/>
          <w:highlight w:val="none"/>
          <w:u w:val="single"/>
        </w:rPr>
        <w:t>    </w:t>
      </w:r>
      <w:r>
        <w:rPr>
          <w:rFonts w:hint="eastAsia" w:ascii="宋体" w:hAnsi="宋体" w:eastAsia="宋体" w:cs="Arial"/>
          <w:color w:val="auto"/>
          <w:kern w:val="0"/>
          <w:szCs w:val="21"/>
          <w:highlight w:val="none"/>
        </w:rPr>
        <w:t>人，营业收入为</w:t>
      </w:r>
      <w:r>
        <w:rPr>
          <w:rFonts w:hint="eastAsia" w:ascii="宋体" w:hAnsi="宋体" w:eastAsia="宋体" w:cs="Arial"/>
          <w:color w:val="auto"/>
          <w:kern w:val="0"/>
          <w:szCs w:val="21"/>
          <w:highlight w:val="none"/>
          <w:u w:val="single"/>
        </w:rPr>
        <w:t>    </w:t>
      </w:r>
      <w:r>
        <w:rPr>
          <w:rFonts w:hint="eastAsia" w:ascii="宋体" w:hAnsi="宋体" w:eastAsia="宋体" w:cs="Arial"/>
          <w:color w:val="auto"/>
          <w:kern w:val="0"/>
          <w:szCs w:val="21"/>
          <w:highlight w:val="none"/>
        </w:rPr>
        <w:t>万元，资产总额为</w:t>
      </w:r>
      <w:r>
        <w:rPr>
          <w:rFonts w:hint="eastAsia" w:ascii="宋体" w:hAnsi="宋体" w:eastAsia="宋体" w:cs="Arial"/>
          <w:color w:val="auto"/>
          <w:kern w:val="0"/>
          <w:szCs w:val="21"/>
          <w:highlight w:val="none"/>
          <w:u w:val="single"/>
        </w:rPr>
        <w:t>   </w:t>
      </w:r>
      <w:r>
        <w:rPr>
          <w:rFonts w:hint="eastAsia" w:ascii="宋体" w:hAnsi="宋体" w:eastAsia="宋体" w:cs="Arial"/>
          <w:color w:val="auto"/>
          <w:kern w:val="0"/>
          <w:szCs w:val="21"/>
          <w:highlight w:val="none"/>
        </w:rPr>
        <w:t>万元</w:t>
      </w:r>
      <w:r>
        <w:rPr>
          <w:rFonts w:hint="eastAsia" w:ascii="宋体" w:hAnsi="宋体" w:eastAsia="宋体" w:cs="Arial"/>
          <w:color w:val="auto"/>
          <w:kern w:val="0"/>
          <w:szCs w:val="21"/>
          <w:highlight w:val="none"/>
          <w:vertAlign w:val="superscript"/>
        </w:rPr>
        <w:t>1</w:t>
      </w:r>
      <w:r>
        <w:rPr>
          <w:rFonts w:hint="eastAsia" w:ascii="宋体" w:hAnsi="宋体" w:eastAsia="宋体" w:cs="Arial"/>
          <w:color w:val="auto"/>
          <w:kern w:val="0"/>
          <w:szCs w:val="21"/>
          <w:highlight w:val="none"/>
        </w:rPr>
        <w:t>，属于</w:t>
      </w:r>
      <w:r>
        <w:rPr>
          <w:rFonts w:hint="eastAsia" w:ascii="宋体" w:hAnsi="宋体" w:eastAsia="宋体" w:cs="Arial"/>
          <w:color w:val="auto"/>
          <w:kern w:val="0"/>
          <w:szCs w:val="21"/>
          <w:highlight w:val="none"/>
          <w:u w:val="single"/>
        </w:rPr>
        <w:t>     （中型企业、小型企业、微型企业）</w:t>
      </w:r>
      <w:r>
        <w:rPr>
          <w:rFonts w:hint="eastAsia" w:ascii="宋体" w:hAnsi="宋体" w:eastAsia="宋体" w:cs="Arial"/>
          <w:color w:val="auto"/>
          <w:kern w:val="0"/>
          <w:szCs w:val="21"/>
          <w:highlight w:val="none"/>
        </w:rPr>
        <w:t>；</w:t>
      </w:r>
    </w:p>
    <w:p w14:paraId="07E7AF42">
      <w:pPr>
        <w:widowControl/>
        <w:shd w:val="clear" w:color="auto" w:fill="FFFFFF"/>
        <w:spacing w:before="100" w:beforeAutospacing="1" w:after="100" w:afterAutospacing="1" w:line="435" w:lineRule="atLeast"/>
        <w:ind w:firstLine="480"/>
        <w:jc w:val="left"/>
        <w:rPr>
          <w:rFonts w:ascii="Arial" w:hAnsi="Arial" w:eastAsia="宋体" w:cs="Arial"/>
          <w:color w:val="auto"/>
          <w:kern w:val="0"/>
          <w:szCs w:val="21"/>
          <w:highlight w:val="none"/>
        </w:rPr>
      </w:pPr>
      <w:r>
        <w:rPr>
          <w:rFonts w:hint="eastAsia" w:ascii="宋体" w:hAnsi="宋体" w:eastAsia="宋体" w:cs="Arial"/>
          <w:color w:val="auto"/>
          <w:kern w:val="0"/>
          <w:szCs w:val="21"/>
          <w:highlight w:val="none"/>
        </w:rPr>
        <w:t>……</w:t>
      </w:r>
    </w:p>
    <w:p w14:paraId="652F4F1E">
      <w:pPr>
        <w:widowControl/>
        <w:shd w:val="clear" w:color="auto" w:fill="FFFFFF"/>
        <w:spacing w:before="100" w:beforeAutospacing="1" w:after="100" w:afterAutospacing="1" w:line="435" w:lineRule="atLeast"/>
        <w:ind w:firstLine="480"/>
        <w:jc w:val="left"/>
        <w:rPr>
          <w:rFonts w:ascii="Arial" w:hAnsi="Arial" w:eastAsia="宋体" w:cs="Arial"/>
          <w:color w:val="auto"/>
          <w:kern w:val="0"/>
          <w:szCs w:val="21"/>
          <w:highlight w:val="none"/>
        </w:rPr>
      </w:pPr>
      <w:r>
        <w:rPr>
          <w:rFonts w:hint="eastAsia" w:ascii="宋体" w:hAnsi="宋体" w:eastAsia="宋体" w:cs="Arial"/>
          <w:color w:val="auto"/>
          <w:kern w:val="0"/>
          <w:szCs w:val="21"/>
          <w:highlight w:val="none"/>
        </w:rPr>
        <w:t>以上企业，不属于大企业的分支机构，不存在控股股东为大企业的情形，也不存在与大企业的负责人为同一人的情形。</w:t>
      </w:r>
    </w:p>
    <w:p w14:paraId="487D2649">
      <w:pPr>
        <w:widowControl/>
        <w:shd w:val="clear" w:color="auto" w:fill="FFFFFF"/>
        <w:spacing w:before="100" w:beforeAutospacing="1" w:after="100" w:afterAutospacing="1" w:line="435" w:lineRule="atLeast"/>
        <w:ind w:firstLine="480"/>
        <w:jc w:val="left"/>
        <w:rPr>
          <w:rFonts w:ascii="Arial" w:hAnsi="Arial" w:eastAsia="宋体" w:cs="Arial"/>
          <w:color w:val="auto"/>
          <w:kern w:val="0"/>
          <w:szCs w:val="21"/>
          <w:highlight w:val="none"/>
        </w:rPr>
      </w:pPr>
      <w:r>
        <w:rPr>
          <w:rFonts w:hint="eastAsia" w:ascii="宋体" w:hAnsi="宋体" w:eastAsia="宋体" w:cs="Arial"/>
          <w:color w:val="auto"/>
          <w:kern w:val="0"/>
          <w:szCs w:val="21"/>
          <w:highlight w:val="none"/>
        </w:rPr>
        <w:t>本企业对上述声明内容的真实性负责。如有虚假，将依法承担相应责任。</w:t>
      </w:r>
    </w:p>
    <w:p w14:paraId="156C45ED">
      <w:pPr>
        <w:widowControl/>
        <w:shd w:val="clear" w:color="auto" w:fill="FFFFFF"/>
        <w:spacing w:before="100" w:beforeAutospacing="1" w:after="100" w:afterAutospacing="1" w:line="435" w:lineRule="atLeast"/>
        <w:ind w:firstLine="5280"/>
        <w:jc w:val="left"/>
        <w:rPr>
          <w:rFonts w:ascii="Arial" w:hAnsi="Arial" w:eastAsia="宋体" w:cs="Arial"/>
          <w:color w:val="auto"/>
          <w:kern w:val="0"/>
          <w:szCs w:val="21"/>
          <w:highlight w:val="none"/>
        </w:rPr>
      </w:pPr>
      <w:r>
        <w:rPr>
          <w:rFonts w:hint="eastAsia" w:ascii="宋体" w:hAnsi="宋体" w:eastAsia="宋体" w:cs="Arial"/>
          <w:color w:val="auto"/>
          <w:kern w:val="0"/>
          <w:szCs w:val="21"/>
          <w:highlight w:val="none"/>
        </w:rPr>
        <w:t>企业名称（盖章）：</w:t>
      </w:r>
    </w:p>
    <w:p w14:paraId="1382FBBD">
      <w:pPr>
        <w:widowControl/>
        <w:shd w:val="clear" w:color="auto" w:fill="FFFFFF"/>
        <w:spacing w:before="100" w:beforeAutospacing="1" w:after="100" w:afterAutospacing="1" w:line="435" w:lineRule="atLeast"/>
        <w:ind w:firstLine="5280"/>
        <w:jc w:val="left"/>
        <w:rPr>
          <w:rFonts w:ascii="Arial" w:hAnsi="Arial" w:eastAsia="宋体" w:cs="Arial"/>
          <w:color w:val="auto"/>
          <w:kern w:val="0"/>
          <w:szCs w:val="21"/>
          <w:highlight w:val="none"/>
        </w:rPr>
      </w:pPr>
      <w:r>
        <w:rPr>
          <w:rFonts w:hint="eastAsia" w:ascii="宋体" w:hAnsi="宋体" w:eastAsia="宋体" w:cs="Arial"/>
          <w:color w:val="auto"/>
          <w:kern w:val="0"/>
          <w:szCs w:val="21"/>
          <w:highlight w:val="none"/>
        </w:rPr>
        <w:t>日 期：</w:t>
      </w:r>
    </w:p>
    <w:p w14:paraId="4DF15675">
      <w:pPr>
        <w:autoSpaceDE w:val="0"/>
        <w:autoSpaceDN w:val="0"/>
        <w:adjustRightInd w:val="0"/>
        <w:spacing w:line="360" w:lineRule="auto"/>
        <w:outlineLvl w:val="0"/>
        <w:rPr>
          <w:rFonts w:ascii="宋体" w:hAnsi="宋体"/>
          <w:color w:val="auto"/>
          <w:szCs w:val="21"/>
          <w:highlight w:val="none"/>
        </w:rPr>
      </w:pPr>
      <w:r>
        <w:rPr>
          <w:rFonts w:hint="eastAsia" w:ascii="宋体" w:hAnsi="宋体"/>
          <w:color w:val="auto"/>
          <w:szCs w:val="21"/>
          <w:highlight w:val="none"/>
        </w:rPr>
        <w:t>说明：</w:t>
      </w:r>
    </w:p>
    <w:p w14:paraId="2E2060DA">
      <w:pPr>
        <w:widowControl/>
        <w:spacing w:before="100" w:beforeAutospacing="1" w:after="100" w:afterAutospacing="1" w:line="360" w:lineRule="auto"/>
        <w:contextualSpacing/>
        <w:jc w:val="left"/>
        <w:rPr>
          <w:rFonts w:ascii="宋体" w:hAnsi="宋体" w:cs="Arial"/>
          <w:color w:val="auto"/>
          <w:kern w:val="0"/>
          <w:szCs w:val="21"/>
          <w:highlight w:val="none"/>
        </w:rPr>
      </w:pPr>
      <w:r>
        <w:rPr>
          <w:rFonts w:hint="eastAsia" w:ascii="宋体" w:hAnsi="宋体" w:cs="Arial"/>
          <w:color w:val="auto"/>
          <w:kern w:val="0"/>
          <w:szCs w:val="21"/>
          <w:highlight w:val="none"/>
        </w:rPr>
        <w:t>1、</w:t>
      </w:r>
      <w:r>
        <w:rPr>
          <w:color w:val="auto"/>
          <w:highlight w:val="none"/>
        </w:rPr>
        <w:t>从业人员、营业收入、资产总额填报上一年度数据，无上一年度数据的新成立企业可不填报。</w:t>
      </w:r>
    </w:p>
    <w:p w14:paraId="44B1F0DA">
      <w:pPr>
        <w:widowControl/>
        <w:spacing w:before="100" w:beforeAutospacing="1" w:after="100" w:afterAutospacing="1" w:line="360" w:lineRule="auto"/>
        <w:contextualSpacing/>
        <w:jc w:val="left"/>
        <w:rPr>
          <w:rFonts w:ascii="宋体" w:hAnsi="宋体" w:cs="Arial"/>
          <w:color w:val="auto"/>
          <w:kern w:val="0"/>
          <w:szCs w:val="21"/>
          <w:highlight w:val="none"/>
        </w:rPr>
      </w:pPr>
      <w:r>
        <w:rPr>
          <w:rFonts w:hint="eastAsia" w:ascii="宋体" w:hAnsi="宋体" w:cs="Arial"/>
          <w:color w:val="auto"/>
          <w:kern w:val="0"/>
          <w:szCs w:val="21"/>
          <w:highlight w:val="none"/>
        </w:rPr>
        <w:t>2、</w:t>
      </w:r>
      <w:r>
        <w:rPr>
          <w:rFonts w:ascii="宋体" w:hAnsi="宋体" w:cs="Arial"/>
          <w:color w:val="auto"/>
          <w:kern w:val="0"/>
          <w:szCs w:val="21"/>
          <w:highlight w:val="none"/>
        </w:rPr>
        <w:t>中小企业参加政府采购活动，应当出具</w:t>
      </w:r>
      <w:r>
        <w:rPr>
          <w:color w:val="auto"/>
          <w:highlight w:val="none"/>
        </w:rPr>
        <w:t>《中小企业声明函》，否则不得享受相关中小企业扶持政</w:t>
      </w:r>
      <w:r>
        <w:rPr>
          <w:rFonts w:ascii="宋体" w:hAnsi="宋体" w:cs="Arial"/>
          <w:color w:val="auto"/>
          <w:kern w:val="0"/>
          <w:szCs w:val="21"/>
          <w:highlight w:val="none"/>
        </w:rPr>
        <w:t>策。</w:t>
      </w:r>
    </w:p>
    <w:p w14:paraId="470FD71A">
      <w:pPr>
        <w:widowControl/>
        <w:spacing w:before="100" w:beforeAutospacing="1" w:after="100" w:afterAutospacing="1" w:line="360" w:lineRule="auto"/>
        <w:contextualSpacing/>
        <w:jc w:val="left"/>
        <w:rPr>
          <w:rFonts w:ascii="宋体" w:hAnsi="宋体" w:cs="Arial"/>
          <w:color w:val="auto"/>
          <w:kern w:val="0"/>
          <w:szCs w:val="21"/>
          <w:highlight w:val="none"/>
        </w:rPr>
      </w:pPr>
    </w:p>
    <w:p w14:paraId="77C83761">
      <w:pPr>
        <w:widowControl/>
        <w:jc w:val="left"/>
        <w:rPr>
          <w:rFonts w:ascii="宋体" w:hAnsi="宋体"/>
          <w:b/>
          <w:bCs/>
          <w:color w:val="auto"/>
          <w:sz w:val="24"/>
          <w:szCs w:val="24"/>
          <w:highlight w:val="none"/>
        </w:rPr>
      </w:pPr>
    </w:p>
    <w:p w14:paraId="69DABD66">
      <w:pPr>
        <w:rPr>
          <w:rFonts w:hint="eastAsia" w:ascii="宋体" w:hAnsi="宋体"/>
          <w:b/>
          <w:bCs/>
          <w:color w:val="auto"/>
          <w:sz w:val="24"/>
          <w:szCs w:val="24"/>
          <w:highlight w:val="none"/>
          <w:lang w:val="en-US" w:eastAsia="zh-CN"/>
        </w:rPr>
      </w:pPr>
      <w:bookmarkStart w:id="1" w:name="OLE_LINK13"/>
      <w:bookmarkStart w:id="2" w:name="OLE_LINK14"/>
      <w:r>
        <w:rPr>
          <w:rFonts w:hint="eastAsia" w:ascii="宋体" w:hAnsi="宋体"/>
          <w:b/>
          <w:bCs/>
          <w:color w:val="auto"/>
          <w:sz w:val="24"/>
          <w:szCs w:val="24"/>
          <w:highlight w:val="none"/>
          <w:lang w:val="en-US" w:eastAsia="zh-CN"/>
        </w:rPr>
        <w:br w:type="page"/>
      </w:r>
    </w:p>
    <w:p w14:paraId="44B123F1">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lang w:val="en-US" w:eastAsia="zh-CN"/>
        </w:rPr>
        <w:t xml:space="preserve">3.7 </w:t>
      </w:r>
      <w:r>
        <w:rPr>
          <w:rFonts w:hint="eastAsia" w:ascii="宋体" w:hAnsi="宋体"/>
          <w:b/>
          <w:bCs/>
          <w:color w:val="auto"/>
          <w:sz w:val="24"/>
          <w:szCs w:val="24"/>
          <w:highlight w:val="none"/>
        </w:rPr>
        <w:t xml:space="preserve"> 残疾人福利性单位声明函</w:t>
      </w:r>
    </w:p>
    <w:bookmarkEnd w:id="1"/>
    <w:bookmarkEnd w:id="2"/>
    <w:p w14:paraId="1D067F29">
      <w:pPr>
        <w:spacing w:line="360" w:lineRule="auto"/>
        <w:rPr>
          <w:rFonts w:ascii="宋体" w:hAnsi="宋体"/>
          <w:color w:val="auto"/>
          <w:szCs w:val="21"/>
          <w:highlight w:val="none"/>
        </w:rPr>
      </w:pPr>
    </w:p>
    <w:p w14:paraId="3EAD1B5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134FC0B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本单位对上述声明的真实性负责。如有虚假，将依法承担相应责任。</w:t>
      </w:r>
    </w:p>
    <w:p w14:paraId="78A5CF92">
      <w:pPr>
        <w:spacing w:line="360" w:lineRule="auto"/>
        <w:rPr>
          <w:rFonts w:ascii="宋体" w:hAnsi="宋体"/>
          <w:color w:val="auto"/>
          <w:szCs w:val="21"/>
          <w:highlight w:val="none"/>
        </w:rPr>
      </w:pPr>
    </w:p>
    <w:p w14:paraId="18AD49D2">
      <w:pPr>
        <w:spacing w:line="360" w:lineRule="auto"/>
        <w:rPr>
          <w:rFonts w:ascii="宋体" w:hAnsi="宋体"/>
          <w:color w:val="auto"/>
          <w:szCs w:val="21"/>
          <w:highlight w:val="none"/>
        </w:rPr>
      </w:pPr>
    </w:p>
    <w:p w14:paraId="2162C9A6">
      <w:pPr>
        <w:spacing w:line="360" w:lineRule="auto"/>
        <w:rPr>
          <w:rFonts w:ascii="宋体" w:hAnsi="宋体"/>
          <w:color w:val="auto"/>
          <w:szCs w:val="21"/>
          <w:highlight w:val="none"/>
        </w:rPr>
      </w:pPr>
    </w:p>
    <w:p w14:paraId="0DE6F4AE">
      <w:pPr>
        <w:adjustRightInd w:val="0"/>
        <w:snapToGrid w:val="0"/>
        <w:spacing w:line="360" w:lineRule="auto"/>
        <w:ind w:firstLine="3150" w:firstLineChars="1500"/>
        <w:rPr>
          <w:rFonts w:cs="宋体" w:asciiTheme="minorEastAsia" w:hAnsiTheme="minorEastAsia"/>
          <w:color w:val="auto"/>
          <w:szCs w:val="21"/>
          <w:highlight w:val="none"/>
        </w:rPr>
      </w:pPr>
      <w:r>
        <w:rPr>
          <w:rFonts w:hint="eastAsia" w:ascii="宋体" w:hAnsi="宋体"/>
          <w:color w:val="auto"/>
          <w:szCs w:val="21"/>
          <w:highlight w:val="none"/>
        </w:rPr>
        <w:t>单位名称（盖章）</w:t>
      </w:r>
      <w:r>
        <w:rPr>
          <w:rFonts w:hint="eastAsia" w:cs="宋体" w:asciiTheme="minorEastAsia" w:hAnsiTheme="minorEastAsia"/>
          <w:color w:val="auto"/>
          <w:szCs w:val="21"/>
          <w:highlight w:val="none"/>
        </w:rPr>
        <w:t>：</w:t>
      </w:r>
    </w:p>
    <w:p w14:paraId="5BA7F99D">
      <w:pPr>
        <w:spacing w:line="480" w:lineRule="auto"/>
        <w:ind w:left="4358" w:leftChars="2075"/>
        <w:rPr>
          <w:rFonts w:cs="Arial" w:asciiTheme="minorEastAsia" w:hAnsiTheme="minorEastAsia"/>
          <w:color w:val="auto"/>
          <w:szCs w:val="21"/>
          <w:highlight w:val="none"/>
        </w:rPr>
      </w:pPr>
      <w:r>
        <w:rPr>
          <w:rFonts w:hint="eastAsia" w:cs="Arial" w:asciiTheme="minorEastAsia" w:hAnsiTheme="minorEastAsia"/>
          <w:color w:val="auto"/>
          <w:szCs w:val="21"/>
          <w:highlight w:val="none"/>
        </w:rPr>
        <w:t xml:space="preserve"> 日    期：      年    月    日</w:t>
      </w:r>
    </w:p>
    <w:p w14:paraId="5DE3586F">
      <w:pPr>
        <w:widowControl/>
        <w:spacing w:before="100" w:beforeAutospacing="1" w:after="100" w:afterAutospacing="1" w:line="360" w:lineRule="auto"/>
        <w:jc w:val="center"/>
        <w:rPr>
          <w:rFonts w:ascii="宋体" w:hAnsi="宋体"/>
          <w:b/>
          <w:bCs/>
          <w:color w:val="auto"/>
          <w:sz w:val="24"/>
          <w:szCs w:val="24"/>
          <w:highlight w:val="none"/>
        </w:rPr>
      </w:pPr>
    </w:p>
    <w:p w14:paraId="1D8353D4">
      <w:pPr>
        <w:widowControl/>
        <w:spacing w:before="100" w:beforeAutospacing="1" w:after="100" w:afterAutospacing="1" w:line="360" w:lineRule="auto"/>
        <w:jc w:val="center"/>
        <w:rPr>
          <w:rFonts w:ascii="宋体" w:hAnsi="宋体"/>
          <w:b/>
          <w:bCs/>
          <w:color w:val="auto"/>
          <w:sz w:val="24"/>
          <w:szCs w:val="24"/>
          <w:highlight w:val="none"/>
        </w:rPr>
      </w:pPr>
    </w:p>
    <w:p w14:paraId="0285A35F">
      <w:pPr>
        <w:widowControl/>
        <w:jc w:val="left"/>
        <w:rPr>
          <w:rFonts w:ascii="宋体" w:hAnsi="宋体"/>
          <w:b/>
          <w:bCs/>
          <w:color w:val="auto"/>
          <w:sz w:val="24"/>
          <w:szCs w:val="24"/>
          <w:highlight w:val="none"/>
        </w:rPr>
      </w:pPr>
      <w:r>
        <w:rPr>
          <w:rFonts w:ascii="宋体" w:hAnsi="宋体"/>
          <w:b/>
          <w:bCs/>
          <w:color w:val="auto"/>
          <w:sz w:val="24"/>
          <w:szCs w:val="24"/>
          <w:highlight w:val="none"/>
        </w:rPr>
        <w:br w:type="page"/>
      </w:r>
    </w:p>
    <w:p w14:paraId="450ED432">
      <w:pPr>
        <w:spacing w:line="360" w:lineRule="auto"/>
        <w:jc w:val="center"/>
        <w:rPr>
          <w:rFonts w:ascii="宋体" w:hAnsi="宋体"/>
          <w:b/>
          <w:bCs/>
          <w:color w:val="auto"/>
          <w:sz w:val="24"/>
          <w:szCs w:val="24"/>
          <w:highlight w:val="none"/>
        </w:rPr>
      </w:pPr>
      <w:r>
        <w:rPr>
          <w:rFonts w:hint="eastAsia" w:ascii="宋体" w:hAnsi="宋体"/>
          <w:b/>
          <w:bCs/>
          <w:color w:val="auto"/>
          <w:sz w:val="24"/>
          <w:szCs w:val="24"/>
          <w:highlight w:val="none"/>
        </w:rPr>
        <w:t>3.</w:t>
      </w:r>
      <w:r>
        <w:rPr>
          <w:rFonts w:hint="eastAsia" w:ascii="宋体" w:hAnsi="宋体"/>
          <w:b/>
          <w:bCs/>
          <w:color w:val="auto"/>
          <w:sz w:val="24"/>
          <w:szCs w:val="24"/>
          <w:highlight w:val="none"/>
          <w:lang w:val="en-US" w:eastAsia="zh-CN"/>
        </w:rPr>
        <w:t>8</w:t>
      </w:r>
      <w:r>
        <w:rPr>
          <w:rFonts w:hint="eastAsia" w:ascii="宋体" w:hAnsi="宋体"/>
          <w:b/>
          <w:bCs/>
          <w:color w:val="auto"/>
          <w:sz w:val="24"/>
          <w:szCs w:val="24"/>
          <w:highlight w:val="none"/>
        </w:rPr>
        <w:t>投标人提供与参加本项目投标的其他供应商之间，单位负责人不为同一人并且不存在直接控股、管理关系承诺函</w:t>
      </w:r>
    </w:p>
    <w:p w14:paraId="5C59FFCB">
      <w:pPr>
        <w:spacing w:line="360" w:lineRule="auto"/>
        <w:jc w:val="center"/>
        <w:rPr>
          <w:rFonts w:ascii="宋体" w:hAnsi="宋体"/>
          <w:bCs/>
          <w:color w:val="auto"/>
          <w:sz w:val="24"/>
          <w:szCs w:val="24"/>
          <w:highlight w:val="none"/>
        </w:rPr>
      </w:pPr>
      <w:r>
        <w:rPr>
          <w:rFonts w:hint="eastAsia" w:ascii="宋体" w:hAnsi="宋体"/>
          <w:bCs/>
          <w:color w:val="auto"/>
          <w:sz w:val="24"/>
          <w:szCs w:val="24"/>
          <w:highlight w:val="none"/>
        </w:rPr>
        <w:t>（承诺函格式自拟）</w:t>
      </w:r>
    </w:p>
    <w:p w14:paraId="16CD1316">
      <w:pPr>
        <w:autoSpaceDE w:val="0"/>
        <w:autoSpaceDN w:val="0"/>
        <w:adjustRightInd w:val="0"/>
        <w:spacing w:line="360" w:lineRule="auto"/>
        <w:jc w:val="center"/>
        <w:outlineLvl w:val="0"/>
        <w:rPr>
          <w:rFonts w:ascii="宋体" w:hAnsi="宋体"/>
          <w:b/>
          <w:bCs/>
          <w:color w:val="auto"/>
          <w:sz w:val="24"/>
          <w:szCs w:val="24"/>
          <w:highlight w:val="none"/>
        </w:rPr>
      </w:pPr>
    </w:p>
    <w:p w14:paraId="694983F1">
      <w:pPr>
        <w:autoSpaceDE w:val="0"/>
        <w:autoSpaceDN w:val="0"/>
        <w:adjustRightInd w:val="0"/>
        <w:spacing w:line="360" w:lineRule="auto"/>
        <w:jc w:val="center"/>
        <w:outlineLvl w:val="0"/>
        <w:rPr>
          <w:rFonts w:ascii="宋体" w:hAnsi="宋体"/>
          <w:b/>
          <w:bCs/>
          <w:color w:val="auto"/>
          <w:sz w:val="24"/>
          <w:szCs w:val="24"/>
          <w:highlight w:val="none"/>
        </w:rPr>
      </w:pPr>
    </w:p>
    <w:p w14:paraId="1E909044">
      <w:pPr>
        <w:widowControl/>
        <w:jc w:val="left"/>
        <w:rPr>
          <w:rFonts w:ascii="宋体" w:hAnsi="宋体"/>
          <w:b/>
          <w:bCs/>
          <w:color w:val="auto"/>
          <w:sz w:val="24"/>
          <w:szCs w:val="24"/>
          <w:highlight w:val="none"/>
        </w:rPr>
      </w:pPr>
      <w:r>
        <w:rPr>
          <w:rFonts w:ascii="宋体" w:hAnsi="宋体"/>
          <w:b/>
          <w:bCs/>
          <w:color w:val="auto"/>
          <w:sz w:val="24"/>
          <w:szCs w:val="24"/>
          <w:highlight w:val="none"/>
        </w:rPr>
        <w:br w:type="page"/>
      </w:r>
    </w:p>
    <w:p w14:paraId="684384B9">
      <w:pPr>
        <w:spacing w:line="360" w:lineRule="auto"/>
        <w:jc w:val="center"/>
        <w:rPr>
          <w:rFonts w:ascii="宋体" w:hAnsi="宋体"/>
          <w:b/>
          <w:bCs/>
          <w:color w:val="auto"/>
          <w:sz w:val="24"/>
          <w:szCs w:val="24"/>
          <w:highlight w:val="none"/>
        </w:rPr>
      </w:pPr>
      <w:r>
        <w:rPr>
          <w:rFonts w:hint="eastAsia" w:ascii="宋体" w:hAnsi="宋体"/>
          <w:b/>
          <w:bCs/>
          <w:color w:val="auto"/>
          <w:sz w:val="24"/>
          <w:szCs w:val="24"/>
          <w:highlight w:val="none"/>
        </w:rPr>
        <w:t>3.</w:t>
      </w:r>
      <w:r>
        <w:rPr>
          <w:rFonts w:hint="eastAsia" w:ascii="宋体" w:hAnsi="宋体"/>
          <w:b/>
          <w:bCs/>
          <w:color w:val="auto"/>
          <w:sz w:val="24"/>
          <w:szCs w:val="24"/>
          <w:highlight w:val="none"/>
          <w:lang w:val="en-US" w:eastAsia="zh-CN"/>
        </w:rPr>
        <w:t>9</w:t>
      </w:r>
      <w:r>
        <w:rPr>
          <w:rFonts w:hint="eastAsia" w:ascii="宋体" w:hAnsi="宋体"/>
          <w:b/>
          <w:bCs/>
          <w:color w:val="auto"/>
          <w:sz w:val="24"/>
          <w:szCs w:val="24"/>
          <w:highlight w:val="none"/>
        </w:rPr>
        <w:t>投标人提供未为本项目提供整体设计、规范编制或者项目管理、监理、检测等服务承诺函</w:t>
      </w:r>
    </w:p>
    <w:p w14:paraId="173CD962">
      <w:pPr>
        <w:spacing w:line="360" w:lineRule="auto"/>
        <w:jc w:val="center"/>
        <w:rPr>
          <w:rFonts w:ascii="宋体" w:hAnsi="宋体"/>
          <w:bCs/>
          <w:color w:val="auto"/>
          <w:sz w:val="24"/>
          <w:szCs w:val="24"/>
          <w:highlight w:val="none"/>
        </w:rPr>
      </w:pPr>
      <w:r>
        <w:rPr>
          <w:rFonts w:hint="eastAsia" w:ascii="宋体" w:hAnsi="宋体"/>
          <w:bCs/>
          <w:color w:val="auto"/>
          <w:sz w:val="24"/>
          <w:szCs w:val="24"/>
          <w:highlight w:val="none"/>
        </w:rPr>
        <w:t>（承诺函格式自拟）</w:t>
      </w:r>
    </w:p>
    <w:p w14:paraId="6BEF76BB">
      <w:pPr>
        <w:autoSpaceDE w:val="0"/>
        <w:autoSpaceDN w:val="0"/>
        <w:adjustRightInd w:val="0"/>
        <w:spacing w:line="360" w:lineRule="auto"/>
        <w:jc w:val="center"/>
        <w:outlineLvl w:val="0"/>
        <w:rPr>
          <w:rFonts w:ascii="宋体" w:hAnsi="宋体"/>
          <w:b/>
          <w:bCs/>
          <w:color w:val="auto"/>
          <w:sz w:val="24"/>
          <w:szCs w:val="24"/>
          <w:highlight w:val="none"/>
        </w:rPr>
      </w:pPr>
    </w:p>
    <w:p w14:paraId="23172CC2">
      <w:pPr>
        <w:autoSpaceDE w:val="0"/>
        <w:autoSpaceDN w:val="0"/>
        <w:adjustRightInd w:val="0"/>
        <w:spacing w:line="360" w:lineRule="auto"/>
        <w:jc w:val="center"/>
        <w:outlineLvl w:val="0"/>
        <w:rPr>
          <w:rFonts w:ascii="宋体" w:hAnsi="宋体"/>
          <w:b/>
          <w:bCs/>
          <w:color w:val="auto"/>
          <w:sz w:val="24"/>
          <w:szCs w:val="24"/>
          <w:highlight w:val="none"/>
        </w:rPr>
      </w:pPr>
    </w:p>
    <w:p w14:paraId="7E8937F1">
      <w:pPr>
        <w:autoSpaceDE w:val="0"/>
        <w:autoSpaceDN w:val="0"/>
        <w:adjustRightInd w:val="0"/>
        <w:spacing w:line="360" w:lineRule="auto"/>
        <w:jc w:val="center"/>
        <w:outlineLvl w:val="0"/>
        <w:rPr>
          <w:rFonts w:ascii="宋体" w:hAnsi="宋体"/>
          <w:b/>
          <w:bCs/>
          <w:color w:val="auto"/>
          <w:sz w:val="24"/>
          <w:szCs w:val="24"/>
          <w:highlight w:val="none"/>
        </w:rPr>
      </w:pPr>
    </w:p>
    <w:p w14:paraId="36EB306B">
      <w:pPr>
        <w:widowControl/>
        <w:jc w:val="left"/>
        <w:rPr>
          <w:rFonts w:ascii="宋体" w:hAnsi="宋体"/>
          <w:b/>
          <w:bCs/>
          <w:color w:val="auto"/>
          <w:sz w:val="24"/>
          <w:szCs w:val="24"/>
          <w:highlight w:val="none"/>
        </w:rPr>
      </w:pPr>
      <w:r>
        <w:rPr>
          <w:rFonts w:ascii="宋体" w:hAnsi="宋体"/>
          <w:b/>
          <w:bCs/>
          <w:color w:val="auto"/>
          <w:sz w:val="24"/>
          <w:szCs w:val="24"/>
          <w:highlight w:val="none"/>
        </w:rPr>
        <w:br w:type="page"/>
      </w:r>
    </w:p>
    <w:p w14:paraId="208781B8">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3.</w:t>
      </w:r>
      <w:r>
        <w:rPr>
          <w:rFonts w:hint="eastAsia" w:ascii="宋体" w:hAnsi="宋体"/>
          <w:b/>
          <w:bCs/>
          <w:color w:val="auto"/>
          <w:sz w:val="24"/>
          <w:szCs w:val="24"/>
          <w:highlight w:val="none"/>
          <w:lang w:val="en-US" w:eastAsia="zh-CN"/>
        </w:rPr>
        <w:t xml:space="preserve">10   </w:t>
      </w:r>
      <w:r>
        <w:rPr>
          <w:rFonts w:hint="eastAsia" w:ascii="宋体" w:hAnsi="宋体"/>
          <w:b/>
          <w:bCs/>
          <w:color w:val="auto"/>
          <w:sz w:val="24"/>
          <w:szCs w:val="24"/>
          <w:highlight w:val="none"/>
        </w:rPr>
        <w:t xml:space="preserve">其他资格证书或材料 </w:t>
      </w:r>
    </w:p>
    <w:p w14:paraId="5A10322A">
      <w:pPr>
        <w:autoSpaceDE w:val="0"/>
        <w:autoSpaceDN w:val="0"/>
        <w:adjustRightInd w:val="0"/>
        <w:spacing w:line="360" w:lineRule="auto"/>
        <w:jc w:val="center"/>
        <w:outlineLvl w:val="0"/>
        <w:rPr>
          <w:rFonts w:hAnsi="宋体" w:eastAsia="宋体"/>
          <w:b/>
          <w:snapToGrid w:val="0"/>
          <w:color w:val="auto"/>
          <w:kern w:val="0"/>
          <w:sz w:val="36"/>
          <w:szCs w:val="36"/>
          <w:highlight w:val="none"/>
        </w:rPr>
      </w:pPr>
    </w:p>
    <w:p w14:paraId="393D2331">
      <w:pPr>
        <w:autoSpaceDE w:val="0"/>
        <w:autoSpaceDN w:val="0"/>
        <w:adjustRightInd w:val="0"/>
        <w:spacing w:line="360" w:lineRule="auto"/>
        <w:jc w:val="center"/>
        <w:outlineLvl w:val="9"/>
        <w:rPr>
          <w:rFonts w:hAnsi="宋体" w:eastAsia="宋体"/>
          <w:b/>
          <w:snapToGrid w:val="0"/>
          <w:kern w:val="0"/>
          <w:sz w:val="36"/>
          <w:szCs w:val="36"/>
        </w:rPr>
      </w:pPr>
    </w:p>
    <w:p w14:paraId="0FA7B494">
      <w:pPr>
        <w:autoSpaceDE w:val="0"/>
        <w:autoSpaceDN w:val="0"/>
        <w:adjustRightInd w:val="0"/>
        <w:spacing w:line="360" w:lineRule="auto"/>
        <w:jc w:val="center"/>
        <w:outlineLvl w:val="9"/>
        <w:rPr>
          <w:rFonts w:hAnsi="宋体" w:eastAsia="宋体"/>
          <w:b/>
          <w:snapToGrid w:val="0"/>
          <w:kern w:val="0"/>
          <w:sz w:val="36"/>
          <w:szCs w:val="36"/>
        </w:rPr>
      </w:pPr>
    </w:p>
    <w:p w14:paraId="4B157CBE">
      <w:pPr>
        <w:autoSpaceDE w:val="0"/>
        <w:autoSpaceDN w:val="0"/>
        <w:adjustRightInd w:val="0"/>
        <w:spacing w:line="360" w:lineRule="auto"/>
        <w:jc w:val="center"/>
        <w:outlineLvl w:val="9"/>
        <w:rPr>
          <w:rFonts w:hAnsi="宋体" w:eastAsia="宋体"/>
          <w:b/>
          <w:snapToGrid w:val="0"/>
          <w:kern w:val="0"/>
          <w:sz w:val="36"/>
          <w:szCs w:val="36"/>
        </w:rPr>
      </w:pPr>
    </w:p>
    <w:p w14:paraId="2EDD15CB">
      <w:pPr>
        <w:autoSpaceDE w:val="0"/>
        <w:autoSpaceDN w:val="0"/>
        <w:adjustRightInd w:val="0"/>
        <w:spacing w:line="360" w:lineRule="auto"/>
        <w:jc w:val="center"/>
        <w:rPr>
          <w:rFonts w:cs="黑体" w:asciiTheme="minorEastAsia" w:hAnsiTheme="minorEastAsia"/>
          <w:b/>
          <w:bCs/>
          <w:sz w:val="44"/>
          <w:szCs w:val="44"/>
          <w:lang w:val="zh-CN"/>
        </w:rPr>
      </w:pPr>
    </w:p>
    <w:p w14:paraId="044BD8C8">
      <w:pPr>
        <w:autoSpaceDE w:val="0"/>
        <w:autoSpaceDN w:val="0"/>
        <w:adjustRightInd w:val="0"/>
        <w:spacing w:line="360" w:lineRule="auto"/>
        <w:jc w:val="center"/>
        <w:rPr>
          <w:rFonts w:cs="黑体" w:asciiTheme="minorEastAsia" w:hAnsiTheme="minorEastAsia"/>
          <w:b/>
          <w:bCs/>
          <w:sz w:val="44"/>
          <w:szCs w:val="44"/>
          <w:lang w:val="zh-CN"/>
        </w:rPr>
      </w:pPr>
    </w:p>
    <w:p w14:paraId="25160C8B">
      <w:pPr>
        <w:autoSpaceDE w:val="0"/>
        <w:autoSpaceDN w:val="0"/>
        <w:adjustRightInd w:val="0"/>
        <w:spacing w:line="360" w:lineRule="auto"/>
        <w:jc w:val="center"/>
        <w:rPr>
          <w:rFonts w:cs="黑体" w:asciiTheme="minorEastAsia" w:hAnsiTheme="minorEastAsia"/>
          <w:b/>
          <w:bCs/>
          <w:sz w:val="44"/>
          <w:szCs w:val="44"/>
          <w:lang w:val="zh-CN"/>
        </w:rPr>
      </w:pPr>
    </w:p>
    <w:p w14:paraId="163E2AA5">
      <w:pPr>
        <w:autoSpaceDE w:val="0"/>
        <w:autoSpaceDN w:val="0"/>
        <w:adjustRightInd w:val="0"/>
        <w:spacing w:line="360" w:lineRule="auto"/>
        <w:jc w:val="center"/>
        <w:rPr>
          <w:rFonts w:cs="黑体" w:asciiTheme="minorEastAsia" w:hAnsiTheme="minorEastAsia"/>
          <w:b/>
          <w:bCs/>
          <w:sz w:val="44"/>
          <w:szCs w:val="44"/>
          <w:lang w:val="zh-CN"/>
        </w:rPr>
      </w:pPr>
    </w:p>
    <w:p w14:paraId="78D4E67C">
      <w:pPr>
        <w:autoSpaceDE w:val="0"/>
        <w:autoSpaceDN w:val="0"/>
        <w:adjustRightInd w:val="0"/>
        <w:spacing w:line="360" w:lineRule="auto"/>
        <w:jc w:val="center"/>
        <w:rPr>
          <w:rFonts w:cs="黑体" w:asciiTheme="minorEastAsia" w:hAnsiTheme="minorEastAsia"/>
          <w:b/>
          <w:bCs/>
          <w:sz w:val="44"/>
          <w:szCs w:val="44"/>
          <w:lang w:val="zh-CN"/>
        </w:rPr>
      </w:pPr>
    </w:p>
    <w:p w14:paraId="3A64EF53">
      <w:pPr>
        <w:autoSpaceDE w:val="0"/>
        <w:autoSpaceDN w:val="0"/>
        <w:adjustRightInd w:val="0"/>
        <w:spacing w:line="360" w:lineRule="auto"/>
        <w:jc w:val="center"/>
        <w:rPr>
          <w:rFonts w:cs="黑体" w:asciiTheme="minorEastAsia" w:hAnsiTheme="minorEastAsia"/>
          <w:b/>
          <w:bCs/>
          <w:sz w:val="44"/>
          <w:szCs w:val="44"/>
          <w:lang w:val="zh-CN"/>
        </w:rPr>
      </w:pPr>
    </w:p>
    <w:p w14:paraId="47D5D108">
      <w:pPr>
        <w:autoSpaceDE w:val="0"/>
        <w:autoSpaceDN w:val="0"/>
        <w:adjustRightInd w:val="0"/>
        <w:spacing w:line="360" w:lineRule="auto"/>
        <w:jc w:val="center"/>
        <w:outlineLvl w:val="9"/>
        <w:rPr>
          <w:rFonts w:hAnsi="宋体" w:eastAsia="宋体"/>
          <w:b/>
          <w:snapToGrid w:val="0"/>
          <w:kern w:val="0"/>
          <w:sz w:val="36"/>
          <w:szCs w:val="36"/>
        </w:rPr>
      </w:pPr>
    </w:p>
    <w:p w14:paraId="05CB5C75">
      <w:pPr>
        <w:autoSpaceDE w:val="0"/>
        <w:autoSpaceDN w:val="0"/>
        <w:adjustRightInd w:val="0"/>
        <w:spacing w:line="360" w:lineRule="auto"/>
        <w:jc w:val="center"/>
        <w:outlineLvl w:val="9"/>
        <w:rPr>
          <w:rFonts w:hAnsi="宋体" w:eastAsia="宋体"/>
          <w:b/>
          <w:snapToGrid w:val="0"/>
          <w:kern w:val="0"/>
          <w:sz w:val="36"/>
          <w:szCs w:val="36"/>
        </w:rPr>
      </w:pPr>
    </w:p>
    <w:p w14:paraId="4B2135CE">
      <w:pPr>
        <w:autoSpaceDE w:val="0"/>
        <w:autoSpaceDN w:val="0"/>
        <w:adjustRightInd w:val="0"/>
        <w:spacing w:line="360" w:lineRule="auto"/>
        <w:jc w:val="center"/>
        <w:outlineLvl w:val="9"/>
        <w:rPr>
          <w:rFonts w:hAnsi="宋体" w:eastAsia="宋体"/>
          <w:b/>
          <w:snapToGrid w:val="0"/>
          <w:kern w:val="0"/>
          <w:sz w:val="36"/>
          <w:szCs w:val="36"/>
        </w:rPr>
      </w:pPr>
    </w:p>
    <w:p w14:paraId="7566E6B7">
      <w:pPr>
        <w:autoSpaceDE w:val="0"/>
        <w:autoSpaceDN w:val="0"/>
        <w:adjustRightInd w:val="0"/>
        <w:spacing w:line="360" w:lineRule="auto"/>
        <w:jc w:val="center"/>
        <w:rPr>
          <w:rFonts w:cs="黑体" w:asciiTheme="minorEastAsia" w:hAnsiTheme="minorEastAsia"/>
          <w:b/>
          <w:bCs/>
          <w:sz w:val="44"/>
          <w:szCs w:val="44"/>
          <w:lang w:val="zh-CN"/>
        </w:rPr>
      </w:pPr>
    </w:p>
    <w:p w14:paraId="4BDA4C86">
      <w:pPr>
        <w:autoSpaceDE w:val="0"/>
        <w:autoSpaceDN w:val="0"/>
        <w:adjustRightInd w:val="0"/>
        <w:spacing w:line="360" w:lineRule="auto"/>
        <w:jc w:val="center"/>
        <w:rPr>
          <w:rFonts w:cs="黑体" w:asciiTheme="minorEastAsia" w:hAnsiTheme="minorEastAsia"/>
          <w:b/>
          <w:bCs/>
          <w:sz w:val="44"/>
          <w:szCs w:val="44"/>
          <w:lang w:val="zh-CN"/>
        </w:rPr>
      </w:pPr>
    </w:p>
    <w:p w14:paraId="18576F46">
      <w:pPr>
        <w:autoSpaceDE w:val="0"/>
        <w:autoSpaceDN w:val="0"/>
        <w:adjustRightInd w:val="0"/>
        <w:spacing w:line="360" w:lineRule="auto"/>
        <w:jc w:val="center"/>
        <w:rPr>
          <w:rFonts w:cs="黑体" w:asciiTheme="minorEastAsia" w:hAnsiTheme="minorEastAsia"/>
          <w:b/>
          <w:bCs/>
          <w:sz w:val="44"/>
          <w:szCs w:val="44"/>
          <w:lang w:val="zh-CN"/>
        </w:rPr>
      </w:pPr>
    </w:p>
    <w:p w14:paraId="411D609C">
      <w:pPr>
        <w:autoSpaceDE w:val="0"/>
        <w:autoSpaceDN w:val="0"/>
        <w:adjustRightInd w:val="0"/>
        <w:spacing w:line="360" w:lineRule="auto"/>
        <w:jc w:val="center"/>
        <w:rPr>
          <w:rFonts w:cs="黑体" w:asciiTheme="minorEastAsia" w:hAnsiTheme="minorEastAsia"/>
          <w:b/>
          <w:bCs/>
          <w:sz w:val="44"/>
          <w:szCs w:val="44"/>
          <w:lang w:val="zh-CN"/>
        </w:rPr>
      </w:pPr>
    </w:p>
    <w:p w14:paraId="1DA7DFC0">
      <w:pPr>
        <w:autoSpaceDE w:val="0"/>
        <w:autoSpaceDN w:val="0"/>
        <w:adjustRightInd w:val="0"/>
        <w:spacing w:line="360" w:lineRule="auto"/>
        <w:jc w:val="center"/>
        <w:rPr>
          <w:rFonts w:cs="黑体" w:asciiTheme="minorEastAsia" w:hAnsiTheme="minorEastAsia"/>
          <w:b/>
          <w:bCs/>
          <w:sz w:val="44"/>
          <w:szCs w:val="44"/>
          <w:lang w:val="zh-CN"/>
        </w:rPr>
      </w:pPr>
    </w:p>
    <w:p w14:paraId="593BAFEF">
      <w:pPr>
        <w:autoSpaceDE w:val="0"/>
        <w:autoSpaceDN w:val="0"/>
        <w:adjustRightInd w:val="0"/>
        <w:spacing w:line="360" w:lineRule="auto"/>
        <w:rPr>
          <w:rFonts w:cs="黑体" w:asciiTheme="minorEastAsia" w:hAnsiTheme="minorEastAsia"/>
          <w:b/>
          <w:bCs/>
          <w:sz w:val="44"/>
          <w:szCs w:val="44"/>
          <w:lang w:val="zh-CN"/>
        </w:rPr>
      </w:pPr>
    </w:p>
    <w:p w14:paraId="18DCFCF0">
      <w:pPr>
        <w:rPr>
          <w:rFonts w:hint="eastAsia" w:cs="黑体" w:asciiTheme="minorEastAsia" w:hAnsiTheme="minorEastAsia"/>
          <w:b/>
          <w:bCs/>
          <w:sz w:val="28"/>
          <w:szCs w:val="28"/>
          <w:lang w:val="zh-CN"/>
        </w:rPr>
      </w:pPr>
      <w:r>
        <w:rPr>
          <w:rFonts w:hint="eastAsia" w:cs="黑体" w:asciiTheme="minorEastAsia" w:hAnsiTheme="minorEastAsia"/>
          <w:b/>
          <w:bCs/>
          <w:sz w:val="28"/>
          <w:szCs w:val="28"/>
          <w:lang w:val="zh-CN"/>
        </w:rPr>
        <w:br w:type="page"/>
      </w:r>
    </w:p>
    <w:p w14:paraId="27D3A4B6">
      <w:pPr>
        <w:widowControl/>
        <w:ind w:firstLine="2389" w:firstLineChars="850"/>
        <w:outlineLvl w:val="1"/>
        <w:rPr>
          <w:rFonts w:cs="黑体" w:asciiTheme="minorEastAsia" w:hAnsiTheme="minorEastAsia"/>
          <w:b/>
          <w:bCs/>
          <w:sz w:val="28"/>
          <w:szCs w:val="28"/>
          <w:lang w:val="zh-CN"/>
        </w:rPr>
      </w:pPr>
      <w:r>
        <w:rPr>
          <w:rFonts w:hint="eastAsia" w:cs="黑体" w:asciiTheme="minorEastAsia" w:hAnsiTheme="minorEastAsia"/>
          <w:b/>
          <w:bCs/>
          <w:sz w:val="28"/>
          <w:szCs w:val="28"/>
          <w:lang w:val="zh-CN"/>
        </w:rPr>
        <w:t>四、响应文件审查相关材料</w:t>
      </w:r>
    </w:p>
    <w:p w14:paraId="7881DC1D">
      <w:pPr>
        <w:autoSpaceDE w:val="0"/>
        <w:autoSpaceDN w:val="0"/>
        <w:adjustRightInd w:val="0"/>
        <w:spacing w:line="360" w:lineRule="auto"/>
        <w:jc w:val="center"/>
        <w:outlineLvl w:val="9"/>
        <w:rPr>
          <w:rFonts w:hAnsi="宋体" w:eastAsia="宋体"/>
          <w:b/>
          <w:snapToGrid w:val="0"/>
          <w:kern w:val="0"/>
          <w:sz w:val="36"/>
          <w:szCs w:val="36"/>
        </w:rPr>
      </w:pPr>
    </w:p>
    <w:p w14:paraId="28594E52">
      <w:pPr>
        <w:autoSpaceDE w:val="0"/>
        <w:autoSpaceDN w:val="0"/>
        <w:adjustRightInd w:val="0"/>
        <w:spacing w:line="360" w:lineRule="auto"/>
        <w:jc w:val="center"/>
        <w:outlineLvl w:val="2"/>
        <w:rPr>
          <w:rFonts w:ascii="宋体" w:hAnsi="宋体"/>
          <w:b/>
          <w:bCs/>
          <w:color w:val="auto"/>
          <w:sz w:val="24"/>
          <w:szCs w:val="24"/>
        </w:rPr>
      </w:pPr>
      <w:r>
        <w:rPr>
          <w:rFonts w:hint="eastAsia" w:ascii="宋体" w:hAnsi="宋体"/>
          <w:b/>
          <w:bCs/>
          <w:color w:val="auto"/>
          <w:sz w:val="24"/>
          <w:szCs w:val="24"/>
        </w:rPr>
        <w:t>4.1 投标分项报价表</w:t>
      </w:r>
    </w:p>
    <w:p w14:paraId="4FBA4103">
      <w:pPr>
        <w:widowControl w:val="0"/>
        <w:autoSpaceDE w:val="0"/>
        <w:autoSpaceDN w:val="0"/>
        <w:spacing w:before="0" w:after="0" w:line="360" w:lineRule="auto"/>
        <w:ind w:left="0" w:right="0" w:firstLine="2420" w:firstLineChars="1000"/>
        <w:jc w:val="left"/>
        <w:rPr>
          <w:rFonts w:ascii="宋体"/>
          <w:color w:val="000000"/>
          <w:spacing w:val="0"/>
          <w:sz w:val="24"/>
        </w:rPr>
      </w:pPr>
      <w:r>
        <w:rPr>
          <w:rFonts w:ascii="宋体" w:hAnsi="宋体" w:cs="宋体"/>
          <w:color w:val="000000"/>
          <w:spacing w:val="1"/>
          <w:sz w:val="24"/>
        </w:rPr>
        <w:t>（按采购内容进行填报，格式自拟）</w:t>
      </w:r>
    </w:p>
    <w:p w14:paraId="60E98BF1">
      <w:pPr>
        <w:autoSpaceDE w:val="0"/>
        <w:autoSpaceDN w:val="0"/>
        <w:adjustRightInd w:val="0"/>
        <w:spacing w:line="360" w:lineRule="auto"/>
        <w:rPr>
          <w:rFonts w:cs="宋体" w:asciiTheme="minorEastAsia" w:hAnsiTheme="minorEastAsia"/>
          <w:szCs w:val="21"/>
          <w:lang w:val="zh-CN"/>
        </w:rPr>
      </w:pPr>
    </w:p>
    <w:p w14:paraId="50C1B643">
      <w:pPr>
        <w:autoSpaceDE w:val="0"/>
        <w:autoSpaceDN w:val="0"/>
        <w:adjustRightInd w:val="0"/>
        <w:spacing w:line="480" w:lineRule="auto"/>
        <w:rPr>
          <w:rFonts w:cs="宋体" w:asciiTheme="minorEastAsia" w:hAnsiTheme="minorEastAsia"/>
          <w:sz w:val="24"/>
          <w:szCs w:val="24"/>
          <w:lang w:val="zh-CN"/>
        </w:rPr>
      </w:pPr>
    </w:p>
    <w:p w14:paraId="6691F323">
      <w:pPr>
        <w:autoSpaceDE w:val="0"/>
        <w:autoSpaceDN w:val="0"/>
        <w:adjustRightInd w:val="0"/>
        <w:spacing w:line="480" w:lineRule="auto"/>
        <w:rPr>
          <w:rFonts w:cs="宋体" w:asciiTheme="minorEastAsia" w:hAnsiTheme="minorEastAsia"/>
          <w:sz w:val="24"/>
          <w:szCs w:val="24"/>
          <w:lang w:val="zh-CN"/>
        </w:rPr>
      </w:pPr>
    </w:p>
    <w:p w14:paraId="5FF584AD">
      <w:pPr>
        <w:autoSpaceDE w:val="0"/>
        <w:autoSpaceDN w:val="0"/>
        <w:adjustRightInd w:val="0"/>
        <w:spacing w:line="480" w:lineRule="auto"/>
        <w:rPr>
          <w:rFonts w:cs="宋体" w:asciiTheme="minorEastAsia" w:hAnsiTheme="minorEastAsia"/>
          <w:sz w:val="24"/>
          <w:szCs w:val="24"/>
          <w:lang w:val="zh-CN"/>
        </w:rPr>
      </w:pPr>
    </w:p>
    <w:p w14:paraId="01A283F0">
      <w:pPr>
        <w:autoSpaceDE w:val="0"/>
        <w:autoSpaceDN w:val="0"/>
        <w:adjustRightInd w:val="0"/>
        <w:spacing w:line="480" w:lineRule="auto"/>
        <w:rPr>
          <w:rFonts w:cs="宋体" w:asciiTheme="minorEastAsia" w:hAnsiTheme="minorEastAsia"/>
          <w:sz w:val="24"/>
          <w:szCs w:val="24"/>
          <w:lang w:val="zh-CN"/>
        </w:rPr>
      </w:pPr>
    </w:p>
    <w:p w14:paraId="227FA56A">
      <w:pPr>
        <w:autoSpaceDE w:val="0"/>
        <w:autoSpaceDN w:val="0"/>
        <w:adjustRightInd w:val="0"/>
        <w:spacing w:line="480" w:lineRule="auto"/>
        <w:rPr>
          <w:rFonts w:cs="宋体" w:asciiTheme="minorEastAsia" w:hAnsiTheme="minorEastAsia"/>
          <w:sz w:val="24"/>
          <w:szCs w:val="24"/>
          <w:lang w:val="zh-CN"/>
        </w:rPr>
      </w:pPr>
    </w:p>
    <w:p w14:paraId="69A00D35">
      <w:pPr>
        <w:autoSpaceDE w:val="0"/>
        <w:autoSpaceDN w:val="0"/>
        <w:adjustRightInd w:val="0"/>
        <w:spacing w:line="480" w:lineRule="auto"/>
        <w:rPr>
          <w:rFonts w:cs="宋体" w:asciiTheme="minorEastAsia" w:hAnsiTheme="minorEastAsia"/>
          <w:sz w:val="24"/>
          <w:szCs w:val="24"/>
          <w:lang w:val="zh-CN"/>
        </w:rPr>
      </w:pPr>
    </w:p>
    <w:p w14:paraId="4F8AB946">
      <w:pPr>
        <w:rPr>
          <w:rFonts w:hint="eastAsia" w:ascii="宋体" w:hAnsi="宋体"/>
          <w:b/>
          <w:bCs/>
          <w:sz w:val="24"/>
          <w:szCs w:val="24"/>
        </w:rPr>
      </w:pPr>
      <w:r>
        <w:rPr>
          <w:rFonts w:hint="eastAsia" w:ascii="宋体" w:hAnsi="宋体"/>
          <w:b/>
          <w:bCs/>
          <w:sz w:val="24"/>
          <w:szCs w:val="24"/>
        </w:rPr>
        <w:br w:type="page"/>
      </w:r>
    </w:p>
    <w:p w14:paraId="6B01D3B5">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4.2 技术规格偏离表</w:t>
      </w:r>
    </w:p>
    <w:p w14:paraId="179644E3">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49518F88">
      <w:pPr>
        <w:autoSpaceDE w:val="0"/>
        <w:autoSpaceDN w:val="0"/>
        <w:adjustRightInd w:val="0"/>
        <w:spacing w:line="360" w:lineRule="auto"/>
        <w:outlineLvl w:val="3"/>
        <w:rPr>
          <w:rFonts w:asciiTheme="minorEastAsia" w:hAnsiTheme="minorEastAsia"/>
          <w:szCs w:val="21"/>
        </w:rPr>
      </w:pPr>
      <w:r>
        <w:rPr>
          <w:rFonts w:hint="eastAsia" w:asciiTheme="minorEastAsia" w:hAnsiTheme="minorEastAsia"/>
          <w:szCs w:val="21"/>
        </w:rPr>
        <w:t xml:space="preserve">项目名称：   </w:t>
      </w:r>
    </w:p>
    <w:p w14:paraId="34C29033">
      <w:pPr>
        <w:autoSpaceDE w:val="0"/>
        <w:autoSpaceDN w:val="0"/>
        <w:adjustRightInd w:val="0"/>
        <w:spacing w:line="360" w:lineRule="auto"/>
        <w:outlineLvl w:val="9"/>
        <w:rPr>
          <w:rFonts w:hAnsi="宋体" w:eastAsia="宋体"/>
          <w:b/>
          <w:snapToGrid w:val="0"/>
          <w:kern w:val="0"/>
          <w:szCs w:val="21"/>
        </w:rPr>
      </w:pPr>
    </w:p>
    <w:tbl>
      <w:tblPr>
        <w:tblStyle w:val="26"/>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14:paraId="4F4A9707">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577388B">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EA5A8ED">
            <w:pPr>
              <w:pStyle w:val="7"/>
              <w:jc w:val="center"/>
              <w:rPr>
                <w:rFonts w:ascii="宋体" w:hAnsi="宋体" w:eastAsia="宋体" w:cs="宋体"/>
                <w:b/>
                <w:bCs/>
                <w:sz w:val="21"/>
                <w:szCs w:val="21"/>
              </w:rPr>
            </w:pPr>
            <w:r>
              <w:rPr>
                <w:rFonts w:hint="eastAsia" w:ascii="宋体" w:hAnsi="宋体" w:eastAsia="宋体" w:cs="宋体"/>
                <w:b/>
                <w:bCs/>
                <w:sz w:val="21"/>
                <w:szCs w:val="21"/>
              </w:rPr>
              <w:t>服务名称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490F83A">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9B59EBB">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14:paraId="1D2D3A5B">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AABAA5C">
            <w:pPr>
              <w:pStyle w:val="7"/>
              <w:jc w:val="center"/>
              <w:rPr>
                <w:rFonts w:ascii="宋体" w:hAnsi="宋体" w:eastAsia="宋体" w:cs="宋体"/>
                <w:b/>
                <w:bCs/>
                <w:sz w:val="21"/>
                <w:szCs w:val="21"/>
              </w:rPr>
            </w:pPr>
            <w:r>
              <w:rPr>
                <w:rFonts w:hint="eastAsia" w:ascii="宋体" w:hAnsi="宋体" w:eastAsia="宋体" w:cs="宋体"/>
                <w:b/>
                <w:bCs/>
                <w:sz w:val="21"/>
                <w:szCs w:val="21"/>
                <w:lang w:val="en-US" w:eastAsia="zh-CN"/>
              </w:rPr>
              <w:t>响应</w:t>
            </w:r>
            <w:r>
              <w:rPr>
                <w:rFonts w:hint="eastAsia" w:ascii="宋体" w:hAnsi="宋体" w:eastAsia="宋体" w:cs="宋体"/>
                <w:b/>
                <w:bCs/>
                <w:sz w:val="21"/>
                <w:szCs w:val="21"/>
              </w:rPr>
              <w:t>技术</w:t>
            </w:r>
          </w:p>
          <w:p w14:paraId="12687D91">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1A32FF6">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14:paraId="3799160B">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668263E">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14:paraId="6EA1CE12">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14:paraId="1FFB9352">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183E8DD0">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14:paraId="0A369FAA">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75A534C1">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2F4DCB57">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14:paraId="1BC1BD6A">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14:paraId="1A9C938C">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613411BC">
            <w:pPr>
              <w:autoSpaceDE w:val="0"/>
              <w:autoSpaceDN w:val="0"/>
              <w:adjustRightInd w:val="0"/>
              <w:spacing w:line="480" w:lineRule="exact"/>
              <w:jc w:val="center"/>
              <w:rPr>
                <w:rFonts w:asciiTheme="minorEastAsia" w:hAnsiTheme="minorEastAsia"/>
                <w:b/>
                <w:bCs/>
                <w:szCs w:val="21"/>
              </w:rPr>
            </w:pPr>
          </w:p>
        </w:tc>
      </w:tr>
      <w:tr w14:paraId="0022625D">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5B450FA4">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14:paraId="78B84DBB">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7D2434D1">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32079A11">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14:paraId="58A5B457">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14:paraId="49BE8ADE">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204D407B">
            <w:pPr>
              <w:autoSpaceDE w:val="0"/>
              <w:autoSpaceDN w:val="0"/>
              <w:adjustRightInd w:val="0"/>
              <w:spacing w:line="480" w:lineRule="exact"/>
              <w:jc w:val="center"/>
              <w:rPr>
                <w:rFonts w:asciiTheme="minorEastAsia" w:hAnsiTheme="minorEastAsia"/>
                <w:b/>
                <w:bCs/>
                <w:szCs w:val="21"/>
              </w:rPr>
            </w:pPr>
          </w:p>
        </w:tc>
      </w:tr>
      <w:tr w14:paraId="5C3AC52C">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601500E8">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14:paraId="2BB17D2F">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08597AF4">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2BF84E50">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14:paraId="06E49859">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14:paraId="0D0FB74D">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48E3B927">
            <w:pPr>
              <w:autoSpaceDE w:val="0"/>
              <w:autoSpaceDN w:val="0"/>
              <w:adjustRightInd w:val="0"/>
              <w:spacing w:line="480" w:lineRule="exact"/>
              <w:jc w:val="center"/>
              <w:rPr>
                <w:rFonts w:asciiTheme="minorEastAsia" w:hAnsiTheme="minorEastAsia"/>
                <w:b/>
                <w:bCs/>
                <w:szCs w:val="21"/>
              </w:rPr>
            </w:pPr>
          </w:p>
        </w:tc>
      </w:tr>
    </w:tbl>
    <w:p w14:paraId="22056FF0">
      <w:pPr>
        <w:autoSpaceDE w:val="0"/>
        <w:autoSpaceDN w:val="0"/>
        <w:adjustRightInd w:val="0"/>
        <w:spacing w:line="480" w:lineRule="auto"/>
        <w:rPr>
          <w:rFonts w:cs="宋体" w:asciiTheme="minorEastAsia" w:hAnsiTheme="minorEastAsia"/>
          <w:szCs w:val="21"/>
          <w:lang w:val="zh-CN"/>
        </w:rPr>
      </w:pPr>
    </w:p>
    <w:p w14:paraId="7B4F5848">
      <w:pPr>
        <w:spacing w:line="480" w:lineRule="auto"/>
        <w:ind w:firstLine="4357" w:firstLineChars="2075"/>
        <w:rPr>
          <w:rFonts w:cs="Arial" w:asciiTheme="minorEastAsia" w:hAnsiTheme="minorEastAsia"/>
          <w:szCs w:val="21"/>
        </w:rPr>
      </w:pPr>
      <w:r>
        <w:rPr>
          <w:rFonts w:hint="eastAsia" w:cs="宋体" w:asciiTheme="minorEastAsia" w:hAnsiTheme="minorEastAsia"/>
          <w:szCs w:val="21"/>
          <w:lang w:val="zh-CN"/>
        </w:rPr>
        <w:t>供应商名称（</w:t>
      </w:r>
      <w:r>
        <w:rPr>
          <w:rFonts w:hint="eastAsia" w:cs="Arial" w:asciiTheme="minorEastAsia" w:hAnsiTheme="minorEastAsia"/>
          <w:szCs w:val="21"/>
        </w:rPr>
        <w:t>并加盖公章</w:t>
      </w:r>
      <w:r>
        <w:rPr>
          <w:rFonts w:hint="eastAsia" w:cs="宋体" w:asciiTheme="minorEastAsia" w:hAnsiTheme="minorEastAsia"/>
          <w:szCs w:val="21"/>
          <w:lang w:val="zh-CN"/>
        </w:rPr>
        <w:t>）：</w:t>
      </w:r>
      <w:r>
        <w:rPr>
          <w:rFonts w:hint="eastAsia" w:cs="Arial" w:asciiTheme="minorEastAsia" w:hAnsiTheme="minorEastAsia"/>
          <w:szCs w:val="21"/>
        </w:rPr>
        <w:t>　　　　　　　　　</w:t>
      </w:r>
    </w:p>
    <w:p w14:paraId="429A4CFF">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日　  期：      年    月    日</w:t>
      </w:r>
    </w:p>
    <w:p w14:paraId="7706E44B">
      <w:pPr>
        <w:autoSpaceDE w:val="0"/>
        <w:autoSpaceDN w:val="0"/>
        <w:adjustRightInd w:val="0"/>
        <w:spacing w:line="480" w:lineRule="auto"/>
        <w:rPr>
          <w:rFonts w:cs="宋体" w:asciiTheme="minorEastAsia" w:hAnsiTheme="minorEastAsia"/>
          <w:szCs w:val="21"/>
          <w:lang w:val="zh-CN"/>
        </w:rPr>
      </w:pPr>
    </w:p>
    <w:p w14:paraId="3DED618E">
      <w:pPr>
        <w:autoSpaceDE w:val="0"/>
        <w:autoSpaceDN w:val="0"/>
        <w:adjustRightInd w:val="0"/>
        <w:spacing w:line="480" w:lineRule="auto"/>
        <w:rPr>
          <w:rFonts w:cs="宋体" w:asciiTheme="minorEastAsia" w:hAnsiTheme="minorEastAsia"/>
          <w:szCs w:val="21"/>
          <w:lang w:val="zh-CN"/>
        </w:rPr>
      </w:pPr>
    </w:p>
    <w:p w14:paraId="7FD9DCAF">
      <w:pPr>
        <w:autoSpaceDE w:val="0"/>
        <w:autoSpaceDN w:val="0"/>
        <w:adjustRightInd w:val="0"/>
        <w:spacing w:line="360" w:lineRule="auto"/>
        <w:jc w:val="center"/>
        <w:outlineLvl w:val="9"/>
        <w:rPr>
          <w:rFonts w:ascii="宋体" w:hAnsi="宋体"/>
          <w:b/>
          <w:bCs/>
          <w:sz w:val="24"/>
          <w:szCs w:val="24"/>
        </w:rPr>
      </w:pPr>
    </w:p>
    <w:p w14:paraId="0432F858">
      <w:pPr>
        <w:autoSpaceDE w:val="0"/>
        <w:autoSpaceDN w:val="0"/>
        <w:adjustRightInd w:val="0"/>
        <w:spacing w:line="360" w:lineRule="auto"/>
        <w:jc w:val="center"/>
        <w:outlineLvl w:val="9"/>
        <w:rPr>
          <w:rFonts w:ascii="宋体" w:hAnsi="宋体"/>
          <w:b/>
          <w:bCs/>
          <w:sz w:val="24"/>
          <w:szCs w:val="24"/>
        </w:rPr>
      </w:pPr>
    </w:p>
    <w:p w14:paraId="081CBF1B">
      <w:pPr>
        <w:autoSpaceDE w:val="0"/>
        <w:autoSpaceDN w:val="0"/>
        <w:adjustRightInd w:val="0"/>
        <w:spacing w:line="360" w:lineRule="auto"/>
        <w:jc w:val="center"/>
        <w:outlineLvl w:val="9"/>
        <w:rPr>
          <w:rFonts w:ascii="宋体" w:hAnsi="宋体"/>
          <w:b/>
          <w:bCs/>
          <w:sz w:val="24"/>
          <w:szCs w:val="24"/>
        </w:rPr>
      </w:pPr>
    </w:p>
    <w:p w14:paraId="01CD8EF3">
      <w:pPr>
        <w:autoSpaceDE w:val="0"/>
        <w:autoSpaceDN w:val="0"/>
        <w:adjustRightInd w:val="0"/>
        <w:spacing w:line="360" w:lineRule="auto"/>
        <w:jc w:val="center"/>
        <w:outlineLvl w:val="9"/>
        <w:rPr>
          <w:rFonts w:ascii="宋体" w:hAnsi="宋体"/>
          <w:b/>
          <w:bCs/>
          <w:sz w:val="24"/>
          <w:szCs w:val="24"/>
        </w:rPr>
      </w:pPr>
    </w:p>
    <w:p w14:paraId="259C4BC4">
      <w:pPr>
        <w:autoSpaceDE w:val="0"/>
        <w:autoSpaceDN w:val="0"/>
        <w:adjustRightInd w:val="0"/>
        <w:spacing w:line="360" w:lineRule="auto"/>
        <w:jc w:val="center"/>
        <w:outlineLvl w:val="9"/>
        <w:rPr>
          <w:rFonts w:ascii="宋体" w:hAnsi="宋体"/>
          <w:b/>
          <w:bCs/>
          <w:sz w:val="24"/>
          <w:szCs w:val="24"/>
        </w:rPr>
      </w:pPr>
    </w:p>
    <w:p w14:paraId="39B2ACEC">
      <w:pPr>
        <w:autoSpaceDE w:val="0"/>
        <w:autoSpaceDN w:val="0"/>
        <w:adjustRightInd w:val="0"/>
        <w:spacing w:line="360" w:lineRule="auto"/>
        <w:jc w:val="center"/>
        <w:outlineLvl w:val="9"/>
        <w:rPr>
          <w:rFonts w:ascii="宋体" w:hAnsi="宋体"/>
          <w:b/>
          <w:bCs/>
          <w:sz w:val="24"/>
          <w:szCs w:val="24"/>
        </w:rPr>
      </w:pPr>
    </w:p>
    <w:p w14:paraId="37C8CD46">
      <w:pPr>
        <w:autoSpaceDE w:val="0"/>
        <w:autoSpaceDN w:val="0"/>
        <w:adjustRightInd w:val="0"/>
        <w:spacing w:line="360" w:lineRule="auto"/>
        <w:jc w:val="center"/>
        <w:outlineLvl w:val="9"/>
        <w:rPr>
          <w:rFonts w:ascii="宋体" w:hAnsi="宋体"/>
          <w:b/>
          <w:bCs/>
          <w:sz w:val="24"/>
          <w:szCs w:val="24"/>
        </w:rPr>
      </w:pPr>
    </w:p>
    <w:p w14:paraId="50AD5B73">
      <w:pPr>
        <w:autoSpaceDE w:val="0"/>
        <w:autoSpaceDN w:val="0"/>
        <w:adjustRightInd w:val="0"/>
        <w:spacing w:line="360" w:lineRule="auto"/>
        <w:jc w:val="center"/>
        <w:outlineLvl w:val="9"/>
        <w:rPr>
          <w:rFonts w:ascii="宋体" w:hAnsi="宋体"/>
          <w:b/>
          <w:bCs/>
          <w:sz w:val="24"/>
          <w:szCs w:val="24"/>
        </w:rPr>
      </w:pPr>
    </w:p>
    <w:p w14:paraId="61B40E31">
      <w:pPr>
        <w:autoSpaceDE w:val="0"/>
        <w:autoSpaceDN w:val="0"/>
        <w:adjustRightInd w:val="0"/>
        <w:spacing w:line="360" w:lineRule="auto"/>
        <w:jc w:val="center"/>
        <w:outlineLvl w:val="9"/>
        <w:rPr>
          <w:rFonts w:ascii="宋体" w:hAnsi="宋体"/>
          <w:b/>
          <w:bCs/>
          <w:sz w:val="24"/>
          <w:szCs w:val="24"/>
        </w:rPr>
      </w:pPr>
    </w:p>
    <w:p w14:paraId="4071E8E0">
      <w:pPr>
        <w:autoSpaceDE w:val="0"/>
        <w:autoSpaceDN w:val="0"/>
        <w:adjustRightInd w:val="0"/>
        <w:spacing w:line="360" w:lineRule="auto"/>
        <w:jc w:val="center"/>
        <w:outlineLvl w:val="9"/>
        <w:rPr>
          <w:rFonts w:ascii="宋体" w:hAnsi="宋体"/>
          <w:b/>
          <w:bCs/>
          <w:sz w:val="24"/>
          <w:szCs w:val="24"/>
        </w:rPr>
      </w:pPr>
    </w:p>
    <w:p w14:paraId="24381805">
      <w:pPr>
        <w:rPr>
          <w:rFonts w:hint="eastAsia" w:ascii="宋体" w:hAnsi="宋体"/>
          <w:b/>
          <w:bCs/>
          <w:sz w:val="24"/>
          <w:szCs w:val="24"/>
        </w:rPr>
      </w:pPr>
      <w:r>
        <w:rPr>
          <w:rFonts w:hint="eastAsia" w:ascii="宋体" w:hAnsi="宋体"/>
          <w:b/>
          <w:bCs/>
          <w:sz w:val="24"/>
          <w:szCs w:val="24"/>
        </w:rPr>
        <w:br w:type="page"/>
      </w:r>
    </w:p>
    <w:p w14:paraId="708AE74A">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4.3 技术方案（实施方案）</w:t>
      </w:r>
    </w:p>
    <w:p w14:paraId="2A29DB68">
      <w:pPr>
        <w:snapToGrid w:val="0"/>
        <w:spacing w:line="360" w:lineRule="auto"/>
        <w:jc w:val="center"/>
        <w:rPr>
          <w:rFonts w:hAnsi="宋体" w:eastAsia="宋体"/>
          <w:b/>
          <w:snapToGrid w:val="0"/>
          <w:kern w:val="0"/>
          <w:sz w:val="36"/>
          <w:szCs w:val="36"/>
        </w:rPr>
      </w:pPr>
    </w:p>
    <w:p w14:paraId="0983D4E7">
      <w:pPr>
        <w:snapToGrid w:val="0"/>
        <w:spacing w:line="360" w:lineRule="auto"/>
        <w:jc w:val="center"/>
        <w:rPr>
          <w:rFonts w:hAnsi="宋体" w:eastAsia="宋体"/>
          <w:b/>
          <w:snapToGrid w:val="0"/>
          <w:kern w:val="0"/>
          <w:sz w:val="36"/>
          <w:szCs w:val="36"/>
        </w:rPr>
      </w:pPr>
    </w:p>
    <w:p w14:paraId="37706C4B">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（供应商根据招标文件要求自行编制）</w:t>
      </w:r>
    </w:p>
    <w:p w14:paraId="7B9944AD">
      <w:pPr>
        <w:snapToGrid w:val="0"/>
        <w:spacing w:line="360" w:lineRule="auto"/>
        <w:jc w:val="center"/>
        <w:rPr>
          <w:rFonts w:hAnsi="宋体" w:eastAsia="宋体"/>
          <w:b/>
          <w:snapToGrid w:val="0"/>
          <w:kern w:val="0"/>
          <w:sz w:val="36"/>
          <w:szCs w:val="36"/>
        </w:rPr>
      </w:pPr>
    </w:p>
    <w:p w14:paraId="09378C8F">
      <w:pPr>
        <w:snapToGrid w:val="0"/>
        <w:spacing w:line="360" w:lineRule="auto"/>
        <w:jc w:val="center"/>
        <w:rPr>
          <w:rFonts w:hAnsi="宋体" w:eastAsia="宋体"/>
          <w:b/>
          <w:snapToGrid w:val="0"/>
          <w:kern w:val="0"/>
          <w:sz w:val="36"/>
          <w:szCs w:val="36"/>
        </w:rPr>
      </w:pPr>
    </w:p>
    <w:p w14:paraId="0C600C85">
      <w:pPr>
        <w:snapToGrid w:val="0"/>
        <w:spacing w:line="360" w:lineRule="auto"/>
        <w:jc w:val="center"/>
        <w:rPr>
          <w:rFonts w:hAnsi="宋体" w:eastAsia="宋体"/>
          <w:b/>
          <w:snapToGrid w:val="0"/>
          <w:kern w:val="0"/>
          <w:sz w:val="36"/>
          <w:szCs w:val="36"/>
        </w:rPr>
      </w:pPr>
    </w:p>
    <w:p w14:paraId="46D91B20">
      <w:pPr>
        <w:snapToGrid w:val="0"/>
        <w:spacing w:line="360" w:lineRule="auto"/>
        <w:jc w:val="center"/>
        <w:rPr>
          <w:rFonts w:hAnsi="宋体" w:eastAsia="宋体"/>
          <w:b/>
          <w:snapToGrid w:val="0"/>
          <w:kern w:val="0"/>
          <w:sz w:val="36"/>
          <w:szCs w:val="36"/>
        </w:rPr>
      </w:pPr>
    </w:p>
    <w:p w14:paraId="244E6139">
      <w:pPr>
        <w:snapToGrid w:val="0"/>
        <w:spacing w:line="360" w:lineRule="auto"/>
        <w:jc w:val="center"/>
        <w:rPr>
          <w:rFonts w:hAnsi="宋体" w:eastAsia="宋体"/>
          <w:b/>
          <w:snapToGrid w:val="0"/>
          <w:kern w:val="0"/>
          <w:sz w:val="36"/>
          <w:szCs w:val="36"/>
        </w:rPr>
      </w:pPr>
    </w:p>
    <w:p w14:paraId="1E3451FB">
      <w:pPr>
        <w:snapToGrid w:val="0"/>
        <w:spacing w:line="360" w:lineRule="auto"/>
        <w:jc w:val="center"/>
        <w:rPr>
          <w:rFonts w:hAnsi="宋体" w:eastAsia="宋体"/>
          <w:b/>
          <w:snapToGrid w:val="0"/>
          <w:kern w:val="0"/>
          <w:sz w:val="36"/>
          <w:szCs w:val="36"/>
        </w:rPr>
      </w:pPr>
    </w:p>
    <w:p w14:paraId="0A2F8958">
      <w:pPr>
        <w:snapToGrid w:val="0"/>
        <w:spacing w:line="360" w:lineRule="auto"/>
        <w:jc w:val="center"/>
        <w:rPr>
          <w:rFonts w:hAnsi="宋体" w:eastAsia="宋体"/>
          <w:b/>
          <w:snapToGrid w:val="0"/>
          <w:kern w:val="0"/>
          <w:sz w:val="36"/>
          <w:szCs w:val="36"/>
        </w:rPr>
      </w:pPr>
    </w:p>
    <w:p w14:paraId="1B2F11DF">
      <w:pPr>
        <w:snapToGrid w:val="0"/>
        <w:spacing w:line="360" w:lineRule="auto"/>
        <w:jc w:val="center"/>
        <w:rPr>
          <w:rFonts w:hAnsi="宋体" w:eastAsia="宋体"/>
          <w:b/>
          <w:snapToGrid w:val="0"/>
          <w:kern w:val="0"/>
          <w:sz w:val="36"/>
          <w:szCs w:val="36"/>
        </w:rPr>
      </w:pPr>
    </w:p>
    <w:p w14:paraId="51EE36E5">
      <w:pPr>
        <w:snapToGrid w:val="0"/>
        <w:spacing w:line="360" w:lineRule="auto"/>
        <w:jc w:val="center"/>
        <w:rPr>
          <w:rFonts w:hAnsi="宋体" w:eastAsia="宋体"/>
          <w:b/>
          <w:snapToGrid w:val="0"/>
          <w:kern w:val="0"/>
          <w:sz w:val="36"/>
          <w:szCs w:val="36"/>
        </w:rPr>
      </w:pPr>
    </w:p>
    <w:p w14:paraId="0AC13B5E">
      <w:pPr>
        <w:snapToGrid w:val="0"/>
        <w:spacing w:line="360" w:lineRule="auto"/>
        <w:jc w:val="center"/>
        <w:rPr>
          <w:rFonts w:hAnsi="宋体" w:eastAsia="宋体"/>
          <w:b/>
          <w:snapToGrid w:val="0"/>
          <w:kern w:val="0"/>
          <w:sz w:val="36"/>
          <w:szCs w:val="36"/>
        </w:rPr>
      </w:pPr>
    </w:p>
    <w:p w14:paraId="31D1337B">
      <w:pPr>
        <w:snapToGrid w:val="0"/>
        <w:spacing w:line="360" w:lineRule="auto"/>
        <w:jc w:val="center"/>
        <w:rPr>
          <w:rFonts w:hAnsi="宋体" w:eastAsia="宋体"/>
          <w:b/>
          <w:snapToGrid w:val="0"/>
          <w:kern w:val="0"/>
          <w:sz w:val="36"/>
          <w:szCs w:val="36"/>
        </w:rPr>
      </w:pPr>
    </w:p>
    <w:p w14:paraId="514546AC">
      <w:pPr>
        <w:snapToGrid w:val="0"/>
        <w:spacing w:line="360" w:lineRule="auto"/>
        <w:jc w:val="center"/>
        <w:rPr>
          <w:rFonts w:hAnsi="宋体" w:eastAsia="宋体"/>
          <w:b/>
          <w:snapToGrid w:val="0"/>
          <w:kern w:val="0"/>
          <w:sz w:val="36"/>
          <w:szCs w:val="36"/>
        </w:rPr>
      </w:pPr>
    </w:p>
    <w:p w14:paraId="405C8D6D">
      <w:pPr>
        <w:snapToGrid w:val="0"/>
        <w:spacing w:line="360" w:lineRule="auto"/>
        <w:jc w:val="center"/>
        <w:rPr>
          <w:rFonts w:hAnsi="宋体" w:eastAsia="宋体"/>
          <w:b/>
          <w:snapToGrid w:val="0"/>
          <w:kern w:val="0"/>
          <w:sz w:val="36"/>
          <w:szCs w:val="36"/>
        </w:rPr>
      </w:pPr>
    </w:p>
    <w:p w14:paraId="4CF0E0B6">
      <w:pPr>
        <w:snapToGrid w:val="0"/>
        <w:spacing w:line="360" w:lineRule="auto"/>
        <w:jc w:val="center"/>
        <w:rPr>
          <w:rFonts w:hAnsi="宋体" w:eastAsia="宋体"/>
          <w:b/>
          <w:snapToGrid w:val="0"/>
          <w:kern w:val="0"/>
          <w:sz w:val="36"/>
          <w:szCs w:val="36"/>
        </w:rPr>
      </w:pPr>
    </w:p>
    <w:p w14:paraId="7E8162E3">
      <w:pPr>
        <w:snapToGrid w:val="0"/>
        <w:spacing w:line="360" w:lineRule="auto"/>
        <w:jc w:val="center"/>
        <w:rPr>
          <w:rFonts w:hAnsi="宋体" w:eastAsia="宋体"/>
          <w:b/>
          <w:snapToGrid w:val="0"/>
          <w:kern w:val="0"/>
          <w:sz w:val="36"/>
          <w:szCs w:val="36"/>
        </w:rPr>
      </w:pPr>
    </w:p>
    <w:p w14:paraId="7AA71572">
      <w:pPr>
        <w:snapToGrid w:val="0"/>
        <w:spacing w:line="360" w:lineRule="auto"/>
        <w:jc w:val="center"/>
        <w:rPr>
          <w:rFonts w:hAnsi="宋体" w:eastAsia="宋体"/>
          <w:b/>
          <w:snapToGrid w:val="0"/>
          <w:kern w:val="0"/>
          <w:sz w:val="36"/>
          <w:szCs w:val="36"/>
        </w:rPr>
      </w:pPr>
    </w:p>
    <w:p w14:paraId="1EDB04C9">
      <w:pPr>
        <w:rPr>
          <w:rFonts w:hint="eastAsia" w:ascii="宋体" w:hAnsi="宋体"/>
          <w:b/>
          <w:bCs/>
          <w:sz w:val="24"/>
          <w:szCs w:val="24"/>
        </w:rPr>
      </w:pPr>
      <w:r>
        <w:rPr>
          <w:rFonts w:hint="eastAsia" w:ascii="宋体" w:hAnsi="宋体"/>
          <w:b/>
          <w:bCs/>
          <w:sz w:val="24"/>
          <w:szCs w:val="24"/>
        </w:rPr>
        <w:br w:type="page"/>
      </w:r>
    </w:p>
    <w:p w14:paraId="08268D6D">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4.4 业绩情况表</w:t>
      </w:r>
    </w:p>
    <w:p w14:paraId="4A51AA5F">
      <w:pPr>
        <w:autoSpaceDE w:val="0"/>
        <w:autoSpaceDN w:val="0"/>
        <w:adjustRightInd w:val="0"/>
        <w:spacing w:line="360" w:lineRule="auto"/>
        <w:jc w:val="center"/>
        <w:outlineLvl w:val="9"/>
        <w:rPr>
          <w:rFonts w:ascii="宋体" w:hAnsi="宋体"/>
          <w:b/>
          <w:bCs/>
          <w:sz w:val="28"/>
          <w:szCs w:val="28"/>
        </w:rPr>
      </w:pPr>
    </w:p>
    <w:p w14:paraId="64EA02CE">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4BA2453E">
      <w:pPr>
        <w:snapToGrid w:val="0"/>
        <w:spacing w:line="360" w:lineRule="auto"/>
        <w:rPr>
          <w:rFonts w:asciiTheme="minorEastAsia" w:hAnsiTheme="minorEastAsia"/>
          <w:szCs w:val="21"/>
        </w:rPr>
      </w:pPr>
      <w:r>
        <w:rPr>
          <w:rFonts w:hint="eastAsia" w:asciiTheme="minorEastAsia" w:hAnsiTheme="minorEastAsia"/>
          <w:szCs w:val="21"/>
        </w:rPr>
        <w:t xml:space="preserve">项目名称：   </w:t>
      </w:r>
    </w:p>
    <w:p w14:paraId="223C6757">
      <w:pPr>
        <w:snapToGrid w:val="0"/>
        <w:spacing w:line="360" w:lineRule="auto"/>
        <w:rPr>
          <w:rFonts w:hAnsi="宋体" w:eastAsia="宋体"/>
          <w:b/>
          <w:snapToGrid w:val="0"/>
          <w:kern w:val="0"/>
          <w:szCs w:val="21"/>
        </w:rPr>
      </w:pPr>
    </w:p>
    <w:tbl>
      <w:tblPr>
        <w:tblStyle w:val="26"/>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14:paraId="56A3E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14:paraId="0FCA3C70">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14:paraId="2EBEEA9F">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14:paraId="6B5DB432">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14:paraId="12B8B6C6">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14:paraId="3E78C4D2">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14:paraId="44C90B72">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14:paraId="5E882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6C78E70C">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14:paraId="794D1E9D">
            <w:pPr>
              <w:pStyle w:val="7"/>
              <w:spacing w:line="360" w:lineRule="auto"/>
              <w:rPr>
                <w:rFonts w:ascii="宋体" w:hAnsi="宋体" w:eastAsia="宋体" w:cs="Times New Roman"/>
                <w:sz w:val="21"/>
                <w:szCs w:val="21"/>
              </w:rPr>
            </w:pPr>
          </w:p>
        </w:tc>
        <w:tc>
          <w:tcPr>
            <w:tcW w:w="3579" w:type="dxa"/>
            <w:vAlign w:val="center"/>
          </w:tcPr>
          <w:p w14:paraId="61C1604F">
            <w:pPr>
              <w:pStyle w:val="7"/>
              <w:spacing w:line="360" w:lineRule="auto"/>
              <w:rPr>
                <w:rFonts w:ascii="宋体" w:hAnsi="宋体" w:eastAsia="宋体" w:cs="Times New Roman"/>
                <w:sz w:val="21"/>
                <w:szCs w:val="21"/>
              </w:rPr>
            </w:pPr>
          </w:p>
        </w:tc>
        <w:tc>
          <w:tcPr>
            <w:tcW w:w="1440" w:type="dxa"/>
            <w:vAlign w:val="center"/>
          </w:tcPr>
          <w:p w14:paraId="14D63E3C">
            <w:pPr>
              <w:pStyle w:val="7"/>
              <w:spacing w:line="360" w:lineRule="auto"/>
              <w:rPr>
                <w:rFonts w:ascii="宋体" w:hAnsi="宋体" w:eastAsia="宋体" w:cs="Times New Roman"/>
                <w:sz w:val="21"/>
                <w:szCs w:val="21"/>
              </w:rPr>
            </w:pPr>
          </w:p>
        </w:tc>
        <w:tc>
          <w:tcPr>
            <w:tcW w:w="1706" w:type="dxa"/>
            <w:vAlign w:val="center"/>
          </w:tcPr>
          <w:p w14:paraId="23FA2F7D">
            <w:pPr>
              <w:pStyle w:val="7"/>
              <w:spacing w:line="360" w:lineRule="auto"/>
              <w:rPr>
                <w:rFonts w:ascii="宋体" w:hAnsi="宋体" w:eastAsia="宋体" w:cs="Times New Roman"/>
                <w:sz w:val="21"/>
                <w:szCs w:val="21"/>
              </w:rPr>
            </w:pPr>
          </w:p>
        </w:tc>
      </w:tr>
      <w:tr w14:paraId="401BC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3520869C">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14:paraId="730BE082">
            <w:pPr>
              <w:pStyle w:val="7"/>
              <w:spacing w:line="360" w:lineRule="auto"/>
              <w:rPr>
                <w:rFonts w:ascii="宋体" w:hAnsi="宋体" w:eastAsia="宋体" w:cs="Times New Roman"/>
                <w:sz w:val="21"/>
                <w:szCs w:val="21"/>
              </w:rPr>
            </w:pPr>
          </w:p>
        </w:tc>
        <w:tc>
          <w:tcPr>
            <w:tcW w:w="3579" w:type="dxa"/>
            <w:vAlign w:val="center"/>
          </w:tcPr>
          <w:p w14:paraId="744E0D1C">
            <w:pPr>
              <w:pStyle w:val="7"/>
              <w:spacing w:line="360" w:lineRule="auto"/>
              <w:rPr>
                <w:rFonts w:ascii="宋体" w:hAnsi="宋体" w:eastAsia="宋体" w:cs="Times New Roman"/>
                <w:sz w:val="21"/>
                <w:szCs w:val="21"/>
              </w:rPr>
            </w:pPr>
          </w:p>
        </w:tc>
        <w:tc>
          <w:tcPr>
            <w:tcW w:w="1440" w:type="dxa"/>
            <w:vAlign w:val="center"/>
          </w:tcPr>
          <w:p w14:paraId="3EF47861">
            <w:pPr>
              <w:pStyle w:val="7"/>
              <w:spacing w:line="360" w:lineRule="auto"/>
              <w:rPr>
                <w:rFonts w:ascii="宋体" w:hAnsi="宋体" w:eastAsia="宋体" w:cs="Times New Roman"/>
                <w:sz w:val="21"/>
                <w:szCs w:val="21"/>
              </w:rPr>
            </w:pPr>
          </w:p>
        </w:tc>
        <w:tc>
          <w:tcPr>
            <w:tcW w:w="1706" w:type="dxa"/>
            <w:vAlign w:val="center"/>
          </w:tcPr>
          <w:p w14:paraId="1B96C748">
            <w:pPr>
              <w:pStyle w:val="7"/>
              <w:spacing w:line="360" w:lineRule="auto"/>
              <w:rPr>
                <w:rFonts w:ascii="宋体" w:hAnsi="宋体" w:eastAsia="宋体" w:cs="Times New Roman"/>
                <w:sz w:val="21"/>
                <w:szCs w:val="21"/>
              </w:rPr>
            </w:pPr>
          </w:p>
        </w:tc>
      </w:tr>
      <w:tr w14:paraId="6AF78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411B45E3">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14:paraId="109BEBDB">
            <w:pPr>
              <w:pStyle w:val="7"/>
              <w:spacing w:line="360" w:lineRule="auto"/>
              <w:rPr>
                <w:rFonts w:ascii="宋体" w:hAnsi="宋体" w:eastAsia="宋体" w:cs="Times New Roman"/>
                <w:sz w:val="21"/>
                <w:szCs w:val="21"/>
              </w:rPr>
            </w:pPr>
          </w:p>
        </w:tc>
        <w:tc>
          <w:tcPr>
            <w:tcW w:w="3579" w:type="dxa"/>
            <w:vAlign w:val="center"/>
          </w:tcPr>
          <w:p w14:paraId="79CC58D5">
            <w:pPr>
              <w:pStyle w:val="7"/>
              <w:spacing w:line="360" w:lineRule="auto"/>
              <w:rPr>
                <w:rFonts w:ascii="宋体" w:hAnsi="宋体" w:eastAsia="宋体" w:cs="Times New Roman"/>
                <w:sz w:val="21"/>
                <w:szCs w:val="21"/>
              </w:rPr>
            </w:pPr>
          </w:p>
        </w:tc>
        <w:tc>
          <w:tcPr>
            <w:tcW w:w="1440" w:type="dxa"/>
            <w:vAlign w:val="center"/>
          </w:tcPr>
          <w:p w14:paraId="03AAB034">
            <w:pPr>
              <w:pStyle w:val="7"/>
              <w:spacing w:line="360" w:lineRule="auto"/>
              <w:rPr>
                <w:rFonts w:ascii="宋体" w:hAnsi="宋体" w:eastAsia="宋体" w:cs="Times New Roman"/>
                <w:sz w:val="21"/>
                <w:szCs w:val="21"/>
              </w:rPr>
            </w:pPr>
          </w:p>
        </w:tc>
        <w:tc>
          <w:tcPr>
            <w:tcW w:w="1706" w:type="dxa"/>
            <w:vAlign w:val="center"/>
          </w:tcPr>
          <w:p w14:paraId="22FFACD1">
            <w:pPr>
              <w:pStyle w:val="7"/>
              <w:spacing w:line="360" w:lineRule="auto"/>
              <w:rPr>
                <w:rFonts w:ascii="宋体" w:hAnsi="宋体" w:eastAsia="宋体" w:cs="Times New Roman"/>
                <w:sz w:val="21"/>
                <w:szCs w:val="21"/>
              </w:rPr>
            </w:pPr>
          </w:p>
        </w:tc>
      </w:tr>
      <w:tr w14:paraId="22E33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312A7EC7">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14:paraId="56932101">
            <w:pPr>
              <w:rPr>
                <w:rFonts w:ascii="宋体"/>
                <w:szCs w:val="21"/>
              </w:rPr>
            </w:pPr>
          </w:p>
        </w:tc>
        <w:tc>
          <w:tcPr>
            <w:tcW w:w="3579" w:type="dxa"/>
            <w:vAlign w:val="center"/>
          </w:tcPr>
          <w:p w14:paraId="021247E8">
            <w:pPr>
              <w:rPr>
                <w:rFonts w:ascii="宋体"/>
                <w:szCs w:val="21"/>
              </w:rPr>
            </w:pPr>
          </w:p>
        </w:tc>
        <w:tc>
          <w:tcPr>
            <w:tcW w:w="1440" w:type="dxa"/>
            <w:vAlign w:val="center"/>
          </w:tcPr>
          <w:p w14:paraId="1A865237">
            <w:pPr>
              <w:rPr>
                <w:rFonts w:ascii="宋体"/>
                <w:szCs w:val="21"/>
              </w:rPr>
            </w:pPr>
          </w:p>
        </w:tc>
        <w:tc>
          <w:tcPr>
            <w:tcW w:w="1706" w:type="dxa"/>
            <w:vAlign w:val="center"/>
          </w:tcPr>
          <w:p w14:paraId="7ACEC6C3">
            <w:pPr>
              <w:rPr>
                <w:rFonts w:ascii="宋体"/>
                <w:szCs w:val="21"/>
              </w:rPr>
            </w:pPr>
          </w:p>
        </w:tc>
      </w:tr>
      <w:tr w14:paraId="20F96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5BF9F015">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14:paraId="40EDB9DA">
            <w:pPr>
              <w:rPr>
                <w:rFonts w:ascii="宋体"/>
                <w:szCs w:val="21"/>
              </w:rPr>
            </w:pPr>
          </w:p>
        </w:tc>
        <w:tc>
          <w:tcPr>
            <w:tcW w:w="3579" w:type="dxa"/>
            <w:vAlign w:val="center"/>
          </w:tcPr>
          <w:p w14:paraId="2ABF41EF">
            <w:pPr>
              <w:rPr>
                <w:rFonts w:ascii="宋体"/>
                <w:szCs w:val="21"/>
              </w:rPr>
            </w:pPr>
          </w:p>
        </w:tc>
        <w:tc>
          <w:tcPr>
            <w:tcW w:w="1440" w:type="dxa"/>
            <w:vAlign w:val="center"/>
          </w:tcPr>
          <w:p w14:paraId="69F8447E">
            <w:pPr>
              <w:rPr>
                <w:rFonts w:ascii="宋体"/>
                <w:szCs w:val="21"/>
              </w:rPr>
            </w:pPr>
          </w:p>
        </w:tc>
        <w:tc>
          <w:tcPr>
            <w:tcW w:w="1706" w:type="dxa"/>
            <w:vAlign w:val="center"/>
          </w:tcPr>
          <w:p w14:paraId="07442F2A">
            <w:pPr>
              <w:rPr>
                <w:rFonts w:ascii="宋体"/>
                <w:szCs w:val="21"/>
              </w:rPr>
            </w:pPr>
          </w:p>
        </w:tc>
      </w:tr>
    </w:tbl>
    <w:p w14:paraId="1568E512">
      <w:pPr>
        <w:autoSpaceDE w:val="0"/>
        <w:autoSpaceDN w:val="0"/>
        <w:adjustRightInd w:val="0"/>
        <w:spacing w:line="480" w:lineRule="auto"/>
        <w:rPr>
          <w:rFonts w:cs="宋体" w:asciiTheme="minorEastAsia" w:hAnsiTheme="minorEastAsia"/>
          <w:szCs w:val="21"/>
          <w:lang w:val="zh-CN"/>
        </w:rPr>
      </w:pPr>
    </w:p>
    <w:p w14:paraId="44E95380">
      <w:pPr>
        <w:spacing w:line="480" w:lineRule="auto"/>
        <w:ind w:firstLine="4357" w:firstLineChars="2075"/>
        <w:rPr>
          <w:rFonts w:cs="Arial" w:asciiTheme="minorEastAsia" w:hAnsiTheme="minorEastAsia"/>
          <w:szCs w:val="21"/>
        </w:rPr>
      </w:pPr>
      <w:r>
        <w:rPr>
          <w:rFonts w:hint="eastAsia" w:cs="宋体" w:asciiTheme="minorEastAsia" w:hAnsiTheme="minorEastAsia"/>
          <w:szCs w:val="21"/>
          <w:lang w:val="zh-CN"/>
        </w:rPr>
        <w:t>供应商名称（</w:t>
      </w:r>
      <w:r>
        <w:rPr>
          <w:rFonts w:hint="eastAsia" w:cs="Arial" w:asciiTheme="minorEastAsia" w:hAnsiTheme="minorEastAsia"/>
          <w:szCs w:val="21"/>
        </w:rPr>
        <w:t>并加盖公章</w:t>
      </w:r>
      <w:r>
        <w:rPr>
          <w:rFonts w:hint="eastAsia" w:cs="宋体" w:asciiTheme="minorEastAsia" w:hAnsiTheme="minorEastAsia"/>
          <w:szCs w:val="21"/>
          <w:lang w:val="zh-CN"/>
        </w:rPr>
        <w:t>）：</w:t>
      </w:r>
      <w:r>
        <w:rPr>
          <w:rFonts w:hint="eastAsia" w:cs="Arial" w:asciiTheme="minorEastAsia" w:hAnsiTheme="minorEastAsia"/>
          <w:szCs w:val="21"/>
        </w:rPr>
        <w:t>　　　　　　　　　</w:t>
      </w:r>
    </w:p>
    <w:p w14:paraId="10DA74A6">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日　  期：      年    月    日</w:t>
      </w:r>
    </w:p>
    <w:p w14:paraId="44905D04">
      <w:pPr>
        <w:autoSpaceDE w:val="0"/>
        <w:autoSpaceDN w:val="0"/>
        <w:adjustRightInd w:val="0"/>
        <w:spacing w:line="480" w:lineRule="auto"/>
        <w:rPr>
          <w:rFonts w:cs="宋体" w:asciiTheme="minorEastAsia" w:hAnsiTheme="minorEastAsia"/>
          <w:sz w:val="24"/>
          <w:szCs w:val="24"/>
          <w:lang w:val="zh-CN"/>
        </w:rPr>
      </w:pPr>
    </w:p>
    <w:p w14:paraId="69327E51">
      <w:pPr>
        <w:autoSpaceDE w:val="0"/>
        <w:autoSpaceDN w:val="0"/>
        <w:adjustRightInd w:val="0"/>
        <w:spacing w:line="360" w:lineRule="auto"/>
        <w:jc w:val="center"/>
        <w:outlineLvl w:val="9"/>
        <w:rPr>
          <w:rFonts w:ascii="宋体" w:hAnsi="宋体"/>
          <w:b/>
          <w:bCs/>
          <w:sz w:val="24"/>
          <w:szCs w:val="24"/>
        </w:rPr>
      </w:pPr>
    </w:p>
    <w:p w14:paraId="665A5C69">
      <w:pPr>
        <w:autoSpaceDE w:val="0"/>
        <w:autoSpaceDN w:val="0"/>
        <w:adjustRightInd w:val="0"/>
        <w:spacing w:line="360" w:lineRule="auto"/>
        <w:jc w:val="center"/>
        <w:outlineLvl w:val="9"/>
        <w:rPr>
          <w:rFonts w:ascii="宋体" w:hAnsi="宋体"/>
          <w:b/>
          <w:bCs/>
          <w:sz w:val="24"/>
          <w:szCs w:val="24"/>
        </w:rPr>
      </w:pPr>
    </w:p>
    <w:p w14:paraId="4A3E64F2">
      <w:pPr>
        <w:autoSpaceDE w:val="0"/>
        <w:autoSpaceDN w:val="0"/>
        <w:adjustRightInd w:val="0"/>
        <w:spacing w:line="360" w:lineRule="auto"/>
        <w:jc w:val="center"/>
        <w:outlineLvl w:val="9"/>
        <w:rPr>
          <w:rFonts w:ascii="宋体" w:hAnsi="宋体"/>
          <w:b/>
          <w:bCs/>
          <w:sz w:val="24"/>
          <w:szCs w:val="24"/>
        </w:rPr>
      </w:pPr>
    </w:p>
    <w:p w14:paraId="7705DB6D">
      <w:pPr>
        <w:autoSpaceDE w:val="0"/>
        <w:autoSpaceDN w:val="0"/>
        <w:adjustRightInd w:val="0"/>
        <w:spacing w:line="360" w:lineRule="auto"/>
        <w:jc w:val="center"/>
        <w:outlineLvl w:val="9"/>
        <w:rPr>
          <w:rFonts w:ascii="宋体" w:hAnsi="宋体"/>
          <w:b/>
          <w:bCs/>
          <w:sz w:val="24"/>
          <w:szCs w:val="24"/>
        </w:rPr>
      </w:pPr>
    </w:p>
    <w:p w14:paraId="0DE51E51">
      <w:pPr>
        <w:autoSpaceDE w:val="0"/>
        <w:autoSpaceDN w:val="0"/>
        <w:adjustRightInd w:val="0"/>
        <w:spacing w:line="360" w:lineRule="auto"/>
        <w:jc w:val="center"/>
        <w:outlineLvl w:val="9"/>
        <w:rPr>
          <w:rFonts w:ascii="宋体" w:hAnsi="宋体"/>
          <w:b/>
          <w:bCs/>
          <w:sz w:val="24"/>
          <w:szCs w:val="24"/>
        </w:rPr>
      </w:pPr>
    </w:p>
    <w:p w14:paraId="6FFAFFAE">
      <w:pPr>
        <w:autoSpaceDE w:val="0"/>
        <w:autoSpaceDN w:val="0"/>
        <w:adjustRightInd w:val="0"/>
        <w:spacing w:line="360" w:lineRule="auto"/>
        <w:jc w:val="center"/>
        <w:outlineLvl w:val="9"/>
        <w:rPr>
          <w:rFonts w:ascii="宋体" w:hAnsi="宋体"/>
          <w:b/>
          <w:bCs/>
          <w:sz w:val="24"/>
          <w:szCs w:val="24"/>
        </w:rPr>
      </w:pPr>
    </w:p>
    <w:p w14:paraId="02DC3D7C">
      <w:pPr>
        <w:autoSpaceDE w:val="0"/>
        <w:autoSpaceDN w:val="0"/>
        <w:adjustRightInd w:val="0"/>
        <w:spacing w:line="360" w:lineRule="auto"/>
        <w:jc w:val="center"/>
        <w:outlineLvl w:val="9"/>
        <w:rPr>
          <w:rFonts w:ascii="宋体" w:hAnsi="宋体"/>
          <w:b/>
          <w:bCs/>
          <w:sz w:val="24"/>
          <w:szCs w:val="24"/>
        </w:rPr>
      </w:pPr>
    </w:p>
    <w:p w14:paraId="1780DC05">
      <w:pPr>
        <w:autoSpaceDE w:val="0"/>
        <w:autoSpaceDN w:val="0"/>
        <w:adjustRightInd w:val="0"/>
        <w:spacing w:line="360" w:lineRule="auto"/>
        <w:jc w:val="center"/>
        <w:outlineLvl w:val="9"/>
        <w:rPr>
          <w:rFonts w:ascii="宋体" w:hAnsi="宋体"/>
          <w:b/>
          <w:bCs/>
          <w:sz w:val="24"/>
          <w:szCs w:val="24"/>
        </w:rPr>
      </w:pPr>
    </w:p>
    <w:p w14:paraId="10BE146A">
      <w:pPr>
        <w:rPr>
          <w:rFonts w:hint="eastAsia" w:ascii="宋体" w:hAnsi="宋体"/>
          <w:b/>
          <w:bCs/>
          <w:sz w:val="24"/>
          <w:szCs w:val="24"/>
        </w:rPr>
      </w:pPr>
      <w:r>
        <w:rPr>
          <w:rFonts w:hint="eastAsia" w:ascii="宋体" w:hAnsi="宋体"/>
          <w:b/>
          <w:bCs/>
          <w:sz w:val="24"/>
          <w:szCs w:val="24"/>
        </w:rPr>
        <w:br w:type="page"/>
      </w:r>
    </w:p>
    <w:p w14:paraId="6BD8AB17">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4.5 售后服务方案</w:t>
      </w:r>
    </w:p>
    <w:p w14:paraId="383956FF">
      <w:pPr>
        <w:autoSpaceDE w:val="0"/>
        <w:autoSpaceDN w:val="0"/>
        <w:adjustRightInd w:val="0"/>
        <w:spacing w:line="360" w:lineRule="auto"/>
        <w:jc w:val="center"/>
        <w:outlineLvl w:val="9"/>
        <w:rPr>
          <w:rFonts w:ascii="宋体" w:hAnsi="宋体"/>
          <w:b/>
          <w:bCs/>
          <w:sz w:val="36"/>
          <w:szCs w:val="36"/>
        </w:rPr>
      </w:pPr>
    </w:p>
    <w:p w14:paraId="17EDFA2C">
      <w:pPr>
        <w:autoSpaceDE w:val="0"/>
        <w:autoSpaceDN w:val="0"/>
        <w:adjustRightInd w:val="0"/>
        <w:spacing w:line="360" w:lineRule="auto"/>
        <w:jc w:val="center"/>
        <w:outlineLvl w:val="9"/>
        <w:rPr>
          <w:rFonts w:ascii="宋体" w:hAnsi="宋体"/>
          <w:b/>
          <w:bCs/>
          <w:sz w:val="36"/>
          <w:szCs w:val="36"/>
        </w:rPr>
      </w:pPr>
    </w:p>
    <w:p w14:paraId="1A02D72C">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（供应商根据招标文件要求自行编制）</w:t>
      </w:r>
    </w:p>
    <w:p w14:paraId="44BEB430">
      <w:pPr>
        <w:autoSpaceDE w:val="0"/>
        <w:autoSpaceDN w:val="0"/>
        <w:adjustRightInd w:val="0"/>
        <w:spacing w:line="360" w:lineRule="auto"/>
        <w:jc w:val="center"/>
        <w:outlineLvl w:val="9"/>
        <w:rPr>
          <w:rFonts w:ascii="宋体" w:hAnsi="宋体"/>
          <w:b/>
          <w:bCs/>
          <w:sz w:val="36"/>
          <w:szCs w:val="36"/>
        </w:rPr>
      </w:pPr>
    </w:p>
    <w:p w14:paraId="33A8B3E9">
      <w:pPr>
        <w:autoSpaceDE w:val="0"/>
        <w:autoSpaceDN w:val="0"/>
        <w:adjustRightInd w:val="0"/>
        <w:spacing w:line="360" w:lineRule="auto"/>
        <w:jc w:val="center"/>
        <w:outlineLvl w:val="9"/>
        <w:rPr>
          <w:rFonts w:ascii="宋体" w:hAnsi="宋体"/>
          <w:b/>
          <w:bCs/>
          <w:sz w:val="36"/>
          <w:szCs w:val="36"/>
        </w:rPr>
      </w:pPr>
    </w:p>
    <w:p w14:paraId="28A30A94">
      <w:pPr>
        <w:autoSpaceDE w:val="0"/>
        <w:autoSpaceDN w:val="0"/>
        <w:adjustRightInd w:val="0"/>
        <w:spacing w:line="360" w:lineRule="auto"/>
        <w:jc w:val="center"/>
        <w:outlineLvl w:val="9"/>
        <w:rPr>
          <w:rFonts w:ascii="宋体" w:hAnsi="宋体"/>
          <w:b/>
          <w:bCs/>
          <w:sz w:val="36"/>
          <w:szCs w:val="36"/>
        </w:rPr>
      </w:pPr>
    </w:p>
    <w:p w14:paraId="5D2AE75B">
      <w:pPr>
        <w:autoSpaceDE w:val="0"/>
        <w:autoSpaceDN w:val="0"/>
        <w:adjustRightInd w:val="0"/>
        <w:spacing w:line="360" w:lineRule="auto"/>
        <w:jc w:val="center"/>
        <w:outlineLvl w:val="9"/>
        <w:rPr>
          <w:rFonts w:ascii="宋体" w:hAnsi="宋体"/>
          <w:b/>
          <w:bCs/>
          <w:sz w:val="36"/>
          <w:szCs w:val="36"/>
        </w:rPr>
      </w:pPr>
    </w:p>
    <w:p w14:paraId="3EFB8A23">
      <w:pPr>
        <w:autoSpaceDE w:val="0"/>
        <w:autoSpaceDN w:val="0"/>
        <w:adjustRightInd w:val="0"/>
        <w:spacing w:line="360" w:lineRule="auto"/>
        <w:jc w:val="center"/>
        <w:outlineLvl w:val="9"/>
        <w:rPr>
          <w:rFonts w:ascii="宋体" w:hAnsi="宋体"/>
          <w:b/>
          <w:bCs/>
          <w:sz w:val="36"/>
          <w:szCs w:val="36"/>
        </w:rPr>
      </w:pPr>
    </w:p>
    <w:p w14:paraId="722B82B3">
      <w:pPr>
        <w:autoSpaceDE w:val="0"/>
        <w:autoSpaceDN w:val="0"/>
        <w:adjustRightInd w:val="0"/>
        <w:spacing w:line="360" w:lineRule="auto"/>
        <w:jc w:val="center"/>
        <w:outlineLvl w:val="9"/>
        <w:rPr>
          <w:rFonts w:ascii="宋体" w:hAnsi="宋体"/>
          <w:b/>
          <w:bCs/>
          <w:sz w:val="36"/>
          <w:szCs w:val="36"/>
        </w:rPr>
      </w:pPr>
    </w:p>
    <w:p w14:paraId="70D82C59">
      <w:pPr>
        <w:autoSpaceDE w:val="0"/>
        <w:autoSpaceDN w:val="0"/>
        <w:adjustRightInd w:val="0"/>
        <w:spacing w:line="360" w:lineRule="auto"/>
        <w:jc w:val="center"/>
        <w:outlineLvl w:val="9"/>
        <w:rPr>
          <w:rFonts w:ascii="宋体" w:hAnsi="宋体"/>
          <w:b/>
          <w:bCs/>
          <w:sz w:val="36"/>
          <w:szCs w:val="36"/>
        </w:rPr>
      </w:pPr>
    </w:p>
    <w:p w14:paraId="48767B33">
      <w:pPr>
        <w:autoSpaceDE w:val="0"/>
        <w:autoSpaceDN w:val="0"/>
        <w:adjustRightInd w:val="0"/>
        <w:spacing w:line="360" w:lineRule="auto"/>
        <w:jc w:val="center"/>
        <w:outlineLvl w:val="9"/>
        <w:rPr>
          <w:rFonts w:ascii="宋体" w:hAnsi="宋体"/>
          <w:b/>
          <w:bCs/>
          <w:sz w:val="36"/>
          <w:szCs w:val="36"/>
        </w:rPr>
      </w:pPr>
    </w:p>
    <w:p w14:paraId="645D2ED6">
      <w:pPr>
        <w:autoSpaceDE w:val="0"/>
        <w:autoSpaceDN w:val="0"/>
        <w:adjustRightInd w:val="0"/>
        <w:spacing w:line="360" w:lineRule="auto"/>
        <w:jc w:val="center"/>
        <w:outlineLvl w:val="9"/>
        <w:rPr>
          <w:rFonts w:ascii="宋体" w:hAnsi="宋体"/>
          <w:b/>
          <w:bCs/>
          <w:sz w:val="36"/>
          <w:szCs w:val="36"/>
        </w:rPr>
      </w:pPr>
    </w:p>
    <w:p w14:paraId="3504D775">
      <w:pPr>
        <w:autoSpaceDE w:val="0"/>
        <w:autoSpaceDN w:val="0"/>
        <w:adjustRightInd w:val="0"/>
        <w:spacing w:line="360" w:lineRule="auto"/>
        <w:jc w:val="center"/>
        <w:outlineLvl w:val="9"/>
        <w:rPr>
          <w:rFonts w:ascii="宋体" w:hAnsi="宋体"/>
          <w:b/>
          <w:bCs/>
          <w:sz w:val="36"/>
          <w:szCs w:val="36"/>
        </w:rPr>
      </w:pPr>
    </w:p>
    <w:p w14:paraId="236EEBFD">
      <w:pPr>
        <w:autoSpaceDE w:val="0"/>
        <w:autoSpaceDN w:val="0"/>
        <w:adjustRightInd w:val="0"/>
        <w:spacing w:line="360" w:lineRule="auto"/>
        <w:jc w:val="center"/>
        <w:outlineLvl w:val="9"/>
        <w:rPr>
          <w:rFonts w:ascii="宋体" w:hAnsi="宋体"/>
          <w:b/>
          <w:bCs/>
          <w:sz w:val="36"/>
          <w:szCs w:val="36"/>
        </w:rPr>
      </w:pPr>
    </w:p>
    <w:p w14:paraId="5EC0885C">
      <w:pPr>
        <w:autoSpaceDE w:val="0"/>
        <w:autoSpaceDN w:val="0"/>
        <w:adjustRightInd w:val="0"/>
        <w:spacing w:line="360" w:lineRule="auto"/>
        <w:jc w:val="center"/>
        <w:outlineLvl w:val="9"/>
        <w:rPr>
          <w:rFonts w:ascii="宋体" w:hAnsi="宋体"/>
          <w:b/>
          <w:bCs/>
          <w:sz w:val="36"/>
          <w:szCs w:val="36"/>
        </w:rPr>
      </w:pPr>
    </w:p>
    <w:p w14:paraId="0E12EE15">
      <w:pPr>
        <w:autoSpaceDE w:val="0"/>
        <w:autoSpaceDN w:val="0"/>
        <w:adjustRightInd w:val="0"/>
        <w:spacing w:line="360" w:lineRule="auto"/>
        <w:jc w:val="center"/>
        <w:outlineLvl w:val="9"/>
        <w:rPr>
          <w:rFonts w:ascii="宋体" w:hAnsi="宋体"/>
          <w:b/>
          <w:bCs/>
          <w:sz w:val="36"/>
          <w:szCs w:val="36"/>
        </w:rPr>
      </w:pPr>
    </w:p>
    <w:p w14:paraId="5C4B111D">
      <w:pPr>
        <w:autoSpaceDE w:val="0"/>
        <w:autoSpaceDN w:val="0"/>
        <w:adjustRightInd w:val="0"/>
        <w:spacing w:line="360" w:lineRule="auto"/>
        <w:jc w:val="center"/>
        <w:outlineLvl w:val="9"/>
        <w:rPr>
          <w:rFonts w:ascii="宋体" w:hAnsi="宋体"/>
          <w:b/>
          <w:bCs/>
          <w:sz w:val="36"/>
          <w:szCs w:val="36"/>
        </w:rPr>
      </w:pPr>
    </w:p>
    <w:p w14:paraId="3E625037">
      <w:pPr>
        <w:autoSpaceDE w:val="0"/>
        <w:autoSpaceDN w:val="0"/>
        <w:adjustRightInd w:val="0"/>
        <w:spacing w:line="360" w:lineRule="auto"/>
        <w:jc w:val="center"/>
        <w:outlineLvl w:val="9"/>
        <w:rPr>
          <w:rFonts w:ascii="宋体" w:hAnsi="宋体"/>
          <w:b/>
          <w:bCs/>
          <w:sz w:val="36"/>
          <w:szCs w:val="36"/>
        </w:rPr>
      </w:pPr>
    </w:p>
    <w:p w14:paraId="75FCC4B4">
      <w:pPr>
        <w:autoSpaceDE w:val="0"/>
        <w:autoSpaceDN w:val="0"/>
        <w:adjustRightInd w:val="0"/>
        <w:spacing w:line="360" w:lineRule="auto"/>
        <w:jc w:val="center"/>
        <w:outlineLvl w:val="9"/>
        <w:rPr>
          <w:rFonts w:ascii="宋体" w:hAnsi="宋体"/>
          <w:b/>
          <w:bCs/>
          <w:sz w:val="36"/>
          <w:szCs w:val="36"/>
        </w:rPr>
      </w:pPr>
    </w:p>
    <w:p w14:paraId="322234D4">
      <w:pPr>
        <w:autoSpaceDE w:val="0"/>
        <w:autoSpaceDN w:val="0"/>
        <w:adjustRightInd w:val="0"/>
        <w:spacing w:line="360" w:lineRule="auto"/>
        <w:jc w:val="center"/>
        <w:outlineLvl w:val="9"/>
        <w:rPr>
          <w:rFonts w:ascii="宋体" w:hAnsi="宋体"/>
          <w:b/>
          <w:bCs/>
          <w:sz w:val="36"/>
          <w:szCs w:val="36"/>
        </w:rPr>
      </w:pPr>
    </w:p>
    <w:p w14:paraId="1C87D05F">
      <w:pPr>
        <w:rPr>
          <w:rFonts w:hint="eastAsia" w:ascii="宋体" w:hAnsi="宋体"/>
          <w:b/>
          <w:bCs/>
          <w:sz w:val="24"/>
          <w:szCs w:val="24"/>
        </w:rPr>
      </w:pPr>
      <w:r>
        <w:rPr>
          <w:rFonts w:hint="eastAsia" w:ascii="宋体" w:hAnsi="宋体"/>
          <w:b/>
          <w:bCs/>
          <w:sz w:val="24"/>
          <w:szCs w:val="24"/>
        </w:rPr>
        <w:br w:type="page"/>
      </w:r>
    </w:p>
    <w:p w14:paraId="534FF622">
      <w:pPr>
        <w:autoSpaceDE w:val="0"/>
        <w:autoSpaceDN w:val="0"/>
        <w:adjustRightInd w:val="0"/>
        <w:spacing w:line="360" w:lineRule="auto"/>
        <w:jc w:val="center"/>
        <w:outlineLvl w:val="2"/>
        <w:rPr>
          <w:rFonts w:hint="eastAsia" w:ascii="宋体" w:hAnsi="宋体"/>
          <w:b/>
          <w:bCs/>
          <w:sz w:val="24"/>
          <w:szCs w:val="24"/>
        </w:rPr>
      </w:pPr>
      <w:r>
        <w:rPr>
          <w:rFonts w:hint="eastAsia" w:ascii="宋体" w:hAnsi="宋体"/>
          <w:b/>
          <w:bCs/>
          <w:sz w:val="24"/>
          <w:szCs w:val="24"/>
        </w:rPr>
        <w:t>4.6.6 拟派人员配备情况表</w:t>
      </w:r>
    </w:p>
    <w:p w14:paraId="39D32F24">
      <w:pPr>
        <w:autoSpaceDE w:val="0"/>
        <w:autoSpaceDN w:val="0"/>
        <w:adjustRightInd w:val="0"/>
        <w:spacing w:line="360" w:lineRule="auto"/>
        <w:jc w:val="center"/>
        <w:outlineLvl w:val="2"/>
        <w:rPr>
          <w:rFonts w:ascii="宋体" w:hAnsi="宋体"/>
          <w:b/>
          <w:bCs/>
          <w:sz w:val="24"/>
          <w:szCs w:val="24"/>
        </w:rPr>
      </w:pPr>
    </w:p>
    <w:p w14:paraId="1C5D9927">
      <w:pPr>
        <w:autoSpaceDE w:val="0"/>
        <w:autoSpaceDN w:val="0"/>
        <w:adjustRightInd w:val="0"/>
        <w:spacing w:line="360" w:lineRule="auto"/>
        <w:jc w:val="center"/>
        <w:outlineLvl w:val="9"/>
        <w:rPr>
          <w:rFonts w:ascii="宋体" w:hAnsi="宋体"/>
          <w:b/>
          <w:bCs/>
          <w:sz w:val="28"/>
          <w:szCs w:val="28"/>
        </w:rPr>
      </w:pPr>
    </w:p>
    <w:p w14:paraId="1353A4E8">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05D51881">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14:paraId="30068D92">
      <w:pPr>
        <w:tabs>
          <w:tab w:val="left" w:pos="1800"/>
          <w:tab w:val="left" w:pos="5580"/>
        </w:tabs>
        <w:spacing w:line="360" w:lineRule="auto"/>
        <w:rPr>
          <w:rFonts w:ascii="宋体" w:hAnsi="宋体"/>
          <w:szCs w:val="21"/>
        </w:rPr>
      </w:pPr>
    </w:p>
    <w:tbl>
      <w:tblPr>
        <w:tblStyle w:val="26"/>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373"/>
        <w:gridCol w:w="1034"/>
        <w:gridCol w:w="2405"/>
        <w:gridCol w:w="1233"/>
        <w:gridCol w:w="1342"/>
        <w:gridCol w:w="1417"/>
      </w:tblGrid>
      <w:tr w14:paraId="112EF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19" w:type="dxa"/>
            <w:shd w:val="clear" w:color="auto" w:fill="F1F1F1" w:themeFill="background1" w:themeFillShade="F2"/>
            <w:vAlign w:val="center"/>
          </w:tcPr>
          <w:p w14:paraId="4EEF8DC7">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3" w:type="dxa"/>
            <w:shd w:val="clear" w:color="auto" w:fill="F1F1F1" w:themeFill="background1" w:themeFillShade="F2"/>
            <w:vAlign w:val="center"/>
          </w:tcPr>
          <w:p w14:paraId="61A9B335">
            <w:pPr>
              <w:pStyle w:val="7"/>
              <w:jc w:val="center"/>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姓名</w:t>
            </w:r>
          </w:p>
        </w:tc>
        <w:tc>
          <w:tcPr>
            <w:tcW w:w="1034" w:type="dxa"/>
            <w:shd w:val="clear" w:color="auto" w:fill="F1F1F1" w:themeFill="background1" w:themeFillShade="F2"/>
            <w:vAlign w:val="center"/>
          </w:tcPr>
          <w:p w14:paraId="241C64A3">
            <w:pPr>
              <w:pStyle w:val="7"/>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年龄</w:t>
            </w:r>
          </w:p>
        </w:tc>
        <w:tc>
          <w:tcPr>
            <w:tcW w:w="2405" w:type="dxa"/>
            <w:shd w:val="clear" w:color="auto" w:fill="F1F1F1" w:themeFill="background1" w:themeFillShade="F2"/>
            <w:vAlign w:val="center"/>
          </w:tcPr>
          <w:p w14:paraId="5B1834E6">
            <w:pPr>
              <w:pStyle w:val="7"/>
              <w:jc w:val="center"/>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身份证号</w:t>
            </w:r>
          </w:p>
        </w:tc>
        <w:tc>
          <w:tcPr>
            <w:tcW w:w="1233" w:type="dxa"/>
            <w:shd w:val="clear" w:color="auto" w:fill="F1F1F1" w:themeFill="background1" w:themeFillShade="F2"/>
            <w:vAlign w:val="center"/>
          </w:tcPr>
          <w:p w14:paraId="6D5EBEBA">
            <w:pPr>
              <w:pStyle w:val="7"/>
              <w:jc w:val="center"/>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学历</w:t>
            </w:r>
          </w:p>
        </w:tc>
        <w:tc>
          <w:tcPr>
            <w:tcW w:w="1342" w:type="dxa"/>
            <w:shd w:val="clear" w:color="auto" w:fill="F1F1F1" w:themeFill="background1" w:themeFillShade="F2"/>
            <w:vAlign w:val="center"/>
          </w:tcPr>
          <w:p w14:paraId="1E8D6E3B">
            <w:pPr>
              <w:pStyle w:val="7"/>
              <w:jc w:val="center"/>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专业</w:t>
            </w:r>
          </w:p>
        </w:tc>
        <w:tc>
          <w:tcPr>
            <w:tcW w:w="1417" w:type="dxa"/>
            <w:shd w:val="clear" w:color="auto" w:fill="F1F1F1" w:themeFill="background1" w:themeFillShade="F2"/>
            <w:vAlign w:val="center"/>
          </w:tcPr>
          <w:p w14:paraId="04FEF71F">
            <w:pPr>
              <w:pStyle w:val="7"/>
              <w:jc w:val="center"/>
              <w:rPr>
                <w:rFonts w:ascii="宋体" w:hAnsi="宋体" w:eastAsia="宋体" w:cs="宋体"/>
                <w:b/>
                <w:bCs/>
                <w:sz w:val="21"/>
                <w:szCs w:val="21"/>
              </w:rPr>
            </w:pPr>
            <w:r>
              <w:rPr>
                <w:rFonts w:ascii="宋体" w:hAnsi="宋体" w:eastAsia="宋体" w:cs="宋体"/>
                <w:b/>
                <w:bCs/>
                <w:sz w:val="21"/>
                <w:szCs w:val="21"/>
              </w:rPr>
              <w:t>在本项目拟</w:t>
            </w:r>
          </w:p>
          <w:p w14:paraId="5C949411">
            <w:pPr>
              <w:pStyle w:val="7"/>
              <w:jc w:val="center"/>
              <w:rPr>
                <w:rFonts w:ascii="宋体" w:hAnsi="宋体" w:eastAsia="宋体" w:cs="宋体"/>
                <w:b/>
                <w:bCs/>
                <w:sz w:val="21"/>
                <w:szCs w:val="21"/>
              </w:rPr>
            </w:pPr>
            <w:r>
              <w:rPr>
                <w:rFonts w:ascii="宋体" w:hAnsi="宋体" w:eastAsia="宋体" w:cs="宋体"/>
                <w:b/>
                <w:bCs/>
                <w:sz w:val="21"/>
                <w:szCs w:val="21"/>
              </w:rPr>
              <w:t>任职务</w:t>
            </w:r>
          </w:p>
        </w:tc>
      </w:tr>
      <w:tr w14:paraId="69A40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19" w:type="dxa"/>
            <w:vAlign w:val="center"/>
          </w:tcPr>
          <w:p w14:paraId="563E8A3F">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3" w:type="dxa"/>
            <w:vAlign w:val="center"/>
          </w:tcPr>
          <w:p w14:paraId="605B5688">
            <w:pPr>
              <w:pStyle w:val="7"/>
              <w:spacing w:line="360" w:lineRule="auto"/>
              <w:rPr>
                <w:rFonts w:ascii="宋体" w:hAnsi="宋体" w:eastAsia="宋体" w:cs="Times New Roman"/>
                <w:sz w:val="21"/>
                <w:szCs w:val="21"/>
              </w:rPr>
            </w:pPr>
          </w:p>
        </w:tc>
        <w:tc>
          <w:tcPr>
            <w:tcW w:w="1034" w:type="dxa"/>
            <w:vAlign w:val="center"/>
          </w:tcPr>
          <w:p w14:paraId="48D42EBB">
            <w:pPr>
              <w:pStyle w:val="7"/>
              <w:spacing w:line="360" w:lineRule="auto"/>
              <w:rPr>
                <w:rFonts w:ascii="宋体" w:hAnsi="宋体" w:eastAsia="宋体" w:cs="Times New Roman"/>
                <w:sz w:val="21"/>
                <w:szCs w:val="21"/>
              </w:rPr>
            </w:pPr>
          </w:p>
        </w:tc>
        <w:tc>
          <w:tcPr>
            <w:tcW w:w="2405" w:type="dxa"/>
          </w:tcPr>
          <w:p w14:paraId="6BC71A58">
            <w:pPr>
              <w:pStyle w:val="7"/>
              <w:spacing w:line="360" w:lineRule="auto"/>
              <w:rPr>
                <w:rFonts w:ascii="宋体" w:hAnsi="宋体" w:eastAsia="宋体" w:cs="Times New Roman"/>
                <w:sz w:val="21"/>
                <w:szCs w:val="21"/>
              </w:rPr>
            </w:pPr>
          </w:p>
        </w:tc>
        <w:tc>
          <w:tcPr>
            <w:tcW w:w="1233" w:type="dxa"/>
          </w:tcPr>
          <w:p w14:paraId="5B0D0783">
            <w:pPr>
              <w:pStyle w:val="7"/>
              <w:spacing w:line="360" w:lineRule="auto"/>
              <w:rPr>
                <w:rFonts w:ascii="宋体" w:hAnsi="宋体" w:eastAsia="宋体" w:cs="Times New Roman"/>
                <w:sz w:val="21"/>
                <w:szCs w:val="21"/>
              </w:rPr>
            </w:pPr>
          </w:p>
        </w:tc>
        <w:tc>
          <w:tcPr>
            <w:tcW w:w="1342" w:type="dxa"/>
          </w:tcPr>
          <w:p w14:paraId="51232A0D">
            <w:pPr>
              <w:pStyle w:val="7"/>
              <w:spacing w:line="360" w:lineRule="auto"/>
              <w:rPr>
                <w:rFonts w:ascii="宋体" w:hAnsi="宋体" w:eastAsia="宋体" w:cs="Times New Roman"/>
                <w:sz w:val="21"/>
                <w:szCs w:val="21"/>
              </w:rPr>
            </w:pPr>
          </w:p>
        </w:tc>
        <w:tc>
          <w:tcPr>
            <w:tcW w:w="1417" w:type="dxa"/>
          </w:tcPr>
          <w:p w14:paraId="2715FEE3">
            <w:pPr>
              <w:pStyle w:val="7"/>
              <w:spacing w:line="360" w:lineRule="auto"/>
              <w:rPr>
                <w:rFonts w:ascii="宋体" w:hAnsi="宋体" w:eastAsia="宋体" w:cs="Times New Roman"/>
                <w:sz w:val="21"/>
                <w:szCs w:val="21"/>
              </w:rPr>
            </w:pPr>
          </w:p>
        </w:tc>
      </w:tr>
      <w:tr w14:paraId="28FC5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19" w:type="dxa"/>
            <w:vAlign w:val="center"/>
          </w:tcPr>
          <w:p w14:paraId="0B783C7F">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3" w:type="dxa"/>
            <w:vAlign w:val="center"/>
          </w:tcPr>
          <w:p w14:paraId="60E0590C">
            <w:pPr>
              <w:pStyle w:val="7"/>
              <w:spacing w:line="360" w:lineRule="auto"/>
              <w:rPr>
                <w:rFonts w:ascii="宋体" w:hAnsi="宋体" w:eastAsia="宋体" w:cs="Times New Roman"/>
                <w:sz w:val="21"/>
                <w:szCs w:val="21"/>
              </w:rPr>
            </w:pPr>
          </w:p>
        </w:tc>
        <w:tc>
          <w:tcPr>
            <w:tcW w:w="1034" w:type="dxa"/>
            <w:vAlign w:val="center"/>
          </w:tcPr>
          <w:p w14:paraId="35A0CDC3">
            <w:pPr>
              <w:pStyle w:val="7"/>
              <w:spacing w:line="360" w:lineRule="auto"/>
              <w:rPr>
                <w:rFonts w:ascii="宋体" w:hAnsi="宋体" w:eastAsia="宋体" w:cs="Times New Roman"/>
                <w:sz w:val="21"/>
                <w:szCs w:val="21"/>
              </w:rPr>
            </w:pPr>
          </w:p>
        </w:tc>
        <w:tc>
          <w:tcPr>
            <w:tcW w:w="2405" w:type="dxa"/>
          </w:tcPr>
          <w:p w14:paraId="7180D6A6">
            <w:pPr>
              <w:pStyle w:val="7"/>
              <w:spacing w:line="360" w:lineRule="auto"/>
              <w:rPr>
                <w:rFonts w:ascii="宋体" w:hAnsi="宋体" w:eastAsia="宋体" w:cs="Times New Roman"/>
                <w:sz w:val="21"/>
                <w:szCs w:val="21"/>
              </w:rPr>
            </w:pPr>
          </w:p>
        </w:tc>
        <w:tc>
          <w:tcPr>
            <w:tcW w:w="1233" w:type="dxa"/>
          </w:tcPr>
          <w:p w14:paraId="659260F3">
            <w:pPr>
              <w:pStyle w:val="7"/>
              <w:spacing w:line="360" w:lineRule="auto"/>
              <w:rPr>
                <w:rFonts w:ascii="宋体" w:hAnsi="宋体" w:eastAsia="宋体" w:cs="Times New Roman"/>
                <w:sz w:val="21"/>
                <w:szCs w:val="21"/>
              </w:rPr>
            </w:pPr>
          </w:p>
        </w:tc>
        <w:tc>
          <w:tcPr>
            <w:tcW w:w="1342" w:type="dxa"/>
          </w:tcPr>
          <w:p w14:paraId="664919D2">
            <w:pPr>
              <w:pStyle w:val="7"/>
              <w:spacing w:line="360" w:lineRule="auto"/>
              <w:rPr>
                <w:rFonts w:ascii="宋体" w:hAnsi="宋体" w:eastAsia="宋体" w:cs="Times New Roman"/>
                <w:sz w:val="21"/>
                <w:szCs w:val="21"/>
              </w:rPr>
            </w:pPr>
          </w:p>
        </w:tc>
        <w:tc>
          <w:tcPr>
            <w:tcW w:w="1417" w:type="dxa"/>
          </w:tcPr>
          <w:p w14:paraId="38F704DF">
            <w:pPr>
              <w:pStyle w:val="7"/>
              <w:spacing w:line="360" w:lineRule="auto"/>
              <w:rPr>
                <w:rFonts w:ascii="宋体" w:hAnsi="宋体" w:eastAsia="宋体" w:cs="Times New Roman"/>
                <w:sz w:val="21"/>
                <w:szCs w:val="21"/>
              </w:rPr>
            </w:pPr>
          </w:p>
        </w:tc>
      </w:tr>
      <w:tr w14:paraId="30224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19" w:type="dxa"/>
            <w:vAlign w:val="center"/>
          </w:tcPr>
          <w:p w14:paraId="52B87110">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3" w:type="dxa"/>
            <w:vAlign w:val="center"/>
          </w:tcPr>
          <w:p w14:paraId="2C99ACD1">
            <w:pPr>
              <w:pStyle w:val="7"/>
              <w:spacing w:line="360" w:lineRule="auto"/>
              <w:rPr>
                <w:rFonts w:ascii="宋体" w:hAnsi="宋体" w:eastAsia="宋体" w:cs="Times New Roman"/>
                <w:sz w:val="21"/>
                <w:szCs w:val="21"/>
              </w:rPr>
            </w:pPr>
          </w:p>
        </w:tc>
        <w:tc>
          <w:tcPr>
            <w:tcW w:w="1034" w:type="dxa"/>
            <w:vAlign w:val="center"/>
          </w:tcPr>
          <w:p w14:paraId="2844E964">
            <w:pPr>
              <w:pStyle w:val="7"/>
              <w:spacing w:line="360" w:lineRule="auto"/>
              <w:rPr>
                <w:rFonts w:ascii="宋体" w:hAnsi="宋体" w:eastAsia="宋体" w:cs="Times New Roman"/>
                <w:sz w:val="21"/>
                <w:szCs w:val="21"/>
              </w:rPr>
            </w:pPr>
          </w:p>
        </w:tc>
        <w:tc>
          <w:tcPr>
            <w:tcW w:w="2405" w:type="dxa"/>
          </w:tcPr>
          <w:p w14:paraId="17BFCB6B">
            <w:pPr>
              <w:pStyle w:val="7"/>
              <w:spacing w:line="360" w:lineRule="auto"/>
              <w:rPr>
                <w:rFonts w:ascii="宋体" w:hAnsi="宋体" w:eastAsia="宋体" w:cs="Times New Roman"/>
                <w:sz w:val="21"/>
                <w:szCs w:val="21"/>
              </w:rPr>
            </w:pPr>
          </w:p>
        </w:tc>
        <w:tc>
          <w:tcPr>
            <w:tcW w:w="1233" w:type="dxa"/>
          </w:tcPr>
          <w:p w14:paraId="201154DE">
            <w:pPr>
              <w:pStyle w:val="7"/>
              <w:spacing w:line="360" w:lineRule="auto"/>
              <w:rPr>
                <w:rFonts w:ascii="宋体" w:hAnsi="宋体" w:eastAsia="宋体" w:cs="Times New Roman"/>
                <w:sz w:val="21"/>
                <w:szCs w:val="21"/>
              </w:rPr>
            </w:pPr>
          </w:p>
        </w:tc>
        <w:tc>
          <w:tcPr>
            <w:tcW w:w="1342" w:type="dxa"/>
          </w:tcPr>
          <w:p w14:paraId="3E94C1B4">
            <w:pPr>
              <w:pStyle w:val="7"/>
              <w:spacing w:line="360" w:lineRule="auto"/>
              <w:rPr>
                <w:rFonts w:ascii="宋体" w:hAnsi="宋体" w:eastAsia="宋体" w:cs="Times New Roman"/>
                <w:sz w:val="21"/>
                <w:szCs w:val="21"/>
              </w:rPr>
            </w:pPr>
          </w:p>
        </w:tc>
        <w:tc>
          <w:tcPr>
            <w:tcW w:w="1417" w:type="dxa"/>
          </w:tcPr>
          <w:p w14:paraId="5FBA8C7C">
            <w:pPr>
              <w:pStyle w:val="7"/>
              <w:spacing w:line="360" w:lineRule="auto"/>
              <w:rPr>
                <w:rFonts w:ascii="宋体" w:hAnsi="宋体" w:eastAsia="宋体" w:cs="Times New Roman"/>
                <w:sz w:val="21"/>
                <w:szCs w:val="21"/>
              </w:rPr>
            </w:pPr>
          </w:p>
        </w:tc>
      </w:tr>
    </w:tbl>
    <w:p w14:paraId="5F14C556">
      <w:pPr>
        <w:spacing w:line="480" w:lineRule="auto"/>
        <w:ind w:firstLine="4357" w:firstLineChars="2075"/>
        <w:rPr>
          <w:rFonts w:cs="Arial" w:asciiTheme="minorEastAsia" w:hAnsiTheme="minorEastAsia"/>
          <w:szCs w:val="21"/>
        </w:rPr>
      </w:pPr>
      <w:r>
        <w:rPr>
          <w:rFonts w:hint="eastAsia" w:cs="宋体" w:asciiTheme="minorEastAsia" w:hAnsiTheme="minorEastAsia"/>
          <w:szCs w:val="21"/>
          <w:lang w:val="zh-CN"/>
        </w:rPr>
        <w:t>供应商名称（</w:t>
      </w:r>
      <w:r>
        <w:rPr>
          <w:rFonts w:hint="eastAsia" w:cs="Arial" w:asciiTheme="minorEastAsia" w:hAnsiTheme="minorEastAsia"/>
          <w:szCs w:val="21"/>
        </w:rPr>
        <w:t>并加盖公章</w:t>
      </w:r>
      <w:r>
        <w:rPr>
          <w:rFonts w:hint="eastAsia" w:cs="宋体" w:asciiTheme="minorEastAsia" w:hAnsiTheme="minorEastAsia"/>
          <w:szCs w:val="21"/>
          <w:lang w:val="zh-CN"/>
        </w:rPr>
        <w:t>）：</w:t>
      </w:r>
      <w:r>
        <w:rPr>
          <w:rFonts w:hint="eastAsia" w:cs="Arial" w:asciiTheme="minorEastAsia" w:hAnsiTheme="minorEastAsia"/>
          <w:szCs w:val="21"/>
        </w:rPr>
        <w:t>　　　　　　　　　</w:t>
      </w:r>
    </w:p>
    <w:p w14:paraId="395C222E">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日　  期：      年    月    日</w:t>
      </w:r>
    </w:p>
    <w:p w14:paraId="699E5B98">
      <w:pPr>
        <w:snapToGrid w:val="0"/>
        <w:spacing w:line="500" w:lineRule="exact"/>
        <w:rPr>
          <w:rFonts w:cs="宋体" w:asciiTheme="minorEastAsia" w:hAnsiTheme="minorEastAsia"/>
          <w:szCs w:val="21"/>
          <w:lang w:val="zh-CN"/>
        </w:rPr>
      </w:pPr>
    </w:p>
    <w:p w14:paraId="200627AF">
      <w:pPr>
        <w:autoSpaceDE w:val="0"/>
        <w:autoSpaceDN w:val="0"/>
        <w:adjustRightInd w:val="0"/>
        <w:spacing w:line="360" w:lineRule="auto"/>
        <w:jc w:val="center"/>
        <w:outlineLvl w:val="9"/>
        <w:rPr>
          <w:rFonts w:ascii="宋体" w:hAnsi="宋体"/>
          <w:b/>
          <w:bCs/>
          <w:sz w:val="24"/>
          <w:szCs w:val="24"/>
        </w:rPr>
      </w:pPr>
    </w:p>
    <w:p w14:paraId="62B093FC">
      <w:pPr>
        <w:autoSpaceDE w:val="0"/>
        <w:autoSpaceDN w:val="0"/>
        <w:adjustRightInd w:val="0"/>
        <w:spacing w:line="360" w:lineRule="auto"/>
        <w:jc w:val="center"/>
        <w:outlineLvl w:val="9"/>
        <w:rPr>
          <w:rFonts w:ascii="宋体" w:hAnsi="宋体"/>
          <w:b/>
          <w:bCs/>
          <w:sz w:val="24"/>
          <w:szCs w:val="24"/>
        </w:rPr>
      </w:pPr>
    </w:p>
    <w:p w14:paraId="0D84E1F0">
      <w:pPr>
        <w:autoSpaceDE w:val="0"/>
        <w:autoSpaceDN w:val="0"/>
        <w:adjustRightInd w:val="0"/>
        <w:spacing w:line="360" w:lineRule="auto"/>
        <w:jc w:val="center"/>
        <w:outlineLvl w:val="9"/>
        <w:rPr>
          <w:rFonts w:ascii="宋体" w:hAnsi="宋体"/>
          <w:b/>
          <w:bCs/>
          <w:sz w:val="24"/>
          <w:szCs w:val="24"/>
        </w:rPr>
      </w:pPr>
    </w:p>
    <w:p w14:paraId="6439F2A2">
      <w:pPr>
        <w:autoSpaceDE w:val="0"/>
        <w:autoSpaceDN w:val="0"/>
        <w:adjustRightInd w:val="0"/>
        <w:spacing w:line="360" w:lineRule="auto"/>
        <w:jc w:val="center"/>
        <w:outlineLvl w:val="9"/>
        <w:rPr>
          <w:rFonts w:ascii="宋体" w:hAnsi="宋体"/>
          <w:b/>
          <w:bCs/>
          <w:sz w:val="24"/>
          <w:szCs w:val="24"/>
        </w:rPr>
      </w:pPr>
    </w:p>
    <w:p w14:paraId="25A57A73">
      <w:pPr>
        <w:autoSpaceDE w:val="0"/>
        <w:autoSpaceDN w:val="0"/>
        <w:adjustRightInd w:val="0"/>
        <w:spacing w:line="360" w:lineRule="auto"/>
        <w:jc w:val="center"/>
        <w:outlineLvl w:val="9"/>
        <w:rPr>
          <w:rFonts w:ascii="宋体" w:hAnsi="宋体"/>
          <w:b/>
          <w:bCs/>
          <w:sz w:val="24"/>
          <w:szCs w:val="24"/>
        </w:rPr>
      </w:pPr>
    </w:p>
    <w:p w14:paraId="53B1D124">
      <w:pPr>
        <w:autoSpaceDE w:val="0"/>
        <w:autoSpaceDN w:val="0"/>
        <w:adjustRightInd w:val="0"/>
        <w:spacing w:line="360" w:lineRule="auto"/>
        <w:jc w:val="center"/>
        <w:outlineLvl w:val="9"/>
        <w:rPr>
          <w:rFonts w:ascii="宋体" w:hAnsi="宋体"/>
          <w:b/>
          <w:bCs/>
          <w:sz w:val="24"/>
          <w:szCs w:val="24"/>
        </w:rPr>
      </w:pPr>
    </w:p>
    <w:p w14:paraId="04590404">
      <w:pPr>
        <w:autoSpaceDE w:val="0"/>
        <w:autoSpaceDN w:val="0"/>
        <w:adjustRightInd w:val="0"/>
        <w:spacing w:line="360" w:lineRule="auto"/>
        <w:jc w:val="center"/>
        <w:outlineLvl w:val="9"/>
        <w:rPr>
          <w:rFonts w:ascii="宋体" w:hAnsi="宋体"/>
          <w:b/>
          <w:bCs/>
          <w:sz w:val="24"/>
          <w:szCs w:val="24"/>
        </w:rPr>
      </w:pPr>
    </w:p>
    <w:p w14:paraId="7EFA5A5E">
      <w:pPr>
        <w:autoSpaceDE w:val="0"/>
        <w:autoSpaceDN w:val="0"/>
        <w:adjustRightInd w:val="0"/>
        <w:spacing w:line="360" w:lineRule="auto"/>
        <w:jc w:val="center"/>
        <w:outlineLvl w:val="9"/>
        <w:rPr>
          <w:rFonts w:ascii="宋体" w:hAnsi="宋体"/>
          <w:b/>
          <w:bCs/>
          <w:sz w:val="24"/>
          <w:szCs w:val="24"/>
        </w:rPr>
      </w:pPr>
    </w:p>
    <w:p w14:paraId="525FE2C5">
      <w:pPr>
        <w:autoSpaceDE w:val="0"/>
        <w:autoSpaceDN w:val="0"/>
        <w:adjustRightInd w:val="0"/>
        <w:spacing w:line="360" w:lineRule="auto"/>
        <w:jc w:val="center"/>
        <w:outlineLvl w:val="9"/>
        <w:rPr>
          <w:rFonts w:ascii="宋体" w:hAnsi="宋体"/>
          <w:b/>
          <w:bCs/>
          <w:sz w:val="24"/>
          <w:szCs w:val="24"/>
        </w:rPr>
      </w:pPr>
    </w:p>
    <w:p w14:paraId="54EA0C3A">
      <w:pPr>
        <w:autoSpaceDE w:val="0"/>
        <w:autoSpaceDN w:val="0"/>
        <w:adjustRightInd w:val="0"/>
        <w:spacing w:line="360" w:lineRule="auto"/>
        <w:jc w:val="center"/>
        <w:outlineLvl w:val="9"/>
        <w:rPr>
          <w:rFonts w:ascii="宋体" w:hAnsi="宋体"/>
          <w:b/>
          <w:bCs/>
          <w:sz w:val="24"/>
          <w:szCs w:val="24"/>
        </w:rPr>
      </w:pPr>
    </w:p>
    <w:p w14:paraId="720C0D09">
      <w:pPr>
        <w:rPr>
          <w:rFonts w:hint="eastAsia" w:ascii="宋体" w:hAnsi="宋体"/>
          <w:b/>
          <w:bCs/>
          <w:sz w:val="24"/>
          <w:szCs w:val="24"/>
        </w:rPr>
      </w:pPr>
      <w:r>
        <w:rPr>
          <w:rFonts w:hint="eastAsia" w:ascii="宋体" w:hAnsi="宋体"/>
          <w:b/>
          <w:bCs/>
          <w:sz w:val="24"/>
          <w:szCs w:val="24"/>
        </w:rPr>
        <w:br w:type="page"/>
      </w:r>
    </w:p>
    <w:p w14:paraId="34FC73DA">
      <w:pPr>
        <w:autoSpaceDE w:val="0"/>
        <w:autoSpaceDN w:val="0"/>
        <w:adjustRightInd w:val="0"/>
        <w:spacing w:line="360" w:lineRule="auto"/>
        <w:jc w:val="center"/>
        <w:outlineLvl w:val="1"/>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14:paraId="4A9A6973"/>
    <w:p w14:paraId="398A2D52"/>
    <w:p w14:paraId="7E6F6D09"/>
    <w:p w14:paraId="6BC695B1">
      <w:pPr>
        <w:spacing w:line="360" w:lineRule="auto"/>
        <w:jc w:val="center"/>
        <w:rPr>
          <w:rFonts w:ascii="宋体" w:hAnsi="宋体"/>
          <w:b/>
          <w:bCs/>
          <w:sz w:val="28"/>
          <w:szCs w:val="28"/>
        </w:rPr>
      </w:pPr>
      <w:r>
        <w:rPr>
          <w:rFonts w:ascii="宋体" w:hAnsi="宋体"/>
          <w:b/>
          <w:bCs/>
          <w:sz w:val="28"/>
          <w:szCs w:val="28"/>
        </w:rPr>
        <w:t>除招标文件另有规定外，</w:t>
      </w:r>
      <w:r>
        <w:rPr>
          <w:rFonts w:hint="eastAsia" w:ascii="宋体" w:hAnsi="宋体"/>
          <w:b/>
          <w:bCs/>
          <w:sz w:val="28"/>
          <w:szCs w:val="28"/>
          <w:lang w:eastAsia="zh-CN"/>
        </w:rPr>
        <w:t>供应商</w:t>
      </w:r>
      <w:r>
        <w:rPr>
          <w:rFonts w:ascii="宋体" w:hAnsi="宋体"/>
          <w:b/>
          <w:bCs/>
          <w:sz w:val="28"/>
          <w:szCs w:val="28"/>
        </w:rPr>
        <w:t>认为需要提交的其他证明材料或资料加盖</w:t>
      </w:r>
      <w:r>
        <w:rPr>
          <w:rFonts w:hint="eastAsia" w:ascii="宋体" w:hAnsi="宋体"/>
          <w:b/>
          <w:bCs/>
          <w:sz w:val="28"/>
          <w:szCs w:val="28"/>
          <w:lang w:eastAsia="zh-CN"/>
        </w:rPr>
        <w:t>供应商</w:t>
      </w:r>
      <w:r>
        <w:rPr>
          <w:rFonts w:ascii="宋体" w:hAnsi="宋体"/>
          <w:b/>
          <w:bCs/>
          <w:sz w:val="28"/>
          <w:szCs w:val="28"/>
        </w:rPr>
        <w:t>单位公章后应在此项下提交。</w:t>
      </w:r>
    </w:p>
    <w:p w14:paraId="3C025B75">
      <w:pPr>
        <w:spacing w:line="360" w:lineRule="auto"/>
        <w:jc w:val="center"/>
        <w:rPr>
          <w:rFonts w:ascii="宋体" w:hAnsi="宋体"/>
          <w:b/>
          <w:bCs/>
          <w:sz w:val="28"/>
          <w:szCs w:val="28"/>
        </w:rPr>
      </w:pPr>
      <w:r>
        <w:rPr>
          <w:rFonts w:ascii="宋体" w:hAnsi="宋体"/>
          <w:b/>
          <w:bCs/>
          <w:sz w:val="28"/>
          <w:szCs w:val="28"/>
        </w:rPr>
        <w:t> </w:t>
      </w:r>
    </w:p>
    <w:p w14:paraId="200B301F">
      <w:pPr>
        <w:autoSpaceDE w:val="0"/>
        <w:autoSpaceDN w:val="0"/>
        <w:adjustRightInd w:val="0"/>
        <w:spacing w:line="360" w:lineRule="auto"/>
        <w:jc w:val="center"/>
        <w:outlineLvl w:val="9"/>
        <w:rPr>
          <w:rFonts w:hAnsi="宋体" w:eastAsia="宋体"/>
          <w:b/>
          <w:snapToGrid w:val="0"/>
          <w:kern w:val="0"/>
          <w:sz w:val="36"/>
          <w:szCs w:val="36"/>
        </w:rPr>
      </w:pPr>
    </w:p>
    <w:p w14:paraId="10E5A7C3">
      <w:pPr>
        <w:autoSpaceDE w:val="0"/>
        <w:autoSpaceDN w:val="0"/>
        <w:adjustRightInd w:val="0"/>
        <w:spacing w:line="360" w:lineRule="auto"/>
        <w:jc w:val="center"/>
        <w:outlineLvl w:val="9"/>
        <w:rPr>
          <w:rFonts w:hAnsi="宋体" w:eastAsia="宋体"/>
          <w:b/>
          <w:snapToGrid w:val="0"/>
          <w:kern w:val="0"/>
          <w:sz w:val="36"/>
          <w:szCs w:val="36"/>
        </w:rPr>
      </w:pPr>
    </w:p>
    <w:p w14:paraId="3581E184">
      <w:pPr>
        <w:snapToGrid w:val="0"/>
        <w:spacing w:line="360" w:lineRule="auto"/>
        <w:jc w:val="center"/>
        <w:rPr>
          <w:rFonts w:hAnsi="宋体" w:eastAsia="宋体"/>
          <w:b/>
          <w:snapToGrid w:val="0"/>
          <w:kern w:val="0"/>
          <w:sz w:val="36"/>
          <w:szCs w:val="36"/>
        </w:rPr>
      </w:pPr>
    </w:p>
    <w:p w14:paraId="1940F0F9">
      <w:pPr>
        <w:snapToGrid w:val="0"/>
        <w:spacing w:line="360" w:lineRule="auto"/>
        <w:jc w:val="center"/>
        <w:rPr>
          <w:rFonts w:hAnsi="宋体" w:eastAsia="宋体"/>
          <w:b/>
          <w:snapToGrid w:val="0"/>
          <w:kern w:val="0"/>
          <w:sz w:val="36"/>
          <w:szCs w:val="36"/>
        </w:rPr>
      </w:pPr>
    </w:p>
    <w:p w14:paraId="6FF35063">
      <w:pPr>
        <w:snapToGrid w:val="0"/>
        <w:spacing w:line="360" w:lineRule="auto"/>
        <w:jc w:val="center"/>
        <w:rPr>
          <w:rFonts w:hAnsi="宋体" w:eastAsia="宋体"/>
          <w:b/>
          <w:snapToGrid w:val="0"/>
          <w:kern w:val="0"/>
          <w:sz w:val="36"/>
          <w:szCs w:val="36"/>
        </w:rPr>
      </w:pPr>
    </w:p>
    <w:p w14:paraId="6A93DAC1">
      <w:pPr>
        <w:snapToGrid w:val="0"/>
        <w:spacing w:line="360" w:lineRule="auto"/>
        <w:rPr>
          <w:rFonts w:hAnsi="宋体" w:eastAsia="宋体"/>
          <w:b/>
          <w:snapToGrid w:val="0"/>
          <w:kern w:val="0"/>
          <w:sz w:val="36"/>
          <w:szCs w:val="36"/>
        </w:rPr>
      </w:pPr>
    </w:p>
    <w:p w14:paraId="799A446E">
      <w:pPr>
        <w:snapToGrid w:val="0"/>
        <w:spacing w:line="360" w:lineRule="auto"/>
        <w:jc w:val="center"/>
        <w:rPr>
          <w:rFonts w:hAnsi="宋体" w:eastAsia="宋体"/>
          <w:b/>
          <w:snapToGrid w:val="0"/>
          <w:kern w:val="0"/>
          <w:sz w:val="36"/>
          <w:szCs w:val="36"/>
        </w:rPr>
      </w:pPr>
    </w:p>
    <w:p w14:paraId="25440D98">
      <w:pPr>
        <w:autoSpaceDE w:val="0"/>
        <w:autoSpaceDN w:val="0"/>
        <w:adjustRightInd w:val="0"/>
        <w:spacing w:line="360" w:lineRule="auto"/>
        <w:jc w:val="center"/>
        <w:outlineLvl w:val="9"/>
        <w:rPr>
          <w:rFonts w:ascii="宋体" w:hAnsi="宋体"/>
          <w:b/>
          <w:bCs/>
          <w:color w:val="000000"/>
          <w:sz w:val="24"/>
          <w:szCs w:val="24"/>
        </w:rPr>
      </w:pPr>
    </w:p>
    <w:p w14:paraId="177569DD">
      <w:pPr>
        <w:autoSpaceDE w:val="0"/>
        <w:autoSpaceDN w:val="0"/>
        <w:adjustRightInd w:val="0"/>
        <w:spacing w:line="360" w:lineRule="auto"/>
        <w:jc w:val="center"/>
        <w:outlineLvl w:val="9"/>
        <w:rPr>
          <w:rFonts w:ascii="宋体" w:hAnsi="宋体"/>
          <w:b/>
          <w:bCs/>
          <w:color w:val="000000"/>
          <w:sz w:val="24"/>
          <w:szCs w:val="24"/>
        </w:rPr>
      </w:pPr>
    </w:p>
    <w:p w14:paraId="1DA5202B">
      <w:pPr>
        <w:autoSpaceDE w:val="0"/>
        <w:autoSpaceDN w:val="0"/>
        <w:adjustRightInd w:val="0"/>
        <w:spacing w:line="360" w:lineRule="auto"/>
        <w:jc w:val="center"/>
        <w:outlineLvl w:val="9"/>
        <w:rPr>
          <w:rFonts w:ascii="宋体" w:hAnsi="宋体"/>
          <w:b/>
          <w:bCs/>
          <w:color w:val="000000"/>
          <w:sz w:val="24"/>
          <w:szCs w:val="24"/>
        </w:rPr>
      </w:pPr>
    </w:p>
    <w:p w14:paraId="689BB31A">
      <w:pPr>
        <w:autoSpaceDE w:val="0"/>
        <w:autoSpaceDN w:val="0"/>
        <w:adjustRightInd w:val="0"/>
        <w:spacing w:line="360" w:lineRule="auto"/>
        <w:jc w:val="center"/>
        <w:outlineLvl w:val="9"/>
        <w:rPr>
          <w:rFonts w:ascii="宋体" w:hAnsi="宋体"/>
          <w:b/>
          <w:bCs/>
          <w:color w:val="000000"/>
          <w:sz w:val="24"/>
          <w:szCs w:val="24"/>
        </w:rPr>
      </w:pPr>
    </w:p>
    <w:p w14:paraId="507214BF">
      <w:pPr>
        <w:autoSpaceDE w:val="0"/>
        <w:autoSpaceDN w:val="0"/>
        <w:adjustRightInd w:val="0"/>
        <w:spacing w:line="480" w:lineRule="auto"/>
        <w:rPr>
          <w:rFonts w:cs="宋体" w:asciiTheme="minorEastAsia" w:hAnsiTheme="minorEastAsia"/>
          <w:sz w:val="24"/>
          <w:szCs w:val="24"/>
          <w:lang w:val="zh-CN"/>
        </w:rPr>
      </w:pPr>
    </w:p>
    <w:p w14:paraId="4776EC2E">
      <w:pPr>
        <w:autoSpaceDE w:val="0"/>
        <w:autoSpaceDN w:val="0"/>
        <w:adjustRightInd w:val="0"/>
        <w:spacing w:line="480" w:lineRule="auto"/>
        <w:rPr>
          <w:rFonts w:cs="宋体" w:asciiTheme="minorEastAsia" w:hAnsiTheme="minorEastAsia"/>
          <w:sz w:val="24"/>
          <w:szCs w:val="24"/>
          <w:lang w:val="zh-CN"/>
        </w:rPr>
      </w:pPr>
    </w:p>
    <w:p w14:paraId="35110246">
      <w:pPr>
        <w:autoSpaceDE w:val="0"/>
        <w:autoSpaceDN w:val="0"/>
        <w:adjustRightInd w:val="0"/>
        <w:spacing w:line="480" w:lineRule="auto"/>
        <w:rPr>
          <w:rFonts w:cs="宋体" w:asciiTheme="minorEastAsia" w:hAnsiTheme="minorEastAsia"/>
          <w:sz w:val="24"/>
          <w:szCs w:val="24"/>
          <w:lang w:val="zh-CN"/>
        </w:rPr>
      </w:pPr>
    </w:p>
    <w:p w14:paraId="026C51C9">
      <w:pPr>
        <w:autoSpaceDE w:val="0"/>
        <w:autoSpaceDN w:val="0"/>
        <w:adjustRightInd w:val="0"/>
        <w:spacing w:line="480" w:lineRule="auto"/>
        <w:rPr>
          <w:rFonts w:cs="宋体" w:asciiTheme="minorEastAsia" w:hAnsiTheme="minorEastAsia"/>
          <w:sz w:val="24"/>
          <w:szCs w:val="24"/>
          <w:lang w:val="zh-CN"/>
        </w:rPr>
      </w:pPr>
    </w:p>
    <w:p w14:paraId="43FE9953">
      <w:pPr>
        <w:widowControl/>
        <w:jc w:val="left"/>
        <w:rPr>
          <w:rFonts w:ascii="宋体" w:hAnsi="宋体"/>
          <w:b/>
          <w:bCs/>
          <w:sz w:val="24"/>
          <w:szCs w:val="24"/>
        </w:rPr>
      </w:pPr>
    </w:p>
    <w:sectPr>
      <w:footerReference r:id="rId6" w:type="default"/>
      <w:pgSz w:w="11906" w:h="16838"/>
      <w:pgMar w:top="1077" w:right="1474" w:bottom="1077"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0" w:usb3="00000000" w:csb0="4002009F" w:csb1="DFD7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auto"/>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97AE0">
    <w:pPr>
      <w:spacing w:line="172" w:lineRule="auto"/>
      <w:rPr>
        <w:rFonts w:ascii="Times New Roman" w:hAnsi="Times New Roman" w:eastAsia="Times New Roman" w:cs="Times New Roman"/>
        <w:sz w:val="13"/>
        <w:szCs w:val="1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7BC58">
    <w:pPr>
      <w:spacing w:line="172" w:lineRule="auto"/>
      <w:rPr>
        <w:rFonts w:ascii="Times New Roman" w:hAnsi="Times New Roman" w:eastAsia="Times New Roman" w:cs="Times New Roman"/>
        <w:sz w:val="13"/>
        <w:szCs w:val="13"/>
      </w:rPr>
    </w:pPr>
    <w:r>
      <w:rPr>
        <w:sz w:val="13"/>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3E6C34">
                          <w:pPr>
                            <w:pStyle w:val="1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13E6C34">
                    <w:pPr>
                      <w:pStyle w:val="1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F0C54">
    <w:pPr>
      <w:pStyle w:val="1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E5C236">
                          <w:pPr>
                            <w:pStyle w:val="18"/>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3E5C236">
                    <w:pPr>
                      <w:pStyle w:val="18"/>
                    </w:pPr>
                    <w:r>
                      <w:fldChar w:fldCharType="begin"/>
                    </w:r>
                    <w:r>
                      <w:instrText xml:space="preserve"> PAGE  \* MERGEFORMAT </w:instrText>
                    </w:r>
                    <w:r>
                      <w:fldChar w:fldCharType="separate"/>
                    </w:r>
                    <w:r>
                      <w:t>45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8DF4A">
    <w:pPr>
      <w:pBdr>
        <w:bottom w:val="none" w:color="auto" w:sz="0" w:space="0"/>
      </w:pBdr>
      <w:spacing w:line="10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F2CB65"/>
    <w:multiLevelType w:val="singleLevel"/>
    <w:tmpl w:val="B4F2CB65"/>
    <w:lvl w:ilvl="0" w:tentative="0">
      <w:start w:val="5"/>
      <w:numFmt w:val="decimal"/>
      <w:lvlText w:val="%1."/>
      <w:lvlJc w:val="left"/>
      <w:pPr>
        <w:tabs>
          <w:tab w:val="left" w:pos="312"/>
        </w:tabs>
      </w:pPr>
    </w:lvl>
  </w:abstractNum>
  <w:abstractNum w:abstractNumId="1">
    <w:nsid w:val="E624E364"/>
    <w:multiLevelType w:val="singleLevel"/>
    <w:tmpl w:val="E624E364"/>
    <w:lvl w:ilvl="0" w:tentative="0">
      <w:start w:val="7"/>
      <w:numFmt w:val="chineseCounting"/>
      <w:suff w:val="nothing"/>
      <w:lvlText w:val="%1、"/>
      <w:lvlJc w:val="left"/>
      <w:rPr>
        <w:rFonts w:hint="eastAsia"/>
      </w:rPr>
    </w:lvl>
  </w:abstractNum>
  <w:abstractNum w:abstractNumId="2">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6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0B353A3"/>
    <w:multiLevelType w:val="singleLevel"/>
    <w:tmpl w:val="00B353A3"/>
    <w:lvl w:ilvl="0" w:tentative="0">
      <w:start w:val="1"/>
      <w:numFmt w:val="decimal"/>
      <w:suff w:val="nothing"/>
      <w:lvlText w:val="%1、"/>
      <w:lvlJc w:val="left"/>
    </w:lvl>
  </w:abstractNum>
  <w:abstractNum w:abstractNumId="5">
    <w:nsid w:val="00EB69CD"/>
    <w:multiLevelType w:val="multilevel"/>
    <w:tmpl w:val="00EB69CD"/>
    <w:lvl w:ilvl="0" w:tentative="0">
      <w:start w:val="27"/>
      <w:numFmt w:val="decimal"/>
      <w:lvlText w:val="%1.2.4"/>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6">
    <w:nsid w:val="029113A2"/>
    <w:multiLevelType w:val="multilevel"/>
    <w:tmpl w:val="029113A2"/>
    <w:lvl w:ilvl="0" w:tentative="0">
      <w:start w:val="1"/>
      <w:numFmt w:val="decimal"/>
      <w:lvlText w:val="15.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
    <w:nsid w:val="074054F6"/>
    <w:multiLevelType w:val="multilevel"/>
    <w:tmpl w:val="074054F6"/>
    <w:lvl w:ilvl="0" w:tentative="0">
      <w:start w:val="1"/>
      <w:numFmt w:val="decimal"/>
      <w:pStyle w:val="32"/>
      <w:lvlText w:val="第%1章"/>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8">
    <w:nsid w:val="095B2918"/>
    <w:multiLevelType w:val="multilevel"/>
    <w:tmpl w:val="095B2918"/>
    <w:lvl w:ilvl="0" w:tentative="0">
      <w:start w:val="1"/>
      <w:numFmt w:val="decimal"/>
      <w:lvlText w:val="1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9">
    <w:nsid w:val="0AF92C7A"/>
    <w:multiLevelType w:val="multilevel"/>
    <w:tmpl w:val="0AF92C7A"/>
    <w:lvl w:ilvl="0" w:tentative="0">
      <w:start w:val="1"/>
      <w:numFmt w:val="decimal"/>
      <w:lvlText w:val="25.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
    <w:nsid w:val="11077BE7"/>
    <w:multiLevelType w:val="multilevel"/>
    <w:tmpl w:val="11077BE7"/>
    <w:lvl w:ilvl="0" w:tentative="0">
      <w:start w:val="27"/>
      <w:numFmt w:val="decimal"/>
      <w:lvlText w:val="%1.2.8"/>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11">
    <w:nsid w:val="11831104"/>
    <w:multiLevelType w:val="multilevel"/>
    <w:tmpl w:val="11831104"/>
    <w:lvl w:ilvl="0" w:tentative="0">
      <w:start w:val="27"/>
      <w:numFmt w:val="decimal"/>
      <w:lvlText w:val="%1.3.1"/>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12">
    <w:nsid w:val="14DF6468"/>
    <w:multiLevelType w:val="multilevel"/>
    <w:tmpl w:val="14DF6468"/>
    <w:lvl w:ilvl="0" w:tentative="0">
      <w:start w:val="1"/>
      <w:numFmt w:val="decimal"/>
      <w:lvlText w:val="24.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3">
    <w:nsid w:val="152B3F79"/>
    <w:multiLevelType w:val="multilevel"/>
    <w:tmpl w:val="152B3F79"/>
    <w:lvl w:ilvl="0" w:tentative="0">
      <w:start w:val="2"/>
      <w:numFmt w:val="decimal"/>
      <w:lvlText w:val="33.1.%1"/>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5976783"/>
    <w:multiLevelType w:val="multilevel"/>
    <w:tmpl w:val="15976783"/>
    <w:lvl w:ilvl="0" w:tentative="0">
      <w:start w:val="1"/>
      <w:numFmt w:val="decimal"/>
      <w:lvlText w:val="1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5">
    <w:nsid w:val="19C5477B"/>
    <w:multiLevelType w:val="multilevel"/>
    <w:tmpl w:val="19C5477B"/>
    <w:lvl w:ilvl="0" w:tentative="0">
      <w:start w:val="1"/>
      <w:numFmt w:val="decimal"/>
      <w:lvlText w:val="10. %1 "/>
      <w:lvlJc w:val="left"/>
      <w:pPr>
        <w:ind w:left="844" w:hanging="420"/>
      </w:pPr>
      <w:rPr>
        <w:rFonts w:hint="eastAsia"/>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6">
    <w:nsid w:val="1A9F0EE7"/>
    <w:multiLevelType w:val="multilevel"/>
    <w:tmpl w:val="1A9F0EE7"/>
    <w:lvl w:ilvl="0" w:tentative="0">
      <w:start w:val="1"/>
      <w:numFmt w:val="decimal"/>
      <w:lvlText w:val="23.3.%1"/>
      <w:lvlJc w:val="left"/>
      <w:pPr>
        <w:ind w:left="1369" w:hanging="420"/>
      </w:pPr>
      <w:rPr>
        <w:rFonts w:hint="eastAsia" w:asciiTheme="minorEastAsia" w:hAnsiTheme="minorEastAsia" w:eastAsiaTheme="minor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17">
    <w:nsid w:val="1B791889"/>
    <w:multiLevelType w:val="multilevel"/>
    <w:tmpl w:val="1B791889"/>
    <w:lvl w:ilvl="0" w:tentative="0">
      <w:start w:val="27"/>
      <w:numFmt w:val="decimal"/>
      <w:lvlText w:val="%1.3.3"/>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8">
    <w:nsid w:val="214802C3"/>
    <w:multiLevelType w:val="multilevel"/>
    <w:tmpl w:val="214802C3"/>
    <w:lvl w:ilvl="0" w:tentative="0">
      <w:start w:val="1"/>
      <w:numFmt w:val="decimal"/>
      <w:lvlText w:val="%1."/>
      <w:lvlJc w:val="left"/>
      <w:pPr>
        <w:ind w:left="420" w:hanging="420"/>
      </w:pPr>
      <w:rPr>
        <w:rFonts w:hint="eastAsia"/>
      </w:rPr>
    </w:lvl>
    <w:lvl w:ilvl="1" w:tentative="0">
      <w:start w:val="1"/>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9">
    <w:nsid w:val="22084769"/>
    <w:multiLevelType w:val="multilevel"/>
    <w:tmpl w:val="22084769"/>
    <w:lvl w:ilvl="0" w:tentative="0">
      <w:start w:val="1"/>
      <w:numFmt w:val="decimal"/>
      <w:lvlText w:val="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0">
    <w:nsid w:val="22BE7ADB"/>
    <w:multiLevelType w:val="multilevel"/>
    <w:tmpl w:val="22BE7ADB"/>
    <w:lvl w:ilvl="0" w:tentative="0">
      <w:start w:val="4"/>
      <w:numFmt w:val="decimal"/>
      <w:lvlText w:val="3. %1 "/>
      <w:lvlJc w:val="left"/>
      <w:pPr>
        <w:ind w:left="141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234D46EC"/>
    <w:multiLevelType w:val="singleLevel"/>
    <w:tmpl w:val="234D46EC"/>
    <w:lvl w:ilvl="0" w:tentative="0">
      <w:start w:val="1"/>
      <w:numFmt w:val="chineseCounting"/>
      <w:suff w:val="space"/>
      <w:lvlText w:val="第%1章"/>
      <w:lvlJc w:val="left"/>
      <w:rPr>
        <w:rFonts w:hint="eastAsia"/>
      </w:rPr>
    </w:lvl>
  </w:abstractNum>
  <w:abstractNum w:abstractNumId="22">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3">
    <w:nsid w:val="25FF5A5D"/>
    <w:multiLevelType w:val="multilevel"/>
    <w:tmpl w:val="25FF5A5D"/>
    <w:lvl w:ilvl="0" w:tentative="0">
      <w:start w:val="32"/>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4">
    <w:nsid w:val="275F273D"/>
    <w:multiLevelType w:val="multilevel"/>
    <w:tmpl w:val="275F273D"/>
    <w:lvl w:ilvl="0" w:tentative="0">
      <w:start w:val="27"/>
      <w:numFmt w:val="decimal"/>
      <w:lvlText w:val="%1.2.1"/>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27C72BCB"/>
    <w:multiLevelType w:val="multilevel"/>
    <w:tmpl w:val="27C72BCB"/>
    <w:lvl w:ilvl="0" w:tentative="0">
      <w:start w:val="1"/>
      <w:numFmt w:val="decimal"/>
      <w:lvlText w:val="1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6">
    <w:nsid w:val="297E0DFA"/>
    <w:multiLevelType w:val="multilevel"/>
    <w:tmpl w:val="297E0DFA"/>
    <w:lvl w:ilvl="0" w:tentative="0">
      <w:start w:val="27"/>
      <w:numFmt w:val="decimal"/>
      <w:lvlText w:val="%1.2.3"/>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2BFA58BF"/>
    <w:multiLevelType w:val="multilevel"/>
    <w:tmpl w:val="2BFA58BF"/>
    <w:lvl w:ilvl="0" w:tentative="0">
      <w:start w:val="1"/>
      <w:numFmt w:val="decimal"/>
      <w:lvlText w:val="3.3.%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28">
    <w:nsid w:val="313C1637"/>
    <w:multiLevelType w:val="multilevel"/>
    <w:tmpl w:val="313C1637"/>
    <w:lvl w:ilvl="0" w:tentative="0">
      <w:start w:val="1"/>
      <w:numFmt w:val="decimal"/>
      <w:lvlText w:val="3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9">
    <w:nsid w:val="324B30FA"/>
    <w:multiLevelType w:val="multilevel"/>
    <w:tmpl w:val="324B30FA"/>
    <w:lvl w:ilvl="0" w:tentative="0">
      <w:start w:val="1"/>
      <w:numFmt w:val="decimal"/>
      <w:lvlText w:val="18.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0">
    <w:nsid w:val="37347244"/>
    <w:multiLevelType w:val="multilevel"/>
    <w:tmpl w:val="37347244"/>
    <w:lvl w:ilvl="0" w:tentative="0">
      <w:start w:val="1"/>
      <w:numFmt w:val="decimal"/>
      <w:lvlText w:val="28. %1 "/>
      <w:lvlJc w:val="left"/>
      <w:pPr>
        <w:ind w:left="1384" w:hanging="420"/>
      </w:pPr>
      <w:rPr>
        <w:rFonts w:hint="eastAsia" w:asciiTheme="minorEastAsia" w:hAnsiTheme="minorEastAsia" w:eastAsiaTheme="minor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1">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2">
    <w:nsid w:val="39314D43"/>
    <w:multiLevelType w:val="multilevel"/>
    <w:tmpl w:val="39314D43"/>
    <w:lvl w:ilvl="0" w:tentative="0">
      <w:start w:val="1"/>
      <w:numFmt w:val="decimal"/>
      <w:lvlText w:val="27.1.%1"/>
      <w:lvlJc w:val="left"/>
      <w:pPr>
        <w:ind w:left="450" w:hanging="420"/>
      </w:pPr>
      <w:rPr>
        <w:rFonts w:hint="eastAsia"/>
      </w:rPr>
    </w:lvl>
    <w:lvl w:ilvl="1" w:tentative="0">
      <w:start w:val="1"/>
      <w:numFmt w:val="lowerLetter"/>
      <w:lvlText w:val="%2)"/>
      <w:lvlJc w:val="left"/>
      <w:pPr>
        <w:ind w:left="870" w:hanging="420"/>
      </w:pPr>
    </w:lvl>
    <w:lvl w:ilvl="2" w:tentative="0">
      <w:start w:val="1"/>
      <w:numFmt w:val="lowerRoman"/>
      <w:lvlText w:val="%3."/>
      <w:lvlJc w:val="right"/>
      <w:pPr>
        <w:ind w:left="1290" w:hanging="420"/>
      </w:pPr>
    </w:lvl>
    <w:lvl w:ilvl="3" w:tentative="0">
      <w:start w:val="1"/>
      <w:numFmt w:val="decimal"/>
      <w:lvlText w:val="%4."/>
      <w:lvlJc w:val="left"/>
      <w:pPr>
        <w:ind w:left="1710" w:hanging="420"/>
      </w:pPr>
    </w:lvl>
    <w:lvl w:ilvl="4" w:tentative="0">
      <w:start w:val="1"/>
      <w:numFmt w:val="lowerLetter"/>
      <w:lvlText w:val="%5)"/>
      <w:lvlJc w:val="left"/>
      <w:pPr>
        <w:ind w:left="2130" w:hanging="420"/>
      </w:pPr>
    </w:lvl>
    <w:lvl w:ilvl="5" w:tentative="0">
      <w:start w:val="1"/>
      <w:numFmt w:val="lowerRoman"/>
      <w:lvlText w:val="%6."/>
      <w:lvlJc w:val="right"/>
      <w:pPr>
        <w:ind w:left="2550" w:hanging="420"/>
      </w:pPr>
    </w:lvl>
    <w:lvl w:ilvl="6" w:tentative="0">
      <w:start w:val="1"/>
      <w:numFmt w:val="decimal"/>
      <w:lvlText w:val="%7."/>
      <w:lvlJc w:val="left"/>
      <w:pPr>
        <w:ind w:left="2970" w:hanging="420"/>
      </w:pPr>
    </w:lvl>
    <w:lvl w:ilvl="7" w:tentative="0">
      <w:start w:val="1"/>
      <w:numFmt w:val="lowerLetter"/>
      <w:lvlText w:val="%8)"/>
      <w:lvlJc w:val="left"/>
      <w:pPr>
        <w:ind w:left="3390" w:hanging="420"/>
      </w:pPr>
    </w:lvl>
    <w:lvl w:ilvl="8" w:tentative="0">
      <w:start w:val="1"/>
      <w:numFmt w:val="lowerRoman"/>
      <w:lvlText w:val="%9."/>
      <w:lvlJc w:val="right"/>
      <w:pPr>
        <w:ind w:left="3810" w:hanging="420"/>
      </w:pPr>
    </w:lvl>
  </w:abstractNum>
  <w:abstractNum w:abstractNumId="33">
    <w:nsid w:val="3B4D4108"/>
    <w:multiLevelType w:val="multilevel"/>
    <w:tmpl w:val="3B4D4108"/>
    <w:lvl w:ilvl="0" w:tentative="0">
      <w:start w:val="1"/>
      <w:numFmt w:val="decimal"/>
      <w:lvlText w:val="2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4">
    <w:nsid w:val="3F1972E5"/>
    <w:multiLevelType w:val="multilevel"/>
    <w:tmpl w:val="3F1972E5"/>
    <w:lvl w:ilvl="0" w:tentative="0">
      <w:start w:val="1"/>
      <w:numFmt w:val="decimal"/>
      <w:lvlText w:val="2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5">
    <w:nsid w:val="4200C1DA"/>
    <w:multiLevelType w:val="singleLevel"/>
    <w:tmpl w:val="4200C1DA"/>
    <w:lvl w:ilvl="0" w:tentative="0">
      <w:start w:val="1"/>
      <w:numFmt w:val="decimal"/>
      <w:suff w:val="nothing"/>
      <w:lvlText w:val="%1、"/>
      <w:lvlJc w:val="left"/>
    </w:lvl>
  </w:abstractNum>
  <w:abstractNum w:abstractNumId="36">
    <w:nsid w:val="43F26D24"/>
    <w:multiLevelType w:val="multilevel"/>
    <w:tmpl w:val="43F26D24"/>
    <w:lvl w:ilvl="0" w:tentative="0">
      <w:start w:val="33"/>
      <w:numFmt w:val="decimal"/>
      <w:lvlText w:val="%1."/>
      <w:lvlJc w:val="left"/>
      <w:pPr>
        <w:ind w:left="420" w:hanging="420"/>
      </w:pPr>
      <w:rPr>
        <w:rFonts w:hint="eastAsia"/>
        <w:color w:val="auto"/>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7">
    <w:nsid w:val="4BBA53D1"/>
    <w:multiLevelType w:val="multilevel"/>
    <w:tmpl w:val="4BBA53D1"/>
    <w:lvl w:ilvl="0" w:tentative="0">
      <w:start w:val="1"/>
      <w:numFmt w:val="decimal"/>
      <w:lvlText w:val="33.2.%1"/>
      <w:lvlJc w:val="left"/>
      <w:pPr>
        <w:ind w:left="1365" w:hanging="420"/>
      </w:pPr>
      <w:rPr>
        <w:rFonts w:hint="eastAsia"/>
      </w:rPr>
    </w:lvl>
    <w:lvl w:ilvl="1" w:tentative="0">
      <w:start w:val="1"/>
      <w:numFmt w:val="lowerLetter"/>
      <w:lvlText w:val="%2)"/>
      <w:lvlJc w:val="left"/>
      <w:pPr>
        <w:ind w:left="1785" w:hanging="420"/>
      </w:pPr>
    </w:lvl>
    <w:lvl w:ilvl="2" w:tentative="0">
      <w:start w:val="1"/>
      <w:numFmt w:val="lowerRoman"/>
      <w:lvlText w:val="%3."/>
      <w:lvlJc w:val="right"/>
      <w:pPr>
        <w:ind w:left="2205" w:hanging="420"/>
      </w:pPr>
    </w:lvl>
    <w:lvl w:ilvl="3" w:tentative="0">
      <w:start w:val="1"/>
      <w:numFmt w:val="decimal"/>
      <w:lvlText w:val="%4."/>
      <w:lvlJc w:val="left"/>
      <w:pPr>
        <w:ind w:left="2625" w:hanging="420"/>
      </w:pPr>
    </w:lvl>
    <w:lvl w:ilvl="4" w:tentative="0">
      <w:start w:val="1"/>
      <w:numFmt w:val="lowerLetter"/>
      <w:lvlText w:val="%5)"/>
      <w:lvlJc w:val="left"/>
      <w:pPr>
        <w:ind w:left="3045" w:hanging="420"/>
      </w:pPr>
    </w:lvl>
    <w:lvl w:ilvl="5" w:tentative="0">
      <w:start w:val="1"/>
      <w:numFmt w:val="lowerRoman"/>
      <w:lvlText w:val="%6."/>
      <w:lvlJc w:val="right"/>
      <w:pPr>
        <w:ind w:left="3465" w:hanging="420"/>
      </w:pPr>
    </w:lvl>
    <w:lvl w:ilvl="6" w:tentative="0">
      <w:start w:val="1"/>
      <w:numFmt w:val="decimal"/>
      <w:lvlText w:val="%7."/>
      <w:lvlJc w:val="left"/>
      <w:pPr>
        <w:ind w:left="3885" w:hanging="420"/>
      </w:pPr>
    </w:lvl>
    <w:lvl w:ilvl="7" w:tentative="0">
      <w:start w:val="1"/>
      <w:numFmt w:val="lowerLetter"/>
      <w:lvlText w:val="%8)"/>
      <w:lvlJc w:val="left"/>
      <w:pPr>
        <w:ind w:left="4305" w:hanging="420"/>
      </w:pPr>
    </w:lvl>
    <w:lvl w:ilvl="8" w:tentative="0">
      <w:start w:val="1"/>
      <w:numFmt w:val="lowerRoman"/>
      <w:lvlText w:val="%9."/>
      <w:lvlJc w:val="right"/>
      <w:pPr>
        <w:ind w:left="4725" w:hanging="420"/>
      </w:pPr>
    </w:lvl>
  </w:abstractNum>
  <w:abstractNum w:abstractNumId="38">
    <w:nsid w:val="50271C0C"/>
    <w:multiLevelType w:val="multilevel"/>
    <w:tmpl w:val="50271C0C"/>
    <w:lvl w:ilvl="0" w:tentative="0">
      <w:start w:val="1"/>
      <w:numFmt w:val="decimal"/>
      <w:lvlText w:val="9.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9">
    <w:nsid w:val="50C71C04"/>
    <w:multiLevelType w:val="multilevel"/>
    <w:tmpl w:val="50C71C04"/>
    <w:lvl w:ilvl="0" w:tentative="0">
      <w:start w:val="27"/>
      <w:numFmt w:val="decimal"/>
      <w:lvlText w:val="%1.2.2"/>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51D76F8A"/>
    <w:multiLevelType w:val="multilevel"/>
    <w:tmpl w:val="51D76F8A"/>
    <w:lvl w:ilvl="0" w:tentative="0">
      <w:start w:val="1"/>
      <w:numFmt w:val="decimal"/>
      <w:lvlText w:val="1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1">
    <w:nsid w:val="53397A47"/>
    <w:multiLevelType w:val="multilevel"/>
    <w:tmpl w:val="53397A47"/>
    <w:lvl w:ilvl="0" w:tentative="0">
      <w:start w:val="27"/>
      <w:numFmt w:val="decimal"/>
      <w:lvlText w:val="%1.3.2"/>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2">
    <w:nsid w:val="53AE05F9"/>
    <w:multiLevelType w:val="multilevel"/>
    <w:tmpl w:val="53AE05F9"/>
    <w:lvl w:ilvl="0" w:tentative="0">
      <w:start w:val="1"/>
      <w:numFmt w:val="decimal"/>
      <w:lvlText w:val="31. %1 "/>
      <w:lvlJc w:val="left"/>
      <w:pPr>
        <w:ind w:left="1833" w:hanging="420"/>
      </w:pPr>
      <w:rPr>
        <w:rFonts w:hint="eastAsia"/>
      </w:rPr>
    </w:lvl>
    <w:lvl w:ilvl="1" w:tentative="0">
      <w:start w:val="1"/>
      <w:numFmt w:val="lowerLetter"/>
      <w:lvlText w:val="%2)"/>
      <w:lvlJc w:val="left"/>
      <w:pPr>
        <w:ind w:left="2253" w:hanging="420"/>
      </w:pPr>
    </w:lvl>
    <w:lvl w:ilvl="2" w:tentative="0">
      <w:start w:val="1"/>
      <w:numFmt w:val="lowerRoman"/>
      <w:lvlText w:val="%3."/>
      <w:lvlJc w:val="right"/>
      <w:pPr>
        <w:ind w:left="2673" w:hanging="420"/>
      </w:pPr>
    </w:lvl>
    <w:lvl w:ilvl="3" w:tentative="0">
      <w:start w:val="1"/>
      <w:numFmt w:val="decimal"/>
      <w:lvlText w:val="%4."/>
      <w:lvlJc w:val="left"/>
      <w:pPr>
        <w:ind w:left="3093" w:hanging="420"/>
      </w:pPr>
    </w:lvl>
    <w:lvl w:ilvl="4" w:tentative="0">
      <w:start w:val="1"/>
      <w:numFmt w:val="lowerLetter"/>
      <w:lvlText w:val="%5)"/>
      <w:lvlJc w:val="left"/>
      <w:pPr>
        <w:ind w:left="3513" w:hanging="420"/>
      </w:pPr>
    </w:lvl>
    <w:lvl w:ilvl="5" w:tentative="0">
      <w:start w:val="1"/>
      <w:numFmt w:val="lowerRoman"/>
      <w:lvlText w:val="%6."/>
      <w:lvlJc w:val="right"/>
      <w:pPr>
        <w:ind w:left="3933" w:hanging="420"/>
      </w:pPr>
    </w:lvl>
    <w:lvl w:ilvl="6" w:tentative="0">
      <w:start w:val="1"/>
      <w:numFmt w:val="decimal"/>
      <w:lvlText w:val="%7."/>
      <w:lvlJc w:val="left"/>
      <w:pPr>
        <w:ind w:left="4353" w:hanging="420"/>
      </w:pPr>
    </w:lvl>
    <w:lvl w:ilvl="7" w:tentative="0">
      <w:start w:val="1"/>
      <w:numFmt w:val="lowerLetter"/>
      <w:lvlText w:val="%8)"/>
      <w:lvlJc w:val="left"/>
      <w:pPr>
        <w:ind w:left="4773" w:hanging="420"/>
      </w:pPr>
    </w:lvl>
    <w:lvl w:ilvl="8" w:tentative="0">
      <w:start w:val="1"/>
      <w:numFmt w:val="lowerRoman"/>
      <w:lvlText w:val="%9."/>
      <w:lvlJc w:val="right"/>
      <w:pPr>
        <w:ind w:left="5193" w:hanging="420"/>
      </w:pPr>
    </w:lvl>
  </w:abstractNum>
  <w:abstractNum w:abstractNumId="43">
    <w:nsid w:val="54662664"/>
    <w:multiLevelType w:val="multilevel"/>
    <w:tmpl w:val="54662664"/>
    <w:lvl w:ilvl="0" w:tentative="0">
      <w:start w:val="1"/>
      <w:numFmt w:val="decimal"/>
      <w:lvlText w:val="1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4">
    <w:nsid w:val="585E5313"/>
    <w:multiLevelType w:val="multilevel"/>
    <w:tmpl w:val="585E5313"/>
    <w:lvl w:ilvl="0" w:tentative="0">
      <w:start w:val="27"/>
      <w:numFmt w:val="decimal"/>
      <w:lvlText w:val="%1.2.7"/>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45">
    <w:nsid w:val="592D6ABA"/>
    <w:multiLevelType w:val="multilevel"/>
    <w:tmpl w:val="592D6ABA"/>
    <w:lvl w:ilvl="0" w:tentative="0">
      <w:start w:val="1"/>
      <w:numFmt w:val="decimal"/>
      <w:lvlText w:val="27.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59F817E8"/>
    <w:multiLevelType w:val="singleLevel"/>
    <w:tmpl w:val="59F817E8"/>
    <w:lvl w:ilvl="0" w:tentative="0">
      <w:start w:val="1"/>
      <w:numFmt w:val="chineseCounting"/>
      <w:pStyle w:val="67"/>
      <w:suff w:val="nothing"/>
      <w:lvlText w:val="%1、"/>
      <w:lvlJc w:val="left"/>
    </w:lvl>
  </w:abstractNum>
  <w:abstractNum w:abstractNumId="47">
    <w:nsid w:val="5A7F763E"/>
    <w:multiLevelType w:val="multilevel"/>
    <w:tmpl w:val="5A7F763E"/>
    <w:lvl w:ilvl="0" w:tentative="0">
      <w:start w:val="1"/>
      <w:numFmt w:val="decimal"/>
      <w:lvlText w:val="22.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8">
    <w:nsid w:val="62E37230"/>
    <w:multiLevelType w:val="multilevel"/>
    <w:tmpl w:val="62E37230"/>
    <w:lvl w:ilvl="0" w:tentative="0">
      <w:start w:val="7"/>
      <w:numFmt w:val="decimal"/>
      <w:lvlText w:val="3.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637A176A"/>
    <w:multiLevelType w:val="multilevel"/>
    <w:tmpl w:val="637A176A"/>
    <w:lvl w:ilvl="0" w:tentative="0">
      <w:start w:val="27"/>
      <w:numFmt w:val="decimal"/>
      <w:lvlText w:val="%1.3.4"/>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0">
    <w:nsid w:val="682F12A7"/>
    <w:multiLevelType w:val="multilevel"/>
    <w:tmpl w:val="682F12A7"/>
    <w:lvl w:ilvl="0" w:tentative="0">
      <w:start w:val="1"/>
      <w:numFmt w:val="decimal"/>
      <w:lvlText w:val="3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1">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2">
    <w:nsid w:val="6A7B4455"/>
    <w:multiLevelType w:val="multilevel"/>
    <w:tmpl w:val="6A7B4455"/>
    <w:lvl w:ilvl="0" w:tentative="0">
      <w:start w:val="1"/>
      <w:numFmt w:val="decimal"/>
      <w:lvlText w:val="2. %1 "/>
      <w:lvlJc w:val="left"/>
      <w:pPr>
        <w:ind w:left="964" w:hanging="544"/>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53">
    <w:nsid w:val="6AC30090"/>
    <w:multiLevelType w:val="multilevel"/>
    <w:tmpl w:val="6AC30090"/>
    <w:lvl w:ilvl="0" w:tentative="0">
      <w:start w:val="1"/>
      <w:numFmt w:val="decimal"/>
      <w:lvlText w:val="3.6.%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4">
    <w:nsid w:val="72A571BA"/>
    <w:multiLevelType w:val="multilevel"/>
    <w:tmpl w:val="72A571BA"/>
    <w:lvl w:ilvl="0" w:tentative="0">
      <w:start w:val="27"/>
      <w:numFmt w:val="decimal"/>
      <w:lvlText w:val="%1.3.5"/>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5">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6">
    <w:nsid w:val="74C15544"/>
    <w:multiLevelType w:val="multilevel"/>
    <w:tmpl w:val="74C15544"/>
    <w:lvl w:ilvl="0" w:tentative="0">
      <w:start w:val="1"/>
      <w:numFmt w:val="decimal"/>
      <w:lvlText w:val="16.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7">
    <w:nsid w:val="769B59E4"/>
    <w:multiLevelType w:val="multilevel"/>
    <w:tmpl w:val="769B59E4"/>
    <w:lvl w:ilvl="0" w:tentative="0">
      <w:start w:val="1"/>
      <w:numFmt w:val="decimal"/>
      <w:lvlText w:val="3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8">
    <w:nsid w:val="76C52B98"/>
    <w:multiLevelType w:val="multilevel"/>
    <w:tmpl w:val="76C52B98"/>
    <w:lvl w:ilvl="0" w:tentative="0">
      <w:start w:val="1"/>
      <w:numFmt w:val="decimal"/>
      <w:lvlText w:val="23.1.%1"/>
      <w:lvlJc w:val="left"/>
      <w:pPr>
        <w:ind w:left="1369" w:hanging="420"/>
      </w:pPr>
      <w:rPr>
        <w:rFonts w:hint="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59">
    <w:nsid w:val="77900F89"/>
    <w:multiLevelType w:val="multilevel"/>
    <w:tmpl w:val="77900F89"/>
    <w:lvl w:ilvl="0" w:tentative="0">
      <w:start w:val="1"/>
      <w:numFmt w:val="decimal"/>
      <w:lvlText w:val="4.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784952E2"/>
    <w:multiLevelType w:val="multilevel"/>
    <w:tmpl w:val="784952E2"/>
    <w:lvl w:ilvl="0" w:tentative="0">
      <w:start w:val="1"/>
      <w:numFmt w:val="decimal"/>
      <w:lvlText w:val="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1">
    <w:nsid w:val="790BBA58"/>
    <w:multiLevelType w:val="singleLevel"/>
    <w:tmpl w:val="790BBA58"/>
    <w:lvl w:ilvl="0" w:tentative="0">
      <w:start w:val="3"/>
      <w:numFmt w:val="decimal"/>
      <w:lvlText w:val="%1."/>
      <w:lvlJc w:val="left"/>
      <w:pPr>
        <w:tabs>
          <w:tab w:val="left" w:pos="312"/>
        </w:tabs>
      </w:pPr>
    </w:lvl>
  </w:abstractNum>
  <w:abstractNum w:abstractNumId="62">
    <w:nsid w:val="79661C85"/>
    <w:multiLevelType w:val="multilevel"/>
    <w:tmpl w:val="79661C85"/>
    <w:lvl w:ilvl="0" w:tentative="0">
      <w:start w:val="27"/>
      <w:numFmt w:val="decimal"/>
      <w:lvlText w:val="%1.2.5"/>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3">
    <w:nsid w:val="7A130572"/>
    <w:multiLevelType w:val="multilevel"/>
    <w:tmpl w:val="7A130572"/>
    <w:lvl w:ilvl="0" w:tentative="0">
      <w:start w:val="1"/>
      <w:numFmt w:val="decimal"/>
      <w:lvlText w:val="%1."/>
      <w:lvlJc w:val="left"/>
      <w:pPr>
        <w:ind w:left="420" w:hanging="420"/>
      </w:pPr>
      <w:rPr>
        <w:rFonts w:hint="eastAsia"/>
      </w:rPr>
    </w:lvl>
    <w:lvl w:ilvl="1" w:tentative="0">
      <w:start w:val="2"/>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4">
    <w:nsid w:val="7C0F28AA"/>
    <w:multiLevelType w:val="multilevel"/>
    <w:tmpl w:val="7C0F28AA"/>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7CB627DC"/>
    <w:multiLevelType w:val="multilevel"/>
    <w:tmpl w:val="7CB627DC"/>
    <w:lvl w:ilvl="0" w:tentative="0">
      <w:start w:val="27"/>
      <w:numFmt w:val="decimal"/>
      <w:lvlText w:val="%1.2.6"/>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6">
    <w:nsid w:val="7D767924"/>
    <w:multiLevelType w:val="multilevel"/>
    <w:tmpl w:val="7D767924"/>
    <w:lvl w:ilvl="0" w:tentative="0">
      <w:start w:val="33"/>
      <w:numFmt w:val="decimal"/>
      <w:lvlText w:val="%1.1.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2"/>
  </w:num>
  <w:num w:numId="2">
    <w:abstractNumId w:val="7"/>
  </w:num>
  <w:num w:numId="3">
    <w:abstractNumId w:val="3"/>
  </w:num>
  <w:num w:numId="4">
    <w:abstractNumId w:val="46"/>
  </w:num>
  <w:num w:numId="5">
    <w:abstractNumId w:val="21"/>
  </w:num>
  <w:num w:numId="6">
    <w:abstractNumId w:val="0"/>
  </w:num>
  <w:num w:numId="7">
    <w:abstractNumId w:val="61"/>
  </w:num>
  <w:num w:numId="8">
    <w:abstractNumId w:val="1"/>
  </w:num>
  <w:num w:numId="9">
    <w:abstractNumId w:val="64"/>
  </w:num>
  <w:num w:numId="10">
    <w:abstractNumId w:val="4"/>
  </w:num>
  <w:num w:numId="11">
    <w:abstractNumId w:val="35"/>
  </w:num>
  <w:num w:numId="12">
    <w:abstractNumId w:val="18"/>
  </w:num>
  <w:num w:numId="13">
    <w:abstractNumId w:val="19"/>
  </w:num>
  <w:num w:numId="14">
    <w:abstractNumId w:val="52"/>
  </w:num>
  <w:num w:numId="15">
    <w:abstractNumId w:val="63"/>
  </w:num>
  <w:num w:numId="16">
    <w:abstractNumId w:val="60"/>
  </w:num>
  <w:num w:numId="17">
    <w:abstractNumId w:val="51"/>
  </w:num>
  <w:num w:numId="18">
    <w:abstractNumId w:val="27"/>
  </w:num>
  <w:num w:numId="19">
    <w:abstractNumId w:val="20"/>
  </w:num>
  <w:num w:numId="20">
    <w:abstractNumId w:val="53"/>
  </w:num>
  <w:num w:numId="21">
    <w:abstractNumId w:val="48"/>
  </w:num>
  <w:num w:numId="22">
    <w:abstractNumId w:val="59"/>
  </w:num>
  <w:num w:numId="23">
    <w:abstractNumId w:val="38"/>
  </w:num>
  <w:num w:numId="24">
    <w:abstractNumId w:val="15"/>
  </w:num>
  <w:num w:numId="25">
    <w:abstractNumId w:val="43"/>
  </w:num>
  <w:num w:numId="26">
    <w:abstractNumId w:val="8"/>
  </w:num>
  <w:num w:numId="27">
    <w:abstractNumId w:val="25"/>
  </w:num>
  <w:num w:numId="28">
    <w:abstractNumId w:val="40"/>
  </w:num>
  <w:num w:numId="29">
    <w:abstractNumId w:val="6"/>
  </w:num>
  <w:num w:numId="30">
    <w:abstractNumId w:val="56"/>
  </w:num>
  <w:num w:numId="31">
    <w:abstractNumId w:val="14"/>
  </w:num>
  <w:num w:numId="32">
    <w:abstractNumId w:val="29"/>
  </w:num>
  <w:num w:numId="33">
    <w:abstractNumId w:val="33"/>
  </w:num>
  <w:num w:numId="34">
    <w:abstractNumId w:val="22"/>
  </w:num>
  <w:num w:numId="35">
    <w:abstractNumId w:val="47"/>
  </w:num>
  <w:num w:numId="36">
    <w:abstractNumId w:val="55"/>
  </w:num>
  <w:num w:numId="37">
    <w:abstractNumId w:val="34"/>
  </w:num>
  <w:num w:numId="38">
    <w:abstractNumId w:val="58"/>
  </w:num>
  <w:num w:numId="39">
    <w:abstractNumId w:val="16"/>
  </w:num>
  <w:num w:numId="40">
    <w:abstractNumId w:val="12"/>
  </w:num>
  <w:num w:numId="41">
    <w:abstractNumId w:val="9"/>
  </w:num>
  <w:num w:numId="42">
    <w:abstractNumId w:val="31"/>
  </w:num>
  <w:num w:numId="4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6"/>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2"/>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5"/>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4"/>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41"/>
  </w:num>
  <w:num w:numId="56">
    <w:abstractNumId w:val="17"/>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9"/>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4"/>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0"/>
  </w:num>
  <w:num w:numId="60">
    <w:abstractNumId w:val="57"/>
  </w:num>
  <w:num w:numId="61">
    <w:abstractNumId w:val="42"/>
  </w:num>
  <w:num w:numId="62">
    <w:abstractNumId w:val="23"/>
  </w:num>
  <w:num w:numId="63">
    <w:abstractNumId w:val="28"/>
  </w:num>
  <w:num w:numId="64">
    <w:abstractNumId w:val="36"/>
  </w:num>
  <w:num w:numId="65">
    <w:abstractNumId w:val="50"/>
  </w:num>
  <w:num w:numId="66">
    <w:abstractNumId w:val="66"/>
  </w:num>
  <w:num w:numId="67">
    <w:abstractNumId w:val="13"/>
  </w:num>
  <w:num w:numId="6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zODExMWRmOTU4YTJkNDYyMTQwMDZkZjczZDgyYTIifQ=="/>
  </w:docVars>
  <w:rsids>
    <w:rsidRoot w:val="00D51569"/>
    <w:rsid w:val="000017BD"/>
    <w:rsid w:val="000069EC"/>
    <w:rsid w:val="00007470"/>
    <w:rsid w:val="000112AC"/>
    <w:rsid w:val="0001195E"/>
    <w:rsid w:val="00011D2B"/>
    <w:rsid w:val="0001598A"/>
    <w:rsid w:val="000173D4"/>
    <w:rsid w:val="000227BF"/>
    <w:rsid w:val="00024D13"/>
    <w:rsid w:val="0002758D"/>
    <w:rsid w:val="00030B34"/>
    <w:rsid w:val="00031CF4"/>
    <w:rsid w:val="000418F9"/>
    <w:rsid w:val="00044305"/>
    <w:rsid w:val="00046E42"/>
    <w:rsid w:val="00054BAB"/>
    <w:rsid w:val="0007027E"/>
    <w:rsid w:val="00072339"/>
    <w:rsid w:val="000800D2"/>
    <w:rsid w:val="00080389"/>
    <w:rsid w:val="00083387"/>
    <w:rsid w:val="00083980"/>
    <w:rsid w:val="0008414A"/>
    <w:rsid w:val="00085343"/>
    <w:rsid w:val="0008729E"/>
    <w:rsid w:val="00087510"/>
    <w:rsid w:val="00091C9C"/>
    <w:rsid w:val="00095387"/>
    <w:rsid w:val="00095D9A"/>
    <w:rsid w:val="00096224"/>
    <w:rsid w:val="0009640F"/>
    <w:rsid w:val="0009646E"/>
    <w:rsid w:val="000A02BB"/>
    <w:rsid w:val="000A3F18"/>
    <w:rsid w:val="000A73BC"/>
    <w:rsid w:val="000B10C2"/>
    <w:rsid w:val="000B3383"/>
    <w:rsid w:val="000B4057"/>
    <w:rsid w:val="000B4BAC"/>
    <w:rsid w:val="000B7263"/>
    <w:rsid w:val="000C0D70"/>
    <w:rsid w:val="000C0F8B"/>
    <w:rsid w:val="000C2A7B"/>
    <w:rsid w:val="000C6111"/>
    <w:rsid w:val="000D15F5"/>
    <w:rsid w:val="000D1CF1"/>
    <w:rsid w:val="000D30B8"/>
    <w:rsid w:val="000D6633"/>
    <w:rsid w:val="000D798A"/>
    <w:rsid w:val="000E2FFC"/>
    <w:rsid w:val="000E4C07"/>
    <w:rsid w:val="000E57E7"/>
    <w:rsid w:val="000F1E89"/>
    <w:rsid w:val="0010014D"/>
    <w:rsid w:val="001145D4"/>
    <w:rsid w:val="001223EF"/>
    <w:rsid w:val="001236A3"/>
    <w:rsid w:val="001341A1"/>
    <w:rsid w:val="00134561"/>
    <w:rsid w:val="0013796A"/>
    <w:rsid w:val="001408F1"/>
    <w:rsid w:val="001415B4"/>
    <w:rsid w:val="00152541"/>
    <w:rsid w:val="00152DB4"/>
    <w:rsid w:val="00154EA8"/>
    <w:rsid w:val="0016405F"/>
    <w:rsid w:val="00165E49"/>
    <w:rsid w:val="00165F8E"/>
    <w:rsid w:val="0016779A"/>
    <w:rsid w:val="00167F93"/>
    <w:rsid w:val="00170DCF"/>
    <w:rsid w:val="00170EDE"/>
    <w:rsid w:val="0017154C"/>
    <w:rsid w:val="001749D2"/>
    <w:rsid w:val="00174C63"/>
    <w:rsid w:val="0017584B"/>
    <w:rsid w:val="00176E55"/>
    <w:rsid w:val="00177319"/>
    <w:rsid w:val="00177379"/>
    <w:rsid w:val="00181BE6"/>
    <w:rsid w:val="00183B7D"/>
    <w:rsid w:val="001855AB"/>
    <w:rsid w:val="00186162"/>
    <w:rsid w:val="00186268"/>
    <w:rsid w:val="00191A00"/>
    <w:rsid w:val="00191DEB"/>
    <w:rsid w:val="00193679"/>
    <w:rsid w:val="001946AC"/>
    <w:rsid w:val="001957E3"/>
    <w:rsid w:val="0019757C"/>
    <w:rsid w:val="001A2E65"/>
    <w:rsid w:val="001B0DF5"/>
    <w:rsid w:val="001C0A13"/>
    <w:rsid w:val="001C1C1F"/>
    <w:rsid w:val="001C26CD"/>
    <w:rsid w:val="001C2837"/>
    <w:rsid w:val="001C2B6A"/>
    <w:rsid w:val="001C761E"/>
    <w:rsid w:val="001D06FF"/>
    <w:rsid w:val="001D1CBB"/>
    <w:rsid w:val="001D33AD"/>
    <w:rsid w:val="001D33DA"/>
    <w:rsid w:val="001D4C00"/>
    <w:rsid w:val="001E25D9"/>
    <w:rsid w:val="001E5052"/>
    <w:rsid w:val="001E592F"/>
    <w:rsid w:val="001F3418"/>
    <w:rsid w:val="001F7199"/>
    <w:rsid w:val="002078AE"/>
    <w:rsid w:val="00207A48"/>
    <w:rsid w:val="00210B90"/>
    <w:rsid w:val="00213F11"/>
    <w:rsid w:val="00214892"/>
    <w:rsid w:val="00224D01"/>
    <w:rsid w:val="002255A9"/>
    <w:rsid w:val="00230652"/>
    <w:rsid w:val="00231307"/>
    <w:rsid w:val="00232729"/>
    <w:rsid w:val="00234627"/>
    <w:rsid w:val="002402CD"/>
    <w:rsid w:val="002426C4"/>
    <w:rsid w:val="002436B4"/>
    <w:rsid w:val="00246A17"/>
    <w:rsid w:val="00251FE4"/>
    <w:rsid w:val="002523CB"/>
    <w:rsid w:val="00252623"/>
    <w:rsid w:val="00255732"/>
    <w:rsid w:val="002615C0"/>
    <w:rsid w:val="00264D16"/>
    <w:rsid w:val="002659C7"/>
    <w:rsid w:val="00266F45"/>
    <w:rsid w:val="00267EE6"/>
    <w:rsid w:val="002709BD"/>
    <w:rsid w:val="002732E0"/>
    <w:rsid w:val="0028277F"/>
    <w:rsid w:val="002847E1"/>
    <w:rsid w:val="002871DE"/>
    <w:rsid w:val="002872FE"/>
    <w:rsid w:val="0029125D"/>
    <w:rsid w:val="0029513F"/>
    <w:rsid w:val="002A1745"/>
    <w:rsid w:val="002A2748"/>
    <w:rsid w:val="002A4D68"/>
    <w:rsid w:val="002A625E"/>
    <w:rsid w:val="002A62EC"/>
    <w:rsid w:val="002A66C8"/>
    <w:rsid w:val="002B1CC1"/>
    <w:rsid w:val="002B63D8"/>
    <w:rsid w:val="002C0F73"/>
    <w:rsid w:val="002C3B0D"/>
    <w:rsid w:val="002C409C"/>
    <w:rsid w:val="002C6520"/>
    <w:rsid w:val="002D082A"/>
    <w:rsid w:val="002D1053"/>
    <w:rsid w:val="002D1F99"/>
    <w:rsid w:val="002D38B2"/>
    <w:rsid w:val="002D5078"/>
    <w:rsid w:val="002E0D3B"/>
    <w:rsid w:val="002E18BD"/>
    <w:rsid w:val="002E3D0E"/>
    <w:rsid w:val="002E6378"/>
    <w:rsid w:val="002F11CE"/>
    <w:rsid w:val="002F23BC"/>
    <w:rsid w:val="002F2D13"/>
    <w:rsid w:val="002F3BDA"/>
    <w:rsid w:val="002F4580"/>
    <w:rsid w:val="003011BE"/>
    <w:rsid w:val="00303F10"/>
    <w:rsid w:val="0030443F"/>
    <w:rsid w:val="003073D8"/>
    <w:rsid w:val="00307D84"/>
    <w:rsid w:val="0031002E"/>
    <w:rsid w:val="003158D3"/>
    <w:rsid w:val="00316363"/>
    <w:rsid w:val="003169BF"/>
    <w:rsid w:val="0032784A"/>
    <w:rsid w:val="00330D3D"/>
    <w:rsid w:val="0033421C"/>
    <w:rsid w:val="003347F9"/>
    <w:rsid w:val="00336F5A"/>
    <w:rsid w:val="003518EF"/>
    <w:rsid w:val="00352B95"/>
    <w:rsid w:val="00357CCD"/>
    <w:rsid w:val="0036208A"/>
    <w:rsid w:val="00362641"/>
    <w:rsid w:val="00362B77"/>
    <w:rsid w:val="0037221E"/>
    <w:rsid w:val="003723BF"/>
    <w:rsid w:val="003812AE"/>
    <w:rsid w:val="00382E5B"/>
    <w:rsid w:val="00386F17"/>
    <w:rsid w:val="003929E8"/>
    <w:rsid w:val="00396626"/>
    <w:rsid w:val="003A05BE"/>
    <w:rsid w:val="003A1280"/>
    <w:rsid w:val="003B103B"/>
    <w:rsid w:val="003B1D5B"/>
    <w:rsid w:val="003B34F7"/>
    <w:rsid w:val="003C0C24"/>
    <w:rsid w:val="003C481F"/>
    <w:rsid w:val="003C6D19"/>
    <w:rsid w:val="003C6FAA"/>
    <w:rsid w:val="003D2645"/>
    <w:rsid w:val="003D2DF6"/>
    <w:rsid w:val="003D4E8A"/>
    <w:rsid w:val="003E095B"/>
    <w:rsid w:val="003E15B0"/>
    <w:rsid w:val="003E5ADF"/>
    <w:rsid w:val="003E7C66"/>
    <w:rsid w:val="004002C2"/>
    <w:rsid w:val="0040335E"/>
    <w:rsid w:val="00410495"/>
    <w:rsid w:val="004104F8"/>
    <w:rsid w:val="00410B19"/>
    <w:rsid w:val="00416591"/>
    <w:rsid w:val="00430563"/>
    <w:rsid w:val="004330FE"/>
    <w:rsid w:val="00435E0B"/>
    <w:rsid w:val="00440D16"/>
    <w:rsid w:val="0044232F"/>
    <w:rsid w:val="00444482"/>
    <w:rsid w:val="00445910"/>
    <w:rsid w:val="004464C2"/>
    <w:rsid w:val="0044739E"/>
    <w:rsid w:val="00460A24"/>
    <w:rsid w:val="00463754"/>
    <w:rsid w:val="00464D64"/>
    <w:rsid w:val="0047231A"/>
    <w:rsid w:val="0047378F"/>
    <w:rsid w:val="004739A7"/>
    <w:rsid w:val="00474BDD"/>
    <w:rsid w:val="00475412"/>
    <w:rsid w:val="00480C9E"/>
    <w:rsid w:val="00482B1A"/>
    <w:rsid w:val="00485967"/>
    <w:rsid w:val="00496BD4"/>
    <w:rsid w:val="0049794D"/>
    <w:rsid w:val="004A5489"/>
    <w:rsid w:val="004A698D"/>
    <w:rsid w:val="004A713D"/>
    <w:rsid w:val="004B620B"/>
    <w:rsid w:val="004B6F24"/>
    <w:rsid w:val="004C1117"/>
    <w:rsid w:val="004C2A4D"/>
    <w:rsid w:val="004C5714"/>
    <w:rsid w:val="004D0712"/>
    <w:rsid w:val="004D0AF0"/>
    <w:rsid w:val="004D3082"/>
    <w:rsid w:val="004D4B04"/>
    <w:rsid w:val="004D595F"/>
    <w:rsid w:val="004D7BED"/>
    <w:rsid w:val="004E0DFB"/>
    <w:rsid w:val="004E450C"/>
    <w:rsid w:val="004E547A"/>
    <w:rsid w:val="004E5E79"/>
    <w:rsid w:val="004F1683"/>
    <w:rsid w:val="00501F13"/>
    <w:rsid w:val="0050316F"/>
    <w:rsid w:val="00506193"/>
    <w:rsid w:val="00510B61"/>
    <w:rsid w:val="00513C6A"/>
    <w:rsid w:val="005167FC"/>
    <w:rsid w:val="00520164"/>
    <w:rsid w:val="005222C3"/>
    <w:rsid w:val="005229DC"/>
    <w:rsid w:val="005254AD"/>
    <w:rsid w:val="00527604"/>
    <w:rsid w:val="00532D1B"/>
    <w:rsid w:val="00532FA1"/>
    <w:rsid w:val="00535B8D"/>
    <w:rsid w:val="00536DD2"/>
    <w:rsid w:val="005411DE"/>
    <w:rsid w:val="00546251"/>
    <w:rsid w:val="005508EC"/>
    <w:rsid w:val="0055332A"/>
    <w:rsid w:val="00555EDE"/>
    <w:rsid w:val="005711DE"/>
    <w:rsid w:val="00573241"/>
    <w:rsid w:val="00574E98"/>
    <w:rsid w:val="00575C9D"/>
    <w:rsid w:val="005775B7"/>
    <w:rsid w:val="005779B2"/>
    <w:rsid w:val="00581F58"/>
    <w:rsid w:val="00586CD2"/>
    <w:rsid w:val="005872CC"/>
    <w:rsid w:val="005940FF"/>
    <w:rsid w:val="00595ECF"/>
    <w:rsid w:val="00596914"/>
    <w:rsid w:val="005A33DA"/>
    <w:rsid w:val="005A49BE"/>
    <w:rsid w:val="005A7E7E"/>
    <w:rsid w:val="005B01E4"/>
    <w:rsid w:val="005B1144"/>
    <w:rsid w:val="005B14F6"/>
    <w:rsid w:val="005B180E"/>
    <w:rsid w:val="005B4048"/>
    <w:rsid w:val="005B5550"/>
    <w:rsid w:val="005C09F8"/>
    <w:rsid w:val="005D1597"/>
    <w:rsid w:val="005D4EBE"/>
    <w:rsid w:val="005D51C3"/>
    <w:rsid w:val="005D5C1A"/>
    <w:rsid w:val="005D6674"/>
    <w:rsid w:val="005F690F"/>
    <w:rsid w:val="005F6B82"/>
    <w:rsid w:val="00600324"/>
    <w:rsid w:val="00601A21"/>
    <w:rsid w:val="00605FD5"/>
    <w:rsid w:val="00606700"/>
    <w:rsid w:val="0061063F"/>
    <w:rsid w:val="00622142"/>
    <w:rsid w:val="0062372C"/>
    <w:rsid w:val="00630932"/>
    <w:rsid w:val="00631795"/>
    <w:rsid w:val="00632AB7"/>
    <w:rsid w:val="00633C14"/>
    <w:rsid w:val="00636AAD"/>
    <w:rsid w:val="006375E0"/>
    <w:rsid w:val="00637A19"/>
    <w:rsid w:val="0064072E"/>
    <w:rsid w:val="0064175E"/>
    <w:rsid w:val="00645D68"/>
    <w:rsid w:val="00651710"/>
    <w:rsid w:val="00652F79"/>
    <w:rsid w:val="006533B0"/>
    <w:rsid w:val="00654154"/>
    <w:rsid w:val="00654267"/>
    <w:rsid w:val="006560E7"/>
    <w:rsid w:val="0065614C"/>
    <w:rsid w:val="006616D3"/>
    <w:rsid w:val="0066238D"/>
    <w:rsid w:val="00664D37"/>
    <w:rsid w:val="0066706E"/>
    <w:rsid w:val="00667837"/>
    <w:rsid w:val="00667D06"/>
    <w:rsid w:val="006717A9"/>
    <w:rsid w:val="0067327E"/>
    <w:rsid w:val="00675A3C"/>
    <w:rsid w:val="00676DDA"/>
    <w:rsid w:val="006778F4"/>
    <w:rsid w:val="00680364"/>
    <w:rsid w:val="00687327"/>
    <w:rsid w:val="0069574E"/>
    <w:rsid w:val="00695B12"/>
    <w:rsid w:val="006A1483"/>
    <w:rsid w:val="006A29B6"/>
    <w:rsid w:val="006A4956"/>
    <w:rsid w:val="006A6187"/>
    <w:rsid w:val="006A6D68"/>
    <w:rsid w:val="006A6E3E"/>
    <w:rsid w:val="006B25F5"/>
    <w:rsid w:val="006B34C4"/>
    <w:rsid w:val="006C76C0"/>
    <w:rsid w:val="006D0369"/>
    <w:rsid w:val="006D05AC"/>
    <w:rsid w:val="006D2D95"/>
    <w:rsid w:val="006D71B0"/>
    <w:rsid w:val="006D71DF"/>
    <w:rsid w:val="006E10AE"/>
    <w:rsid w:val="006E21C6"/>
    <w:rsid w:val="006E42E5"/>
    <w:rsid w:val="006F1019"/>
    <w:rsid w:val="006F15D2"/>
    <w:rsid w:val="006F7C4F"/>
    <w:rsid w:val="00705AA8"/>
    <w:rsid w:val="0070672C"/>
    <w:rsid w:val="007105AC"/>
    <w:rsid w:val="00714D78"/>
    <w:rsid w:val="00724498"/>
    <w:rsid w:val="0072694A"/>
    <w:rsid w:val="007303E5"/>
    <w:rsid w:val="00746403"/>
    <w:rsid w:val="00747598"/>
    <w:rsid w:val="007500E2"/>
    <w:rsid w:val="00752B33"/>
    <w:rsid w:val="00752DA3"/>
    <w:rsid w:val="00763CD2"/>
    <w:rsid w:val="0076522A"/>
    <w:rsid w:val="007707E3"/>
    <w:rsid w:val="00772353"/>
    <w:rsid w:val="0077399E"/>
    <w:rsid w:val="00775B86"/>
    <w:rsid w:val="0078097A"/>
    <w:rsid w:val="00783715"/>
    <w:rsid w:val="0078489C"/>
    <w:rsid w:val="007873DE"/>
    <w:rsid w:val="0078798E"/>
    <w:rsid w:val="00791B7A"/>
    <w:rsid w:val="007A1051"/>
    <w:rsid w:val="007A2AB5"/>
    <w:rsid w:val="007B7261"/>
    <w:rsid w:val="007C0625"/>
    <w:rsid w:val="007C5494"/>
    <w:rsid w:val="007C74CE"/>
    <w:rsid w:val="007D4BF7"/>
    <w:rsid w:val="007D5E56"/>
    <w:rsid w:val="007D72D5"/>
    <w:rsid w:val="007D77E0"/>
    <w:rsid w:val="007E5B97"/>
    <w:rsid w:val="007E6BFA"/>
    <w:rsid w:val="007E6FAA"/>
    <w:rsid w:val="007F042C"/>
    <w:rsid w:val="007F216A"/>
    <w:rsid w:val="007F4688"/>
    <w:rsid w:val="007F6AAE"/>
    <w:rsid w:val="0080123B"/>
    <w:rsid w:val="00802785"/>
    <w:rsid w:val="00811E28"/>
    <w:rsid w:val="00813D6C"/>
    <w:rsid w:val="00814BC6"/>
    <w:rsid w:val="00815958"/>
    <w:rsid w:val="0081674C"/>
    <w:rsid w:val="008167A4"/>
    <w:rsid w:val="008169E7"/>
    <w:rsid w:val="0081722A"/>
    <w:rsid w:val="00821AFA"/>
    <w:rsid w:val="008235E7"/>
    <w:rsid w:val="008236FF"/>
    <w:rsid w:val="00824331"/>
    <w:rsid w:val="008305FE"/>
    <w:rsid w:val="00833A9C"/>
    <w:rsid w:val="00834DCC"/>
    <w:rsid w:val="008358AC"/>
    <w:rsid w:val="00841FEE"/>
    <w:rsid w:val="00843944"/>
    <w:rsid w:val="00845294"/>
    <w:rsid w:val="00845E76"/>
    <w:rsid w:val="00846366"/>
    <w:rsid w:val="00847EB4"/>
    <w:rsid w:val="008527B4"/>
    <w:rsid w:val="0085561E"/>
    <w:rsid w:val="0085589E"/>
    <w:rsid w:val="00867743"/>
    <w:rsid w:val="00870292"/>
    <w:rsid w:val="0087084F"/>
    <w:rsid w:val="0087132C"/>
    <w:rsid w:val="008814AB"/>
    <w:rsid w:val="00883016"/>
    <w:rsid w:val="00887377"/>
    <w:rsid w:val="00890942"/>
    <w:rsid w:val="00893CDB"/>
    <w:rsid w:val="008953B0"/>
    <w:rsid w:val="008953C5"/>
    <w:rsid w:val="008A2C19"/>
    <w:rsid w:val="008A6416"/>
    <w:rsid w:val="008B04E0"/>
    <w:rsid w:val="008B110D"/>
    <w:rsid w:val="008B3378"/>
    <w:rsid w:val="008B618F"/>
    <w:rsid w:val="008C02EA"/>
    <w:rsid w:val="008C64CC"/>
    <w:rsid w:val="008C728F"/>
    <w:rsid w:val="008D05C1"/>
    <w:rsid w:val="008D2E1A"/>
    <w:rsid w:val="008D3675"/>
    <w:rsid w:val="008E16F1"/>
    <w:rsid w:val="008E4CA2"/>
    <w:rsid w:val="008E7FBF"/>
    <w:rsid w:val="008F1300"/>
    <w:rsid w:val="008F2C11"/>
    <w:rsid w:val="008F4729"/>
    <w:rsid w:val="008F52FA"/>
    <w:rsid w:val="008F67AC"/>
    <w:rsid w:val="008F7EDB"/>
    <w:rsid w:val="00900545"/>
    <w:rsid w:val="00900F1C"/>
    <w:rsid w:val="00902C0B"/>
    <w:rsid w:val="00905B70"/>
    <w:rsid w:val="00910752"/>
    <w:rsid w:val="00910928"/>
    <w:rsid w:val="00914A10"/>
    <w:rsid w:val="00916BA6"/>
    <w:rsid w:val="00923781"/>
    <w:rsid w:val="009302C2"/>
    <w:rsid w:val="0093043A"/>
    <w:rsid w:val="009316AE"/>
    <w:rsid w:val="0093555D"/>
    <w:rsid w:val="009378B5"/>
    <w:rsid w:val="009420C2"/>
    <w:rsid w:val="00942743"/>
    <w:rsid w:val="00946F0D"/>
    <w:rsid w:val="00951D5E"/>
    <w:rsid w:val="00952465"/>
    <w:rsid w:val="009528D4"/>
    <w:rsid w:val="009564F5"/>
    <w:rsid w:val="0096341B"/>
    <w:rsid w:val="00964DC0"/>
    <w:rsid w:val="00965EE4"/>
    <w:rsid w:val="00970028"/>
    <w:rsid w:val="009703B2"/>
    <w:rsid w:val="00971959"/>
    <w:rsid w:val="00971CF1"/>
    <w:rsid w:val="00971DF8"/>
    <w:rsid w:val="009748D7"/>
    <w:rsid w:val="009757E6"/>
    <w:rsid w:val="00983B30"/>
    <w:rsid w:val="009853BF"/>
    <w:rsid w:val="0098663F"/>
    <w:rsid w:val="00992A2E"/>
    <w:rsid w:val="00992AB2"/>
    <w:rsid w:val="0099755A"/>
    <w:rsid w:val="009A0424"/>
    <w:rsid w:val="009A0D67"/>
    <w:rsid w:val="009A10C2"/>
    <w:rsid w:val="009A31BA"/>
    <w:rsid w:val="009A3E46"/>
    <w:rsid w:val="009A42AD"/>
    <w:rsid w:val="009A6496"/>
    <w:rsid w:val="009B2566"/>
    <w:rsid w:val="009B77DF"/>
    <w:rsid w:val="009C12AB"/>
    <w:rsid w:val="009C20C0"/>
    <w:rsid w:val="009C29B9"/>
    <w:rsid w:val="009C302F"/>
    <w:rsid w:val="009C6DAB"/>
    <w:rsid w:val="009D0218"/>
    <w:rsid w:val="009D173B"/>
    <w:rsid w:val="009D63BC"/>
    <w:rsid w:val="009E2A41"/>
    <w:rsid w:val="009E2A6C"/>
    <w:rsid w:val="009E5B09"/>
    <w:rsid w:val="009E722C"/>
    <w:rsid w:val="009F3688"/>
    <w:rsid w:val="00A02881"/>
    <w:rsid w:val="00A04DD5"/>
    <w:rsid w:val="00A10F0B"/>
    <w:rsid w:val="00A1438F"/>
    <w:rsid w:val="00A153DA"/>
    <w:rsid w:val="00A20842"/>
    <w:rsid w:val="00A21307"/>
    <w:rsid w:val="00A2333F"/>
    <w:rsid w:val="00A23E59"/>
    <w:rsid w:val="00A256F1"/>
    <w:rsid w:val="00A27567"/>
    <w:rsid w:val="00A306ED"/>
    <w:rsid w:val="00A31B5F"/>
    <w:rsid w:val="00A31F71"/>
    <w:rsid w:val="00A371D3"/>
    <w:rsid w:val="00A37751"/>
    <w:rsid w:val="00A37B75"/>
    <w:rsid w:val="00A4184B"/>
    <w:rsid w:val="00A46EDA"/>
    <w:rsid w:val="00A522B6"/>
    <w:rsid w:val="00A52E66"/>
    <w:rsid w:val="00A541CC"/>
    <w:rsid w:val="00A54462"/>
    <w:rsid w:val="00A60670"/>
    <w:rsid w:val="00A62928"/>
    <w:rsid w:val="00A640DD"/>
    <w:rsid w:val="00A641CD"/>
    <w:rsid w:val="00A67B16"/>
    <w:rsid w:val="00A706A0"/>
    <w:rsid w:val="00A74B92"/>
    <w:rsid w:val="00A74F81"/>
    <w:rsid w:val="00A77D07"/>
    <w:rsid w:val="00A80478"/>
    <w:rsid w:val="00A84714"/>
    <w:rsid w:val="00A94D7E"/>
    <w:rsid w:val="00A95C8D"/>
    <w:rsid w:val="00A95EA0"/>
    <w:rsid w:val="00A96F5A"/>
    <w:rsid w:val="00AA0B3A"/>
    <w:rsid w:val="00AA23BA"/>
    <w:rsid w:val="00AA6558"/>
    <w:rsid w:val="00AA6F4A"/>
    <w:rsid w:val="00AB11F6"/>
    <w:rsid w:val="00AB37ED"/>
    <w:rsid w:val="00AC081D"/>
    <w:rsid w:val="00AC5733"/>
    <w:rsid w:val="00AC5A33"/>
    <w:rsid w:val="00AC766D"/>
    <w:rsid w:val="00AC7F46"/>
    <w:rsid w:val="00AD442D"/>
    <w:rsid w:val="00AD77A9"/>
    <w:rsid w:val="00AE3026"/>
    <w:rsid w:val="00AE3F48"/>
    <w:rsid w:val="00AE7D35"/>
    <w:rsid w:val="00AF6E1F"/>
    <w:rsid w:val="00B007A9"/>
    <w:rsid w:val="00B00EBD"/>
    <w:rsid w:val="00B010D9"/>
    <w:rsid w:val="00B03A96"/>
    <w:rsid w:val="00B03AE3"/>
    <w:rsid w:val="00B05B6E"/>
    <w:rsid w:val="00B060ED"/>
    <w:rsid w:val="00B12972"/>
    <w:rsid w:val="00B17A0C"/>
    <w:rsid w:val="00B22360"/>
    <w:rsid w:val="00B22DAC"/>
    <w:rsid w:val="00B26927"/>
    <w:rsid w:val="00B30929"/>
    <w:rsid w:val="00B30BC6"/>
    <w:rsid w:val="00B3357A"/>
    <w:rsid w:val="00B33C7F"/>
    <w:rsid w:val="00B3585D"/>
    <w:rsid w:val="00B35F15"/>
    <w:rsid w:val="00B37264"/>
    <w:rsid w:val="00B3774D"/>
    <w:rsid w:val="00B44C64"/>
    <w:rsid w:val="00B51CBD"/>
    <w:rsid w:val="00B52793"/>
    <w:rsid w:val="00B5412E"/>
    <w:rsid w:val="00B60777"/>
    <w:rsid w:val="00B6230B"/>
    <w:rsid w:val="00B62649"/>
    <w:rsid w:val="00B62715"/>
    <w:rsid w:val="00B72ABF"/>
    <w:rsid w:val="00B7472A"/>
    <w:rsid w:val="00B80BDE"/>
    <w:rsid w:val="00B81DDB"/>
    <w:rsid w:val="00B87403"/>
    <w:rsid w:val="00B90B6D"/>
    <w:rsid w:val="00B94DFB"/>
    <w:rsid w:val="00BA029B"/>
    <w:rsid w:val="00BA4CBF"/>
    <w:rsid w:val="00BA6F2D"/>
    <w:rsid w:val="00BA703E"/>
    <w:rsid w:val="00BB0837"/>
    <w:rsid w:val="00BB0BAC"/>
    <w:rsid w:val="00BB1626"/>
    <w:rsid w:val="00BB60EF"/>
    <w:rsid w:val="00BB6478"/>
    <w:rsid w:val="00BB6D0A"/>
    <w:rsid w:val="00BC5E0B"/>
    <w:rsid w:val="00BC6C68"/>
    <w:rsid w:val="00BD35E0"/>
    <w:rsid w:val="00BD4E8C"/>
    <w:rsid w:val="00BE0803"/>
    <w:rsid w:val="00BF3437"/>
    <w:rsid w:val="00BF45BD"/>
    <w:rsid w:val="00BF6206"/>
    <w:rsid w:val="00BF6B3B"/>
    <w:rsid w:val="00C02173"/>
    <w:rsid w:val="00C13A29"/>
    <w:rsid w:val="00C14BFB"/>
    <w:rsid w:val="00C202BF"/>
    <w:rsid w:val="00C21771"/>
    <w:rsid w:val="00C21F92"/>
    <w:rsid w:val="00C24F01"/>
    <w:rsid w:val="00C25F2B"/>
    <w:rsid w:val="00C27457"/>
    <w:rsid w:val="00C32265"/>
    <w:rsid w:val="00C32CFE"/>
    <w:rsid w:val="00C32DA0"/>
    <w:rsid w:val="00C3589C"/>
    <w:rsid w:val="00C43592"/>
    <w:rsid w:val="00C44F98"/>
    <w:rsid w:val="00C456F0"/>
    <w:rsid w:val="00C46F35"/>
    <w:rsid w:val="00C513E0"/>
    <w:rsid w:val="00C51450"/>
    <w:rsid w:val="00C52945"/>
    <w:rsid w:val="00C52FA0"/>
    <w:rsid w:val="00C53C71"/>
    <w:rsid w:val="00C54034"/>
    <w:rsid w:val="00C54556"/>
    <w:rsid w:val="00C56D2B"/>
    <w:rsid w:val="00C57617"/>
    <w:rsid w:val="00C60B8E"/>
    <w:rsid w:val="00C67918"/>
    <w:rsid w:val="00C711DF"/>
    <w:rsid w:val="00C738AA"/>
    <w:rsid w:val="00C73C00"/>
    <w:rsid w:val="00C73DB4"/>
    <w:rsid w:val="00C75839"/>
    <w:rsid w:val="00C80C5C"/>
    <w:rsid w:val="00C83353"/>
    <w:rsid w:val="00C8359A"/>
    <w:rsid w:val="00C84321"/>
    <w:rsid w:val="00C87D15"/>
    <w:rsid w:val="00C968BF"/>
    <w:rsid w:val="00CA02B4"/>
    <w:rsid w:val="00CA3DC9"/>
    <w:rsid w:val="00CA7D39"/>
    <w:rsid w:val="00CB62E0"/>
    <w:rsid w:val="00CC1310"/>
    <w:rsid w:val="00CC1F2F"/>
    <w:rsid w:val="00CD4B44"/>
    <w:rsid w:val="00CD50EC"/>
    <w:rsid w:val="00CD7E1E"/>
    <w:rsid w:val="00CE67CF"/>
    <w:rsid w:val="00CF1B6F"/>
    <w:rsid w:val="00CF35E8"/>
    <w:rsid w:val="00D02114"/>
    <w:rsid w:val="00D03425"/>
    <w:rsid w:val="00D03A94"/>
    <w:rsid w:val="00D04D29"/>
    <w:rsid w:val="00D06F35"/>
    <w:rsid w:val="00D16DEC"/>
    <w:rsid w:val="00D17F85"/>
    <w:rsid w:val="00D206C6"/>
    <w:rsid w:val="00D23C5E"/>
    <w:rsid w:val="00D26DE5"/>
    <w:rsid w:val="00D30AC2"/>
    <w:rsid w:val="00D30CA6"/>
    <w:rsid w:val="00D31AF4"/>
    <w:rsid w:val="00D440EC"/>
    <w:rsid w:val="00D47B48"/>
    <w:rsid w:val="00D51569"/>
    <w:rsid w:val="00D51C46"/>
    <w:rsid w:val="00D528AD"/>
    <w:rsid w:val="00D62770"/>
    <w:rsid w:val="00D70A72"/>
    <w:rsid w:val="00D75B1F"/>
    <w:rsid w:val="00D75FD1"/>
    <w:rsid w:val="00D8051F"/>
    <w:rsid w:val="00D80C5E"/>
    <w:rsid w:val="00D82261"/>
    <w:rsid w:val="00D82300"/>
    <w:rsid w:val="00D82E65"/>
    <w:rsid w:val="00D900A4"/>
    <w:rsid w:val="00D955CB"/>
    <w:rsid w:val="00DA2DBB"/>
    <w:rsid w:val="00DB0E94"/>
    <w:rsid w:val="00DB2FB6"/>
    <w:rsid w:val="00DB3D3C"/>
    <w:rsid w:val="00DB6873"/>
    <w:rsid w:val="00DC1A17"/>
    <w:rsid w:val="00DC2D6F"/>
    <w:rsid w:val="00DD3761"/>
    <w:rsid w:val="00DD3EB1"/>
    <w:rsid w:val="00DD5E68"/>
    <w:rsid w:val="00DE518C"/>
    <w:rsid w:val="00DE5717"/>
    <w:rsid w:val="00DE61F0"/>
    <w:rsid w:val="00DE7EB2"/>
    <w:rsid w:val="00E021E9"/>
    <w:rsid w:val="00E06188"/>
    <w:rsid w:val="00E07755"/>
    <w:rsid w:val="00E13097"/>
    <w:rsid w:val="00E13877"/>
    <w:rsid w:val="00E20592"/>
    <w:rsid w:val="00E218F5"/>
    <w:rsid w:val="00E225D8"/>
    <w:rsid w:val="00E33652"/>
    <w:rsid w:val="00E410FF"/>
    <w:rsid w:val="00E43598"/>
    <w:rsid w:val="00E52555"/>
    <w:rsid w:val="00E52CC2"/>
    <w:rsid w:val="00E53ED4"/>
    <w:rsid w:val="00E5529D"/>
    <w:rsid w:val="00E635CF"/>
    <w:rsid w:val="00E645F8"/>
    <w:rsid w:val="00E65115"/>
    <w:rsid w:val="00E7046A"/>
    <w:rsid w:val="00E7064E"/>
    <w:rsid w:val="00E73C1D"/>
    <w:rsid w:val="00E77ABE"/>
    <w:rsid w:val="00E817AC"/>
    <w:rsid w:val="00E83FE3"/>
    <w:rsid w:val="00E909DB"/>
    <w:rsid w:val="00E911AA"/>
    <w:rsid w:val="00E923D8"/>
    <w:rsid w:val="00E971A0"/>
    <w:rsid w:val="00EA0AC6"/>
    <w:rsid w:val="00EA2482"/>
    <w:rsid w:val="00EA2C50"/>
    <w:rsid w:val="00EB129D"/>
    <w:rsid w:val="00EB28B0"/>
    <w:rsid w:val="00EC484B"/>
    <w:rsid w:val="00EC4B87"/>
    <w:rsid w:val="00EC5194"/>
    <w:rsid w:val="00EC600B"/>
    <w:rsid w:val="00ED5C44"/>
    <w:rsid w:val="00ED72AF"/>
    <w:rsid w:val="00EE03C4"/>
    <w:rsid w:val="00EE07D8"/>
    <w:rsid w:val="00EE1DCB"/>
    <w:rsid w:val="00F00D0C"/>
    <w:rsid w:val="00F016A5"/>
    <w:rsid w:val="00F02D15"/>
    <w:rsid w:val="00F03E1C"/>
    <w:rsid w:val="00F06294"/>
    <w:rsid w:val="00F16292"/>
    <w:rsid w:val="00F25F89"/>
    <w:rsid w:val="00F2770F"/>
    <w:rsid w:val="00F32609"/>
    <w:rsid w:val="00F363B0"/>
    <w:rsid w:val="00F37ED1"/>
    <w:rsid w:val="00F42763"/>
    <w:rsid w:val="00F4380C"/>
    <w:rsid w:val="00F44C16"/>
    <w:rsid w:val="00F45E08"/>
    <w:rsid w:val="00F509A1"/>
    <w:rsid w:val="00F55770"/>
    <w:rsid w:val="00F60BF6"/>
    <w:rsid w:val="00F6313F"/>
    <w:rsid w:val="00F64A3F"/>
    <w:rsid w:val="00F67C47"/>
    <w:rsid w:val="00F70F0E"/>
    <w:rsid w:val="00F7465D"/>
    <w:rsid w:val="00F77BE2"/>
    <w:rsid w:val="00F80181"/>
    <w:rsid w:val="00F80C67"/>
    <w:rsid w:val="00F82BA2"/>
    <w:rsid w:val="00F905FD"/>
    <w:rsid w:val="00F90F17"/>
    <w:rsid w:val="00F948B8"/>
    <w:rsid w:val="00FA44E8"/>
    <w:rsid w:val="00FA6EDD"/>
    <w:rsid w:val="00FB2E22"/>
    <w:rsid w:val="00FB5348"/>
    <w:rsid w:val="00FB5796"/>
    <w:rsid w:val="00FB5FBC"/>
    <w:rsid w:val="00FB6F1A"/>
    <w:rsid w:val="00FC04EC"/>
    <w:rsid w:val="00FC0DF8"/>
    <w:rsid w:val="00FC302B"/>
    <w:rsid w:val="00FC4B8B"/>
    <w:rsid w:val="00FC5DCD"/>
    <w:rsid w:val="00FE5AD6"/>
    <w:rsid w:val="00FF04A6"/>
    <w:rsid w:val="013A1508"/>
    <w:rsid w:val="016C2D4F"/>
    <w:rsid w:val="020044B1"/>
    <w:rsid w:val="03B207B6"/>
    <w:rsid w:val="046B368F"/>
    <w:rsid w:val="04D37589"/>
    <w:rsid w:val="05921AC4"/>
    <w:rsid w:val="05A86320"/>
    <w:rsid w:val="05AA02EA"/>
    <w:rsid w:val="05AF5900"/>
    <w:rsid w:val="05CD222A"/>
    <w:rsid w:val="060269B6"/>
    <w:rsid w:val="07140111"/>
    <w:rsid w:val="0765096C"/>
    <w:rsid w:val="07B83B6F"/>
    <w:rsid w:val="08AE1E9F"/>
    <w:rsid w:val="08E34143"/>
    <w:rsid w:val="097D7536"/>
    <w:rsid w:val="09B259BF"/>
    <w:rsid w:val="0B002E5D"/>
    <w:rsid w:val="0B072C11"/>
    <w:rsid w:val="0BC6115D"/>
    <w:rsid w:val="0BF56037"/>
    <w:rsid w:val="0C436DA2"/>
    <w:rsid w:val="0C4F2BA9"/>
    <w:rsid w:val="0C6A5094"/>
    <w:rsid w:val="0CC57239"/>
    <w:rsid w:val="0D097FEC"/>
    <w:rsid w:val="0D38442D"/>
    <w:rsid w:val="0D4258E7"/>
    <w:rsid w:val="0DDC125D"/>
    <w:rsid w:val="0EF16F8A"/>
    <w:rsid w:val="0F0547E3"/>
    <w:rsid w:val="0F4B00B9"/>
    <w:rsid w:val="0F66344B"/>
    <w:rsid w:val="0F7D081D"/>
    <w:rsid w:val="100E1475"/>
    <w:rsid w:val="10ED552F"/>
    <w:rsid w:val="11685F57"/>
    <w:rsid w:val="11E27C0A"/>
    <w:rsid w:val="12103BD7"/>
    <w:rsid w:val="121F5BBC"/>
    <w:rsid w:val="12210619"/>
    <w:rsid w:val="126B0E01"/>
    <w:rsid w:val="128E4EEC"/>
    <w:rsid w:val="132E651F"/>
    <w:rsid w:val="137419B4"/>
    <w:rsid w:val="13AB6AFA"/>
    <w:rsid w:val="15AE2BE6"/>
    <w:rsid w:val="162E62FE"/>
    <w:rsid w:val="16496711"/>
    <w:rsid w:val="1661121E"/>
    <w:rsid w:val="168927DC"/>
    <w:rsid w:val="17AE1A38"/>
    <w:rsid w:val="18277B24"/>
    <w:rsid w:val="18B80D98"/>
    <w:rsid w:val="19263CD4"/>
    <w:rsid w:val="19C71013"/>
    <w:rsid w:val="19DF35BA"/>
    <w:rsid w:val="1A02204B"/>
    <w:rsid w:val="1A367F46"/>
    <w:rsid w:val="1A6F007A"/>
    <w:rsid w:val="1AF51BB0"/>
    <w:rsid w:val="1B262C44"/>
    <w:rsid w:val="1B85380A"/>
    <w:rsid w:val="1BD17ACD"/>
    <w:rsid w:val="1BD712B5"/>
    <w:rsid w:val="1C592D77"/>
    <w:rsid w:val="1D0600A4"/>
    <w:rsid w:val="1D46139B"/>
    <w:rsid w:val="1D7403AC"/>
    <w:rsid w:val="1D7A073C"/>
    <w:rsid w:val="1DC846D2"/>
    <w:rsid w:val="1E116D00"/>
    <w:rsid w:val="1E9E5F3D"/>
    <w:rsid w:val="1F016D75"/>
    <w:rsid w:val="1F81420A"/>
    <w:rsid w:val="200C3C23"/>
    <w:rsid w:val="20762B03"/>
    <w:rsid w:val="210A3EE5"/>
    <w:rsid w:val="215B48E6"/>
    <w:rsid w:val="21751354"/>
    <w:rsid w:val="218C669E"/>
    <w:rsid w:val="21AD0AEE"/>
    <w:rsid w:val="227A3848"/>
    <w:rsid w:val="22D510D7"/>
    <w:rsid w:val="23E10F23"/>
    <w:rsid w:val="23F44097"/>
    <w:rsid w:val="24833088"/>
    <w:rsid w:val="251A6AD4"/>
    <w:rsid w:val="25E62821"/>
    <w:rsid w:val="26B7240F"/>
    <w:rsid w:val="27101F3C"/>
    <w:rsid w:val="27C546B8"/>
    <w:rsid w:val="27CB1FDF"/>
    <w:rsid w:val="27DA0163"/>
    <w:rsid w:val="28096C9A"/>
    <w:rsid w:val="282E0406"/>
    <w:rsid w:val="28A47E0D"/>
    <w:rsid w:val="2916166F"/>
    <w:rsid w:val="2974579E"/>
    <w:rsid w:val="29B02CBC"/>
    <w:rsid w:val="29F57C6F"/>
    <w:rsid w:val="2A790A27"/>
    <w:rsid w:val="2A7F3244"/>
    <w:rsid w:val="2B1C2A88"/>
    <w:rsid w:val="2C6E43BC"/>
    <w:rsid w:val="2C77042F"/>
    <w:rsid w:val="2CF25D23"/>
    <w:rsid w:val="2D2F71A3"/>
    <w:rsid w:val="2D95786F"/>
    <w:rsid w:val="2E4C78E1"/>
    <w:rsid w:val="2F0A3A24"/>
    <w:rsid w:val="2F0F2DE8"/>
    <w:rsid w:val="2F1A0E1C"/>
    <w:rsid w:val="304D13E0"/>
    <w:rsid w:val="307A7AF5"/>
    <w:rsid w:val="31AC0DC2"/>
    <w:rsid w:val="31BE3656"/>
    <w:rsid w:val="335E6B36"/>
    <w:rsid w:val="33BD781C"/>
    <w:rsid w:val="344F1ED9"/>
    <w:rsid w:val="353926C2"/>
    <w:rsid w:val="35D61E88"/>
    <w:rsid w:val="361E1B63"/>
    <w:rsid w:val="36BB5176"/>
    <w:rsid w:val="36D13079"/>
    <w:rsid w:val="371D717F"/>
    <w:rsid w:val="37285044"/>
    <w:rsid w:val="38097051"/>
    <w:rsid w:val="38AB7314"/>
    <w:rsid w:val="39231D25"/>
    <w:rsid w:val="392D778D"/>
    <w:rsid w:val="39B76556"/>
    <w:rsid w:val="3A306505"/>
    <w:rsid w:val="3AC23405"/>
    <w:rsid w:val="3BA75ED8"/>
    <w:rsid w:val="3BD056AD"/>
    <w:rsid w:val="3CDC3488"/>
    <w:rsid w:val="3CE731F2"/>
    <w:rsid w:val="3D18555E"/>
    <w:rsid w:val="3D4A148F"/>
    <w:rsid w:val="3E641245"/>
    <w:rsid w:val="3E706AA3"/>
    <w:rsid w:val="3F4441CA"/>
    <w:rsid w:val="3F980938"/>
    <w:rsid w:val="404228F2"/>
    <w:rsid w:val="40A94EAD"/>
    <w:rsid w:val="416036D4"/>
    <w:rsid w:val="41A24945"/>
    <w:rsid w:val="41EC6AFB"/>
    <w:rsid w:val="42127FFC"/>
    <w:rsid w:val="422340D2"/>
    <w:rsid w:val="423053ED"/>
    <w:rsid w:val="42994282"/>
    <w:rsid w:val="432163BA"/>
    <w:rsid w:val="43833B65"/>
    <w:rsid w:val="43C114AA"/>
    <w:rsid w:val="44C91833"/>
    <w:rsid w:val="44D04970"/>
    <w:rsid w:val="44D159A7"/>
    <w:rsid w:val="44FB6637"/>
    <w:rsid w:val="45397391"/>
    <w:rsid w:val="454B049A"/>
    <w:rsid w:val="457F41B2"/>
    <w:rsid w:val="45B46B5A"/>
    <w:rsid w:val="460E6EF6"/>
    <w:rsid w:val="477525EB"/>
    <w:rsid w:val="477D6972"/>
    <w:rsid w:val="48094372"/>
    <w:rsid w:val="483E7E42"/>
    <w:rsid w:val="49172B6D"/>
    <w:rsid w:val="49D26A89"/>
    <w:rsid w:val="4A8415A5"/>
    <w:rsid w:val="4B135707"/>
    <w:rsid w:val="4B9F6E4A"/>
    <w:rsid w:val="4BF704BB"/>
    <w:rsid w:val="4C23418A"/>
    <w:rsid w:val="4C3E6663"/>
    <w:rsid w:val="4D227D33"/>
    <w:rsid w:val="4D7E765F"/>
    <w:rsid w:val="4D7F33D7"/>
    <w:rsid w:val="4D9036ED"/>
    <w:rsid w:val="4DF25BDD"/>
    <w:rsid w:val="4E316674"/>
    <w:rsid w:val="4E775E5C"/>
    <w:rsid w:val="4F172EB2"/>
    <w:rsid w:val="4F923A7B"/>
    <w:rsid w:val="4FA40ED3"/>
    <w:rsid w:val="50B1220C"/>
    <w:rsid w:val="51452242"/>
    <w:rsid w:val="515A3F3F"/>
    <w:rsid w:val="52322221"/>
    <w:rsid w:val="525445A3"/>
    <w:rsid w:val="529E7E5B"/>
    <w:rsid w:val="52C11D9C"/>
    <w:rsid w:val="53670B95"/>
    <w:rsid w:val="53980D4F"/>
    <w:rsid w:val="542919A7"/>
    <w:rsid w:val="54F22EF4"/>
    <w:rsid w:val="551D02B7"/>
    <w:rsid w:val="56231A34"/>
    <w:rsid w:val="565D1DDC"/>
    <w:rsid w:val="56A7383F"/>
    <w:rsid w:val="579161E1"/>
    <w:rsid w:val="57A70D0F"/>
    <w:rsid w:val="57C6703C"/>
    <w:rsid w:val="583D0117"/>
    <w:rsid w:val="584774D4"/>
    <w:rsid w:val="58B220EB"/>
    <w:rsid w:val="592856EA"/>
    <w:rsid w:val="596F2F5E"/>
    <w:rsid w:val="59883613"/>
    <w:rsid w:val="59D5489E"/>
    <w:rsid w:val="59E265EA"/>
    <w:rsid w:val="59FB3DE5"/>
    <w:rsid w:val="5A025174"/>
    <w:rsid w:val="5A181988"/>
    <w:rsid w:val="5A620455"/>
    <w:rsid w:val="5AAE70AA"/>
    <w:rsid w:val="5ABA40EA"/>
    <w:rsid w:val="5ACC7530"/>
    <w:rsid w:val="5B2F24B5"/>
    <w:rsid w:val="5BA54F84"/>
    <w:rsid w:val="5DC56BE4"/>
    <w:rsid w:val="5DC76A50"/>
    <w:rsid w:val="5F0C25F1"/>
    <w:rsid w:val="5F1D65AC"/>
    <w:rsid w:val="5F5B083F"/>
    <w:rsid w:val="60104B30"/>
    <w:rsid w:val="612E5306"/>
    <w:rsid w:val="613F280A"/>
    <w:rsid w:val="61BC5600"/>
    <w:rsid w:val="61EF2482"/>
    <w:rsid w:val="61EF4230"/>
    <w:rsid w:val="61F0459C"/>
    <w:rsid w:val="625B7B17"/>
    <w:rsid w:val="63040D4E"/>
    <w:rsid w:val="6362705C"/>
    <w:rsid w:val="636B1FDC"/>
    <w:rsid w:val="63A27AA9"/>
    <w:rsid w:val="63DA4A6C"/>
    <w:rsid w:val="647A26B7"/>
    <w:rsid w:val="64C51278"/>
    <w:rsid w:val="650575AA"/>
    <w:rsid w:val="65624252"/>
    <w:rsid w:val="65965B7A"/>
    <w:rsid w:val="667016B7"/>
    <w:rsid w:val="66A001EE"/>
    <w:rsid w:val="67130CEB"/>
    <w:rsid w:val="676F7BC1"/>
    <w:rsid w:val="679E5E52"/>
    <w:rsid w:val="68A86442"/>
    <w:rsid w:val="68C77CB4"/>
    <w:rsid w:val="68F6059A"/>
    <w:rsid w:val="69C81336"/>
    <w:rsid w:val="6A16113C"/>
    <w:rsid w:val="6A620352"/>
    <w:rsid w:val="6A69050A"/>
    <w:rsid w:val="6B792D2F"/>
    <w:rsid w:val="6BDD2BA4"/>
    <w:rsid w:val="6C6972D4"/>
    <w:rsid w:val="6CC7316E"/>
    <w:rsid w:val="6D1045AC"/>
    <w:rsid w:val="6D4D7C4A"/>
    <w:rsid w:val="6DB444C7"/>
    <w:rsid w:val="6DE83647"/>
    <w:rsid w:val="6E13574A"/>
    <w:rsid w:val="6E6B10E2"/>
    <w:rsid w:val="6F586836"/>
    <w:rsid w:val="6FE729EA"/>
    <w:rsid w:val="701B08E6"/>
    <w:rsid w:val="70815E58"/>
    <w:rsid w:val="70F94A85"/>
    <w:rsid w:val="71593931"/>
    <w:rsid w:val="7202032D"/>
    <w:rsid w:val="721A0E36"/>
    <w:rsid w:val="72546ADA"/>
    <w:rsid w:val="72B72A29"/>
    <w:rsid w:val="72E04F19"/>
    <w:rsid w:val="736B376C"/>
    <w:rsid w:val="74D8656F"/>
    <w:rsid w:val="75B4336E"/>
    <w:rsid w:val="761F3B91"/>
    <w:rsid w:val="764804B7"/>
    <w:rsid w:val="778925D9"/>
    <w:rsid w:val="77B574A4"/>
    <w:rsid w:val="77E6121F"/>
    <w:rsid w:val="782B24D0"/>
    <w:rsid w:val="78746DE5"/>
    <w:rsid w:val="787B1E58"/>
    <w:rsid w:val="78DD498A"/>
    <w:rsid w:val="790C1713"/>
    <w:rsid w:val="793B3DA7"/>
    <w:rsid w:val="79DF0BD6"/>
    <w:rsid w:val="79E7681A"/>
    <w:rsid w:val="79F74636"/>
    <w:rsid w:val="7AF20495"/>
    <w:rsid w:val="7B4A688D"/>
    <w:rsid w:val="7B5B0288"/>
    <w:rsid w:val="7B67425B"/>
    <w:rsid w:val="7B8A3C04"/>
    <w:rsid w:val="7BB97537"/>
    <w:rsid w:val="7BE97AEA"/>
    <w:rsid w:val="7CF91FAF"/>
    <w:rsid w:val="7D0C3A90"/>
    <w:rsid w:val="7D3C1A3B"/>
    <w:rsid w:val="7D407EEB"/>
    <w:rsid w:val="7DF74D1C"/>
    <w:rsid w:val="7DFC1D56"/>
    <w:rsid w:val="7E02799B"/>
    <w:rsid w:val="7E2D0162"/>
    <w:rsid w:val="7E3E411D"/>
    <w:rsid w:val="7E4533AF"/>
    <w:rsid w:val="7E5C45A3"/>
    <w:rsid w:val="7EF464FF"/>
    <w:rsid w:val="7F403EC5"/>
    <w:rsid w:val="7FE568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4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4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index 5"/>
    <w:basedOn w:val="1"/>
    <w:next w:val="1"/>
    <w:unhideWhenUsed/>
    <w:qFormat/>
    <w:uiPriority w:val="99"/>
    <w:pPr>
      <w:ind w:left="800" w:leftChars="800"/>
    </w:pPr>
  </w:style>
  <w:style w:type="paragraph" w:styleId="9">
    <w:name w:val="Body Text 3"/>
    <w:basedOn w:val="1"/>
    <w:link w:val="42"/>
    <w:qFormat/>
    <w:uiPriority w:val="0"/>
    <w:rPr>
      <w:rFonts w:ascii="Times New Roman" w:hAnsi="Times New Roman" w:eastAsia="宋体" w:cs="Times New Roman"/>
      <w:color w:val="FF0000"/>
      <w:sz w:val="24"/>
      <w:szCs w:val="24"/>
    </w:rPr>
  </w:style>
  <w:style w:type="paragraph" w:styleId="10">
    <w:name w:val="Body Text"/>
    <w:basedOn w:val="1"/>
    <w:link w:val="43"/>
    <w:unhideWhenUsed/>
    <w:qFormat/>
    <w:uiPriority w:val="99"/>
    <w:pPr>
      <w:spacing w:after="120"/>
    </w:pPr>
  </w:style>
  <w:style w:type="paragraph" w:styleId="11">
    <w:name w:val="Body Text Indent"/>
    <w:basedOn w:val="1"/>
    <w:next w:val="12"/>
    <w:link w:val="45"/>
    <w:qFormat/>
    <w:uiPriority w:val="0"/>
    <w:pPr>
      <w:adjustRightInd w:val="0"/>
      <w:spacing w:after="120" w:line="360" w:lineRule="atLeast"/>
      <w:ind w:left="420" w:leftChars="200"/>
      <w:jc w:val="left"/>
      <w:textAlignment w:val="baseline"/>
    </w:pPr>
    <w:rPr>
      <w:kern w:val="0"/>
      <w:sz w:val="24"/>
      <w:szCs w:val="20"/>
    </w:rPr>
  </w:style>
  <w:style w:type="paragraph" w:styleId="12">
    <w:name w:val="envelope return"/>
    <w:basedOn w:val="1"/>
    <w:unhideWhenUsed/>
    <w:qFormat/>
    <w:uiPriority w:val="99"/>
    <w:pPr>
      <w:snapToGrid w:val="0"/>
    </w:pPr>
    <w:rPr>
      <w:rFonts w:ascii="Arial" w:hAnsi="Arial"/>
    </w:rPr>
  </w:style>
  <w:style w:type="paragraph" w:styleId="13">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next w:val="8"/>
    <w:link w:val="46"/>
    <w:qFormat/>
    <w:uiPriority w:val="0"/>
    <w:rPr>
      <w:rFonts w:eastAsia="宋体"/>
      <w:sz w:val="24"/>
    </w:rPr>
  </w:style>
  <w:style w:type="paragraph" w:styleId="16">
    <w:name w:val="Date"/>
    <w:basedOn w:val="1"/>
    <w:next w:val="1"/>
    <w:link w:val="47"/>
    <w:unhideWhenUsed/>
    <w:qFormat/>
    <w:uiPriority w:val="99"/>
    <w:pPr>
      <w:ind w:left="100" w:leftChars="2500"/>
    </w:pPr>
  </w:style>
  <w:style w:type="paragraph" w:styleId="17">
    <w:name w:val="Balloon Text"/>
    <w:basedOn w:val="1"/>
    <w:link w:val="49"/>
    <w:semiHidden/>
    <w:unhideWhenUsed/>
    <w:qFormat/>
    <w:uiPriority w:val="99"/>
    <w:rPr>
      <w:sz w:val="18"/>
      <w:szCs w:val="18"/>
    </w:rPr>
  </w:style>
  <w:style w:type="paragraph" w:styleId="18">
    <w:name w:val="footer"/>
    <w:basedOn w:val="1"/>
    <w:link w:val="50"/>
    <w:unhideWhenUsed/>
    <w:qFormat/>
    <w:uiPriority w:val="99"/>
    <w:pPr>
      <w:tabs>
        <w:tab w:val="center" w:pos="4153"/>
        <w:tab w:val="right" w:pos="8306"/>
      </w:tabs>
      <w:snapToGrid w:val="0"/>
      <w:jc w:val="left"/>
    </w:pPr>
    <w:rPr>
      <w:sz w:val="18"/>
      <w:szCs w:val="18"/>
    </w:rPr>
  </w:style>
  <w:style w:type="paragraph" w:styleId="19">
    <w:name w:val="header"/>
    <w:basedOn w:val="1"/>
    <w:link w:val="51"/>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1">
    <w:name w:val="Body Text 2"/>
    <w:basedOn w:val="1"/>
    <w:link w:val="68"/>
    <w:semiHidden/>
    <w:unhideWhenUsed/>
    <w:qFormat/>
    <w:uiPriority w:val="99"/>
    <w:pPr>
      <w:spacing w:after="120" w:line="480" w:lineRule="auto"/>
    </w:pPr>
  </w:style>
  <w:style w:type="paragraph" w:styleId="22">
    <w:name w:val="HTML Preformatted"/>
    <w:basedOn w:val="1"/>
    <w:link w:val="5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3">
    <w:name w:val="Normal (Web)"/>
    <w:basedOn w:val="1"/>
    <w:qFormat/>
    <w:uiPriority w:val="99"/>
    <w:rPr>
      <w:rFonts w:ascii="Calibri" w:hAnsi="Calibri" w:eastAsia="宋体" w:cs="Times New Roman"/>
      <w:sz w:val="24"/>
      <w:szCs w:val="24"/>
    </w:rPr>
  </w:style>
  <w:style w:type="paragraph" w:styleId="24">
    <w:name w:val="Body Text First Indent"/>
    <w:basedOn w:val="10"/>
    <w:next w:val="25"/>
    <w:link w:val="54"/>
    <w:qFormat/>
    <w:uiPriority w:val="0"/>
    <w:pPr>
      <w:ind w:firstLine="420" w:firstLineChars="100"/>
    </w:pPr>
    <w:rPr>
      <w:rFonts w:ascii="宋体" w:hAnsi="Times New Roman" w:eastAsia="宋体" w:cs="Times New Roman"/>
      <w:kern w:val="0"/>
      <w:sz w:val="34"/>
      <w:szCs w:val="20"/>
    </w:rPr>
  </w:style>
  <w:style w:type="paragraph" w:styleId="25">
    <w:name w:val="Body Text First Indent 2"/>
    <w:basedOn w:val="11"/>
    <w:unhideWhenUsed/>
    <w:qFormat/>
    <w:uiPriority w:val="99"/>
    <w:pPr>
      <w:adjustRightInd/>
      <w:spacing w:line="240" w:lineRule="auto"/>
      <w:ind w:firstLine="420" w:firstLineChars="200"/>
      <w:jc w:val="both"/>
    </w:pPr>
    <w:rPr>
      <w:kern w:val="2"/>
      <w:sz w:val="21"/>
      <w:szCs w:val="22"/>
    </w:rPr>
  </w:style>
  <w:style w:type="table" w:styleId="27">
    <w:name w:val="Table Grid"/>
    <w:basedOn w:val="26"/>
    <w:qFormat/>
    <w:uiPriority w:val="59"/>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9">
    <w:name w:val="Strong"/>
    <w:basedOn w:val="28"/>
    <w:qFormat/>
    <w:uiPriority w:val="22"/>
    <w:rPr>
      <w:b/>
      <w:bCs/>
    </w:rPr>
  </w:style>
  <w:style w:type="character" w:styleId="30">
    <w:name w:val="Emphasis"/>
    <w:basedOn w:val="28"/>
    <w:qFormat/>
    <w:uiPriority w:val="20"/>
    <w:rPr>
      <w:i/>
      <w:iCs/>
    </w:rPr>
  </w:style>
  <w:style w:type="character" w:styleId="31">
    <w:name w:val="Hyperlink"/>
    <w:basedOn w:val="28"/>
    <w:unhideWhenUsed/>
    <w:qFormat/>
    <w:uiPriority w:val="0"/>
    <w:rPr>
      <w:color w:val="0000FF"/>
      <w:u w:val="single"/>
    </w:rPr>
  </w:style>
  <w:style w:type="paragraph" w:customStyle="1" w:styleId="32">
    <w:name w:val="Style1"/>
    <w:next w:val="33"/>
    <w:qFormat/>
    <w:uiPriority w:val="0"/>
    <w:pPr>
      <w:numPr>
        <w:ilvl w:val="0"/>
        <w:numId w:val="2"/>
      </w:numPr>
      <w:tabs>
        <w:tab w:val="left" w:pos="720"/>
        <w:tab w:val="left" w:pos="1616"/>
        <w:tab w:val="left" w:pos="1914"/>
        <w:tab w:val="left" w:pos="2162"/>
        <w:tab w:val="left" w:pos="2411"/>
        <w:tab w:val="left" w:pos="2880"/>
        <w:tab w:val="left" w:pos="3600"/>
        <w:tab w:val="left" w:pos="3685"/>
        <w:tab w:val="left" w:pos="4320"/>
        <w:tab w:val="right" w:pos="4536"/>
        <w:tab w:val="left" w:pos="4819"/>
        <w:tab w:val="left" w:pos="5040"/>
        <w:tab w:val="left" w:pos="5760"/>
        <w:tab w:val="left" w:pos="5952"/>
        <w:tab w:val="left" w:pos="6480"/>
        <w:tab w:val="left" w:pos="7177"/>
        <w:tab w:val="left" w:pos="7920"/>
        <w:tab w:val="left" w:pos="8220"/>
        <w:tab w:val="left" w:pos="864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line="360" w:lineRule="auto"/>
      <w:jc w:val="center"/>
    </w:pPr>
    <w:rPr>
      <w:rFonts w:ascii="Calibri" w:hAnsi="Calibri" w:eastAsia="宋体" w:cs="宋体"/>
      <w:b/>
      <w:kern w:val="24"/>
      <w:sz w:val="24"/>
      <w:szCs w:val="20"/>
      <w:lang w:val="en-GB" w:eastAsia="zh-CN" w:bidi="ar-SA"/>
    </w:rPr>
  </w:style>
  <w:style w:type="paragraph" w:customStyle="1" w:styleId="33">
    <w:name w:val="*正文"/>
    <w:basedOn w:val="1"/>
    <w:qFormat/>
    <w:uiPriority w:val="0"/>
    <w:pPr>
      <w:ind w:firstLine="200" w:firstLineChars="200"/>
    </w:pPr>
    <w:rPr>
      <w:rFonts w:ascii="宋体" w:hAnsi="宋体"/>
      <w:szCs w:val="22"/>
    </w:rPr>
  </w:style>
  <w:style w:type="paragraph" w:customStyle="1" w:styleId="34">
    <w:name w:val="表格文字"/>
    <w:basedOn w:val="1"/>
    <w:next w:val="10"/>
    <w:qFormat/>
    <w:uiPriority w:val="0"/>
    <w:pPr>
      <w:widowControl/>
      <w:adjustRightInd w:val="0"/>
      <w:spacing w:line="420" w:lineRule="atLeast"/>
      <w:jc w:val="left"/>
      <w:textAlignment w:val="baseline"/>
    </w:pPr>
    <w:rPr>
      <w:rFonts w:ascii="Times New Roman" w:hAnsi="Times New Roman" w:eastAsia="仿宋_GB2312" w:cs="Times New Roman"/>
      <w:kern w:val="0"/>
      <w:sz w:val="32"/>
      <w:szCs w:val="20"/>
    </w:rPr>
  </w:style>
  <w:style w:type="paragraph" w:customStyle="1" w:styleId="35">
    <w:name w:val="style4"/>
    <w:basedOn w:val="1"/>
    <w:next w:val="36"/>
    <w:qFormat/>
    <w:uiPriority w:val="99"/>
    <w:pPr>
      <w:widowControl/>
      <w:spacing w:before="280" w:after="280"/>
    </w:pPr>
    <w:rPr>
      <w:rFonts w:ascii="宋体" w:hAnsi="Times New Roman" w:eastAsia="宋体" w:cs="Times New Roman"/>
      <w:sz w:val="18"/>
    </w:rPr>
  </w:style>
  <w:style w:type="paragraph" w:customStyle="1" w:styleId="36">
    <w:name w:val="2"/>
    <w:next w:val="1"/>
    <w:qFormat/>
    <w:uiPriority w:val="99"/>
    <w:pPr>
      <w:widowControl w:val="0"/>
      <w:jc w:val="both"/>
    </w:pPr>
    <w:rPr>
      <w:rFonts w:ascii="Times New Roman" w:hAnsi="Times New Roman" w:eastAsia="宋体" w:cs="Times New Roman"/>
      <w:sz w:val="21"/>
      <w:szCs w:val="22"/>
      <w:lang w:val="en-US" w:eastAsia="zh-CN" w:bidi="ar-SA"/>
    </w:rPr>
  </w:style>
  <w:style w:type="paragraph" w:customStyle="1" w:styleId="37">
    <w:name w:val="列出段落1"/>
    <w:basedOn w:val="1"/>
    <w:qFormat/>
    <w:uiPriority w:val="99"/>
    <w:pPr>
      <w:ind w:firstLine="420" w:firstLineChars="200"/>
    </w:pPr>
  </w:style>
  <w:style w:type="character" w:customStyle="1" w:styleId="38">
    <w:name w:val="标题 1 Char"/>
    <w:basedOn w:val="28"/>
    <w:link w:val="2"/>
    <w:qFormat/>
    <w:uiPriority w:val="0"/>
    <w:rPr>
      <w:rFonts w:ascii="Calibri" w:hAnsi="Calibri" w:eastAsia="宋体" w:cs="Times New Roman"/>
      <w:b/>
      <w:bCs/>
      <w:kern w:val="44"/>
      <w:sz w:val="44"/>
      <w:szCs w:val="44"/>
    </w:rPr>
  </w:style>
  <w:style w:type="character" w:customStyle="1" w:styleId="39">
    <w:name w:val="标题 2 Char"/>
    <w:basedOn w:val="28"/>
    <w:link w:val="3"/>
    <w:qFormat/>
    <w:uiPriority w:val="0"/>
    <w:rPr>
      <w:rFonts w:ascii="Arial" w:hAnsi="Arial" w:eastAsia="黑体" w:cs="Times New Roman"/>
      <w:b/>
      <w:bCs/>
      <w:sz w:val="32"/>
      <w:szCs w:val="32"/>
    </w:rPr>
  </w:style>
  <w:style w:type="character" w:customStyle="1" w:styleId="40">
    <w:name w:val="标题 3 Char"/>
    <w:basedOn w:val="28"/>
    <w:link w:val="4"/>
    <w:qFormat/>
    <w:uiPriority w:val="0"/>
    <w:rPr>
      <w:rFonts w:ascii="宋体" w:hAnsi="宋体" w:eastAsia="宋体" w:cs="Times New Roman"/>
      <w:b/>
      <w:color w:val="000000"/>
      <w:kern w:val="0"/>
      <w:sz w:val="24"/>
      <w:szCs w:val="20"/>
      <w:lang w:val="en-GB"/>
    </w:rPr>
  </w:style>
  <w:style w:type="character" w:customStyle="1" w:styleId="41">
    <w:name w:val="标题 4 Char"/>
    <w:basedOn w:val="28"/>
    <w:link w:val="5"/>
    <w:qFormat/>
    <w:uiPriority w:val="0"/>
    <w:rPr>
      <w:rFonts w:ascii="Arial" w:hAnsi="Arial" w:eastAsia="黑体" w:cs="Times New Roman"/>
      <w:b/>
      <w:bCs/>
      <w:sz w:val="28"/>
      <w:szCs w:val="28"/>
    </w:rPr>
  </w:style>
  <w:style w:type="character" w:customStyle="1" w:styleId="42">
    <w:name w:val="正文文本 3 Char"/>
    <w:basedOn w:val="28"/>
    <w:link w:val="9"/>
    <w:qFormat/>
    <w:uiPriority w:val="0"/>
    <w:rPr>
      <w:rFonts w:ascii="Times New Roman" w:hAnsi="Times New Roman" w:eastAsia="宋体" w:cs="Times New Roman"/>
      <w:color w:val="FF0000"/>
      <w:sz w:val="24"/>
      <w:szCs w:val="24"/>
    </w:rPr>
  </w:style>
  <w:style w:type="character" w:customStyle="1" w:styleId="43">
    <w:name w:val="正文文本 Char"/>
    <w:basedOn w:val="28"/>
    <w:link w:val="10"/>
    <w:qFormat/>
    <w:uiPriority w:val="99"/>
  </w:style>
  <w:style w:type="character" w:customStyle="1" w:styleId="44">
    <w:name w:val="正文文本缩进 Char"/>
    <w:basedOn w:val="28"/>
    <w:qFormat/>
    <w:uiPriority w:val="0"/>
  </w:style>
  <w:style w:type="character" w:customStyle="1" w:styleId="45">
    <w:name w:val="正文文本缩进 Char1"/>
    <w:basedOn w:val="28"/>
    <w:link w:val="11"/>
    <w:qFormat/>
    <w:uiPriority w:val="0"/>
    <w:rPr>
      <w:kern w:val="0"/>
      <w:sz w:val="24"/>
      <w:szCs w:val="20"/>
    </w:rPr>
  </w:style>
  <w:style w:type="character" w:customStyle="1" w:styleId="46">
    <w:name w:val="纯文本 Char"/>
    <w:basedOn w:val="28"/>
    <w:link w:val="15"/>
    <w:qFormat/>
    <w:uiPriority w:val="0"/>
    <w:rPr>
      <w:rFonts w:eastAsia="宋体"/>
      <w:sz w:val="24"/>
    </w:rPr>
  </w:style>
  <w:style w:type="character" w:customStyle="1" w:styleId="47">
    <w:name w:val="日期 Char"/>
    <w:basedOn w:val="28"/>
    <w:link w:val="16"/>
    <w:qFormat/>
    <w:uiPriority w:val="99"/>
  </w:style>
  <w:style w:type="character" w:customStyle="1" w:styleId="48">
    <w:name w:val="批注框文本 Char"/>
    <w:basedOn w:val="28"/>
    <w:semiHidden/>
    <w:qFormat/>
    <w:uiPriority w:val="99"/>
    <w:rPr>
      <w:sz w:val="18"/>
      <w:szCs w:val="18"/>
    </w:rPr>
  </w:style>
  <w:style w:type="character" w:customStyle="1" w:styleId="49">
    <w:name w:val="批注框文本 Char1"/>
    <w:basedOn w:val="28"/>
    <w:link w:val="17"/>
    <w:semiHidden/>
    <w:qFormat/>
    <w:uiPriority w:val="99"/>
    <w:rPr>
      <w:sz w:val="18"/>
      <w:szCs w:val="18"/>
    </w:rPr>
  </w:style>
  <w:style w:type="character" w:customStyle="1" w:styleId="50">
    <w:name w:val="页脚 Char"/>
    <w:basedOn w:val="28"/>
    <w:link w:val="18"/>
    <w:qFormat/>
    <w:uiPriority w:val="99"/>
    <w:rPr>
      <w:sz w:val="18"/>
      <w:szCs w:val="18"/>
    </w:rPr>
  </w:style>
  <w:style w:type="character" w:customStyle="1" w:styleId="51">
    <w:name w:val="页眉 Char"/>
    <w:basedOn w:val="28"/>
    <w:link w:val="19"/>
    <w:qFormat/>
    <w:uiPriority w:val="99"/>
    <w:rPr>
      <w:sz w:val="18"/>
      <w:szCs w:val="18"/>
    </w:rPr>
  </w:style>
  <w:style w:type="character" w:customStyle="1" w:styleId="52">
    <w:name w:val="HTML 预设格式 Char"/>
    <w:basedOn w:val="28"/>
    <w:semiHidden/>
    <w:qFormat/>
    <w:uiPriority w:val="99"/>
    <w:rPr>
      <w:rFonts w:ascii="宋体" w:hAnsi="宋体" w:eastAsia="宋体" w:cs="宋体"/>
      <w:kern w:val="0"/>
      <w:sz w:val="24"/>
      <w:szCs w:val="24"/>
    </w:rPr>
  </w:style>
  <w:style w:type="character" w:customStyle="1" w:styleId="53">
    <w:name w:val="HTML 预设格式 Char1"/>
    <w:basedOn w:val="28"/>
    <w:link w:val="22"/>
    <w:semiHidden/>
    <w:qFormat/>
    <w:uiPriority w:val="99"/>
    <w:rPr>
      <w:rFonts w:ascii="Courier New" w:hAnsi="Courier New" w:cs="Courier New"/>
      <w:sz w:val="20"/>
      <w:szCs w:val="20"/>
    </w:rPr>
  </w:style>
  <w:style w:type="character" w:customStyle="1" w:styleId="54">
    <w:name w:val="正文首行缩进 Char"/>
    <w:basedOn w:val="43"/>
    <w:link w:val="24"/>
    <w:qFormat/>
    <w:uiPriority w:val="0"/>
    <w:rPr>
      <w:rFonts w:ascii="宋体" w:hAnsi="Times New Roman" w:eastAsia="宋体" w:cs="Times New Roman"/>
      <w:kern w:val="0"/>
      <w:sz w:val="34"/>
      <w:szCs w:val="20"/>
    </w:rPr>
  </w:style>
  <w:style w:type="character" w:customStyle="1" w:styleId="55">
    <w:name w:val="纯文本 Char1"/>
    <w:qFormat/>
    <w:uiPriority w:val="0"/>
    <w:rPr>
      <w:rFonts w:eastAsia="宋体"/>
      <w:sz w:val="24"/>
    </w:rPr>
  </w:style>
  <w:style w:type="paragraph" w:customStyle="1" w:styleId="56">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57">
    <w:name w:val="List Paragraph"/>
    <w:basedOn w:val="1"/>
    <w:unhideWhenUsed/>
    <w:qFormat/>
    <w:uiPriority w:val="34"/>
    <w:pPr>
      <w:ind w:firstLine="420" w:firstLineChars="200"/>
    </w:pPr>
  </w:style>
  <w:style w:type="character" w:customStyle="1" w:styleId="58">
    <w:name w:val="正文文本缩进 Char Char"/>
    <w:link w:val="59"/>
    <w:qFormat/>
    <w:uiPriority w:val="0"/>
    <w:rPr>
      <w:rFonts w:ascii="宋体"/>
      <w:sz w:val="24"/>
    </w:rPr>
  </w:style>
  <w:style w:type="paragraph" w:customStyle="1" w:styleId="59">
    <w:name w:val="正文文本缩进1"/>
    <w:basedOn w:val="1"/>
    <w:link w:val="58"/>
    <w:qFormat/>
    <w:uiPriority w:val="0"/>
    <w:pPr>
      <w:spacing w:line="360" w:lineRule="auto"/>
      <w:ind w:firstLine="480" w:firstLineChars="200"/>
    </w:pPr>
    <w:rPr>
      <w:rFonts w:ascii="宋体"/>
      <w:sz w:val="24"/>
    </w:rPr>
  </w:style>
  <w:style w:type="character" w:customStyle="1" w:styleId="60">
    <w:name w:val="日期 Char Char"/>
    <w:link w:val="61"/>
    <w:qFormat/>
    <w:uiPriority w:val="0"/>
    <w:rPr>
      <w:sz w:val="24"/>
    </w:rPr>
  </w:style>
  <w:style w:type="paragraph" w:customStyle="1" w:styleId="61">
    <w:name w:val="日期1"/>
    <w:basedOn w:val="1"/>
    <w:next w:val="1"/>
    <w:link w:val="60"/>
    <w:qFormat/>
    <w:uiPriority w:val="0"/>
    <w:rPr>
      <w:sz w:val="24"/>
    </w:rPr>
  </w:style>
  <w:style w:type="paragraph" w:customStyle="1" w:styleId="6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3">
    <w:name w:val="样式1"/>
    <w:basedOn w:val="1"/>
    <w:qFormat/>
    <w:uiPriority w:val="0"/>
    <w:pPr>
      <w:numPr>
        <w:ilvl w:val="0"/>
        <w:numId w:val="3"/>
      </w:numPr>
      <w:adjustRightInd w:val="0"/>
      <w:textAlignment w:val="baseline"/>
    </w:pPr>
    <w:rPr>
      <w:rFonts w:ascii="宋体" w:hAnsi="宋体" w:eastAsia="宋体" w:cs="Times New Roman"/>
      <w:kern w:val="0"/>
      <w:szCs w:val="21"/>
    </w:rPr>
  </w:style>
  <w:style w:type="paragraph" w:customStyle="1" w:styleId="6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5">
    <w:name w:val="edittexttarea"/>
    <w:basedOn w:val="28"/>
    <w:qFormat/>
    <w:uiPriority w:val="0"/>
  </w:style>
  <w:style w:type="paragraph" w:customStyle="1" w:styleId="66">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67">
    <w:name w:val="样式 样式 样式 样式 标题 2 + 宋体 五号 非加粗 黑色 + 段前: 6 磅 段后: 0 磅 行距: 单倍行距 + 段前:..."/>
    <w:basedOn w:val="1"/>
    <w:qFormat/>
    <w:uiPriority w:val="0"/>
    <w:pPr>
      <w:keepNext/>
      <w:keepLines/>
      <w:numPr>
        <w:ilvl w:val="0"/>
        <w:numId w:val="4"/>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8">
    <w:name w:val="正文文本 2 Char"/>
    <w:basedOn w:val="28"/>
    <w:link w:val="21"/>
    <w:semiHidden/>
    <w:qFormat/>
    <w:uiPriority w:val="99"/>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63</Pages>
  <Words>34379</Words>
  <Characters>35681</Characters>
  <Lines>319</Lines>
  <Paragraphs>89</Paragraphs>
  <TotalTime>25</TotalTime>
  <ScaleCrop>false</ScaleCrop>
  <LinksUpToDate>false</LinksUpToDate>
  <CharactersWithSpaces>36618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2021-10-25T09:31:00Z</dcterms:created>
  <dc:creator>许昌市公共资源交易中心:孟莉</dc:creator>
  <cp:lastModifiedBy>去看海</cp:lastModifiedBy>
  <cp:lastPrinted>2025-06-23T01:30:00Z</cp:lastPrinted>
  <dcterms:modified xsi:type="dcterms:W3CDTF">2025-07-19T09:37:42Z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B568AFEB7BC8492EAF2DF3D08E287D52_13</vt:lpwstr>
  </property>
  <property fmtid="{D5CDD505-2E9C-101B-9397-08002B2CF9AE}" pid="4" name="KSOTemplateDocerSaveRecord">
    <vt:lpwstr>eyJoZGlkIjoiMWQ1ODM0OGNkMzBlOGRhODFlNWNjOTFhYjhjOGVjYmEiLCJ1c2VySWQiOiIxMzcwODI1MTM1In0=</vt:lpwstr>
  </property>
</Properties>
</file>