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57920">
      <w:pPr>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lang w:eastAsia="zh-CN"/>
        </w:rPr>
        <w:t>鄢陵县住房服务中心鄢陵县产业集聚区公租房房屋改造项目</w:t>
      </w:r>
    </w:p>
    <w:p w14:paraId="577FA111">
      <w:pPr>
        <w:rPr>
          <w:rFonts w:hint="eastAsia" w:ascii="宋体" w:hAnsi="宋体" w:eastAsia="宋体" w:cs="宋体"/>
          <w:color w:val="auto"/>
          <w:highlight w:val="none"/>
        </w:rPr>
      </w:pPr>
    </w:p>
    <w:p w14:paraId="370CF0C6">
      <w:pPr>
        <w:rPr>
          <w:rFonts w:hint="eastAsia" w:ascii="宋体" w:hAnsi="宋体" w:eastAsia="宋体" w:cs="宋体"/>
          <w:color w:val="auto"/>
          <w:highlight w:val="none"/>
        </w:rPr>
      </w:pPr>
    </w:p>
    <w:p w14:paraId="3188709F">
      <w:pPr>
        <w:rPr>
          <w:rFonts w:hint="eastAsia" w:ascii="宋体" w:hAnsi="宋体" w:eastAsia="宋体" w:cs="宋体"/>
          <w:color w:val="auto"/>
          <w:highlight w:val="none"/>
        </w:rPr>
      </w:pPr>
    </w:p>
    <w:p w14:paraId="21DAC584">
      <w:pPr>
        <w:rPr>
          <w:rFonts w:hint="eastAsia" w:ascii="宋体" w:hAnsi="宋体" w:eastAsia="宋体" w:cs="宋体"/>
          <w:color w:val="auto"/>
          <w:highlight w:val="none"/>
        </w:rPr>
      </w:pPr>
    </w:p>
    <w:p w14:paraId="6591C361">
      <w:pPr>
        <w:pStyle w:val="21"/>
        <w:ind w:left="440" w:firstLine="440"/>
        <w:rPr>
          <w:rFonts w:hint="eastAsia" w:ascii="宋体" w:hAnsi="宋体" w:eastAsia="宋体" w:cs="宋体"/>
          <w:color w:val="auto"/>
          <w:highlight w:val="none"/>
        </w:rPr>
      </w:pPr>
    </w:p>
    <w:p w14:paraId="13CAF55C">
      <w:pPr>
        <w:pStyle w:val="31"/>
        <w:rPr>
          <w:rFonts w:hint="eastAsia" w:ascii="宋体" w:hAnsi="宋体" w:eastAsia="宋体" w:cs="宋体"/>
          <w:color w:val="auto"/>
          <w:highlight w:val="none"/>
        </w:rPr>
      </w:pPr>
    </w:p>
    <w:p w14:paraId="6775BA54">
      <w:pPr>
        <w:rPr>
          <w:rFonts w:hint="eastAsia" w:ascii="宋体" w:hAnsi="宋体" w:eastAsia="宋体" w:cs="宋体"/>
          <w:color w:val="auto"/>
          <w:highlight w:val="none"/>
        </w:rPr>
      </w:pPr>
    </w:p>
    <w:p w14:paraId="0236B2FC">
      <w:pPr>
        <w:rPr>
          <w:rFonts w:hint="eastAsia" w:ascii="宋体" w:hAnsi="宋体" w:eastAsia="宋体" w:cs="宋体"/>
          <w:color w:val="auto"/>
          <w:highlight w:val="none"/>
        </w:rPr>
      </w:pPr>
    </w:p>
    <w:p w14:paraId="3DF97A4D">
      <w:pPr>
        <w:pStyle w:val="31"/>
        <w:ind w:firstLine="440"/>
        <w:rPr>
          <w:rFonts w:hint="eastAsia" w:ascii="宋体" w:hAnsi="宋体" w:eastAsia="宋体" w:cs="宋体"/>
          <w:color w:val="auto"/>
          <w:highlight w:val="none"/>
        </w:rPr>
      </w:pPr>
    </w:p>
    <w:p w14:paraId="142D4071">
      <w:pPr>
        <w:rPr>
          <w:rFonts w:hint="eastAsia" w:ascii="宋体" w:hAnsi="宋体" w:eastAsia="宋体" w:cs="宋体"/>
          <w:color w:val="auto"/>
          <w:highlight w:val="none"/>
        </w:rPr>
      </w:pPr>
    </w:p>
    <w:p w14:paraId="019C3732">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竞争性磋商文件</w:t>
      </w:r>
    </w:p>
    <w:p w14:paraId="7DC42117">
      <w:pPr>
        <w:rPr>
          <w:rFonts w:hint="eastAsia" w:ascii="宋体" w:hAnsi="宋体" w:eastAsia="宋体" w:cs="宋体"/>
          <w:color w:val="auto"/>
          <w:highlight w:val="none"/>
        </w:rPr>
      </w:pPr>
    </w:p>
    <w:p w14:paraId="55716D2D">
      <w:pPr>
        <w:jc w:val="center"/>
        <w:rPr>
          <w:rFonts w:hint="eastAsia" w:ascii="宋体" w:hAnsi="宋体" w:eastAsia="宋体" w:cs="宋体"/>
          <w:color w:val="auto"/>
          <w:highlight w:val="none"/>
        </w:rPr>
      </w:pPr>
    </w:p>
    <w:p w14:paraId="3E282585">
      <w:pPr>
        <w:rPr>
          <w:rFonts w:hint="eastAsia" w:ascii="宋体" w:hAnsi="宋体" w:eastAsia="宋体" w:cs="宋体"/>
          <w:color w:val="auto"/>
          <w:highlight w:val="none"/>
        </w:rPr>
      </w:pPr>
    </w:p>
    <w:p w14:paraId="1F617207">
      <w:pPr>
        <w:rPr>
          <w:rFonts w:hint="eastAsia" w:ascii="宋体" w:hAnsi="宋体" w:eastAsia="宋体" w:cs="宋体"/>
          <w:color w:val="auto"/>
          <w:highlight w:val="none"/>
        </w:rPr>
      </w:pPr>
    </w:p>
    <w:p w14:paraId="06DB955F">
      <w:pPr>
        <w:pStyle w:val="31"/>
        <w:ind w:firstLine="440"/>
        <w:rPr>
          <w:rFonts w:hint="eastAsia" w:ascii="宋体" w:hAnsi="宋体" w:eastAsia="宋体" w:cs="宋体"/>
          <w:color w:val="auto"/>
          <w:highlight w:val="none"/>
        </w:rPr>
      </w:pPr>
    </w:p>
    <w:p w14:paraId="49146D95">
      <w:pPr>
        <w:rPr>
          <w:rFonts w:hint="eastAsia" w:ascii="宋体" w:hAnsi="宋体" w:eastAsia="宋体" w:cs="宋体"/>
          <w:color w:val="auto"/>
          <w:highlight w:val="none"/>
        </w:rPr>
      </w:pPr>
    </w:p>
    <w:p w14:paraId="3AF3F45B">
      <w:pPr>
        <w:pStyle w:val="21"/>
        <w:ind w:left="440" w:firstLine="440"/>
        <w:rPr>
          <w:rFonts w:hint="eastAsia" w:ascii="宋体" w:hAnsi="宋体" w:eastAsia="宋体" w:cs="宋体"/>
          <w:color w:val="auto"/>
          <w:highlight w:val="none"/>
        </w:rPr>
      </w:pPr>
    </w:p>
    <w:p w14:paraId="48D58FD9">
      <w:pPr>
        <w:pStyle w:val="31"/>
        <w:rPr>
          <w:rFonts w:hint="eastAsia" w:ascii="宋体" w:hAnsi="宋体" w:eastAsia="宋体" w:cs="宋体"/>
          <w:color w:val="auto"/>
          <w:highlight w:val="none"/>
        </w:rPr>
      </w:pPr>
    </w:p>
    <w:p w14:paraId="712AC1D4">
      <w:pPr>
        <w:rPr>
          <w:rFonts w:hint="eastAsia" w:ascii="宋体" w:hAnsi="宋体" w:eastAsia="宋体" w:cs="宋体"/>
          <w:highlight w:val="none"/>
        </w:rPr>
      </w:pPr>
    </w:p>
    <w:p w14:paraId="7AB70C64">
      <w:pPr>
        <w:pStyle w:val="31"/>
        <w:ind w:firstLine="440"/>
        <w:rPr>
          <w:rFonts w:hint="eastAsia" w:ascii="宋体" w:hAnsi="宋体" w:eastAsia="宋体" w:cs="宋体"/>
          <w:color w:val="auto"/>
          <w:highlight w:val="none"/>
        </w:rPr>
      </w:pPr>
    </w:p>
    <w:p w14:paraId="1D1AC4DF">
      <w:pPr>
        <w:rPr>
          <w:rFonts w:hint="eastAsia" w:ascii="宋体" w:hAnsi="宋体" w:eastAsia="宋体" w:cs="宋体"/>
          <w:color w:val="auto"/>
          <w:highlight w:val="none"/>
        </w:rPr>
      </w:pPr>
    </w:p>
    <w:p w14:paraId="086A8D85">
      <w:pPr>
        <w:pStyle w:val="31"/>
        <w:ind w:firstLine="0" w:firstLineChars="0"/>
        <w:rPr>
          <w:rFonts w:hint="eastAsia" w:ascii="宋体" w:hAnsi="宋体" w:eastAsia="宋体" w:cs="宋体"/>
          <w:color w:val="auto"/>
          <w:highlight w:val="none"/>
        </w:rPr>
      </w:pPr>
    </w:p>
    <w:p w14:paraId="5C768F63">
      <w:pPr>
        <w:pStyle w:val="21"/>
        <w:ind w:left="0" w:leftChars="0" w:firstLine="0" w:firstLineChars="0"/>
        <w:rPr>
          <w:rFonts w:hint="eastAsia" w:ascii="宋体" w:hAnsi="宋体" w:eastAsia="宋体" w:cs="宋体"/>
          <w:color w:val="auto"/>
          <w:highlight w:val="none"/>
        </w:rPr>
      </w:pPr>
    </w:p>
    <w:p w14:paraId="65ECF8FE">
      <w:pPr>
        <w:ind w:firstLine="1680" w:firstLineChars="6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项目编号：HNGJ〔2025〕-00</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号</w:t>
      </w:r>
    </w:p>
    <w:p w14:paraId="7CC13A15">
      <w:pPr>
        <w:ind w:firstLine="1680" w:firstLineChars="6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 购 人：</w:t>
      </w:r>
      <w:r>
        <w:rPr>
          <w:rFonts w:hint="eastAsia" w:ascii="宋体" w:hAnsi="宋体" w:eastAsia="宋体" w:cs="宋体"/>
          <w:b/>
          <w:bCs/>
          <w:color w:val="auto"/>
          <w:sz w:val="28"/>
          <w:szCs w:val="28"/>
          <w:highlight w:val="none"/>
          <w:lang w:eastAsia="zh-CN"/>
        </w:rPr>
        <w:t>鄢陵县住房服务中心</w:t>
      </w:r>
    </w:p>
    <w:p w14:paraId="28D22BD1">
      <w:pPr>
        <w:ind w:firstLine="1680" w:firstLineChars="600"/>
        <w:rPr>
          <w:rFonts w:hint="eastAsia" w:ascii="宋体" w:hAnsi="宋体" w:eastAsia="宋体" w:cs="宋体"/>
          <w:b/>
          <w:bCs/>
          <w:color w:val="auto"/>
          <w:highlight w:val="none"/>
          <w:lang w:eastAsia="zh-CN"/>
        </w:rPr>
      </w:pPr>
      <w:r>
        <w:rPr>
          <w:rFonts w:hint="eastAsia" w:ascii="宋体" w:hAnsi="宋体" w:eastAsia="宋体" w:cs="宋体"/>
          <w:b/>
          <w:bCs/>
          <w:color w:val="auto"/>
          <w:sz w:val="28"/>
          <w:szCs w:val="28"/>
          <w:highlight w:val="none"/>
        </w:rPr>
        <w:t>代理机构：</w:t>
      </w:r>
      <w:r>
        <w:rPr>
          <w:rFonts w:hint="eastAsia" w:ascii="宋体" w:hAnsi="宋体" w:eastAsia="宋体" w:cs="宋体"/>
          <w:b/>
          <w:bCs/>
          <w:color w:val="auto"/>
          <w:sz w:val="28"/>
          <w:szCs w:val="28"/>
          <w:highlight w:val="none"/>
          <w:lang w:eastAsia="zh-CN"/>
        </w:rPr>
        <w:t>河南古基工程管理有限公司</w:t>
      </w:r>
    </w:p>
    <w:p w14:paraId="0BBFAA6C">
      <w:pPr>
        <w:ind w:firstLine="1680" w:firstLineChars="600"/>
        <w:jc w:val="both"/>
        <w:rPr>
          <w:rFonts w:hint="eastAsia" w:ascii="宋体" w:hAnsi="宋体" w:eastAsia="宋体" w:cs="宋体"/>
          <w:b/>
          <w:bCs/>
          <w:color w:val="auto"/>
          <w:sz w:val="28"/>
          <w:szCs w:val="28"/>
          <w:highlight w:val="none"/>
        </w:rPr>
        <w:sectPr>
          <w:headerReference r:id="rId5" w:type="first"/>
          <w:headerReference r:id="rId3" w:type="default"/>
          <w:footerReference r:id="rId6" w:type="default"/>
          <w:headerReference r:id="rId4" w:type="even"/>
          <w:footerReference r:id="rId7" w:type="even"/>
          <w:pgSz w:w="11907" w:h="16840"/>
          <w:pgMar w:top="1440" w:right="1080" w:bottom="1440" w:left="1080" w:header="624" w:footer="641" w:gutter="0"/>
          <w:pgBorders>
            <w:top w:val="none" w:sz="0" w:space="0"/>
            <w:left w:val="none" w:sz="0" w:space="0"/>
            <w:bottom w:val="none" w:sz="0" w:space="0"/>
            <w:right w:val="none" w:sz="0" w:space="0"/>
          </w:pgBorders>
          <w:pgNumType w:start="1"/>
          <w:cols w:space="720" w:num="1"/>
          <w:titlePg/>
          <w:docGrid w:type="linesAndChars" w:linePitch="312" w:charSpace="0"/>
        </w:sectPr>
      </w:pPr>
      <w:r>
        <w:rPr>
          <w:rFonts w:hint="eastAsia" w:ascii="宋体" w:hAnsi="宋体" w:eastAsia="宋体" w:cs="宋体"/>
          <w:b/>
          <w:bCs/>
          <w:color w:val="auto"/>
          <w:sz w:val="28"/>
          <w:szCs w:val="28"/>
          <w:highlight w:val="none"/>
        </w:rPr>
        <w:t>日    期：二〇二</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月</w:t>
      </w:r>
    </w:p>
    <w:p w14:paraId="1B19ABE2">
      <w:pPr>
        <w:pStyle w:val="10"/>
        <w:spacing w:before="12"/>
        <w:rPr>
          <w:rFonts w:hint="eastAsia" w:ascii="宋体" w:hAnsi="宋体" w:eastAsia="宋体" w:cs="宋体"/>
          <w:b/>
          <w:color w:val="auto"/>
          <w:sz w:val="25"/>
          <w:highlight w:val="none"/>
        </w:rPr>
      </w:pPr>
    </w:p>
    <w:p w14:paraId="0FAD3DEF">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w:t>
      </w:r>
      <w:r>
        <w:rPr>
          <w:rFonts w:hint="eastAsia" w:ascii="宋体" w:hAnsi="宋体" w:eastAsia="宋体" w:cs="宋体"/>
          <w:b/>
          <w:bCs/>
          <w:color w:val="auto"/>
          <w:sz w:val="48"/>
          <w:szCs w:val="48"/>
          <w:highlight w:val="none"/>
        </w:rPr>
        <w:tab/>
      </w:r>
      <w:r>
        <w:rPr>
          <w:rFonts w:hint="eastAsia" w:ascii="宋体" w:hAnsi="宋体" w:eastAsia="宋体" w:cs="宋体"/>
          <w:b/>
          <w:bCs/>
          <w:color w:val="auto"/>
          <w:sz w:val="48"/>
          <w:szCs w:val="48"/>
          <w:highlight w:val="none"/>
        </w:rPr>
        <w:t>录</w:t>
      </w:r>
    </w:p>
    <w:p w14:paraId="266394C6">
      <w:pPr>
        <w:pStyle w:val="10"/>
        <w:rPr>
          <w:rFonts w:hint="eastAsia" w:ascii="宋体" w:hAnsi="宋体" w:eastAsia="宋体" w:cs="宋体"/>
          <w:b/>
          <w:color w:val="auto"/>
          <w:sz w:val="20"/>
          <w:highlight w:val="none"/>
        </w:rPr>
      </w:pPr>
    </w:p>
    <w:p w14:paraId="6CF8CE21">
      <w:pPr>
        <w:pStyle w:val="10"/>
        <w:rPr>
          <w:rFonts w:hint="eastAsia" w:ascii="宋体" w:hAnsi="宋体" w:eastAsia="宋体" w:cs="宋体"/>
          <w:b/>
          <w:color w:val="auto"/>
          <w:sz w:val="20"/>
          <w:highlight w:val="none"/>
        </w:rPr>
      </w:pPr>
    </w:p>
    <w:p w14:paraId="14AA68DB">
      <w:pPr>
        <w:keepNext w:val="0"/>
        <w:keepLines w:val="0"/>
        <w:pageBreakBefore w:val="0"/>
        <w:widowControl w:val="0"/>
        <w:kinsoku/>
        <w:wordWrap/>
        <w:overflowPunct/>
        <w:topLinePunct w:val="0"/>
        <w:autoSpaceDE w:val="0"/>
        <w:autoSpaceDN w:val="0"/>
        <w:bidi w:val="0"/>
        <w:adjustRightInd/>
        <w:snapToGrid/>
        <w:spacing w:line="360" w:lineRule="auto"/>
        <w:ind w:firstLine="2249" w:firstLineChars="8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"_bookmark0"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第一章 磋商邀请</w:t>
      </w:r>
      <w:r>
        <w:rPr>
          <w:rFonts w:hint="eastAsia" w:ascii="宋体" w:hAnsi="宋体" w:eastAsia="宋体" w:cs="宋体"/>
          <w:b/>
          <w:bCs/>
          <w:color w:val="auto"/>
          <w:sz w:val="28"/>
          <w:szCs w:val="28"/>
          <w:highlight w:val="none"/>
        </w:rPr>
        <w:fldChar w:fldCharType="end"/>
      </w:r>
    </w:p>
    <w:p w14:paraId="6702C70C">
      <w:pPr>
        <w:keepNext w:val="0"/>
        <w:keepLines w:val="0"/>
        <w:pageBreakBefore w:val="0"/>
        <w:widowControl w:val="0"/>
        <w:kinsoku/>
        <w:wordWrap/>
        <w:overflowPunct/>
        <w:topLinePunct w:val="0"/>
        <w:autoSpaceDE w:val="0"/>
        <w:autoSpaceDN w:val="0"/>
        <w:bidi w:val="0"/>
        <w:adjustRightInd/>
        <w:snapToGrid/>
        <w:spacing w:line="360" w:lineRule="auto"/>
        <w:ind w:firstLine="2249" w:firstLineChars="8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第二章 采购需求</w:t>
      </w:r>
    </w:p>
    <w:p w14:paraId="7B8EAB65">
      <w:pPr>
        <w:keepNext w:val="0"/>
        <w:keepLines w:val="0"/>
        <w:pageBreakBefore w:val="0"/>
        <w:widowControl w:val="0"/>
        <w:kinsoku/>
        <w:wordWrap/>
        <w:overflowPunct/>
        <w:topLinePunct w:val="0"/>
        <w:autoSpaceDE w:val="0"/>
        <w:autoSpaceDN w:val="0"/>
        <w:bidi w:val="0"/>
        <w:adjustRightInd/>
        <w:snapToGrid/>
        <w:spacing w:line="360" w:lineRule="auto"/>
        <w:ind w:firstLine="2249" w:firstLineChars="8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"_bookmark1"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第三章 磋商须知前附表</w:t>
      </w:r>
      <w:r>
        <w:rPr>
          <w:rFonts w:hint="eastAsia" w:ascii="宋体" w:hAnsi="宋体" w:eastAsia="宋体" w:cs="宋体"/>
          <w:b/>
          <w:bCs/>
          <w:color w:val="auto"/>
          <w:sz w:val="28"/>
          <w:szCs w:val="28"/>
          <w:highlight w:val="none"/>
        </w:rPr>
        <w:fldChar w:fldCharType="end"/>
      </w:r>
    </w:p>
    <w:p w14:paraId="0B3DCC49">
      <w:pPr>
        <w:keepNext w:val="0"/>
        <w:keepLines w:val="0"/>
        <w:pageBreakBefore w:val="0"/>
        <w:widowControl w:val="0"/>
        <w:kinsoku/>
        <w:wordWrap/>
        <w:overflowPunct/>
        <w:topLinePunct w:val="0"/>
        <w:autoSpaceDE w:val="0"/>
        <w:autoSpaceDN w:val="0"/>
        <w:bidi w:val="0"/>
        <w:adjustRightInd/>
        <w:snapToGrid/>
        <w:spacing w:line="360" w:lineRule="auto"/>
        <w:ind w:firstLine="2249" w:firstLineChars="8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"_bookmark2"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章 评审程序、方法及标准</w:t>
      </w:r>
      <w:r>
        <w:rPr>
          <w:rFonts w:hint="eastAsia" w:ascii="宋体" w:hAnsi="宋体" w:eastAsia="宋体" w:cs="宋体"/>
          <w:b/>
          <w:bCs/>
          <w:color w:val="auto"/>
          <w:sz w:val="28"/>
          <w:szCs w:val="28"/>
          <w:highlight w:val="none"/>
        </w:rPr>
        <w:fldChar w:fldCharType="end"/>
      </w:r>
    </w:p>
    <w:p w14:paraId="2DD567B3">
      <w:pPr>
        <w:keepNext w:val="0"/>
        <w:keepLines w:val="0"/>
        <w:pageBreakBefore w:val="0"/>
        <w:widowControl w:val="0"/>
        <w:kinsoku/>
        <w:wordWrap/>
        <w:overflowPunct/>
        <w:topLinePunct w:val="0"/>
        <w:autoSpaceDE w:val="0"/>
        <w:autoSpaceDN w:val="0"/>
        <w:bidi w:val="0"/>
        <w:adjustRightInd/>
        <w:snapToGrid/>
        <w:spacing w:line="360" w:lineRule="auto"/>
        <w:ind w:firstLine="2249" w:firstLineChars="8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"_bookmark3"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章 合同条款及格式</w:t>
      </w:r>
      <w:r>
        <w:rPr>
          <w:rFonts w:hint="eastAsia" w:ascii="宋体" w:hAnsi="宋体" w:eastAsia="宋体" w:cs="宋体"/>
          <w:b/>
          <w:bCs/>
          <w:color w:val="auto"/>
          <w:sz w:val="28"/>
          <w:szCs w:val="28"/>
          <w:highlight w:val="none"/>
        </w:rPr>
        <w:fldChar w:fldCharType="end"/>
      </w:r>
    </w:p>
    <w:p w14:paraId="6829DB9A">
      <w:pPr>
        <w:keepNext w:val="0"/>
        <w:keepLines w:val="0"/>
        <w:pageBreakBefore w:val="0"/>
        <w:widowControl w:val="0"/>
        <w:kinsoku/>
        <w:wordWrap/>
        <w:overflowPunct/>
        <w:topLinePunct w:val="0"/>
        <w:autoSpaceDE w:val="0"/>
        <w:autoSpaceDN w:val="0"/>
        <w:bidi w:val="0"/>
        <w:adjustRightInd/>
        <w:snapToGrid/>
        <w:spacing w:line="360" w:lineRule="auto"/>
        <w:ind w:firstLine="2249" w:firstLineChars="8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"_bookmark4"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章 工程量清单及图纸</w:t>
      </w:r>
      <w:r>
        <w:rPr>
          <w:rFonts w:hint="eastAsia" w:ascii="宋体" w:hAnsi="宋体" w:eastAsia="宋体" w:cs="宋体"/>
          <w:b/>
          <w:bCs/>
          <w:color w:val="auto"/>
          <w:sz w:val="28"/>
          <w:szCs w:val="28"/>
          <w:highlight w:val="none"/>
        </w:rPr>
        <w:fldChar w:fldCharType="end"/>
      </w:r>
    </w:p>
    <w:p w14:paraId="483F483B">
      <w:pPr>
        <w:keepNext w:val="0"/>
        <w:keepLines w:val="0"/>
        <w:pageBreakBefore w:val="0"/>
        <w:widowControl w:val="0"/>
        <w:kinsoku/>
        <w:wordWrap/>
        <w:overflowPunct/>
        <w:topLinePunct w:val="0"/>
        <w:autoSpaceDE w:val="0"/>
        <w:autoSpaceDN w:val="0"/>
        <w:bidi w:val="0"/>
        <w:adjustRightInd/>
        <w:snapToGrid/>
        <w:spacing w:line="360" w:lineRule="auto"/>
        <w:ind w:firstLine="2249" w:firstLineChars="8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"_bookmark5"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章 响应文件格式</w:t>
      </w:r>
      <w:r>
        <w:rPr>
          <w:rFonts w:hint="eastAsia" w:ascii="宋体" w:hAnsi="宋体" w:eastAsia="宋体" w:cs="宋体"/>
          <w:b/>
          <w:bCs/>
          <w:color w:val="auto"/>
          <w:sz w:val="28"/>
          <w:szCs w:val="28"/>
          <w:highlight w:val="none"/>
        </w:rPr>
        <w:fldChar w:fldCharType="end"/>
      </w:r>
    </w:p>
    <w:p w14:paraId="2520FCB7">
      <w:pPr>
        <w:keepNext w:val="0"/>
        <w:keepLines w:val="0"/>
        <w:pageBreakBefore w:val="0"/>
        <w:widowControl w:val="0"/>
        <w:kinsoku/>
        <w:wordWrap/>
        <w:overflowPunct/>
        <w:topLinePunct w:val="0"/>
        <w:autoSpaceDE w:val="0"/>
        <w:autoSpaceDN w:val="0"/>
        <w:bidi w:val="0"/>
        <w:adjustRightInd/>
        <w:snapToGrid/>
        <w:spacing w:line="360" w:lineRule="auto"/>
        <w:ind w:firstLine="2249" w:firstLineChars="800"/>
        <w:textAlignment w:val="auto"/>
        <w:rPr>
          <w:rFonts w:hint="eastAsia" w:ascii="宋体" w:hAnsi="宋体" w:eastAsia="宋体" w:cs="宋体"/>
          <w:b/>
          <w:bCs/>
          <w:color w:val="auto"/>
          <w:sz w:val="28"/>
          <w:szCs w:val="28"/>
          <w:highlight w:val="none"/>
        </w:rPr>
        <w:sectPr>
          <w:pgSz w:w="11910" w:h="16840"/>
          <w:pgMar w:top="1300" w:right="460" w:bottom="280" w:left="720" w:header="720" w:footer="720" w:gutter="0"/>
          <w:pgBorders>
            <w:top w:val="none" w:sz="0" w:space="0"/>
            <w:left w:val="none" w:sz="0" w:space="0"/>
            <w:bottom w:val="none" w:sz="0" w:space="0"/>
            <w:right w:val="none" w:sz="0" w:space="0"/>
          </w:pgBorders>
          <w:cols w:space="720" w:num="1"/>
        </w:sectPr>
      </w:pPr>
    </w:p>
    <w:p w14:paraId="661327D1">
      <w:pPr>
        <w:spacing w:line="360" w:lineRule="auto"/>
        <w:jc w:val="center"/>
        <w:rPr>
          <w:rFonts w:hint="eastAsia" w:ascii="宋体" w:hAnsi="宋体" w:eastAsia="宋体" w:cs="宋体"/>
          <w:b/>
          <w:bCs/>
          <w:color w:val="auto"/>
          <w:sz w:val="32"/>
          <w:szCs w:val="32"/>
          <w:highlight w:val="none"/>
        </w:rPr>
      </w:pPr>
      <w:bookmarkStart w:id="0" w:name="_Toc13445"/>
      <w:r>
        <w:rPr>
          <w:rFonts w:hint="eastAsia" w:ascii="宋体" w:hAnsi="宋体" w:eastAsia="宋体" w:cs="宋体"/>
          <w:b/>
          <w:bCs/>
          <w:color w:val="auto"/>
          <w:sz w:val="32"/>
          <w:szCs w:val="32"/>
          <w:highlight w:val="none"/>
        </w:rPr>
        <w:t xml:space="preserve">第一章 </w:t>
      </w:r>
      <w:bookmarkEnd w:id="0"/>
      <w:r>
        <w:rPr>
          <w:rFonts w:hint="eastAsia" w:ascii="宋体" w:hAnsi="宋体" w:eastAsia="宋体" w:cs="宋体"/>
          <w:b/>
          <w:kern w:val="0"/>
          <w:sz w:val="32"/>
          <w:szCs w:val="32"/>
          <w:highlight w:val="none"/>
          <w:lang w:eastAsia="zh-CN"/>
        </w:rPr>
        <w:t>磋商</w:t>
      </w:r>
      <w:r>
        <w:rPr>
          <w:rFonts w:hint="eastAsia" w:ascii="宋体" w:hAnsi="宋体" w:eastAsia="宋体" w:cs="宋体"/>
          <w:b/>
          <w:kern w:val="0"/>
          <w:sz w:val="32"/>
          <w:szCs w:val="32"/>
          <w:highlight w:val="none"/>
        </w:rPr>
        <w:t>邀请</w:t>
      </w:r>
    </w:p>
    <w:p w14:paraId="373B8D74">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河南古基工程管理有限公司(以下简称代理机构)受鄢陵县住房服务中心的委托，就“鄢陵县住房服务中心鄢陵县产业集聚区公租房房屋改造项目”进行竞争性磋商采购，现邀请符合本磋商文件规定条件的供应商前来磋商。</w:t>
      </w:r>
    </w:p>
    <w:p w14:paraId="2A530018">
      <w:pPr>
        <w:keepNext w:val="0"/>
        <w:keepLines w:val="0"/>
        <w:pageBreakBefore w:val="0"/>
        <w:kinsoku/>
        <w:wordWrap/>
        <w:overflowPunct/>
        <w:topLinePunct w:val="0"/>
        <w:bidi w:val="0"/>
        <w:adjustRightInd w:val="0"/>
        <w:snapToGrid w:val="0"/>
        <w:spacing w:line="360" w:lineRule="auto"/>
        <w:ind w:firstLine="482" w:firstLineChars="200"/>
        <w:jc w:val="both"/>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一、项目基本情况</w:t>
      </w:r>
    </w:p>
    <w:p w14:paraId="1B1790CD">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rPr>
        <w:t>项目名称：鄢陵县住房服务中心鄢陵县产业集聚区公租房房屋改造项目</w:t>
      </w:r>
    </w:p>
    <w:p w14:paraId="6B1A6533">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采购方式：竞争性磋商</w:t>
      </w:r>
    </w:p>
    <w:p w14:paraId="2C3965A0">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项目编号：HNGJ〔2025〕-00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号</w:t>
      </w:r>
    </w:p>
    <w:p w14:paraId="2F6A47FA">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主要内容、数量及要求：</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lang w:val="zh-CN"/>
        </w:rPr>
        <w:t>产业集聚区公租房</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rPr>
        <w:t>房屋改造</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lang w:val="zh-CN"/>
        </w:rPr>
        <w:t>。（具体内容详见</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清单）</w:t>
      </w:r>
    </w:p>
    <w:p w14:paraId="2C74576F">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预算金额：</w:t>
      </w:r>
      <w:r>
        <w:rPr>
          <w:rFonts w:hint="eastAsia" w:ascii="宋体" w:hAnsi="宋体" w:eastAsia="宋体" w:cs="宋体"/>
          <w:color w:val="auto"/>
          <w:sz w:val="24"/>
          <w:szCs w:val="24"/>
          <w:highlight w:val="none"/>
          <w:lang w:val="en-US" w:eastAsia="zh-CN"/>
        </w:rPr>
        <w:t>429258.28元</w:t>
      </w:r>
      <w:r>
        <w:rPr>
          <w:rFonts w:hint="eastAsia" w:ascii="宋体" w:hAnsi="宋体" w:eastAsia="宋体" w:cs="宋体"/>
          <w:color w:val="auto"/>
          <w:sz w:val="24"/>
          <w:szCs w:val="24"/>
          <w:highlight w:val="none"/>
          <w:lang w:val="zh-CN"/>
        </w:rPr>
        <w:t>；最高限价：429258.28元</w:t>
      </w:r>
    </w:p>
    <w:p w14:paraId="66C34E69">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lang w:val="en-US" w:eastAsia="zh-CN"/>
        </w:rPr>
        <w:t xml:space="preserve"> 交付（实施）时间（期限）：自合同生效之日起10日历天内</w:t>
      </w:r>
    </w:p>
    <w:p w14:paraId="55DB55F8">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 交付（实施）地点（范围）：鄢陵县</w:t>
      </w:r>
      <w:r>
        <w:rPr>
          <w:rFonts w:hint="eastAsia" w:ascii="宋体" w:hAnsi="宋体" w:eastAsia="宋体" w:cs="宋体"/>
          <w:color w:val="auto"/>
          <w:sz w:val="24"/>
          <w:szCs w:val="24"/>
          <w:highlight w:val="none"/>
          <w:lang w:val="zh-CN"/>
        </w:rPr>
        <w:t>产业集聚区公租房</w:t>
      </w:r>
      <w:r>
        <w:rPr>
          <w:rFonts w:hint="eastAsia" w:ascii="宋体" w:hAnsi="宋体" w:eastAsia="宋体" w:cs="宋体"/>
          <w:color w:val="auto"/>
          <w:sz w:val="24"/>
          <w:szCs w:val="24"/>
          <w:highlight w:val="none"/>
          <w:lang w:val="en-US" w:eastAsia="zh-CN"/>
        </w:rPr>
        <w:t>。</w:t>
      </w:r>
    </w:p>
    <w:p w14:paraId="36DE3F0C">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包：不允许</w:t>
      </w:r>
    </w:p>
    <w:p w14:paraId="46E35F82">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质量标准：合格</w:t>
      </w:r>
    </w:p>
    <w:p w14:paraId="1F5A24FA">
      <w:pPr>
        <w:keepNext w:val="0"/>
        <w:keepLines w:val="0"/>
        <w:pageBreakBefore w:val="0"/>
        <w:kinsoku/>
        <w:wordWrap/>
        <w:overflowPunct/>
        <w:topLinePunct w:val="0"/>
        <w:bidi w:val="0"/>
        <w:adjustRightInd w:val="0"/>
        <w:snapToGrid w:val="0"/>
        <w:spacing w:line="360" w:lineRule="auto"/>
        <w:ind w:firstLine="482" w:firstLineChars="200"/>
        <w:jc w:val="both"/>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、供应商资格要求</w:t>
      </w:r>
    </w:p>
    <w:p w14:paraId="78E1ABD1">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具备《中华人民共和国政府采购法》第二十二条规定的供应商条件。</w:t>
      </w:r>
    </w:p>
    <w:p w14:paraId="70A1BE65">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2.2 </w:t>
      </w:r>
      <w:r>
        <w:rPr>
          <w:rFonts w:hint="eastAsia" w:ascii="宋体" w:hAnsi="宋体" w:eastAsia="宋体" w:cs="宋体"/>
          <w:color w:val="auto"/>
          <w:sz w:val="24"/>
          <w:szCs w:val="24"/>
          <w:highlight w:val="none"/>
          <w:lang w:val="zh-CN"/>
        </w:rPr>
        <w:t>未被列入“信用中国”网站(www.creditchina.gov.cn)失信被执行人、重大税收违法案件当事人名单；“中国政府采购网” (www.ccgp.gov.cn)政府采购严重违法失信行为记录名单的投标人；“中国社会组织政务服务平台”网站（www.chinanpo.gov.cn）严重违法失信名单的投标人。</w:t>
      </w:r>
    </w:p>
    <w:p w14:paraId="18CDC979">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595959"/>
          <w:szCs w:val="21"/>
          <w:highlight w:val="none"/>
        </w:rPr>
      </w:pPr>
      <w:r>
        <w:rPr>
          <w:rFonts w:hint="eastAsia" w:ascii="宋体" w:hAnsi="宋体" w:eastAsia="宋体" w:cs="宋体"/>
          <w:color w:val="auto"/>
          <w:sz w:val="24"/>
          <w:szCs w:val="24"/>
          <w:highlight w:val="none"/>
          <w:lang w:val="en-US" w:eastAsia="zh-CN"/>
        </w:rPr>
        <w:t xml:space="preserve">2.3 </w:t>
      </w:r>
      <w:r>
        <w:rPr>
          <w:rFonts w:hint="eastAsia" w:ascii="宋体" w:hAnsi="宋体" w:eastAsia="宋体" w:cs="宋体"/>
          <w:color w:val="auto"/>
          <w:sz w:val="24"/>
          <w:szCs w:val="24"/>
          <w:highlight w:val="none"/>
          <w:lang w:val="zh-CN"/>
        </w:rPr>
        <w:t>本次项目实行资格后审，本次采购不接受联合体响应。</w:t>
      </w:r>
    </w:p>
    <w:p w14:paraId="6DDFF11F">
      <w:pPr>
        <w:keepNext w:val="0"/>
        <w:keepLines w:val="0"/>
        <w:pageBreakBefore w:val="0"/>
        <w:kinsoku/>
        <w:wordWrap/>
        <w:overflowPunct/>
        <w:topLinePunct w:val="0"/>
        <w:bidi w:val="0"/>
        <w:adjustRightInd w:val="0"/>
        <w:snapToGrid w:val="0"/>
        <w:spacing w:line="360" w:lineRule="auto"/>
        <w:ind w:firstLine="482" w:firstLineChars="200"/>
        <w:jc w:val="both"/>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、竞争性磋商报名及磋商文件的获取</w:t>
      </w:r>
    </w:p>
    <w:p w14:paraId="6706AC3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报名时间：</w:t>
      </w:r>
      <w:r>
        <w:rPr>
          <w:rFonts w:hint="eastAsia" w:ascii="宋体" w:hAnsi="宋体" w:eastAsia="宋体" w:cs="宋体"/>
          <w:kern w:val="0"/>
          <w:sz w:val="24"/>
          <w:szCs w:val="24"/>
          <w:highlight w:val="none"/>
          <w:lang w:val="en-US" w:eastAsia="zh-CN"/>
        </w:rPr>
        <w:t>2025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06</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06</w:t>
      </w:r>
      <w:r>
        <w:rPr>
          <w:rFonts w:hint="eastAsia" w:ascii="宋体" w:hAnsi="宋体" w:eastAsia="宋体" w:cs="宋体"/>
          <w:kern w:val="0"/>
          <w:sz w:val="24"/>
          <w:szCs w:val="24"/>
          <w:highlight w:val="none"/>
        </w:rPr>
        <w:t>日至</w:t>
      </w:r>
      <w:r>
        <w:rPr>
          <w:rFonts w:hint="eastAsia" w:ascii="宋体" w:hAnsi="宋体" w:eastAsia="宋体" w:cs="宋体"/>
          <w:kern w:val="0"/>
          <w:sz w:val="24"/>
          <w:szCs w:val="24"/>
          <w:highlight w:val="none"/>
          <w:lang w:val="en-US" w:eastAsia="zh-CN"/>
        </w:rPr>
        <w:t>2025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06</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17</w:t>
      </w:r>
      <w:r>
        <w:rPr>
          <w:rFonts w:hint="eastAsia" w:ascii="宋体" w:hAnsi="宋体" w:eastAsia="宋体" w:cs="宋体"/>
          <w:kern w:val="0"/>
          <w:sz w:val="24"/>
          <w:szCs w:val="24"/>
          <w:highlight w:val="none"/>
        </w:rPr>
        <w:t>日，每日上午8：30至 12:00 ，下午14：30至17：30（北京时间，法定节假日除外）。</w:t>
      </w:r>
    </w:p>
    <w:p w14:paraId="5F04D25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3.2</w:t>
      </w:r>
      <w:r>
        <w:rPr>
          <w:rFonts w:hint="eastAsia" w:ascii="宋体" w:hAnsi="宋体" w:eastAsia="宋体" w:cs="宋体"/>
          <w:kern w:val="0"/>
          <w:sz w:val="24"/>
          <w:szCs w:val="24"/>
          <w:highlight w:val="none"/>
          <w:lang w:val="en-US" w:eastAsia="zh-CN"/>
        </w:rPr>
        <w:t xml:space="preserve"> 报名提交材料供应商报名需提供公司营业执照、委托书（附法人代表身份证或法人授权书及被授权人身份证）、联系人电话及邮箱。未按要求提供资料的不予受理，将以上资料原件扫描件发送至hngjgcgl@126.com邮箱，并打电话告知代理机构，未按要求提供资料的不予受理。</w:t>
      </w:r>
    </w:p>
    <w:p w14:paraId="679B67D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 xml:space="preserve">3 </w:t>
      </w:r>
      <w:r>
        <w:rPr>
          <w:rFonts w:hint="eastAsia" w:ascii="宋体" w:hAnsi="宋体" w:eastAsia="宋体" w:cs="宋体"/>
          <w:kern w:val="0"/>
          <w:sz w:val="24"/>
          <w:szCs w:val="24"/>
          <w:highlight w:val="none"/>
        </w:rPr>
        <w:t>招标文件售价：500元/套</w:t>
      </w:r>
      <w:r>
        <w:rPr>
          <w:rFonts w:hint="eastAsia" w:ascii="宋体" w:hAnsi="宋体" w:eastAsia="宋体" w:cs="宋体"/>
          <w:kern w:val="0"/>
          <w:sz w:val="24"/>
          <w:szCs w:val="24"/>
          <w:highlight w:val="none"/>
          <w:lang w:val="en-US" w:eastAsia="zh-CN"/>
        </w:rPr>
        <w:t>，支付宝账号：13137417939，售后不退</w:t>
      </w:r>
      <w:r>
        <w:rPr>
          <w:rFonts w:hint="eastAsia" w:ascii="宋体" w:hAnsi="宋体" w:eastAsia="宋体" w:cs="宋体"/>
          <w:kern w:val="0"/>
          <w:sz w:val="24"/>
          <w:szCs w:val="24"/>
          <w:highlight w:val="none"/>
        </w:rPr>
        <w:t>。</w:t>
      </w:r>
    </w:p>
    <w:p w14:paraId="52DF65D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 xml:space="preserve">4 </w:t>
      </w:r>
      <w:r>
        <w:rPr>
          <w:rFonts w:hint="eastAsia" w:ascii="宋体" w:hAnsi="宋体" w:eastAsia="宋体" w:cs="宋体"/>
          <w:kern w:val="0"/>
          <w:sz w:val="24"/>
          <w:szCs w:val="24"/>
          <w:highlight w:val="none"/>
          <w:lang w:val="zh-CN"/>
        </w:rPr>
        <w:t>投标人应自行支付投标过程中所产生的一切费用，并承担相应的风险和责任。</w:t>
      </w:r>
    </w:p>
    <w:p w14:paraId="180C64F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四、</w:t>
      </w:r>
      <w:r>
        <w:rPr>
          <w:rFonts w:hint="eastAsia" w:ascii="宋体" w:hAnsi="宋体" w:eastAsia="宋体" w:cs="宋体"/>
          <w:b/>
          <w:bCs/>
          <w:kern w:val="0"/>
          <w:sz w:val="24"/>
          <w:szCs w:val="24"/>
          <w:highlight w:val="none"/>
          <w:lang w:val="en-US" w:eastAsia="zh-CN"/>
        </w:rPr>
        <w:t>响应文件提交</w:t>
      </w:r>
    </w:p>
    <w:p w14:paraId="72806463">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响应文件递交截止时间及开标时间：2025年</w:t>
      </w:r>
      <w:r>
        <w:rPr>
          <w:rFonts w:hint="eastAsia" w:ascii="宋体" w:hAnsi="宋体" w:eastAsia="宋体" w:cs="宋体"/>
          <w:kern w:val="0"/>
          <w:sz w:val="24"/>
          <w:szCs w:val="24"/>
          <w:highlight w:val="none"/>
          <w:lang w:val="en-US" w:eastAsia="zh-CN"/>
        </w:rPr>
        <w:t>06</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19</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lang w:val="en-US" w:eastAsia="zh-CN"/>
        </w:rPr>
        <w:t>9点00分</w:t>
      </w:r>
    </w:p>
    <w:p w14:paraId="34F3D680">
      <w:pPr>
        <w:pStyle w:val="19"/>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 响应</w:t>
      </w:r>
      <w:r>
        <w:rPr>
          <w:rFonts w:hint="eastAsia" w:ascii="宋体" w:hAnsi="宋体" w:eastAsia="宋体" w:cs="宋体"/>
          <w:color w:val="auto"/>
          <w:sz w:val="24"/>
          <w:szCs w:val="24"/>
          <w:highlight w:val="none"/>
          <w:lang w:val="zh-CN"/>
        </w:rPr>
        <w:t>地点：详见招标文件</w:t>
      </w:r>
    </w:p>
    <w:p w14:paraId="0124C636">
      <w:pPr>
        <w:pStyle w:val="19"/>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4.</w:t>
      </w:r>
      <w:r>
        <w:rPr>
          <w:rFonts w:hint="eastAsia"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zh-CN" w:eastAsia="zh-CN" w:bidi="zh-CN"/>
        </w:rPr>
        <w:t>逾期</w:t>
      </w:r>
      <w:r>
        <w:rPr>
          <w:rFonts w:hint="eastAsia" w:ascii="宋体" w:hAnsi="宋体" w:eastAsia="宋体" w:cs="宋体"/>
          <w:color w:val="auto"/>
          <w:sz w:val="24"/>
          <w:szCs w:val="24"/>
          <w:highlight w:val="none"/>
          <w:lang w:val="en-US" w:eastAsia="zh-CN" w:bidi="zh-CN"/>
        </w:rPr>
        <w:t>递</w:t>
      </w:r>
      <w:r>
        <w:rPr>
          <w:rFonts w:hint="eastAsia" w:ascii="宋体" w:hAnsi="宋体" w:eastAsia="宋体" w:cs="宋体"/>
          <w:color w:val="auto"/>
          <w:sz w:val="24"/>
          <w:szCs w:val="24"/>
          <w:highlight w:val="none"/>
          <w:lang w:val="zh-CN" w:eastAsia="zh-CN" w:bidi="zh-CN"/>
        </w:rPr>
        <w:t>交的响应文件，不予受理</w:t>
      </w:r>
    </w:p>
    <w:p w14:paraId="19983ADF">
      <w:pPr>
        <w:pStyle w:val="19"/>
        <w:keepNext w:val="0"/>
        <w:keepLines w:val="0"/>
        <w:pageBreakBefore w:val="0"/>
        <w:widowControl/>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五、本次招标公告同时在《河南省政府采购网》《中国政府采购网》《许昌市政府采购网》</w:t>
      </w:r>
      <w:r>
        <w:rPr>
          <w:rFonts w:hint="eastAsia" w:ascii="宋体" w:hAnsi="宋体" w:eastAsia="宋体" w:cs="宋体"/>
          <w:b/>
          <w:bCs/>
          <w:sz w:val="24"/>
          <w:szCs w:val="24"/>
          <w:highlight w:val="none"/>
          <w:shd w:val="clear" w:color="auto" w:fill="FFFFFF"/>
          <w:lang w:eastAsia="zh-CN"/>
        </w:rPr>
        <w:t>、《中国招标投标公共服务平台》</w:t>
      </w:r>
      <w:r>
        <w:rPr>
          <w:rFonts w:hint="eastAsia" w:ascii="宋体" w:hAnsi="宋体" w:eastAsia="宋体" w:cs="宋体"/>
          <w:b/>
          <w:bCs/>
          <w:sz w:val="24"/>
          <w:szCs w:val="24"/>
          <w:highlight w:val="none"/>
          <w:shd w:val="clear" w:color="auto" w:fill="FFFFFF"/>
        </w:rPr>
        <w:t>上发布。</w:t>
      </w:r>
    </w:p>
    <w:p w14:paraId="0570E8D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六、公告期限</w:t>
      </w:r>
    </w:p>
    <w:p w14:paraId="6FF4E401">
      <w:pPr>
        <w:pStyle w:val="19"/>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本招标公告自发布之日起公告期限为3个工作日。</w:t>
      </w:r>
    </w:p>
    <w:p w14:paraId="4399DC50">
      <w:pPr>
        <w:pStyle w:val="19"/>
        <w:keepNext w:val="0"/>
        <w:keepLines w:val="0"/>
        <w:pageBreakBefore w:val="0"/>
        <w:widowControl/>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七、联系方式</w:t>
      </w:r>
    </w:p>
    <w:p w14:paraId="28B50F6B">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采购人名称：鄢陵县住房服务中心</w:t>
      </w:r>
    </w:p>
    <w:p w14:paraId="40AFA4C9">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址：鄢陵县梅里路</w:t>
      </w:r>
    </w:p>
    <w:p w14:paraId="0449B6FB">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联系人：王先生</w:t>
      </w:r>
    </w:p>
    <w:p w14:paraId="04A3AA41">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联系方式：0374-7167986</w:t>
      </w:r>
    </w:p>
    <w:p w14:paraId="72E52C44">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招标代理机构：河南古基工程管理有限公司</w:t>
      </w:r>
    </w:p>
    <w:p w14:paraId="45D5BF2F">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地址：河南省安阳市汤阴县城关镇集贤路15号院</w:t>
      </w:r>
    </w:p>
    <w:p w14:paraId="2F1F64B7">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联系人：蔡先生</w:t>
      </w:r>
    </w:p>
    <w:p w14:paraId="639F285C">
      <w:pPr>
        <w:keepNext w:val="0"/>
        <w:keepLines w:val="0"/>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lang w:val="en-US" w:eastAsia="zh-CN"/>
        </w:rPr>
        <w:t>联系电话：16637488555</w:t>
      </w:r>
    </w:p>
    <w:p w14:paraId="1A532C10">
      <w:pPr>
        <w:spacing w:line="360" w:lineRule="auto"/>
        <w:ind w:firstLine="5520" w:firstLineChars="2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668313CE">
      <w:pPr>
        <w:spacing w:line="360" w:lineRule="auto"/>
        <w:ind w:firstLine="480" w:firstLineChars="200"/>
        <w:rPr>
          <w:rFonts w:hint="eastAsia" w:ascii="宋体" w:hAnsi="宋体" w:eastAsia="宋体" w:cs="宋体"/>
          <w:color w:val="auto"/>
          <w:sz w:val="24"/>
          <w:szCs w:val="24"/>
          <w:highlight w:val="none"/>
        </w:rPr>
      </w:pPr>
    </w:p>
    <w:p w14:paraId="7665017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0E43CE8">
      <w:pPr>
        <w:adjustRightInd w:val="0"/>
        <w:snapToGrid w:val="0"/>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kern w:val="0"/>
          <w:sz w:val="32"/>
          <w:szCs w:val="32"/>
          <w:highlight w:val="none"/>
          <w:lang w:eastAsia="zh-CN"/>
        </w:rPr>
        <w:t>第二章 采购需求</w:t>
      </w:r>
    </w:p>
    <w:p w14:paraId="30FD5EE2">
      <w:pPr>
        <w:keepNext w:val="0"/>
        <w:keepLines w:val="0"/>
        <w:pageBreakBefore w:val="0"/>
        <w:kinsoku/>
        <w:wordWrap/>
        <w:overflowPunct/>
        <w:topLinePunct w:val="0"/>
        <w:autoSpaceDE w:val="0"/>
        <w:autoSpaceDN w:val="0"/>
        <w:bidi w:val="0"/>
        <w:adjustRightInd w:val="0"/>
        <w:snapToGrid w:val="0"/>
        <w:spacing w:line="360" w:lineRule="auto"/>
        <w:ind w:left="0" w:firstLine="482" w:firstLineChars="200"/>
        <w:jc w:val="both"/>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val="en-US" w:eastAsia="zh-CN"/>
        </w:rPr>
        <w:t>项目概况</w:t>
      </w:r>
    </w:p>
    <w:p w14:paraId="42C26187">
      <w:pPr>
        <w:keepNext w:val="0"/>
        <w:keepLines w:val="0"/>
        <w:pageBreakBefore w:val="0"/>
        <w:widowControl/>
        <w:shd w:val="clear" w:color="auto" w:fill="FFFFFF"/>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对产业集聚区公租房进行房屋改造工作。</w:t>
      </w:r>
    </w:p>
    <w:p w14:paraId="06393C69">
      <w:pPr>
        <w:keepNext w:val="0"/>
        <w:keepLines w:val="0"/>
        <w:pageBreakBefore w:val="0"/>
        <w:widowControl/>
        <w:numPr>
          <w:ilvl w:val="0"/>
          <w:numId w:val="1"/>
        </w:numPr>
        <w:shd w:val="clear" w:color="auto" w:fill="FFFFFF"/>
        <w:kinsoku/>
        <w:wordWrap/>
        <w:overflowPunct/>
        <w:topLinePunct w:val="0"/>
        <w:autoSpaceDE w:val="0"/>
        <w:autoSpaceDN w:val="0"/>
        <w:bidi w:val="0"/>
        <w:adjustRightInd w:val="0"/>
        <w:snapToGrid w:val="0"/>
        <w:spacing w:line="360" w:lineRule="auto"/>
        <w:ind w:left="0" w:firstLine="482" w:firstLineChars="200"/>
        <w:jc w:val="both"/>
        <w:textAlignment w:val="auto"/>
        <w:rPr>
          <w:rFonts w:hint="eastAsia" w:ascii="宋体" w:hAnsi="宋体" w:eastAsia="宋体" w:cs="宋体"/>
          <w:b/>
          <w:color w:val="000000"/>
          <w:kern w:val="0"/>
          <w:sz w:val="24"/>
          <w:szCs w:val="24"/>
          <w:highlight w:val="none"/>
          <w:lang w:eastAsia="zh-CN"/>
        </w:rPr>
      </w:pPr>
      <w:r>
        <w:rPr>
          <w:rFonts w:hint="eastAsia" w:ascii="宋体" w:hAnsi="宋体" w:eastAsia="宋体" w:cs="宋体"/>
          <w:b/>
          <w:color w:val="000000"/>
          <w:kern w:val="0"/>
          <w:sz w:val="24"/>
          <w:szCs w:val="24"/>
          <w:highlight w:val="none"/>
          <w:lang w:eastAsia="zh-CN"/>
        </w:rPr>
        <w:t>采购清单：</w:t>
      </w:r>
    </w:p>
    <w:p w14:paraId="5856E801">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360" w:lineRule="auto"/>
        <w:ind w:left="0" w:leftChars="0" w:firstLine="482" w:firstLineChars="200"/>
        <w:jc w:val="center"/>
        <w:textAlignment w:val="auto"/>
        <w:rPr>
          <w:rFonts w:hint="eastAsia" w:ascii="宋体" w:hAnsi="宋体" w:eastAsia="宋体" w:cs="宋体"/>
          <w:b/>
          <w:color w:val="000000"/>
          <w:kern w:val="0"/>
          <w:sz w:val="24"/>
          <w:szCs w:val="24"/>
          <w:highlight w:val="none"/>
          <w:lang w:eastAsia="zh-CN"/>
        </w:rPr>
      </w:pPr>
      <w:r>
        <w:rPr>
          <w:rFonts w:hint="eastAsia" w:ascii="宋体" w:hAnsi="宋体" w:eastAsia="宋体" w:cs="宋体"/>
          <w:b/>
          <w:color w:val="000000"/>
          <w:kern w:val="0"/>
          <w:sz w:val="24"/>
          <w:szCs w:val="24"/>
          <w:highlight w:val="none"/>
          <w:lang w:eastAsia="zh-CN"/>
        </w:rPr>
        <w:drawing>
          <wp:inline distT="0" distB="0" distL="114300" distR="114300">
            <wp:extent cx="5099685" cy="7509510"/>
            <wp:effectExtent l="0" t="0" r="5715" b="15240"/>
            <wp:docPr id="1" name="图片 1" descr="清单文件---产业集聚区公租房三号楼二层、三层房屋改造项目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清单文件---产业集聚区公租房三号楼二层、三层房屋改造项目_00"/>
                    <pic:cNvPicPr>
                      <a:picLocks noChangeAspect="1"/>
                    </pic:cNvPicPr>
                  </pic:nvPicPr>
                  <pic:blipFill>
                    <a:blip r:embed="rId13"/>
                    <a:srcRect l="8807" t="5004"/>
                    <a:stretch>
                      <a:fillRect/>
                    </a:stretch>
                  </pic:blipFill>
                  <pic:spPr>
                    <a:xfrm>
                      <a:off x="0" y="0"/>
                      <a:ext cx="5099685" cy="7509510"/>
                    </a:xfrm>
                    <a:prstGeom prst="rect">
                      <a:avLst/>
                    </a:prstGeom>
                  </pic:spPr>
                </pic:pic>
              </a:graphicData>
            </a:graphic>
          </wp:inline>
        </w:drawing>
      </w:r>
    </w:p>
    <w:p w14:paraId="76059EB4">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eastAsia" w:ascii="宋体" w:hAnsi="宋体" w:eastAsia="宋体" w:cs="宋体"/>
          <w:b/>
          <w:color w:val="000000"/>
          <w:kern w:val="0"/>
          <w:sz w:val="24"/>
          <w:szCs w:val="24"/>
          <w:highlight w:val="none"/>
          <w:lang w:eastAsia="zh-CN"/>
        </w:rPr>
      </w:pPr>
      <w:r>
        <w:rPr>
          <w:rFonts w:hint="eastAsia" w:ascii="宋体" w:hAnsi="宋体" w:eastAsia="宋体" w:cs="宋体"/>
          <w:b/>
          <w:color w:val="000000"/>
          <w:kern w:val="0"/>
          <w:sz w:val="24"/>
          <w:szCs w:val="24"/>
          <w:highlight w:val="none"/>
          <w:lang w:eastAsia="zh-CN"/>
        </w:rPr>
        <w:drawing>
          <wp:inline distT="0" distB="0" distL="114300" distR="114300">
            <wp:extent cx="6314440" cy="8925560"/>
            <wp:effectExtent l="0" t="0" r="10160" b="8890"/>
            <wp:docPr id="2" name="图片 2" descr="清单文件---产业集聚区公租房三号楼二层、三层房屋改造项目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清单文件---产业集聚区公租房三号楼二层、三层房屋改造项目_01"/>
                    <pic:cNvPicPr>
                      <a:picLocks noChangeAspect="1"/>
                    </pic:cNvPicPr>
                  </pic:nvPicPr>
                  <pic:blipFill>
                    <a:blip r:embed="rId14"/>
                    <a:stretch>
                      <a:fillRect/>
                    </a:stretch>
                  </pic:blipFill>
                  <pic:spPr>
                    <a:xfrm>
                      <a:off x="0" y="0"/>
                      <a:ext cx="6314440" cy="8925560"/>
                    </a:xfrm>
                    <a:prstGeom prst="rect">
                      <a:avLst/>
                    </a:prstGeom>
                  </pic:spPr>
                </pic:pic>
              </a:graphicData>
            </a:graphic>
          </wp:inline>
        </w:drawing>
      </w:r>
    </w:p>
    <w:p w14:paraId="14588C4F">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eastAsia" w:ascii="宋体" w:hAnsi="宋体" w:eastAsia="宋体" w:cs="宋体"/>
          <w:b/>
          <w:color w:val="000000"/>
          <w:kern w:val="0"/>
          <w:sz w:val="24"/>
          <w:szCs w:val="24"/>
          <w:highlight w:val="none"/>
          <w:lang w:eastAsia="zh-CN"/>
        </w:rPr>
      </w:pPr>
      <w:r>
        <w:rPr>
          <w:rFonts w:hint="eastAsia" w:ascii="宋体" w:hAnsi="宋体" w:eastAsia="宋体" w:cs="宋体"/>
          <w:b/>
          <w:color w:val="000000"/>
          <w:kern w:val="0"/>
          <w:sz w:val="24"/>
          <w:szCs w:val="24"/>
          <w:highlight w:val="none"/>
          <w:lang w:eastAsia="zh-CN"/>
        </w:rPr>
        <w:drawing>
          <wp:inline distT="0" distB="0" distL="114300" distR="114300">
            <wp:extent cx="6314440" cy="8925560"/>
            <wp:effectExtent l="0" t="0" r="10160" b="8890"/>
            <wp:docPr id="4" name="图片 4" descr="清单文件---产业集聚区公租房三号楼二层、三层房屋改造项目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清单文件---产业集聚区公租房三号楼二层、三层房屋改造项目_02"/>
                    <pic:cNvPicPr>
                      <a:picLocks noChangeAspect="1"/>
                    </pic:cNvPicPr>
                  </pic:nvPicPr>
                  <pic:blipFill>
                    <a:blip r:embed="rId15"/>
                    <a:stretch>
                      <a:fillRect/>
                    </a:stretch>
                  </pic:blipFill>
                  <pic:spPr>
                    <a:xfrm>
                      <a:off x="0" y="0"/>
                      <a:ext cx="6314440" cy="8925560"/>
                    </a:xfrm>
                    <a:prstGeom prst="rect">
                      <a:avLst/>
                    </a:prstGeom>
                  </pic:spPr>
                </pic:pic>
              </a:graphicData>
            </a:graphic>
          </wp:inline>
        </w:drawing>
      </w:r>
    </w:p>
    <w:p w14:paraId="48DD6C2B">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eastAsia" w:ascii="宋体" w:hAnsi="宋体" w:eastAsia="宋体" w:cs="宋体"/>
          <w:b/>
          <w:color w:val="000000"/>
          <w:kern w:val="0"/>
          <w:sz w:val="24"/>
          <w:szCs w:val="24"/>
          <w:highlight w:val="none"/>
          <w:lang w:eastAsia="zh-CN"/>
        </w:rPr>
      </w:pPr>
    </w:p>
    <w:p w14:paraId="0933A918">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eastAsia" w:ascii="宋体" w:hAnsi="宋体" w:eastAsia="宋体" w:cs="宋体"/>
          <w:b/>
          <w:color w:val="000000"/>
          <w:kern w:val="0"/>
          <w:sz w:val="24"/>
          <w:szCs w:val="24"/>
          <w:highlight w:val="none"/>
          <w:lang w:eastAsia="zh-CN"/>
        </w:rPr>
      </w:pPr>
      <w:r>
        <w:rPr>
          <w:rFonts w:hint="eastAsia" w:ascii="宋体" w:hAnsi="宋体" w:eastAsia="宋体" w:cs="宋体"/>
          <w:b/>
          <w:color w:val="000000"/>
          <w:kern w:val="0"/>
          <w:sz w:val="24"/>
          <w:szCs w:val="24"/>
          <w:highlight w:val="none"/>
          <w:lang w:eastAsia="zh-CN"/>
        </w:rPr>
        <w:t>三、技术要求</w:t>
      </w:r>
    </w:p>
    <w:p w14:paraId="0CEBA375">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清单中所列技术规格或主要参数为最低要求，不允许负偏离，否则将承担其响应被视为非实质性响应的风险。投标总价为投标人在投标文件中提出的各项支付金额的总和，为实施、完成招标</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 xml:space="preserve">并修补缺陷以及履行招标文件中约定的风险范围内的所有责任和义务所发生的全部费用 </w:t>
      </w:r>
    </w:p>
    <w:p w14:paraId="34CE1420">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eastAsia" w:ascii="宋体" w:hAnsi="宋体" w:eastAsia="宋体" w:cs="宋体"/>
          <w:b/>
          <w:color w:val="000000"/>
          <w:kern w:val="0"/>
          <w:sz w:val="24"/>
          <w:szCs w:val="24"/>
          <w:highlight w:val="none"/>
          <w:lang w:eastAsia="zh-CN"/>
        </w:rPr>
      </w:pPr>
      <w:r>
        <w:rPr>
          <w:rFonts w:hint="eastAsia" w:ascii="宋体" w:hAnsi="宋体" w:eastAsia="宋体" w:cs="宋体"/>
          <w:b/>
          <w:color w:val="000000"/>
          <w:kern w:val="0"/>
          <w:sz w:val="24"/>
          <w:szCs w:val="24"/>
          <w:highlight w:val="none"/>
          <w:lang w:eastAsia="zh-CN"/>
        </w:rPr>
        <w:t>四、商务要求</w:t>
      </w:r>
    </w:p>
    <w:p w14:paraId="54316816">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1、交付（实施）时间（期限）：自合同生效之日起</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 xml:space="preserve">日历天内。 </w:t>
      </w:r>
    </w:p>
    <w:p w14:paraId="018C7489">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2、交付（实施）地点（范围）：</w:t>
      </w:r>
      <w:r>
        <w:rPr>
          <w:rFonts w:hint="eastAsia" w:ascii="宋体" w:hAnsi="宋体" w:eastAsia="宋体" w:cs="宋体"/>
          <w:color w:val="auto"/>
          <w:sz w:val="24"/>
          <w:szCs w:val="24"/>
          <w:highlight w:val="none"/>
          <w:lang w:val="en-US" w:eastAsia="zh-CN"/>
        </w:rPr>
        <w:t>鄢陵县</w:t>
      </w:r>
      <w:r>
        <w:rPr>
          <w:rFonts w:hint="eastAsia" w:ascii="宋体" w:hAnsi="宋体" w:eastAsia="宋体" w:cs="宋体"/>
          <w:color w:val="auto"/>
          <w:sz w:val="24"/>
          <w:szCs w:val="24"/>
          <w:highlight w:val="none"/>
          <w:lang w:val="zh-CN"/>
        </w:rPr>
        <w:t>产业集聚区公租房</w:t>
      </w:r>
      <w:r>
        <w:rPr>
          <w:rFonts w:hint="eastAsia" w:ascii="宋体" w:hAnsi="宋体" w:eastAsia="宋体" w:cs="宋体"/>
          <w:sz w:val="24"/>
          <w:szCs w:val="24"/>
          <w:highlight w:val="none"/>
        </w:rPr>
        <w:t xml:space="preserve">。 </w:t>
      </w:r>
    </w:p>
    <w:p w14:paraId="2425A7D5">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3、付款条件</w:t>
      </w:r>
      <w:r>
        <w:rPr>
          <w:rFonts w:hint="eastAsia" w:ascii="宋体" w:hAnsi="宋体" w:eastAsia="宋体" w:cs="宋体"/>
          <w:sz w:val="24"/>
          <w:szCs w:val="24"/>
          <w:highlight w:val="none"/>
          <w:lang w:eastAsia="zh-CN"/>
        </w:rPr>
        <w:t>：</w:t>
      </w:r>
    </w:p>
    <w:p w14:paraId="057FFC19">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（1）支付方式：银行转账。</w:t>
      </w:r>
    </w:p>
    <w:p w14:paraId="77450A5C">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（2）支付进度：以合同签订为准。</w:t>
      </w:r>
    </w:p>
    <w:p w14:paraId="1256A99D">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lang w:val="en-US" w:eastAsia="zh-CN"/>
        </w:rPr>
        <w:t>五</w:t>
      </w:r>
      <w:r>
        <w:rPr>
          <w:rFonts w:hint="eastAsia" w:ascii="宋体" w:hAnsi="宋体" w:eastAsia="宋体" w:cs="宋体"/>
          <w:b/>
          <w:color w:val="000000"/>
          <w:kern w:val="0"/>
          <w:sz w:val="24"/>
          <w:szCs w:val="24"/>
          <w:highlight w:val="none"/>
        </w:rPr>
        <w:t>、验收标准</w:t>
      </w:r>
    </w:p>
    <w:p w14:paraId="5DBE1503">
      <w:pPr>
        <w:keepNext w:val="0"/>
        <w:keepLines w:val="0"/>
        <w:pageBreakBefore w:val="0"/>
        <w:widowControl/>
        <w:shd w:val="clear" w:color="auto" w:fill="FFFFFF"/>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采购人在收到供应商项目验收建议之日起7个工作日内，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w:t>
      </w:r>
    </w:p>
    <w:p w14:paraId="44E44C3D">
      <w:pPr>
        <w:keepNext w:val="0"/>
        <w:keepLines w:val="0"/>
        <w:pageBreakBefore w:val="0"/>
        <w:widowControl/>
        <w:shd w:val="clear" w:color="auto" w:fill="FFFFFF"/>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2、按照招标文件要求、投标文件响应和承诺验收。</w:t>
      </w:r>
    </w:p>
    <w:p w14:paraId="4A89C31C">
      <w:pPr>
        <w:keepNext w:val="0"/>
        <w:keepLines w:val="0"/>
        <w:pageBreakBefore w:val="0"/>
        <w:widowControl/>
        <w:shd w:val="clear" w:color="auto" w:fill="FFFFFF"/>
        <w:kinsoku/>
        <w:wordWrap/>
        <w:overflowPunct/>
        <w:topLinePunct w:val="0"/>
        <w:autoSpaceDE w:val="0"/>
        <w:autoSpaceDN w:val="0"/>
        <w:bidi w:val="0"/>
        <w:adjustRightInd w:val="0"/>
        <w:snapToGrid w:val="0"/>
        <w:spacing w:line="360" w:lineRule="auto"/>
        <w:ind w:left="0" w:firstLine="482" w:firstLineChars="200"/>
        <w:jc w:val="both"/>
        <w:textAlignment w:val="auto"/>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val="en-US" w:eastAsia="zh-CN"/>
        </w:rPr>
        <w:t>六</w:t>
      </w:r>
      <w:r>
        <w:rPr>
          <w:rFonts w:hint="eastAsia" w:ascii="宋体" w:hAnsi="宋体" w:eastAsia="宋体" w:cs="宋体"/>
          <w:b/>
          <w:bCs/>
          <w:color w:val="000000"/>
          <w:kern w:val="0"/>
          <w:sz w:val="24"/>
          <w:szCs w:val="24"/>
          <w:highlight w:val="none"/>
          <w:lang w:eastAsia="zh-CN"/>
        </w:rPr>
        <w:t>、其他技术、服务等要求</w:t>
      </w:r>
    </w:p>
    <w:p w14:paraId="0BB185BB">
      <w:pPr>
        <w:pStyle w:val="19"/>
        <w:keepNext w:val="0"/>
        <w:keepLines w:val="0"/>
        <w:pageBreakBefore w:val="0"/>
        <w:shd w:val="clear" w:color="auto" w:fill="FFFFFF"/>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1、供应商应就本项目（每包或者标段）完整响应，否则为无效响应。 </w:t>
      </w:r>
    </w:p>
    <w:p w14:paraId="70E69BDC">
      <w:pPr>
        <w:pStyle w:val="19"/>
        <w:keepNext w:val="0"/>
        <w:keepLines w:val="0"/>
        <w:pageBreakBefore w:val="0"/>
        <w:shd w:val="clear" w:color="auto" w:fill="FFFFFF"/>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、本项目为交钥匙工程。</w:t>
      </w:r>
    </w:p>
    <w:p w14:paraId="366B50C2">
      <w:pPr>
        <w:pStyle w:val="19"/>
        <w:keepNext w:val="0"/>
        <w:keepLines w:val="0"/>
        <w:pageBreakBefore w:val="0"/>
        <w:shd w:val="clear" w:color="auto" w:fill="FFFFFF"/>
        <w:kinsoku/>
        <w:wordWrap/>
        <w:overflowPunct/>
        <w:topLinePunct w:val="0"/>
        <w:autoSpaceDE w:val="0"/>
        <w:autoSpaceDN w:val="0"/>
        <w:bidi w:val="0"/>
        <w:adjustRightInd w:val="0"/>
        <w:snapToGrid w:val="0"/>
        <w:spacing w:line="360" w:lineRule="auto"/>
        <w:ind w:left="0" w:firstLine="482" w:firstLineChars="200"/>
        <w:jc w:val="both"/>
        <w:textAlignment w:val="auto"/>
        <w:rPr>
          <w:rFonts w:hint="eastAsia" w:ascii="宋体" w:hAnsi="宋体" w:eastAsia="宋体" w:cs="宋体"/>
          <w:b/>
          <w:bCs/>
          <w:color w:val="000000"/>
          <w:highlight w:val="none"/>
          <w:shd w:val="clear" w:color="auto" w:fill="FFFFFF"/>
        </w:rPr>
      </w:pPr>
      <w:r>
        <w:rPr>
          <w:rFonts w:hint="eastAsia" w:ascii="宋体" w:hAnsi="宋体" w:eastAsia="宋体" w:cs="宋体"/>
          <w:b/>
          <w:bCs/>
          <w:color w:val="000000"/>
          <w:highlight w:val="none"/>
          <w:shd w:val="clear" w:color="auto" w:fill="FFFFFF"/>
          <w:lang w:val="en-US" w:eastAsia="zh-CN"/>
        </w:rPr>
        <w:t>七</w:t>
      </w:r>
      <w:r>
        <w:rPr>
          <w:rFonts w:hint="eastAsia" w:ascii="宋体" w:hAnsi="宋体" w:eastAsia="宋体" w:cs="宋体"/>
          <w:b/>
          <w:bCs/>
          <w:color w:val="000000"/>
          <w:highlight w:val="none"/>
          <w:shd w:val="clear" w:color="auto" w:fill="FFFFFF"/>
        </w:rPr>
        <w:t>、本项目预算金额：预算金额：</w:t>
      </w:r>
      <w:r>
        <w:rPr>
          <w:rFonts w:hint="eastAsia" w:ascii="宋体" w:hAnsi="宋体" w:eastAsia="宋体" w:cs="宋体"/>
          <w:b/>
          <w:bCs/>
          <w:color w:val="000000"/>
          <w:highlight w:val="none"/>
          <w:shd w:val="clear" w:color="auto" w:fill="FFFFFF"/>
          <w:lang w:val="en-US" w:eastAsia="zh-CN"/>
        </w:rPr>
        <w:t>429258.28</w:t>
      </w:r>
      <w:r>
        <w:rPr>
          <w:rFonts w:hint="eastAsia" w:ascii="宋体" w:hAnsi="宋体" w:eastAsia="宋体" w:cs="宋体"/>
          <w:b/>
          <w:bCs/>
          <w:color w:val="000000"/>
          <w:highlight w:val="none"/>
          <w:shd w:val="clear" w:color="auto" w:fill="FFFFFF"/>
        </w:rPr>
        <w:t>元；最高限价：</w:t>
      </w:r>
      <w:r>
        <w:rPr>
          <w:rFonts w:hint="eastAsia" w:ascii="宋体" w:hAnsi="宋体" w:eastAsia="宋体" w:cs="宋体"/>
          <w:b/>
          <w:bCs/>
          <w:color w:val="000000"/>
          <w:highlight w:val="none"/>
          <w:shd w:val="clear" w:color="auto" w:fill="FFFFFF"/>
          <w:lang w:val="en-US" w:eastAsia="zh-CN"/>
        </w:rPr>
        <w:t>429258.28</w:t>
      </w:r>
      <w:r>
        <w:rPr>
          <w:rFonts w:hint="eastAsia" w:ascii="宋体" w:hAnsi="宋体" w:eastAsia="宋体" w:cs="宋体"/>
          <w:b/>
          <w:bCs/>
          <w:color w:val="000000"/>
          <w:highlight w:val="none"/>
          <w:shd w:val="clear" w:color="auto" w:fill="FFFFFF"/>
        </w:rPr>
        <w:t>元；超出最高限价的投标无效。</w:t>
      </w:r>
    </w:p>
    <w:p w14:paraId="462ADB41">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E806F1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磋商须知前附表</w:t>
      </w:r>
    </w:p>
    <w:p w14:paraId="463493EE">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本表是对竞争性磋商文件的具体补充和修改，如与竞争性磋商文件其他部分内容有差异，应以本表为准。</w:t>
      </w:r>
    </w:p>
    <w:tbl>
      <w:tblPr>
        <w:tblStyle w:val="22"/>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888"/>
        <w:gridCol w:w="5686"/>
      </w:tblGrid>
      <w:tr w14:paraId="6661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7C9E3CAB">
            <w:pPr>
              <w:pStyle w:val="38"/>
              <w:spacing w:before="79"/>
              <w:ind w:right="30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序号</w:t>
            </w:r>
          </w:p>
        </w:tc>
        <w:tc>
          <w:tcPr>
            <w:tcW w:w="2888" w:type="dxa"/>
            <w:vAlign w:val="center"/>
          </w:tcPr>
          <w:p w14:paraId="487AC354">
            <w:pPr>
              <w:pStyle w:val="38"/>
              <w:spacing w:before="79"/>
              <w:ind w:left="308" w:right="30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条款名称</w:t>
            </w:r>
          </w:p>
        </w:tc>
        <w:tc>
          <w:tcPr>
            <w:tcW w:w="5686" w:type="dxa"/>
            <w:vAlign w:val="center"/>
          </w:tcPr>
          <w:p w14:paraId="644EB338">
            <w:pPr>
              <w:pStyle w:val="38"/>
              <w:spacing w:before="79"/>
              <w:ind w:left="308" w:right="30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编列内容</w:t>
            </w:r>
          </w:p>
        </w:tc>
      </w:tr>
      <w:tr w14:paraId="2D39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1E445D5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rPr>
              <w:t>1</w:t>
            </w:r>
          </w:p>
        </w:tc>
        <w:tc>
          <w:tcPr>
            <w:tcW w:w="2888" w:type="dxa"/>
            <w:vAlign w:val="center"/>
          </w:tcPr>
          <w:p w14:paraId="076D666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5686" w:type="dxa"/>
            <w:vAlign w:val="center"/>
          </w:tcPr>
          <w:p w14:paraId="7A850A51">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采购人名称：鄢陵县住房服务中心 　　        </w:t>
            </w:r>
          </w:p>
          <w:p w14:paraId="46E8725F">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址：鄢陵县梅里路</w:t>
            </w:r>
          </w:p>
          <w:p w14:paraId="4BB8ABC2">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联系人：王先生</w:t>
            </w:r>
          </w:p>
          <w:p w14:paraId="2DE32A1E">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联系方式：0374-7167986</w:t>
            </w:r>
          </w:p>
        </w:tc>
      </w:tr>
      <w:tr w14:paraId="5C9A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21DB5DBB">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1.1.2</w:t>
            </w:r>
          </w:p>
        </w:tc>
        <w:tc>
          <w:tcPr>
            <w:tcW w:w="2888" w:type="dxa"/>
            <w:vAlign w:val="center"/>
          </w:tcPr>
          <w:p w14:paraId="0C54DB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5686" w:type="dxa"/>
            <w:vAlign w:val="center"/>
          </w:tcPr>
          <w:p w14:paraId="7F73E900">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招标代理机构：河南古基工程管理有限公司</w:t>
            </w:r>
          </w:p>
          <w:p w14:paraId="1FE7F46C">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地址：河南省安阳市汤阴县城关镇集贤路15号院</w:t>
            </w:r>
          </w:p>
          <w:p w14:paraId="40E505E5">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联系人：蔡先生</w:t>
            </w:r>
          </w:p>
          <w:p w14:paraId="188CC7BE">
            <w:pPr>
              <w:spacing w:line="360" w:lineRule="auto"/>
              <w:jc w:val="both"/>
              <w:rPr>
                <w:rFonts w:hint="eastAsia" w:ascii="宋体" w:hAnsi="宋体" w:eastAsia="宋体" w:cs="宋体"/>
                <w:color w:val="auto"/>
                <w:sz w:val="24"/>
                <w:szCs w:val="24"/>
                <w:highlight w:val="none"/>
                <w:lang w:val="en-US"/>
              </w:rPr>
            </w:pPr>
            <w:r>
              <w:rPr>
                <w:rFonts w:hint="eastAsia" w:ascii="宋体" w:hAnsi="宋体" w:eastAsia="宋体" w:cs="宋体"/>
                <w:sz w:val="24"/>
                <w:szCs w:val="24"/>
                <w:highlight w:val="none"/>
              </w:rPr>
              <w:t>联系电话：16637488555</w:t>
            </w:r>
          </w:p>
        </w:tc>
      </w:tr>
      <w:tr w14:paraId="650C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70" w:type="dxa"/>
            <w:vMerge w:val="restart"/>
            <w:vAlign w:val="center"/>
          </w:tcPr>
          <w:p w14:paraId="4541E45A">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w:t>
            </w:r>
          </w:p>
        </w:tc>
        <w:tc>
          <w:tcPr>
            <w:tcW w:w="2888" w:type="dxa"/>
            <w:vMerge w:val="restart"/>
            <w:vAlign w:val="center"/>
          </w:tcPr>
          <w:p w14:paraId="5C3CABA7">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★投标人资格</w:t>
            </w:r>
          </w:p>
        </w:tc>
        <w:tc>
          <w:tcPr>
            <w:tcW w:w="5686" w:type="dxa"/>
            <w:vAlign w:val="center"/>
          </w:tcPr>
          <w:p w14:paraId="18DFCD4F">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一、中小企业或者残疾人福利性单位声明函</w:t>
            </w:r>
          </w:p>
          <w:p w14:paraId="1B4D1D96">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中小企业出具《中小企业声明函》</w:t>
            </w:r>
          </w:p>
          <w:p w14:paraId="59580BC7">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残疾人福利性单位出具《残疾人福利企业声明函》</w:t>
            </w:r>
          </w:p>
          <w:p w14:paraId="505923E3">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3.监狱企业提供由省级以上监狱管理局、戒毒管理局(含新疆生产建设兵团)出具的属于监狱企业的证明文件</w:t>
            </w:r>
          </w:p>
        </w:tc>
      </w:tr>
      <w:tr w14:paraId="6FE5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70" w:type="dxa"/>
            <w:vMerge w:val="continue"/>
            <w:vAlign w:val="center"/>
          </w:tcPr>
          <w:p w14:paraId="4F4E4837">
            <w:pPr>
              <w:spacing w:line="360" w:lineRule="auto"/>
              <w:jc w:val="both"/>
              <w:rPr>
                <w:rFonts w:hint="eastAsia" w:ascii="宋体" w:hAnsi="宋体" w:eastAsia="宋体" w:cs="宋体"/>
                <w:sz w:val="24"/>
                <w:szCs w:val="24"/>
                <w:highlight w:val="none"/>
              </w:rPr>
            </w:pPr>
          </w:p>
        </w:tc>
        <w:tc>
          <w:tcPr>
            <w:tcW w:w="2888" w:type="dxa"/>
            <w:vMerge w:val="continue"/>
            <w:vAlign w:val="center"/>
          </w:tcPr>
          <w:p w14:paraId="48C2FDDE">
            <w:pPr>
              <w:spacing w:line="360" w:lineRule="auto"/>
              <w:jc w:val="both"/>
              <w:rPr>
                <w:rFonts w:hint="eastAsia" w:ascii="宋体" w:hAnsi="宋体" w:eastAsia="宋体" w:cs="宋体"/>
                <w:sz w:val="24"/>
                <w:szCs w:val="24"/>
                <w:highlight w:val="none"/>
              </w:rPr>
            </w:pPr>
          </w:p>
        </w:tc>
        <w:tc>
          <w:tcPr>
            <w:tcW w:w="5686" w:type="dxa"/>
            <w:vAlign w:val="center"/>
          </w:tcPr>
          <w:p w14:paraId="5BDDCCFD">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符合《政府采购法》第二十二条规定</w:t>
            </w:r>
          </w:p>
          <w:p w14:paraId="1E51F91B">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1.具有独立承担民事责任的能力；</w:t>
            </w:r>
          </w:p>
          <w:p w14:paraId="024DEFB7">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2.具有良好的商业信誉和健全的财务会计制度；</w:t>
            </w:r>
          </w:p>
          <w:p w14:paraId="0985FB8B">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3.具有履行合同所必需的设备和专业技术能力；</w:t>
            </w:r>
          </w:p>
          <w:p w14:paraId="191D1585">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4.具有依法缴纳税收和社会保障资金的良好记录；</w:t>
            </w:r>
          </w:p>
          <w:p w14:paraId="500D0395">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5.参加政府采购活动前三年内，在经营活动中没有重大违法记录；</w:t>
            </w:r>
          </w:p>
        </w:tc>
      </w:tr>
      <w:tr w14:paraId="7E3A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70" w:type="dxa"/>
            <w:vMerge w:val="continue"/>
            <w:vAlign w:val="center"/>
          </w:tcPr>
          <w:p w14:paraId="1D374625">
            <w:pPr>
              <w:spacing w:line="360" w:lineRule="auto"/>
              <w:jc w:val="both"/>
              <w:rPr>
                <w:rFonts w:hint="eastAsia" w:ascii="宋体" w:hAnsi="宋体" w:eastAsia="宋体" w:cs="宋体"/>
                <w:sz w:val="24"/>
                <w:szCs w:val="24"/>
                <w:highlight w:val="none"/>
              </w:rPr>
            </w:pPr>
          </w:p>
        </w:tc>
        <w:tc>
          <w:tcPr>
            <w:tcW w:w="2888" w:type="dxa"/>
            <w:vMerge w:val="continue"/>
            <w:vAlign w:val="center"/>
          </w:tcPr>
          <w:p w14:paraId="61584F15">
            <w:pPr>
              <w:spacing w:line="360" w:lineRule="auto"/>
              <w:jc w:val="both"/>
              <w:rPr>
                <w:rFonts w:hint="eastAsia" w:ascii="宋体" w:hAnsi="宋体" w:eastAsia="宋体" w:cs="宋体"/>
                <w:sz w:val="24"/>
                <w:szCs w:val="24"/>
                <w:highlight w:val="none"/>
              </w:rPr>
            </w:pPr>
          </w:p>
        </w:tc>
        <w:tc>
          <w:tcPr>
            <w:tcW w:w="5686" w:type="dxa"/>
            <w:vAlign w:val="center"/>
          </w:tcPr>
          <w:p w14:paraId="50FF0B7C">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w:t>
            </w:r>
          </w:p>
          <w:p w14:paraId="33236910">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1.供应商在投标时，提供《鄢陵县政府采购供应商信用承诺函》（详见磋商文件3.5格式），无需再提交上述证明材料。</w:t>
            </w:r>
          </w:p>
          <w:p w14:paraId="6A007E4E">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2.采购人有权在签订合同前要求成交供应商提供相关证明材料以核实成交供应商承诺事项的真实性。</w:t>
            </w:r>
          </w:p>
          <w:p w14:paraId="478E0A15">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3.供应商对信用承诺内容的真实性、合法性、有效性负责。如作出虚假信用承诺，视同为“提供虚假材料谋取中标”的违法行为。</w:t>
            </w:r>
          </w:p>
        </w:tc>
      </w:tr>
      <w:tr w14:paraId="56C1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0C5C50B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p>
        </w:tc>
        <w:tc>
          <w:tcPr>
            <w:tcW w:w="2888" w:type="dxa"/>
            <w:vAlign w:val="center"/>
          </w:tcPr>
          <w:p w14:paraId="0821B2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5686" w:type="dxa"/>
            <w:vAlign w:val="center"/>
          </w:tcPr>
          <w:p w14:paraId="376E43F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14:paraId="106B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6D25E31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5</w:t>
            </w:r>
          </w:p>
        </w:tc>
        <w:tc>
          <w:tcPr>
            <w:tcW w:w="2888" w:type="dxa"/>
            <w:vAlign w:val="center"/>
          </w:tcPr>
          <w:p w14:paraId="4CD58F6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686" w:type="dxa"/>
            <w:vAlign w:val="center"/>
          </w:tcPr>
          <w:p w14:paraId="7D6FEBD4">
            <w:pPr>
              <w:keepNext w:val="0"/>
              <w:keepLines w:val="0"/>
              <w:pageBreakBefore w:val="0"/>
              <w:kinsoku/>
              <w:wordWrap/>
              <w:overflowPunct/>
              <w:topLinePunct w:val="0"/>
              <w:bidi w:val="0"/>
              <w:adjustRightInd w:val="0"/>
              <w:snapToGrid w:val="0"/>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鄢陵县住房服务中心鄢陵县产业集聚区公租房房屋改造项目</w:t>
            </w:r>
          </w:p>
        </w:tc>
      </w:tr>
      <w:tr w14:paraId="0C61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51E3493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p>
        </w:tc>
        <w:tc>
          <w:tcPr>
            <w:tcW w:w="2888" w:type="dxa"/>
            <w:vAlign w:val="center"/>
          </w:tcPr>
          <w:p w14:paraId="4EB6D5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履约地点</w:t>
            </w:r>
          </w:p>
        </w:tc>
        <w:tc>
          <w:tcPr>
            <w:tcW w:w="5686" w:type="dxa"/>
            <w:vAlign w:val="center"/>
          </w:tcPr>
          <w:p w14:paraId="0866A008">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采购人指定地点</w:t>
            </w:r>
          </w:p>
        </w:tc>
      </w:tr>
      <w:tr w14:paraId="62ED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45A50DB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888" w:type="dxa"/>
            <w:vAlign w:val="center"/>
          </w:tcPr>
          <w:p w14:paraId="2A0804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5686" w:type="dxa"/>
            <w:vAlign w:val="center"/>
          </w:tcPr>
          <w:p w14:paraId="133481EB">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财政资金</w:t>
            </w:r>
          </w:p>
        </w:tc>
      </w:tr>
      <w:tr w14:paraId="5BD7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798DA0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888" w:type="dxa"/>
            <w:vAlign w:val="center"/>
          </w:tcPr>
          <w:p w14:paraId="56046F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采购预算金额</w:t>
            </w:r>
          </w:p>
        </w:tc>
        <w:tc>
          <w:tcPr>
            <w:tcW w:w="5686" w:type="dxa"/>
            <w:vAlign w:val="center"/>
          </w:tcPr>
          <w:p w14:paraId="40202F9A">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429258.28元</w:t>
            </w:r>
          </w:p>
        </w:tc>
      </w:tr>
      <w:tr w14:paraId="66C3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00D690B9">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1.2.3</w:t>
            </w:r>
          </w:p>
        </w:tc>
        <w:tc>
          <w:tcPr>
            <w:tcW w:w="2888" w:type="dxa"/>
            <w:vAlign w:val="center"/>
          </w:tcPr>
          <w:p w14:paraId="03982DC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5686" w:type="dxa"/>
            <w:vAlign w:val="center"/>
          </w:tcPr>
          <w:p w14:paraId="18FE6548">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429258.28元</w:t>
            </w:r>
          </w:p>
        </w:tc>
      </w:tr>
      <w:tr w14:paraId="71A6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38AB7721">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1.2.4</w:t>
            </w:r>
          </w:p>
        </w:tc>
        <w:tc>
          <w:tcPr>
            <w:tcW w:w="2888" w:type="dxa"/>
            <w:vAlign w:val="center"/>
          </w:tcPr>
          <w:p w14:paraId="5732B38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采购项目性质</w:t>
            </w:r>
          </w:p>
        </w:tc>
        <w:tc>
          <w:tcPr>
            <w:tcW w:w="5686" w:type="dxa"/>
            <w:vAlign w:val="center"/>
          </w:tcPr>
          <w:p w14:paraId="08113E8A">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w:t>
            </w:r>
          </w:p>
        </w:tc>
      </w:tr>
      <w:tr w14:paraId="3233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67B83880">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1.2.5</w:t>
            </w:r>
          </w:p>
        </w:tc>
        <w:tc>
          <w:tcPr>
            <w:tcW w:w="2888" w:type="dxa"/>
            <w:vAlign w:val="center"/>
          </w:tcPr>
          <w:p w14:paraId="77A5CFD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5686" w:type="dxa"/>
            <w:vAlign w:val="center"/>
          </w:tcPr>
          <w:p w14:paraId="1E821244">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已落实</w:t>
            </w:r>
          </w:p>
        </w:tc>
      </w:tr>
      <w:tr w14:paraId="0A03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3286C6E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888" w:type="dxa"/>
            <w:vAlign w:val="center"/>
          </w:tcPr>
          <w:p w14:paraId="04D43BF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采购范围</w:t>
            </w:r>
          </w:p>
        </w:tc>
        <w:tc>
          <w:tcPr>
            <w:tcW w:w="5686" w:type="dxa"/>
            <w:vAlign w:val="center"/>
          </w:tcPr>
          <w:p w14:paraId="787AB2B6">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该项目磋商文件包含的所有内容。</w:t>
            </w:r>
          </w:p>
        </w:tc>
      </w:tr>
      <w:tr w14:paraId="5F22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5A60EE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888" w:type="dxa"/>
            <w:vAlign w:val="center"/>
          </w:tcPr>
          <w:p w14:paraId="783900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交付（实施）时间（期限）</w:t>
            </w:r>
          </w:p>
        </w:tc>
        <w:tc>
          <w:tcPr>
            <w:tcW w:w="5686" w:type="dxa"/>
            <w:vAlign w:val="center"/>
          </w:tcPr>
          <w:p w14:paraId="687ABD6E">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自合同生效之日起10</w:t>
            </w:r>
            <w:r>
              <w:rPr>
                <w:rFonts w:hint="eastAsia" w:ascii="宋体" w:hAnsi="宋体" w:eastAsia="宋体" w:cs="宋体"/>
                <w:color w:val="auto"/>
                <w:sz w:val="24"/>
                <w:szCs w:val="24"/>
                <w:highlight w:val="none"/>
                <w:lang w:val="zh-CN" w:eastAsia="zh-CN"/>
              </w:rPr>
              <w:t>日历天</w:t>
            </w:r>
          </w:p>
        </w:tc>
      </w:tr>
      <w:tr w14:paraId="6451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5DBA182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888" w:type="dxa"/>
            <w:vAlign w:val="center"/>
          </w:tcPr>
          <w:p w14:paraId="4F2040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5686" w:type="dxa"/>
            <w:vAlign w:val="center"/>
          </w:tcPr>
          <w:p w14:paraId="0CE975B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p>
        </w:tc>
      </w:tr>
      <w:tr w14:paraId="0293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63EB989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888" w:type="dxa"/>
            <w:vAlign w:val="center"/>
          </w:tcPr>
          <w:p w14:paraId="6884A8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响应人资质条件</w:t>
            </w:r>
          </w:p>
        </w:tc>
        <w:tc>
          <w:tcPr>
            <w:tcW w:w="5686" w:type="dxa"/>
            <w:vAlign w:val="center"/>
          </w:tcPr>
          <w:p w14:paraId="6751EDB2">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14:paraId="25FA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70A374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2888" w:type="dxa"/>
            <w:vAlign w:val="center"/>
          </w:tcPr>
          <w:p w14:paraId="15785BF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是否接受联合体参加磋商</w:t>
            </w:r>
          </w:p>
        </w:tc>
        <w:tc>
          <w:tcPr>
            <w:tcW w:w="5686" w:type="dxa"/>
            <w:vAlign w:val="center"/>
          </w:tcPr>
          <w:p w14:paraId="29A26AB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3A41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1D2171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.1</w:t>
            </w:r>
          </w:p>
        </w:tc>
        <w:tc>
          <w:tcPr>
            <w:tcW w:w="2888" w:type="dxa"/>
            <w:vAlign w:val="center"/>
          </w:tcPr>
          <w:p w14:paraId="4C21356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w:t>
            </w:r>
          </w:p>
        </w:tc>
        <w:tc>
          <w:tcPr>
            <w:tcW w:w="5686" w:type="dxa"/>
            <w:vAlign w:val="center"/>
          </w:tcPr>
          <w:p w14:paraId="3374203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6E93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6A8B67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2</w:t>
            </w:r>
          </w:p>
        </w:tc>
        <w:tc>
          <w:tcPr>
            <w:tcW w:w="2888" w:type="dxa"/>
            <w:vAlign w:val="center"/>
          </w:tcPr>
          <w:p w14:paraId="1F38A1A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w:t>
            </w:r>
          </w:p>
        </w:tc>
        <w:tc>
          <w:tcPr>
            <w:tcW w:w="5686" w:type="dxa"/>
            <w:vAlign w:val="center"/>
          </w:tcPr>
          <w:p w14:paraId="6C9E8353">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14:paraId="2EA2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09D5829D">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6.1</w:t>
            </w:r>
          </w:p>
        </w:tc>
        <w:tc>
          <w:tcPr>
            <w:tcW w:w="2888" w:type="dxa"/>
            <w:vAlign w:val="center"/>
          </w:tcPr>
          <w:p w14:paraId="4672A5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5686" w:type="dxa"/>
            <w:vAlign w:val="center"/>
          </w:tcPr>
          <w:p w14:paraId="0C302A59">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70B0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6507709B">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7.1</w:t>
            </w:r>
          </w:p>
        </w:tc>
        <w:tc>
          <w:tcPr>
            <w:tcW w:w="2888" w:type="dxa"/>
            <w:vAlign w:val="center"/>
          </w:tcPr>
          <w:p w14:paraId="29A700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实质性偏差</w:t>
            </w:r>
          </w:p>
        </w:tc>
        <w:tc>
          <w:tcPr>
            <w:tcW w:w="5686" w:type="dxa"/>
            <w:vAlign w:val="center"/>
          </w:tcPr>
          <w:p w14:paraId="27A99567">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6243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71EFBF89">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8.1</w:t>
            </w:r>
          </w:p>
        </w:tc>
        <w:tc>
          <w:tcPr>
            <w:tcW w:w="2888" w:type="dxa"/>
            <w:vAlign w:val="center"/>
          </w:tcPr>
          <w:p w14:paraId="7829FA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是否接受选择性报价方案</w:t>
            </w:r>
          </w:p>
        </w:tc>
        <w:tc>
          <w:tcPr>
            <w:tcW w:w="5686" w:type="dxa"/>
            <w:vAlign w:val="center"/>
          </w:tcPr>
          <w:p w14:paraId="33B2846E">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不接受：首次响应文件只允许一个报价方案</w:t>
            </w:r>
          </w:p>
        </w:tc>
      </w:tr>
      <w:tr w14:paraId="78C1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77A2DB19">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rPr>
              <w:t>.1</w:t>
            </w:r>
          </w:p>
        </w:tc>
        <w:tc>
          <w:tcPr>
            <w:tcW w:w="2888" w:type="dxa"/>
            <w:vAlign w:val="center"/>
          </w:tcPr>
          <w:p w14:paraId="613596C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构成竞争性磋商文件的其他材料</w:t>
            </w:r>
          </w:p>
        </w:tc>
        <w:tc>
          <w:tcPr>
            <w:tcW w:w="5686" w:type="dxa"/>
            <w:vAlign w:val="center"/>
          </w:tcPr>
          <w:p w14:paraId="30CB6743">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磋商文件的补充文件（如有）</w:t>
            </w:r>
          </w:p>
        </w:tc>
      </w:tr>
      <w:tr w14:paraId="19A8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6BD8554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888" w:type="dxa"/>
            <w:vAlign w:val="center"/>
          </w:tcPr>
          <w:p w14:paraId="41C08FE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响应人要求澄清竞争性磋商文件</w:t>
            </w:r>
          </w:p>
        </w:tc>
        <w:tc>
          <w:tcPr>
            <w:tcW w:w="5686" w:type="dxa"/>
            <w:vAlign w:val="center"/>
          </w:tcPr>
          <w:p w14:paraId="2DEF47D6">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时间：提交首次响应文件截止时间前 5 日</w:t>
            </w:r>
          </w:p>
        </w:tc>
      </w:tr>
      <w:tr w14:paraId="3BD5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079CE79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rPr>
              <w:t>2</w:t>
            </w:r>
          </w:p>
        </w:tc>
        <w:tc>
          <w:tcPr>
            <w:tcW w:w="2888" w:type="dxa"/>
            <w:vAlign w:val="center"/>
          </w:tcPr>
          <w:p w14:paraId="0F68E8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响应人确认收到竞争性磋商文件澄清</w:t>
            </w:r>
          </w:p>
        </w:tc>
        <w:tc>
          <w:tcPr>
            <w:tcW w:w="5686" w:type="dxa"/>
            <w:vAlign w:val="center"/>
          </w:tcPr>
          <w:p w14:paraId="69287DD3">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时间：在收到相应澄清文件后 24 小时内</w:t>
            </w:r>
          </w:p>
        </w:tc>
      </w:tr>
      <w:tr w14:paraId="76C4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52DBDF2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3</w:t>
            </w:r>
          </w:p>
        </w:tc>
        <w:tc>
          <w:tcPr>
            <w:tcW w:w="2888" w:type="dxa"/>
            <w:vAlign w:val="center"/>
          </w:tcPr>
          <w:p w14:paraId="1DD9722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响应人确认收到竞争性磋商文件修改</w:t>
            </w:r>
          </w:p>
        </w:tc>
        <w:tc>
          <w:tcPr>
            <w:tcW w:w="5686" w:type="dxa"/>
            <w:vAlign w:val="center"/>
          </w:tcPr>
          <w:p w14:paraId="4E7C6B69">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时间：在收到相应修改文件后 24 小时内</w:t>
            </w:r>
          </w:p>
        </w:tc>
      </w:tr>
      <w:tr w14:paraId="2A9A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4D15D6A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1</w:t>
            </w:r>
          </w:p>
        </w:tc>
        <w:tc>
          <w:tcPr>
            <w:tcW w:w="2888" w:type="dxa"/>
            <w:vAlign w:val="center"/>
          </w:tcPr>
          <w:p w14:paraId="72FB16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5686" w:type="dxa"/>
            <w:vAlign w:val="center"/>
          </w:tcPr>
          <w:p w14:paraId="22AD5519">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固定总价</w:t>
            </w:r>
          </w:p>
        </w:tc>
      </w:tr>
      <w:tr w14:paraId="0E7A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6FEC19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.1</w:t>
            </w:r>
          </w:p>
        </w:tc>
        <w:tc>
          <w:tcPr>
            <w:tcW w:w="2888" w:type="dxa"/>
            <w:vAlign w:val="center"/>
          </w:tcPr>
          <w:p w14:paraId="29FD8F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5686" w:type="dxa"/>
            <w:vAlign w:val="center"/>
          </w:tcPr>
          <w:p w14:paraId="40B679BB">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响应文件递交截止之日起</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日历天</w:t>
            </w:r>
          </w:p>
        </w:tc>
      </w:tr>
      <w:tr w14:paraId="7C28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1405BE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.1</w:t>
            </w:r>
          </w:p>
        </w:tc>
        <w:tc>
          <w:tcPr>
            <w:tcW w:w="2888" w:type="dxa"/>
            <w:vAlign w:val="center"/>
          </w:tcPr>
          <w:p w14:paraId="07E3558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5686" w:type="dxa"/>
            <w:vAlign w:val="center"/>
          </w:tcPr>
          <w:p w14:paraId="108011D6">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5DF6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6787C2A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1</w:t>
            </w:r>
          </w:p>
        </w:tc>
        <w:tc>
          <w:tcPr>
            <w:tcW w:w="2888" w:type="dxa"/>
            <w:vAlign w:val="center"/>
          </w:tcPr>
          <w:p w14:paraId="31CCFAD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5686" w:type="dxa"/>
            <w:vAlign w:val="center"/>
          </w:tcPr>
          <w:p w14:paraId="3BE3B4B1">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正本壹份，副本贰份。副本可以是正本的完全复印件。响应文件电子版U盘壹份，包括响应文件正本中所有内容，响应文件所涉及到的证书及材料，均应在响应文件中提供复印件。</w:t>
            </w:r>
          </w:p>
        </w:tc>
      </w:tr>
      <w:tr w14:paraId="311B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176DDCB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rPr>
              <w:t>1</w:t>
            </w:r>
          </w:p>
        </w:tc>
        <w:tc>
          <w:tcPr>
            <w:tcW w:w="2888" w:type="dxa"/>
            <w:vAlign w:val="center"/>
          </w:tcPr>
          <w:p w14:paraId="05E5D5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封套上写明</w:t>
            </w:r>
          </w:p>
        </w:tc>
        <w:tc>
          <w:tcPr>
            <w:tcW w:w="5686" w:type="dxa"/>
            <w:vAlign w:val="center"/>
          </w:tcPr>
          <w:p w14:paraId="3D9B7F6D">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标明正/副本/电子版</w:t>
            </w:r>
          </w:p>
          <w:p w14:paraId="79F7AA13">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14:paraId="62588254">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响应人名称：</w:t>
            </w:r>
          </w:p>
          <w:p w14:paraId="25F6D376">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（项目名称）响应文件</w:t>
            </w:r>
          </w:p>
          <w:p w14:paraId="03186EFB">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   年  月  日  时  分前不得开启</w:t>
            </w:r>
          </w:p>
        </w:tc>
      </w:tr>
      <w:tr w14:paraId="3F41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657881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2888" w:type="dxa"/>
            <w:vAlign w:val="center"/>
          </w:tcPr>
          <w:p w14:paraId="5AD2A2A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提交首次响应文件截止时间</w:t>
            </w:r>
          </w:p>
        </w:tc>
        <w:tc>
          <w:tcPr>
            <w:tcW w:w="5686" w:type="dxa"/>
            <w:vAlign w:val="center"/>
          </w:tcPr>
          <w:p w14:paraId="0BB674B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年</w:t>
            </w:r>
            <w:r>
              <w:rPr>
                <w:rFonts w:hint="eastAsia" w:ascii="宋体" w:hAnsi="宋体" w:eastAsia="宋体" w:cs="宋体"/>
                <w:kern w:val="0"/>
                <w:sz w:val="24"/>
                <w:szCs w:val="24"/>
                <w:highlight w:val="none"/>
                <w:lang w:val="en-US" w:eastAsia="zh-CN"/>
              </w:rPr>
              <w:t>06</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19</w:t>
            </w:r>
            <w:r>
              <w:rPr>
                <w:rFonts w:hint="eastAsia" w:ascii="宋体" w:hAnsi="宋体" w:eastAsia="宋体" w:cs="宋体"/>
                <w:color w:val="auto"/>
                <w:sz w:val="24"/>
                <w:szCs w:val="24"/>
                <w:highlight w:val="none"/>
                <w:lang w:val="en-US"/>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lang w:val="en-US"/>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val="en-US"/>
              </w:rPr>
              <w:t>分（北京时间）</w:t>
            </w:r>
          </w:p>
        </w:tc>
      </w:tr>
      <w:tr w14:paraId="6243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1B84C530">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4.2.1</w:t>
            </w:r>
          </w:p>
        </w:tc>
        <w:tc>
          <w:tcPr>
            <w:tcW w:w="2888" w:type="dxa"/>
            <w:vAlign w:val="center"/>
          </w:tcPr>
          <w:p w14:paraId="515877B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响应文件递交地点及磋商地点</w:t>
            </w:r>
          </w:p>
        </w:tc>
        <w:tc>
          <w:tcPr>
            <w:tcW w:w="5686" w:type="dxa"/>
            <w:vAlign w:val="center"/>
          </w:tcPr>
          <w:p w14:paraId="290D3D7D">
            <w:pPr>
              <w:spacing w:line="360" w:lineRule="auto"/>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鄢陵县住房服务中心二楼</w:t>
            </w:r>
            <w:r>
              <w:rPr>
                <w:rFonts w:hint="eastAsia" w:ascii="宋体" w:hAnsi="宋体" w:eastAsia="宋体" w:cs="宋体"/>
                <w:color w:val="auto"/>
                <w:sz w:val="24"/>
                <w:szCs w:val="24"/>
                <w:highlight w:val="none"/>
                <w:lang w:val="en-US"/>
              </w:rPr>
              <w:t>会议室</w:t>
            </w:r>
          </w:p>
        </w:tc>
      </w:tr>
      <w:tr w14:paraId="0CB7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58E549C9">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4.3.1</w:t>
            </w:r>
          </w:p>
        </w:tc>
        <w:tc>
          <w:tcPr>
            <w:tcW w:w="2888" w:type="dxa"/>
            <w:vAlign w:val="center"/>
          </w:tcPr>
          <w:p w14:paraId="2C12C5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是否退还磋商响应文件</w:t>
            </w:r>
          </w:p>
        </w:tc>
        <w:tc>
          <w:tcPr>
            <w:tcW w:w="5686" w:type="dxa"/>
            <w:vAlign w:val="center"/>
          </w:tcPr>
          <w:p w14:paraId="42EE4AEB">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43CB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3706C87C">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5.1.1</w:t>
            </w:r>
          </w:p>
        </w:tc>
        <w:tc>
          <w:tcPr>
            <w:tcW w:w="2888" w:type="dxa"/>
            <w:vAlign w:val="center"/>
          </w:tcPr>
          <w:p w14:paraId="0A2EBE5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磋商小组的组建</w:t>
            </w:r>
          </w:p>
        </w:tc>
        <w:tc>
          <w:tcPr>
            <w:tcW w:w="5686" w:type="dxa"/>
            <w:vAlign w:val="center"/>
          </w:tcPr>
          <w:p w14:paraId="712F989A">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采购人代表1人，技术、经济等方面专家2人（专家3人）磋商专家确定方式：随机抽取。</w:t>
            </w:r>
          </w:p>
        </w:tc>
      </w:tr>
      <w:tr w14:paraId="3221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2A3FBD72">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5.1.2</w:t>
            </w:r>
          </w:p>
        </w:tc>
        <w:tc>
          <w:tcPr>
            <w:tcW w:w="2888" w:type="dxa"/>
            <w:vAlign w:val="center"/>
          </w:tcPr>
          <w:p w14:paraId="4744242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是否授权磋商小组确定成交人</w:t>
            </w:r>
          </w:p>
        </w:tc>
        <w:tc>
          <w:tcPr>
            <w:tcW w:w="5686" w:type="dxa"/>
            <w:vAlign w:val="center"/>
          </w:tcPr>
          <w:p w14:paraId="42AA7330">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否，推荐的成交候选人数：3名及以上</w:t>
            </w:r>
          </w:p>
        </w:tc>
      </w:tr>
      <w:tr w14:paraId="3156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3A750AC5">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5.3</w:t>
            </w:r>
          </w:p>
        </w:tc>
        <w:tc>
          <w:tcPr>
            <w:tcW w:w="2888" w:type="dxa"/>
            <w:vAlign w:val="center"/>
          </w:tcPr>
          <w:p w14:paraId="0E90B47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5686" w:type="dxa"/>
            <w:vAlign w:val="center"/>
          </w:tcPr>
          <w:p w14:paraId="6D191D10">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6617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30A60DDE">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6.1</w:t>
            </w:r>
          </w:p>
        </w:tc>
        <w:tc>
          <w:tcPr>
            <w:tcW w:w="2888" w:type="dxa"/>
            <w:vAlign w:val="center"/>
          </w:tcPr>
          <w:p w14:paraId="522516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采购程序</w:t>
            </w:r>
          </w:p>
        </w:tc>
        <w:tc>
          <w:tcPr>
            <w:tcW w:w="5686" w:type="dxa"/>
            <w:vAlign w:val="center"/>
          </w:tcPr>
          <w:p w14:paraId="1FB66333">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1.成立磋商小组</w:t>
            </w:r>
          </w:p>
          <w:p w14:paraId="4F9A3B74">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2.制定或确认竞争性磋商文件</w:t>
            </w:r>
          </w:p>
          <w:p w14:paraId="13A8959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3.确定不少于3家的响应人参加磋商</w:t>
            </w:r>
          </w:p>
          <w:p w14:paraId="1BC2572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4.响应人进行报价</w:t>
            </w:r>
          </w:p>
          <w:p w14:paraId="6585E6E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4.确定候选人</w:t>
            </w:r>
          </w:p>
          <w:p w14:paraId="4FCFE5DE">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6.在指定媒体公布结果</w:t>
            </w:r>
          </w:p>
        </w:tc>
      </w:tr>
      <w:tr w14:paraId="5557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63C97FBD">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6.2</w:t>
            </w:r>
          </w:p>
        </w:tc>
        <w:tc>
          <w:tcPr>
            <w:tcW w:w="2888" w:type="dxa"/>
            <w:vAlign w:val="center"/>
          </w:tcPr>
          <w:p w14:paraId="0309E6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定标方式</w:t>
            </w:r>
          </w:p>
        </w:tc>
        <w:tc>
          <w:tcPr>
            <w:tcW w:w="5686" w:type="dxa"/>
            <w:vAlign w:val="center"/>
          </w:tcPr>
          <w:p w14:paraId="60C03208">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将根据磋商小组提出的评审报告，确定排名第一的成交候选人为成交人。当确定成交的成交候选人放弃成交或不可抗力提出不能履行合同的，采购人可以按序确定排名第二的成交候选人为成交人，依此类推，也可以重新招标。</w:t>
            </w:r>
          </w:p>
        </w:tc>
      </w:tr>
      <w:tr w14:paraId="6AF4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0C354318">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6.3</w:t>
            </w:r>
          </w:p>
        </w:tc>
        <w:tc>
          <w:tcPr>
            <w:tcW w:w="2888" w:type="dxa"/>
            <w:vAlign w:val="center"/>
          </w:tcPr>
          <w:p w14:paraId="30D618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磋商文件质疑</w:t>
            </w:r>
          </w:p>
        </w:tc>
        <w:tc>
          <w:tcPr>
            <w:tcW w:w="5686" w:type="dxa"/>
            <w:vAlign w:val="center"/>
          </w:tcPr>
          <w:p w14:paraId="669E4081">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若磋商供应商对磋商文件有疑点或异议，可用书面形式在响应性文件递交截止时间</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天前通知代理机构，代理机构将以书面形式予以答复，同时代理机构有权将答复内容（包括所提问题，但不包括问题的来源）分发给所有购买了同一磋商文件的磋商供应商，如未提出，视为完全接受磋商文件条款及内容。</w:t>
            </w:r>
          </w:p>
        </w:tc>
      </w:tr>
      <w:tr w14:paraId="7FC5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08D0179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p>
        </w:tc>
        <w:tc>
          <w:tcPr>
            <w:tcW w:w="2888" w:type="dxa"/>
            <w:vAlign w:val="center"/>
          </w:tcPr>
          <w:p w14:paraId="5675504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5686" w:type="dxa"/>
            <w:vAlign w:val="center"/>
          </w:tcPr>
          <w:p w14:paraId="2FBF3E28">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成交人与采购人签订合同后，将合同副本原件报采购人备案。</w:t>
            </w:r>
          </w:p>
          <w:p w14:paraId="129E6319">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验收标准：合格。</w:t>
            </w:r>
          </w:p>
          <w:p w14:paraId="717E2956">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val="en-US"/>
              </w:rPr>
              <w:t>以合同签订为准</w:t>
            </w:r>
            <w:r>
              <w:rPr>
                <w:rFonts w:hint="eastAsia" w:ascii="宋体" w:hAnsi="宋体" w:eastAsia="宋体" w:cs="宋体"/>
                <w:color w:val="auto"/>
                <w:sz w:val="24"/>
                <w:szCs w:val="24"/>
                <w:highlight w:val="none"/>
              </w:rPr>
              <w:t>。</w:t>
            </w:r>
          </w:p>
        </w:tc>
      </w:tr>
      <w:tr w14:paraId="294D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2A36A55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5</w:t>
            </w:r>
          </w:p>
        </w:tc>
        <w:tc>
          <w:tcPr>
            <w:tcW w:w="2888" w:type="dxa"/>
            <w:vAlign w:val="center"/>
          </w:tcPr>
          <w:p w14:paraId="43421A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解释权</w:t>
            </w:r>
          </w:p>
        </w:tc>
        <w:tc>
          <w:tcPr>
            <w:tcW w:w="5686" w:type="dxa"/>
            <w:vAlign w:val="center"/>
          </w:tcPr>
          <w:p w14:paraId="6C157BEB">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1、构成本磋商文件的各个组成文件应互为解释，互为说明；</w:t>
            </w:r>
          </w:p>
          <w:p w14:paraId="27E5D9CD">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2、如有不明确或不一致，构成合同文件组成内容的，以合同文件约定内容为准，且以专用合同条款约定的合同文件优先顺序解释；</w:t>
            </w:r>
          </w:p>
          <w:p w14:paraId="787A3726">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3、除磋商文库中有特别规定外，仅适用于招标投标阶段的规定，按招标公告、投标人须知、评标办法、投标文件格式的先后顺序解释；</w:t>
            </w:r>
          </w:p>
          <w:p w14:paraId="4DDEABA4">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4、同一组成文件中就同一事项的规定或约定不一致的，以编排顺序在后者为准；</w:t>
            </w:r>
          </w:p>
          <w:p w14:paraId="434AAE02">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5、同一组成文件不同版本之间有不一致的，以形成时间在后者为准；</w:t>
            </w:r>
          </w:p>
          <w:p w14:paraId="1CA9BDF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6、按本款前述规定仍不能形成结论的，由采购代理机构负责解释。</w:t>
            </w:r>
          </w:p>
        </w:tc>
      </w:tr>
      <w:tr w14:paraId="5122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21B70B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6</w:t>
            </w:r>
          </w:p>
        </w:tc>
        <w:tc>
          <w:tcPr>
            <w:tcW w:w="2888" w:type="dxa"/>
            <w:vAlign w:val="center"/>
          </w:tcPr>
          <w:p w14:paraId="2650DD2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知识产权</w:t>
            </w:r>
          </w:p>
        </w:tc>
        <w:tc>
          <w:tcPr>
            <w:tcW w:w="5686" w:type="dxa"/>
            <w:vAlign w:val="center"/>
          </w:tcPr>
          <w:p w14:paraId="1A849472">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磋商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2D6A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19F862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7</w:t>
            </w:r>
          </w:p>
        </w:tc>
        <w:tc>
          <w:tcPr>
            <w:tcW w:w="2888" w:type="dxa"/>
            <w:vAlign w:val="center"/>
          </w:tcPr>
          <w:p w14:paraId="12F304A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补充内容</w:t>
            </w:r>
          </w:p>
        </w:tc>
        <w:tc>
          <w:tcPr>
            <w:tcW w:w="5686" w:type="dxa"/>
            <w:vAlign w:val="center"/>
          </w:tcPr>
          <w:p w14:paraId="362D9924">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对出具的资质资格证明材料的合法性、真实性负责，一旦发现有弄虚作假行为的，取消中标资格，向政府监督部门举报。投标人三年内不得参与采购人组织的采购项目，出具书面承诺加盖公章附于响应文件中。</w:t>
            </w:r>
          </w:p>
          <w:p w14:paraId="6AED3300">
            <w:pPr>
              <w:spacing w:line="360" w:lineRule="auto"/>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2.成交人不得借用资质、转包、分包，一旦发现有弄虚作假行为的，取消中标资格，向政府监督部门举报。投标人三年内不得参与采购人组织的采购项目，出具书面承诺加盖公章附于响应文件中。</w:t>
            </w:r>
          </w:p>
        </w:tc>
      </w:tr>
      <w:tr w14:paraId="6800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41E72203">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6.8</w:t>
            </w:r>
          </w:p>
        </w:tc>
        <w:tc>
          <w:tcPr>
            <w:tcW w:w="2888" w:type="dxa"/>
            <w:vAlign w:val="center"/>
          </w:tcPr>
          <w:p w14:paraId="40BC23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中小型企业价格扣除</w:t>
            </w:r>
          </w:p>
        </w:tc>
        <w:tc>
          <w:tcPr>
            <w:tcW w:w="5686" w:type="dxa"/>
            <w:vAlign w:val="center"/>
          </w:tcPr>
          <w:p w14:paraId="67E1B2D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1、本项目属于专门面向中小企业采购的项目；本次采购标的对应的中小企业划分标准所属行业：</w:t>
            </w:r>
            <w:r>
              <w:rPr>
                <w:rFonts w:hint="eastAsia" w:ascii="宋体" w:hAnsi="宋体" w:eastAsia="宋体" w:cs="宋体"/>
                <w:color w:val="auto"/>
                <w:sz w:val="24"/>
                <w:szCs w:val="24"/>
                <w:highlight w:val="none"/>
                <w:lang w:val="en-US" w:eastAsia="zh-CN"/>
              </w:rPr>
              <w:t>建筑业</w:t>
            </w:r>
            <w:r>
              <w:rPr>
                <w:rFonts w:hint="eastAsia" w:ascii="宋体" w:hAnsi="宋体" w:eastAsia="宋体" w:cs="宋体"/>
                <w:color w:val="auto"/>
                <w:sz w:val="24"/>
                <w:szCs w:val="24"/>
                <w:highlight w:val="none"/>
              </w:rPr>
              <w:t>。</w:t>
            </w:r>
          </w:p>
          <w:p w14:paraId="3AF8CC17">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 </w:t>
            </w:r>
          </w:p>
          <w:p w14:paraId="333A42C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3、提供由省级以上监狱管理局、戒毒管理局（含新疆生产建设兵团）出 具的属于监狱企业证明文件的，视同为小型和微型企业。 </w:t>
            </w:r>
          </w:p>
          <w:p w14:paraId="73660C0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4、符合享受政府采购支持政策的残疾人福利性单位条件且提供《残疾人福利性单位声明函》的，视同为小型和微型企业。</w:t>
            </w:r>
          </w:p>
        </w:tc>
      </w:tr>
      <w:tr w14:paraId="48D1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6F80EC44">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6.9</w:t>
            </w:r>
          </w:p>
        </w:tc>
        <w:tc>
          <w:tcPr>
            <w:tcW w:w="2888" w:type="dxa"/>
            <w:vAlign w:val="center"/>
          </w:tcPr>
          <w:p w14:paraId="7D9D752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有关节能产品问题</w:t>
            </w:r>
          </w:p>
        </w:tc>
        <w:tc>
          <w:tcPr>
            <w:tcW w:w="5686" w:type="dxa"/>
            <w:vAlign w:val="center"/>
          </w:tcPr>
          <w:p w14:paraId="28FCE21B">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执行《财政部 发展改革委 生态环境部 市场监管总局关于调整优化节能产品、环境标志产品政府采购执行机制的通知》（财库〔2019〕9号）、关 于印发节能产品政府采购品目清单的通知（财库〔2019〕19号）、关于印发环境标志产品政府采购品目清单的通知（财库〔2019〕18号）、市场监 管总局关于发布参与实施政府采购节能产品、环境标志产品认证机构名录的公告（2019年第16号），本次投标产品类别属于政府强制采购产品类 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2950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03BD6D57">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7.0</w:t>
            </w:r>
          </w:p>
        </w:tc>
        <w:tc>
          <w:tcPr>
            <w:tcW w:w="2888" w:type="dxa"/>
            <w:vAlign w:val="center"/>
          </w:tcPr>
          <w:p w14:paraId="6F4C91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5686" w:type="dxa"/>
            <w:vAlign w:val="center"/>
          </w:tcPr>
          <w:p w14:paraId="7FFA5E0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收取标准:</w:t>
            </w: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豫招协【2023】002号规定</w:t>
            </w:r>
            <w:r>
              <w:rPr>
                <w:rFonts w:hint="eastAsia" w:ascii="宋体" w:hAnsi="宋体" w:eastAsia="宋体" w:cs="宋体"/>
                <w:color w:val="auto"/>
                <w:sz w:val="24"/>
                <w:szCs w:val="24"/>
                <w:highlight w:val="none"/>
              </w:rPr>
              <w:t>。一次性以银行划账、电汇、汇票或支票的形式支付。</w:t>
            </w:r>
          </w:p>
        </w:tc>
      </w:tr>
      <w:tr w14:paraId="6ED4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14:paraId="26D6A91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w:t>
            </w:r>
          </w:p>
        </w:tc>
        <w:tc>
          <w:tcPr>
            <w:tcW w:w="2888" w:type="dxa"/>
            <w:vAlign w:val="center"/>
          </w:tcPr>
          <w:p w14:paraId="1C9D155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w:t>
            </w:r>
          </w:p>
        </w:tc>
        <w:tc>
          <w:tcPr>
            <w:tcW w:w="5686" w:type="dxa"/>
            <w:vAlign w:val="center"/>
          </w:tcPr>
          <w:p w14:paraId="090C1BF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年1月1日以来（以合同签订时间为准）已经完成的</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w:t>
            </w:r>
          </w:p>
        </w:tc>
      </w:tr>
    </w:tbl>
    <w:p w14:paraId="7B54073D">
      <w:pPr>
        <w:pStyle w:val="20"/>
        <w:ind w:firstLine="240"/>
        <w:rPr>
          <w:rFonts w:hint="eastAsia" w:ascii="宋体" w:hAnsi="宋体" w:eastAsia="宋体" w:cs="宋体"/>
          <w:color w:val="auto"/>
          <w:highlight w:val="none"/>
        </w:rPr>
        <w:sectPr>
          <w:headerReference r:id="rId8" w:type="default"/>
          <w:footerReference r:id="rId9" w:type="default"/>
          <w:pgSz w:w="11910" w:h="16840"/>
          <w:pgMar w:top="1600" w:right="760" w:bottom="1180" w:left="760" w:header="1374" w:footer="964" w:gutter="0"/>
          <w:pgBorders>
            <w:top w:val="none" w:sz="0" w:space="0"/>
            <w:left w:val="none" w:sz="0" w:space="0"/>
            <w:bottom w:val="none" w:sz="0" w:space="0"/>
            <w:right w:val="none" w:sz="0" w:space="0"/>
          </w:pgBorders>
          <w:pgNumType w:fmt="decimal"/>
          <w:cols w:space="720" w:num="1"/>
        </w:sectPr>
      </w:pPr>
    </w:p>
    <w:p w14:paraId="7BB53746">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一、总</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t>则</w:t>
      </w:r>
    </w:p>
    <w:p w14:paraId="16F0274E">
      <w:pPr>
        <w:spacing w:line="360" w:lineRule="auto"/>
        <w:ind w:firstLine="482" w:firstLineChars="200"/>
        <w:rPr>
          <w:rFonts w:hint="eastAsia" w:ascii="宋体" w:hAnsi="宋体" w:eastAsia="宋体" w:cs="宋体"/>
          <w:b/>
          <w:bCs/>
          <w:color w:val="auto"/>
          <w:sz w:val="24"/>
          <w:szCs w:val="24"/>
          <w:highlight w:val="none"/>
        </w:rPr>
      </w:pPr>
      <w:bookmarkStart w:id="1" w:name="1.项目说明"/>
      <w:bookmarkEnd w:id="1"/>
      <w:r>
        <w:rPr>
          <w:rFonts w:hint="eastAsia" w:ascii="宋体" w:hAnsi="宋体" w:eastAsia="宋体" w:cs="宋体"/>
          <w:b/>
          <w:bCs/>
          <w:color w:val="auto"/>
          <w:sz w:val="24"/>
          <w:szCs w:val="24"/>
          <w:highlight w:val="none"/>
          <w:lang w:val="en-US"/>
        </w:rPr>
        <w:t>1、</w:t>
      </w:r>
      <w:r>
        <w:rPr>
          <w:rFonts w:hint="eastAsia" w:ascii="宋体" w:hAnsi="宋体" w:eastAsia="宋体" w:cs="宋体"/>
          <w:b/>
          <w:bCs/>
          <w:color w:val="auto"/>
          <w:sz w:val="24"/>
          <w:szCs w:val="24"/>
          <w:highlight w:val="none"/>
        </w:rPr>
        <w:t>项目说明</w:t>
      </w:r>
    </w:p>
    <w:p w14:paraId="2D2873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1.1</w:t>
      </w:r>
      <w:r>
        <w:rPr>
          <w:rFonts w:hint="eastAsia" w:ascii="宋体" w:hAnsi="宋体" w:eastAsia="宋体" w:cs="宋体"/>
          <w:color w:val="auto"/>
          <w:sz w:val="24"/>
          <w:szCs w:val="24"/>
          <w:highlight w:val="none"/>
        </w:rPr>
        <w:t>项目说明见磋商须知前附表。</w:t>
      </w:r>
    </w:p>
    <w:p w14:paraId="771BD1C2">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2、定义</w:t>
      </w:r>
    </w:p>
    <w:p w14:paraId="3D9BEEEE">
      <w:pPr>
        <w:spacing w:line="360" w:lineRule="auto"/>
        <w:ind w:firstLine="480" w:firstLineChars="200"/>
        <w:rPr>
          <w:rFonts w:hint="eastAsia" w:ascii="宋体" w:hAnsi="宋体" w:eastAsia="宋体" w:cs="宋体"/>
          <w:color w:val="auto"/>
          <w:sz w:val="24"/>
          <w:szCs w:val="24"/>
          <w:highlight w:val="none"/>
        </w:rPr>
      </w:pPr>
      <w:bookmarkStart w:id="2" w:name="2.1采购人——见磋商须知前附表。"/>
      <w:bookmarkEnd w:id="2"/>
      <w:r>
        <w:rPr>
          <w:rFonts w:hint="eastAsia" w:ascii="宋体" w:hAnsi="宋体" w:eastAsia="宋体" w:cs="宋体"/>
          <w:color w:val="auto"/>
          <w:sz w:val="24"/>
          <w:szCs w:val="24"/>
          <w:highlight w:val="none"/>
          <w:lang w:val="en-US"/>
        </w:rPr>
        <w:t>2.1</w:t>
      </w:r>
      <w:r>
        <w:rPr>
          <w:rFonts w:hint="eastAsia" w:ascii="宋体" w:hAnsi="宋体" w:eastAsia="宋体" w:cs="宋体"/>
          <w:color w:val="auto"/>
          <w:sz w:val="24"/>
          <w:szCs w:val="24"/>
          <w:highlight w:val="none"/>
        </w:rPr>
        <w:t>采购人、招标人——见磋商须知前附表。</w:t>
      </w:r>
    </w:p>
    <w:p w14:paraId="1DC88D5A">
      <w:pPr>
        <w:spacing w:line="360" w:lineRule="auto"/>
        <w:ind w:firstLine="480" w:firstLineChars="200"/>
        <w:rPr>
          <w:rFonts w:hint="eastAsia" w:ascii="宋体" w:hAnsi="宋体" w:eastAsia="宋体" w:cs="宋体"/>
          <w:color w:val="auto"/>
          <w:sz w:val="24"/>
          <w:szCs w:val="24"/>
          <w:highlight w:val="none"/>
        </w:rPr>
      </w:pPr>
      <w:bookmarkStart w:id="3" w:name="2.3供应商——指符合项目报名条件，并向采购代理机构提交响应性文件的单位。"/>
      <w:bookmarkEnd w:id="3"/>
      <w:r>
        <w:rPr>
          <w:rFonts w:hint="eastAsia" w:ascii="宋体" w:hAnsi="宋体" w:eastAsia="宋体" w:cs="宋体"/>
          <w:color w:val="auto"/>
          <w:sz w:val="24"/>
          <w:szCs w:val="24"/>
          <w:highlight w:val="none"/>
          <w:lang w:val="en-US"/>
        </w:rPr>
        <w:t>2.2</w:t>
      </w:r>
      <w:r>
        <w:rPr>
          <w:rFonts w:hint="eastAsia" w:ascii="宋体" w:hAnsi="宋体" w:eastAsia="宋体" w:cs="宋体"/>
          <w:color w:val="auto"/>
          <w:sz w:val="24"/>
          <w:szCs w:val="24"/>
          <w:highlight w:val="none"/>
        </w:rPr>
        <w:t>供应商、投标人、响应人——指符合项目报名条件，并向采购人报名并提交响应性文件的单位。</w:t>
      </w:r>
    </w:p>
    <w:p w14:paraId="7A0DC6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2.3</w:t>
      </w:r>
      <w:r>
        <w:rPr>
          <w:rFonts w:hint="eastAsia" w:ascii="宋体" w:hAnsi="宋体" w:eastAsia="宋体" w:cs="宋体"/>
          <w:color w:val="auto"/>
          <w:sz w:val="24"/>
          <w:szCs w:val="24"/>
          <w:highlight w:val="none"/>
        </w:rPr>
        <w:t>成交人——接到并接受中标（成交）通知书，最终被授予合同的供应商。</w:t>
      </w:r>
    </w:p>
    <w:p w14:paraId="72E0F44A">
      <w:pPr>
        <w:spacing w:line="360" w:lineRule="auto"/>
        <w:ind w:firstLine="482" w:firstLineChars="200"/>
        <w:rPr>
          <w:rFonts w:hint="eastAsia" w:ascii="宋体" w:hAnsi="宋体" w:eastAsia="宋体" w:cs="宋体"/>
          <w:b/>
          <w:bCs/>
          <w:color w:val="auto"/>
          <w:sz w:val="24"/>
          <w:szCs w:val="24"/>
          <w:highlight w:val="none"/>
          <w:lang w:val="en-US"/>
        </w:rPr>
      </w:pPr>
      <w:bookmarkStart w:id="4" w:name="3、合格的供应商"/>
      <w:bookmarkEnd w:id="4"/>
      <w:r>
        <w:rPr>
          <w:rFonts w:hint="eastAsia" w:ascii="宋体" w:hAnsi="宋体" w:eastAsia="宋体" w:cs="宋体"/>
          <w:b/>
          <w:bCs/>
          <w:color w:val="auto"/>
          <w:sz w:val="24"/>
          <w:szCs w:val="24"/>
          <w:highlight w:val="none"/>
          <w:lang w:val="en-US"/>
        </w:rPr>
        <w:t>3、合格的供应商</w:t>
      </w:r>
    </w:p>
    <w:p w14:paraId="7A8298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3.1</w:t>
      </w:r>
      <w:r>
        <w:rPr>
          <w:rFonts w:hint="eastAsia" w:ascii="宋体" w:hAnsi="宋体" w:eastAsia="宋体" w:cs="宋体"/>
          <w:color w:val="auto"/>
          <w:sz w:val="24"/>
          <w:szCs w:val="24"/>
          <w:highlight w:val="none"/>
        </w:rPr>
        <w:t>遵守《政府采购法》、《政府采购竞争性磋商采购方式管理暂行办法》、《合同法》和《反不正当竞争法》等有关法律、法规规定的条件。采购人可以根据采购项目的特殊要求，规定供应商的特定条件，但不得以不合理的条件对供应商实行差别待遇或者歧视待遇。</w:t>
      </w:r>
    </w:p>
    <w:p w14:paraId="60CC47B4">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3.2</w:t>
      </w:r>
      <w:r>
        <w:rPr>
          <w:rFonts w:hint="eastAsia" w:ascii="宋体" w:hAnsi="宋体" w:eastAsia="宋体" w:cs="宋体"/>
          <w:color w:val="auto"/>
          <w:sz w:val="24"/>
          <w:szCs w:val="24"/>
          <w:highlight w:val="none"/>
        </w:rPr>
        <w:t>其它要求详见招标公告。</w:t>
      </w:r>
    </w:p>
    <w:p w14:paraId="2ED970B8">
      <w:pPr>
        <w:spacing w:line="360" w:lineRule="auto"/>
        <w:ind w:firstLine="482" w:firstLineChars="200"/>
        <w:rPr>
          <w:rFonts w:hint="eastAsia" w:ascii="宋体" w:hAnsi="宋体" w:eastAsia="宋体" w:cs="宋体"/>
          <w:b/>
          <w:bCs/>
          <w:color w:val="auto"/>
          <w:sz w:val="24"/>
          <w:szCs w:val="24"/>
          <w:highlight w:val="none"/>
          <w:lang w:val="en-US"/>
        </w:rPr>
      </w:pPr>
      <w:bookmarkStart w:id="5" w:name="4、对成交人的要求"/>
      <w:bookmarkEnd w:id="5"/>
      <w:r>
        <w:rPr>
          <w:rFonts w:hint="eastAsia" w:ascii="宋体" w:hAnsi="宋体" w:eastAsia="宋体" w:cs="宋体"/>
          <w:b/>
          <w:bCs/>
          <w:color w:val="auto"/>
          <w:sz w:val="24"/>
          <w:szCs w:val="24"/>
          <w:highlight w:val="none"/>
          <w:lang w:val="en-US"/>
        </w:rPr>
        <w:t>4、对成交人的其它要求</w:t>
      </w:r>
    </w:p>
    <w:p w14:paraId="242D70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w:t>
      </w:r>
      <w:r>
        <w:rPr>
          <w:rFonts w:hint="eastAsia" w:ascii="宋体" w:hAnsi="宋体" w:eastAsia="宋体" w:cs="宋体"/>
          <w:color w:val="auto"/>
          <w:sz w:val="24"/>
          <w:szCs w:val="24"/>
          <w:highlight w:val="none"/>
        </w:rPr>
        <w:t>本项目采取总承包方式（见磋商须知前附表），不得借证、转包、分包；凡中标后，发现借证、转包、分包的，从重处罚。</w:t>
      </w:r>
    </w:p>
    <w:p w14:paraId="2812A2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4.2</w:t>
      </w:r>
      <w:r>
        <w:rPr>
          <w:rFonts w:hint="eastAsia" w:ascii="宋体" w:hAnsi="宋体" w:eastAsia="宋体" w:cs="宋体"/>
          <w:color w:val="auto"/>
          <w:sz w:val="24"/>
          <w:szCs w:val="24"/>
          <w:highlight w:val="none"/>
        </w:rPr>
        <w:t>直接费、间接费、其它费用、税金等全部费用和要求获得的利润以及应由承包人承担的义务、责任和风险所发生的一切费用，均有承包单位支付，承包单位在报价时综合考虑，在确定成交人后，成交人不得以任何理由向采购人提出增加任何费用的要求，否则，采购人有权终止合同并按中标候选人顺序选取其它成交人。</w:t>
      </w:r>
    </w:p>
    <w:p w14:paraId="07C74B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4.3</w:t>
      </w:r>
      <w:r>
        <w:rPr>
          <w:rFonts w:hint="eastAsia" w:ascii="宋体" w:hAnsi="宋体" w:eastAsia="宋体" w:cs="宋体"/>
          <w:color w:val="auto"/>
          <w:sz w:val="24"/>
          <w:szCs w:val="24"/>
          <w:highlight w:val="none"/>
        </w:rPr>
        <w:t>法律适用：本次竞争性磋商活动及由本次竞争性磋商产生的合同受中华人民共和国的法律制约和保护。</w:t>
      </w:r>
    </w:p>
    <w:p w14:paraId="4306FD81">
      <w:pPr>
        <w:spacing w:line="360" w:lineRule="auto"/>
        <w:ind w:firstLine="482" w:firstLineChars="200"/>
        <w:rPr>
          <w:rFonts w:hint="eastAsia" w:ascii="宋体" w:hAnsi="宋体" w:eastAsia="宋体" w:cs="宋体"/>
          <w:b/>
          <w:bCs/>
          <w:color w:val="auto"/>
          <w:sz w:val="24"/>
          <w:szCs w:val="24"/>
          <w:highlight w:val="none"/>
          <w:lang w:val="en-US"/>
        </w:rPr>
      </w:pPr>
      <w:bookmarkStart w:id="6" w:name="5、磋商费用"/>
      <w:bookmarkEnd w:id="6"/>
      <w:r>
        <w:rPr>
          <w:rFonts w:hint="eastAsia" w:ascii="宋体" w:hAnsi="宋体" w:eastAsia="宋体" w:cs="宋体"/>
          <w:b/>
          <w:bCs/>
          <w:color w:val="auto"/>
          <w:sz w:val="24"/>
          <w:szCs w:val="24"/>
          <w:highlight w:val="none"/>
          <w:lang w:val="en-US"/>
        </w:rPr>
        <w:t>5、磋商费用</w:t>
      </w:r>
    </w:p>
    <w:p w14:paraId="42DB27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供应商自行承担其编制响应性文件与递交响应性文件所涉及的一切费用，不管磋商结果如何，采购人对上述费用不负任何责任。</w:t>
      </w:r>
    </w:p>
    <w:p w14:paraId="11C897C7">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6、磋商文件的约束力</w:t>
      </w:r>
    </w:p>
    <w:p w14:paraId="6ACD15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6.1</w:t>
      </w:r>
      <w:r>
        <w:rPr>
          <w:rFonts w:hint="eastAsia" w:ascii="宋体" w:hAnsi="宋体" w:eastAsia="宋体" w:cs="宋体"/>
          <w:color w:val="auto"/>
          <w:sz w:val="24"/>
          <w:szCs w:val="24"/>
          <w:highlight w:val="none"/>
        </w:rPr>
        <w:t>磋商供应商一旦购买了本磋商文件并参加竞争性磋商，即被认为接受了本磋商文件中的所有条款和规定。</w:t>
      </w:r>
    </w:p>
    <w:p w14:paraId="381F68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6.2</w:t>
      </w:r>
      <w:r>
        <w:rPr>
          <w:rFonts w:hint="eastAsia" w:ascii="宋体" w:hAnsi="宋体" w:eastAsia="宋体" w:cs="宋体"/>
          <w:color w:val="auto"/>
          <w:sz w:val="24"/>
          <w:szCs w:val="24"/>
          <w:highlight w:val="none"/>
        </w:rPr>
        <w:t>本磋商文件由采购代理机构负责解释。</w:t>
      </w:r>
    </w:p>
    <w:p w14:paraId="35F2E14E">
      <w:pPr>
        <w:jc w:val="center"/>
        <w:rPr>
          <w:rFonts w:hint="eastAsia" w:ascii="宋体" w:hAnsi="宋体" w:eastAsia="宋体" w:cs="宋体"/>
          <w:b/>
          <w:bCs/>
          <w:color w:val="auto"/>
          <w:sz w:val="32"/>
          <w:szCs w:val="32"/>
          <w:highlight w:val="none"/>
        </w:rPr>
      </w:pPr>
      <w:bookmarkStart w:id="7" w:name="二、竞争性磋商文件"/>
      <w:bookmarkEnd w:id="7"/>
      <w:r>
        <w:rPr>
          <w:rFonts w:hint="eastAsia" w:ascii="宋体" w:hAnsi="宋体" w:eastAsia="宋体" w:cs="宋体"/>
          <w:b/>
          <w:bCs/>
          <w:color w:val="auto"/>
          <w:sz w:val="32"/>
          <w:szCs w:val="32"/>
          <w:highlight w:val="none"/>
        </w:rPr>
        <w:t>二、竞争性磋商文件</w:t>
      </w:r>
    </w:p>
    <w:p w14:paraId="26C1FF72">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7、竞争性磋商文件的组成</w:t>
      </w:r>
    </w:p>
    <w:p w14:paraId="713B0B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7.1</w:t>
      </w:r>
      <w:r>
        <w:rPr>
          <w:rFonts w:hint="eastAsia" w:ascii="宋体" w:hAnsi="宋体" w:eastAsia="宋体" w:cs="宋体"/>
          <w:color w:val="auto"/>
          <w:sz w:val="24"/>
          <w:szCs w:val="24"/>
          <w:highlight w:val="none"/>
        </w:rPr>
        <w:t>本竞争性磋商文件包括：竞争性磋商公告、磋商须知前附表、合同条款、技术参数、响应性文件格式、磋商标准和方法等内容。请仔细检查磋商文件是否齐全，如有缺漏、重复现象、排版错误等问题的，请立即与采购代理机构联系解决，否则视同对磋商文件的完整、齐全无异议。</w:t>
      </w:r>
    </w:p>
    <w:p w14:paraId="49B840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7.2</w:t>
      </w:r>
      <w:r>
        <w:rPr>
          <w:rFonts w:hint="eastAsia" w:ascii="宋体" w:hAnsi="宋体" w:eastAsia="宋体" w:cs="宋体"/>
          <w:color w:val="auto"/>
          <w:sz w:val="24"/>
          <w:szCs w:val="24"/>
          <w:highlight w:val="none"/>
        </w:rPr>
        <w:t>供应商应认真审阅竞争性磋商文件，如果供应商的响应性文件不能符合竞争性磋商文件的要求，责任由供应商自负。实质上不响应竞争性磋商文件要求的响应性文件将被拒绝。</w:t>
      </w:r>
    </w:p>
    <w:p w14:paraId="339615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7.3</w:t>
      </w:r>
      <w:r>
        <w:rPr>
          <w:rFonts w:hint="eastAsia" w:ascii="宋体" w:hAnsi="宋体" w:eastAsia="宋体" w:cs="宋体"/>
          <w:color w:val="auto"/>
          <w:sz w:val="24"/>
          <w:szCs w:val="24"/>
          <w:highlight w:val="none"/>
        </w:rPr>
        <w:t>磋商供应商被视为（或有义务）充分熟悉本竞争性磋商项目所在地的与履行合同有关的各种情况，包括自然情况、气候条件、劳动力及公用设施等，本磋商文件不再对上述情况进行描述。</w:t>
      </w:r>
    </w:p>
    <w:p w14:paraId="676E77A2">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8、磋商文件的澄清</w:t>
      </w:r>
    </w:p>
    <w:p w14:paraId="0352ED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磋商供应商对磋商文件有疑点或异议，可用书面形式在响应性文件递交截止时间五天前通知采购代理机构，采购代理机构将以书面形式予以答复，同时采购代理机构有权将答复内容（包括所提问题，但不包括问题的来源）分发给所有购买了同一磋商文件的磋商供应商。</w:t>
      </w:r>
    </w:p>
    <w:p w14:paraId="341419C4">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9、竞争性文件的更正或补充</w:t>
      </w:r>
    </w:p>
    <w:p w14:paraId="3D217F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9.1</w:t>
      </w:r>
      <w:r>
        <w:rPr>
          <w:rFonts w:hint="eastAsia" w:ascii="宋体" w:hAnsi="宋体" w:eastAsia="宋体" w:cs="宋体"/>
          <w:color w:val="auto"/>
          <w:sz w:val="24"/>
          <w:szCs w:val="24"/>
          <w:highlight w:val="none"/>
        </w:rPr>
        <w:t>在响应性文件递交截止时间前，由于需对磋商供应商的提问进行澄清或其他任何原因，采购人或代理机构均可对磋商文件用更正或补充文件的方式进行修正。对磋商文件的更正或补充，将以书面形式通知所有磋商供应商。更正或补充文件将作为磋商文件的组成部分， 对所有磋商供应商有约束力。当磋商文件与更正或补充文件相矛盾时，以采购人或代理机构最后发出的更正或补充文件为准。</w:t>
      </w:r>
    </w:p>
    <w:p w14:paraId="723101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9.2</w:t>
      </w:r>
      <w:r>
        <w:rPr>
          <w:rFonts w:hint="eastAsia" w:ascii="宋体" w:hAnsi="宋体" w:eastAsia="宋体" w:cs="宋体"/>
          <w:color w:val="auto"/>
          <w:sz w:val="24"/>
          <w:szCs w:val="24"/>
          <w:highlight w:val="none"/>
        </w:rPr>
        <w:t>磋商供应商在收到更正或补充文件后，应于一个工作日内正式书面回函采购代理机构，逾期不回的，视同供应商已收到及认同更正或补充文件。</w:t>
      </w:r>
    </w:p>
    <w:p w14:paraId="0B2DC7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9.3</w:t>
      </w:r>
      <w:r>
        <w:rPr>
          <w:rFonts w:hint="eastAsia" w:ascii="宋体" w:hAnsi="宋体" w:eastAsia="宋体" w:cs="宋体"/>
          <w:color w:val="auto"/>
          <w:sz w:val="24"/>
          <w:szCs w:val="24"/>
          <w:highlight w:val="none"/>
        </w:rPr>
        <w:t>为使磋商供应商有足够的时间按磋商文件的更正或补充文件修正响应性文件，采购人有权决定推迟响应性文件递交截止时间，并将此变更书面通知所有购买了同一磋商文件的磋商供应商。</w:t>
      </w:r>
    </w:p>
    <w:p w14:paraId="049EA096">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三、磋商报价说明</w:t>
      </w:r>
    </w:p>
    <w:p w14:paraId="59CD35DF">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10、供应商报价</w:t>
      </w:r>
    </w:p>
    <w:p w14:paraId="4221AC36">
      <w:pPr>
        <w:spacing w:line="360" w:lineRule="auto"/>
        <w:ind w:firstLine="480" w:firstLineChars="200"/>
        <w:rPr>
          <w:rFonts w:hint="eastAsia" w:ascii="宋体" w:hAnsi="宋体" w:eastAsia="宋体" w:cs="宋体"/>
          <w:color w:val="auto"/>
          <w:sz w:val="24"/>
          <w:szCs w:val="24"/>
          <w:highlight w:val="none"/>
        </w:rPr>
      </w:pPr>
      <w:bookmarkStart w:id="8" w:name="三、磋商报价说明"/>
      <w:bookmarkEnd w:id="8"/>
      <w:r>
        <w:rPr>
          <w:rFonts w:hint="eastAsia" w:ascii="宋体" w:hAnsi="宋体" w:eastAsia="宋体" w:cs="宋体"/>
          <w:color w:val="auto"/>
          <w:sz w:val="24"/>
          <w:szCs w:val="24"/>
          <w:highlight w:val="none"/>
        </w:rPr>
        <w:t>供应商的报价是供应商为完成本项目所发生的一切费用。包括管理、保险、利润、税金等全部费用，以及合同文件规定的应由成交人承担的所有责任、义务和一定的风险费用。报价时供应商应综合考虑项目的风险、难易程度，报价估算错误或漏项的风险由供应商自行承担。</w:t>
      </w:r>
    </w:p>
    <w:p w14:paraId="1E7BA682">
      <w:pPr>
        <w:jc w:val="center"/>
        <w:rPr>
          <w:rFonts w:hint="eastAsia" w:ascii="宋体" w:hAnsi="宋体" w:eastAsia="宋体" w:cs="宋体"/>
          <w:b/>
          <w:bCs/>
          <w:color w:val="auto"/>
          <w:sz w:val="32"/>
          <w:szCs w:val="32"/>
          <w:highlight w:val="none"/>
        </w:rPr>
      </w:pPr>
      <w:bookmarkStart w:id="9" w:name="四、响应性文件的编制"/>
      <w:bookmarkEnd w:id="9"/>
      <w:r>
        <w:rPr>
          <w:rFonts w:hint="eastAsia" w:ascii="宋体" w:hAnsi="宋体" w:eastAsia="宋体" w:cs="宋体"/>
          <w:b/>
          <w:bCs/>
          <w:color w:val="auto"/>
          <w:sz w:val="32"/>
          <w:szCs w:val="32"/>
          <w:highlight w:val="none"/>
        </w:rPr>
        <w:t>四、响应性文件的编制</w:t>
      </w:r>
    </w:p>
    <w:p w14:paraId="096545BE">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11、响应性文件的语言及度量衡</w:t>
      </w:r>
    </w:p>
    <w:p w14:paraId="69F4EA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11.1</w:t>
      </w:r>
      <w:r>
        <w:rPr>
          <w:rFonts w:hint="eastAsia" w:ascii="宋体" w:hAnsi="宋体" w:eastAsia="宋体" w:cs="宋体"/>
          <w:color w:val="auto"/>
          <w:sz w:val="24"/>
          <w:szCs w:val="24"/>
          <w:highlight w:val="none"/>
        </w:rPr>
        <w:t>响应性文件及磋商供应商与采购人（招标代理机构）之间与磋商有关的来往通知、函件和文件均应使用中文。</w:t>
      </w:r>
    </w:p>
    <w:p w14:paraId="58E2AB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11.2</w:t>
      </w:r>
      <w:r>
        <w:rPr>
          <w:rFonts w:hint="eastAsia" w:ascii="宋体" w:hAnsi="宋体" w:eastAsia="宋体" w:cs="宋体"/>
          <w:color w:val="auto"/>
          <w:sz w:val="24"/>
          <w:szCs w:val="24"/>
          <w:highlight w:val="none"/>
        </w:rPr>
        <w:t>磋商供应商已印刷好的资料可以用其他语言，但其中要点应附有中文译文。在解释响应性文件时，以译文为准。</w:t>
      </w:r>
    </w:p>
    <w:p w14:paraId="0FA16F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11.3</w:t>
      </w:r>
      <w:r>
        <w:rPr>
          <w:rFonts w:hint="eastAsia" w:ascii="宋体" w:hAnsi="宋体" w:eastAsia="宋体" w:cs="宋体"/>
          <w:color w:val="auto"/>
          <w:sz w:val="24"/>
          <w:szCs w:val="24"/>
          <w:highlight w:val="none"/>
        </w:rPr>
        <w:t>除在磋商文件中另有规定外，度量衡单位应使用国际单位制。</w:t>
      </w:r>
    </w:p>
    <w:p w14:paraId="16DF5A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11.4</w:t>
      </w:r>
      <w:r>
        <w:rPr>
          <w:rFonts w:hint="eastAsia" w:ascii="宋体" w:hAnsi="宋体" w:eastAsia="宋体" w:cs="宋体"/>
          <w:color w:val="auto"/>
          <w:sz w:val="24"/>
          <w:szCs w:val="24"/>
          <w:highlight w:val="none"/>
        </w:rPr>
        <w:t>本磋商文件所表达的时间均为北京时间。</w:t>
      </w:r>
    </w:p>
    <w:p w14:paraId="1B4FE831">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12、响应性文件的组成</w:t>
      </w:r>
    </w:p>
    <w:p w14:paraId="5B757F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.1供应商的响应性文件按第五章响应性文件格式要求进行编制。</w:t>
      </w:r>
    </w:p>
    <w:p w14:paraId="6E3F9D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.2 供应商必须使用竞争性磋商文件第五章提供的表格格式，但表格可以按同样格式扩展。</w:t>
      </w:r>
    </w:p>
    <w:p w14:paraId="1122A7F4">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13、磋商文件有效期</w:t>
      </w:r>
    </w:p>
    <w:p w14:paraId="0AD767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磋商文件有效期见磋商须知前附表，有效期短于此规定的响应性文件将被视为无效文件。</w:t>
      </w:r>
    </w:p>
    <w:p w14:paraId="6875E29A">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14、响应性文件的份数和签署</w:t>
      </w:r>
    </w:p>
    <w:p w14:paraId="600F1C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14.1</w:t>
      </w:r>
      <w:r>
        <w:rPr>
          <w:rFonts w:hint="eastAsia" w:ascii="宋体" w:hAnsi="宋体" w:eastAsia="宋体" w:cs="宋体"/>
          <w:color w:val="auto"/>
          <w:sz w:val="24"/>
          <w:szCs w:val="24"/>
          <w:highlight w:val="none"/>
        </w:rPr>
        <w:t>供应商应编制响应性文件并明确标明“正本”和“副本”“电子版”，响应性文件份数见磋商须知前附表。响应性文件正本和副本、电子版如有不一致之处，以正本为准。</w:t>
      </w:r>
    </w:p>
    <w:p w14:paraId="746607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14.2</w:t>
      </w:r>
      <w:r>
        <w:rPr>
          <w:rFonts w:hint="eastAsia" w:ascii="宋体" w:hAnsi="宋体" w:eastAsia="宋体" w:cs="宋体"/>
          <w:color w:val="auto"/>
          <w:sz w:val="24"/>
          <w:szCs w:val="24"/>
          <w:highlight w:val="none"/>
        </w:rPr>
        <w:t>响应性文件应用不褪色的材料书写或打印，并由磋商供应商的法定代表人或其委托代理人签字并盖单位章。委托代理人签字的，响应性文件应附法定代表人签署的授权委托书。响应性文件应尽量避免涂改、行间插字或删除。如果出现上述情况，改动之处应加盖单位章或由磋商供应商的法定代表人或其授权的代理人签字确认。</w:t>
      </w:r>
    </w:p>
    <w:p w14:paraId="22B925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14.3</w:t>
      </w:r>
      <w:r>
        <w:rPr>
          <w:rFonts w:hint="eastAsia" w:ascii="宋体" w:hAnsi="宋体" w:eastAsia="宋体" w:cs="宋体"/>
          <w:color w:val="auto"/>
          <w:sz w:val="24"/>
          <w:szCs w:val="24"/>
          <w:highlight w:val="none"/>
        </w:rPr>
        <w:t>响应性文件的正本与副本应分别胶装成册，并编制目录。</w:t>
      </w:r>
    </w:p>
    <w:p w14:paraId="2BBC3A8B">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五、响应性文件的递交</w:t>
      </w:r>
    </w:p>
    <w:p w14:paraId="7BC09328">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15、响应性文件的密封与标志</w:t>
      </w:r>
    </w:p>
    <w:p w14:paraId="2CB1E7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15.1</w:t>
      </w:r>
      <w:r>
        <w:rPr>
          <w:rFonts w:hint="eastAsia" w:ascii="宋体" w:hAnsi="宋体" w:eastAsia="宋体" w:cs="宋体"/>
          <w:color w:val="auto"/>
          <w:sz w:val="24"/>
          <w:szCs w:val="24"/>
          <w:highlight w:val="none"/>
        </w:rPr>
        <w:t>供应商应将响应性文件的正本和所有副本、电子版分别密封在三个密封袋中（正本一包，副本一包、电子版一包），并在密封袋上标明“正本”、“副本”“电子版”字样，封口处应加盖骑缝章。响应性文件按前附表所述的时间和地点递交。</w:t>
      </w:r>
    </w:p>
    <w:p w14:paraId="383DE8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15.2</w:t>
      </w:r>
      <w:r>
        <w:rPr>
          <w:rFonts w:hint="eastAsia" w:ascii="宋体" w:hAnsi="宋体" w:eastAsia="宋体" w:cs="宋体"/>
          <w:color w:val="auto"/>
          <w:sz w:val="24"/>
          <w:szCs w:val="24"/>
          <w:highlight w:val="none"/>
        </w:rPr>
        <w:t>密封袋上须注明：</w:t>
      </w:r>
    </w:p>
    <w:p w14:paraId="1BBD62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标明正/副本/电子版</w:t>
      </w:r>
    </w:p>
    <w:p w14:paraId="7A3D91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14:paraId="764743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响应人名称：</w:t>
      </w:r>
    </w:p>
    <w:p w14:paraId="44A396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（项目名称）响应文件</w:t>
      </w:r>
    </w:p>
    <w:p w14:paraId="7A39AB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在   年  月  日  时  分前不得开启响应性文件</w:t>
      </w:r>
    </w:p>
    <w:p w14:paraId="100321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 xml:space="preserve">15.3 </w:t>
      </w:r>
      <w:r>
        <w:rPr>
          <w:rFonts w:hint="eastAsia" w:ascii="宋体" w:hAnsi="宋体" w:eastAsia="宋体" w:cs="宋体"/>
          <w:color w:val="auto"/>
          <w:sz w:val="24"/>
          <w:szCs w:val="24"/>
          <w:highlight w:val="none"/>
        </w:rPr>
        <w:t xml:space="preserve">未按 </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.1 和 </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.2 条规定书写标记和密封者，采购代理机构不对响应性文件被错放或先期启封负责。</w:t>
      </w:r>
      <w:bookmarkStart w:id="10" w:name="五、响应性文件的递交_"/>
      <w:bookmarkEnd w:id="10"/>
    </w:p>
    <w:p w14:paraId="64B8BCCD">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16、响应性文件递交截止时间</w:t>
      </w:r>
    </w:p>
    <w:p w14:paraId="5A8F1C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16.1</w:t>
      </w:r>
      <w:r>
        <w:rPr>
          <w:rFonts w:hint="eastAsia" w:ascii="宋体" w:hAnsi="宋体" w:eastAsia="宋体" w:cs="宋体"/>
          <w:color w:val="auto"/>
          <w:sz w:val="24"/>
          <w:szCs w:val="24"/>
          <w:highlight w:val="none"/>
        </w:rPr>
        <w:t>响应性文件的截止日期见磋商须知前附表。</w:t>
      </w:r>
    </w:p>
    <w:p w14:paraId="5B1F6B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16.2</w:t>
      </w:r>
      <w:r>
        <w:rPr>
          <w:rFonts w:hint="eastAsia" w:ascii="宋体" w:hAnsi="宋体" w:eastAsia="宋体" w:cs="宋体"/>
          <w:color w:val="auto"/>
          <w:sz w:val="24"/>
          <w:szCs w:val="24"/>
          <w:highlight w:val="none"/>
        </w:rPr>
        <w:t>采购代理机构可以按本须知规定的以补充通知的方式，酌情延长递交响应性文件的截止日期。在上述情况下，采购人与供应商以前在供应商截止期方面的全部权利、责任和义务，将适用于延长后新的磋商截止期。</w:t>
      </w:r>
    </w:p>
    <w:p w14:paraId="0FB96B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16.3</w:t>
      </w:r>
      <w:r>
        <w:rPr>
          <w:rFonts w:hint="eastAsia" w:ascii="宋体" w:hAnsi="宋体" w:eastAsia="宋体" w:cs="宋体"/>
          <w:color w:val="auto"/>
          <w:sz w:val="24"/>
          <w:szCs w:val="24"/>
          <w:highlight w:val="none"/>
        </w:rPr>
        <w:t>迟交的响应性文件</w:t>
      </w:r>
    </w:p>
    <w:p w14:paraId="3E642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在响应性文件递交截止时间后递交的响应性文件，采购人将拒绝接受。</w:t>
      </w:r>
    </w:p>
    <w:p w14:paraId="7D0DEE45">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17、响应性文件的修改与撤回</w:t>
      </w:r>
    </w:p>
    <w:p w14:paraId="2543E6F4">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17.1供应商可以在递交响应性文件以后，在规定的磋商截止时间之前，可以书面形式向采购人或采购代理机构递交修改或撤回其响应性文件的通知。在磋商截止时间以后，不能更改响应性文件。</w:t>
      </w:r>
    </w:p>
    <w:p w14:paraId="7FA900DD">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17.2供应商的修改或撤回通知，应按本须知的规定编制、密封、标志和递交（在包封上标明“修改”或“撤回”字样）。</w:t>
      </w:r>
      <w:bookmarkStart w:id="11" w:name="六、磋商"/>
      <w:bookmarkEnd w:id="11"/>
    </w:p>
    <w:p w14:paraId="25F3D4E8">
      <w:pPr>
        <w:pStyle w:val="37"/>
        <w:tabs>
          <w:tab w:val="left" w:pos="1451"/>
        </w:tabs>
        <w:spacing w:before="60" w:line="271" w:lineRule="auto"/>
        <w:ind w:left="440" w:leftChars="200" w:right="490" w:firstLin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六、磋商和评审</w:t>
      </w:r>
    </w:p>
    <w:p w14:paraId="25B5EBAB">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18、磋商</w:t>
      </w:r>
    </w:p>
    <w:p w14:paraId="44835840">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.1磋商轮数：由磋商小组根据磋商现场的实际情况确定。</w:t>
      </w:r>
    </w:p>
    <w:p w14:paraId="0695AB6F">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.2磋商小组所有成员应当集中与单一供应商分别进行磋商，并给予所有参加磋商的供应商平等的磋商机会。</w:t>
      </w:r>
    </w:p>
    <w:p w14:paraId="006C7111">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.3在磋商过程中，磋商小组可以根据磋商文件和磋商情况实质性变动采购需求中的技术、服务要求以及合同草案条款，但不得变动磋商文件中的其他内容。实质性变动的内容，须经采购人代表确认。</w:t>
      </w:r>
    </w:p>
    <w:p w14:paraId="499A7AF5">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对磋商文件作出的实质性变动是磋商文件的有效组成部分，磋商小组应当及时以书面形式同时通知所有参加磋商的供应商。</w:t>
      </w:r>
    </w:p>
    <w:p w14:paraId="227E0A21">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供应商应当按照磋商文件的变动情况和磋商小组的要求重新提交响应文件，并由其法定代表人或授权代表签字或者加盖公章。</w:t>
      </w:r>
    </w:p>
    <w:p w14:paraId="39002F2B">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.4最后报价</w:t>
      </w:r>
    </w:p>
    <w:p w14:paraId="0F120F8C">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.4.1磋商结束后，磋商小组应当要求所有参加磋商的供应商在规定时间内进行最后报价。</w:t>
      </w:r>
    </w:p>
    <w:p w14:paraId="5FE081D1">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.4.2请供应商自行提前准备最后报价表[最后总报价及最后分项（如果项目需求中有分项的话）报价]，最后报价限时10分钟，如未按时报价者以第一轮报价为准；</w:t>
      </w:r>
    </w:p>
    <w:p w14:paraId="2E06B735">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.4.3最后报价是供应商响应文件的有效组成部分。</w:t>
      </w:r>
    </w:p>
    <w:p w14:paraId="314E000F">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.5 可以继续进行情形</w:t>
      </w:r>
    </w:p>
    <w:p w14:paraId="413894BA">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.5.1符合《政府采购竞争性磋商采购方式管理暂行办法》（财库【2014】214号）第三条第四条情形的，提交最后报价的供应商可以为2家。</w:t>
      </w:r>
    </w:p>
    <w:p w14:paraId="6FD9F7F8">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.5.2采购竞争性磋商采购方式的政府购买服务项目（含政府和社会资本合作项目），在采购过程中符合要求的供应商（社会资本）只有2家的，竞争性磋商采购活动可以继续进行。</w:t>
      </w:r>
    </w:p>
    <w:p w14:paraId="0127BF47">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19、磋商小组</w:t>
      </w:r>
    </w:p>
    <w:p w14:paraId="1A70C568">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参照《政府采购法》的规定，</w:t>
      </w:r>
      <w:r>
        <w:rPr>
          <w:rFonts w:hint="eastAsia" w:ascii="宋体" w:hAnsi="宋体" w:eastAsia="宋体" w:cs="宋体"/>
          <w:color w:val="auto"/>
          <w:sz w:val="24"/>
          <w:szCs w:val="24"/>
          <w:highlight w:val="none"/>
          <w:lang w:val="en-US" w:eastAsia="zh-CN"/>
        </w:rPr>
        <w:t>磋商小组由</w:t>
      </w:r>
      <w:r>
        <w:rPr>
          <w:rFonts w:hint="eastAsia" w:ascii="宋体" w:hAnsi="宋体" w:eastAsia="宋体" w:cs="宋体"/>
          <w:color w:val="auto"/>
          <w:sz w:val="24"/>
          <w:szCs w:val="24"/>
          <w:highlight w:val="none"/>
          <w:lang w:val="en-US"/>
        </w:rPr>
        <w:t>采购人代表 1 人</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rPr>
        <w:t>技术、经济等方面专家 2 人</w:t>
      </w:r>
      <w:r>
        <w:rPr>
          <w:rFonts w:hint="eastAsia" w:ascii="宋体" w:hAnsi="宋体" w:eastAsia="宋体" w:cs="宋体"/>
          <w:color w:val="auto"/>
          <w:sz w:val="24"/>
          <w:szCs w:val="24"/>
          <w:highlight w:val="none"/>
          <w:lang w:val="en-US" w:eastAsia="zh-CN"/>
        </w:rPr>
        <w:t>组成，</w:t>
      </w:r>
      <w:r>
        <w:rPr>
          <w:rFonts w:hint="eastAsia" w:ascii="宋体" w:hAnsi="宋体" w:eastAsia="宋体" w:cs="宋体"/>
          <w:color w:val="auto"/>
          <w:sz w:val="24"/>
          <w:szCs w:val="24"/>
          <w:highlight w:val="none"/>
          <w:lang w:val="en-US"/>
        </w:rPr>
        <w:t>专家确定方式：随机抽取。</w:t>
      </w:r>
    </w:p>
    <w:p w14:paraId="271A5CAF">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20、磋商内容的保密</w:t>
      </w:r>
    </w:p>
    <w:p w14:paraId="01196614">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20.1磋商结束后，凡属于审查、澄清、评价和比较磋商文件的有关资料，和有关授予合同的信息，都不应向供应商或与该过程无关的其他人泄露。</w:t>
      </w:r>
    </w:p>
    <w:p w14:paraId="300CBE33">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20.2在响应性文件的审查、澄清、评价和比较以及授予合同的过程中，供应商对采购人、磋商小组成员施加影响的任何行为，都将导致取消磋商资格。</w:t>
      </w:r>
    </w:p>
    <w:p w14:paraId="337E2B95">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20.3采购人和磋商小组不向未成交的磋商供应商解释未成交原因，也不对磋商过程中的细节问题进行公布。</w:t>
      </w:r>
    </w:p>
    <w:p w14:paraId="3C4C8BE2">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21、响应性文件的澄清</w:t>
      </w:r>
    </w:p>
    <w:p w14:paraId="65826190">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21.1为了有助于响应性文件的审查、评价和比较，磋商小组可以要求供应商澄清其响应性文件。有关澄清的要求与答复，应以书面形式进行，由其授权的代表签字，磋商供应商的书面澄清材料作为响应性文件的补充，但不允许更改供应商报价或磋商的实质性内容。但是按照本须知第 22 条规定校核时发现的算术错误不在此列。</w:t>
      </w:r>
    </w:p>
    <w:p w14:paraId="7C7A0D95">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21.2磋商供应商不按磋商小组规定的时间和地点作书面澄清，将视为放弃该权利。</w:t>
      </w:r>
    </w:p>
    <w:p w14:paraId="3B8F751F">
      <w:pPr>
        <w:spacing w:line="360" w:lineRule="auto"/>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22、响应性文件的审查</w:t>
      </w:r>
    </w:p>
    <w:p w14:paraId="2286EA81">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22.1在详细磋商之前，磋商小组将首先审定每份响应性文件是否在实质上响应了竞争性磋商文件的要求。</w:t>
      </w:r>
    </w:p>
    <w:p w14:paraId="5FC3C0CD">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22.2就本条款而言，实质上响应要求的响应性文件，应该与竞争性磋商文件的所有规定要求、条件、条款和规范相符，无显著差异或保留。所谓显著差异或保留是指对本项目的采购范围、技术参数、质量要求、履约时间、履约地点、投标有效期等实质性内容未响应；或者对合同中规定的采购人的权力及采购人的责任造成实质性限制；而且纠正这种差异或保留，将会对其他实质上响应要求的供应商的竞争地位产生不公正的影响。</w:t>
      </w:r>
    </w:p>
    <w:p w14:paraId="676FB8CB">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22.3.磋商小组判断响应性文件的响应性仅靠响应性文件本身而不靠外部证据。</w:t>
      </w:r>
    </w:p>
    <w:p w14:paraId="1FE2BD2A">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22.4如果响应性文件实质上不响应竞争性磋商文件要求，磋商小组将予以拒绝，并且不允许通过修正或撤消其不符合要求的差异或保留，使之成为具有响应性的供应商。</w:t>
      </w:r>
    </w:p>
    <w:p w14:paraId="3F1B4709">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22.5供应商有以下情形之一的，磋商小组可取消其磋商资格：</w:t>
      </w:r>
    </w:p>
    <w:p w14:paraId="70783BC3">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22.5.1逾期送达的；</w:t>
      </w:r>
    </w:p>
    <w:p w14:paraId="3BA2F3D8">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22.5.2未按照竞争性磋商文件要求密封的；</w:t>
      </w:r>
    </w:p>
    <w:p w14:paraId="5FD9442D">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22.5.3磋商供应商法定代表人或委托代理人不参加磋商会的；</w:t>
      </w:r>
    </w:p>
    <w:p w14:paraId="548B04CD">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22.5.4未按照要求加盖单位公章和无法定代表人或委托代理人签章的；</w:t>
      </w:r>
    </w:p>
    <w:p w14:paraId="6E60CA0A">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22.5.5未按照规定的格式填写，内容不全，关键字模糊不清的；</w:t>
      </w:r>
    </w:p>
    <w:p w14:paraId="66C83FFA">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22.5.6 磋商供应商资格不符合国家有关规定或竞争性磋商文件要求的；</w:t>
      </w:r>
    </w:p>
    <w:p w14:paraId="5C218CB1">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22.5.7没有提供有效的营业执照；</w:t>
      </w:r>
    </w:p>
    <w:p w14:paraId="18713022">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22.5.8存在重大偏差或实质上的不响应；</w:t>
      </w:r>
    </w:p>
    <w:p w14:paraId="1A3605A2">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22.5.9违反国家强制性标准的；</w:t>
      </w:r>
    </w:p>
    <w:p w14:paraId="63A97101">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22.5.10以他人名义磋商、串标、弄虚作假的；</w:t>
      </w:r>
    </w:p>
    <w:p w14:paraId="02FEEC60">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22.5.11超过磋商控制价的；</w:t>
      </w:r>
    </w:p>
    <w:p w14:paraId="0185D0B1">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22.5.12 采用活页装订的。</w:t>
      </w:r>
    </w:p>
    <w:p w14:paraId="4467A3DD">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23、错误的修正</w:t>
      </w:r>
    </w:p>
    <w:p w14:paraId="06E8900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23.1磋商小组将对确定为实质上响应竞争性磋商文件要求的响应性文件进行校核，看其是否有计算上或累计上的算术错误，修正错误的原则如下：</w:t>
      </w:r>
    </w:p>
    <w:p w14:paraId="338BE77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23.2磋商时，响应性文件中磋商一览表(报价表)内容与响应性文件中明细表内容不一致的，以磋商一览表(报价表)为准；</w:t>
      </w:r>
    </w:p>
    <w:p w14:paraId="3F22FBE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23.3响应性文件的大写金额和小写金额不一致的，以大写金额为准；</w:t>
      </w:r>
    </w:p>
    <w:p w14:paraId="73BFF52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23.4总价金额与按单价汇总金额不一致的，以单价金额计算结果为准；</w:t>
      </w:r>
    </w:p>
    <w:p w14:paraId="773181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23.5单价金额小数点有明显错位的，应以总价为准，并修改单价；</w:t>
      </w:r>
    </w:p>
    <w:p w14:paraId="7B6DE0F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23.6对不同文字文本响应性文件的解释发生异议的，以中文文本为准；</w:t>
      </w:r>
    </w:p>
    <w:p w14:paraId="03BF65D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23.7按上述修改错误的方法，调整响应性文件中的磋商报价。经供应商确认同意后，调</w:t>
      </w:r>
    </w:p>
    <w:p w14:paraId="774B3E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整后的报价对供应商起约束作用。如果供应商不接受修正后的供应商报价则其供应商将被拒绝，视同未实质性响应采购文件。</w:t>
      </w:r>
    </w:p>
    <w:p w14:paraId="3B9A574F">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磋商标准和方法（见第</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rPr>
        <w:t>章）</w:t>
      </w:r>
    </w:p>
    <w:p w14:paraId="53DC179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七、合同授予</w:t>
      </w:r>
    </w:p>
    <w:p w14:paraId="662E0221">
      <w:pPr>
        <w:pStyle w:val="37"/>
        <w:keepNext w:val="0"/>
        <w:keepLines w:val="0"/>
        <w:pageBreakBefore w:val="0"/>
        <w:widowControl w:val="0"/>
        <w:tabs>
          <w:tab w:val="left" w:pos="1393"/>
        </w:tabs>
        <w:kinsoku/>
        <w:wordWrap/>
        <w:overflowPunct/>
        <w:topLinePunct w:val="0"/>
        <w:autoSpaceDE w:val="0"/>
        <w:autoSpaceDN w:val="0"/>
        <w:bidi w:val="0"/>
        <w:adjustRightInd/>
        <w:snapToGrid/>
        <w:spacing w:before="0" w:line="360" w:lineRule="auto"/>
        <w:ind w:left="0"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25、定标方式</w:t>
      </w:r>
    </w:p>
    <w:p w14:paraId="27034CE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bookmarkStart w:id="12" w:name="七、合同授予"/>
      <w:bookmarkEnd w:id="12"/>
      <w:r>
        <w:rPr>
          <w:rFonts w:hint="eastAsia" w:ascii="宋体" w:hAnsi="宋体" w:eastAsia="宋体" w:cs="宋体"/>
          <w:color w:val="auto"/>
          <w:sz w:val="24"/>
          <w:szCs w:val="24"/>
          <w:highlight w:val="none"/>
          <w:lang w:val="en-US"/>
        </w:rPr>
        <w:t>采购人依据磋商小组推荐的中标（成交）候选人确定中标（成交）人，磋商小组推荐3 名中标（成交）候选人。</w:t>
      </w:r>
    </w:p>
    <w:p w14:paraId="64FF4FC0">
      <w:pPr>
        <w:pStyle w:val="37"/>
        <w:keepNext w:val="0"/>
        <w:keepLines w:val="0"/>
        <w:pageBreakBefore w:val="0"/>
        <w:widowControl w:val="0"/>
        <w:tabs>
          <w:tab w:val="left" w:pos="1393"/>
        </w:tabs>
        <w:kinsoku/>
        <w:wordWrap/>
        <w:overflowPunct/>
        <w:topLinePunct w:val="0"/>
        <w:autoSpaceDE w:val="0"/>
        <w:autoSpaceDN w:val="0"/>
        <w:bidi w:val="0"/>
        <w:adjustRightInd/>
        <w:snapToGrid/>
        <w:spacing w:before="0" w:line="360" w:lineRule="auto"/>
        <w:ind w:left="0"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26、中标（成交）通知书</w:t>
      </w:r>
    </w:p>
    <w:p w14:paraId="0EF9D03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26.1确定中标（成交）人后，将结果公布，并由采购人签发《中标（成交）通知书》，成交供应商应于《中标（成交）通知书》签发之日起七日内及时领取《中标（成交） 通知书》；</w:t>
      </w:r>
    </w:p>
    <w:p w14:paraId="4A4D4B3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26.2中标（成交）通知书对采购人和成交供应商均具有法律效力。中标（成交）通知书发出后，采购人改变成交结果的，或者中标（成交）供应商放弃成交项目的，应当依法承担法律责任。</w:t>
      </w:r>
    </w:p>
    <w:p w14:paraId="3704B97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26.3采购文件、澄清文件（如有）、修改文件（如有）、响应文件、中标（成交）通知书将作为合同的组成部分，明确采购人对中标（成交）人按合同履行项目的支付总额（以下及在合同条款中称之为“合同价格”）；</w:t>
      </w:r>
    </w:p>
    <w:p w14:paraId="263A45D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26.4对参与本次采购所提交的响应性文件和资料，采购代理机构将不予退还。</w:t>
      </w:r>
    </w:p>
    <w:p w14:paraId="04219DED">
      <w:pPr>
        <w:pStyle w:val="37"/>
        <w:keepNext w:val="0"/>
        <w:keepLines w:val="0"/>
        <w:pageBreakBefore w:val="0"/>
        <w:widowControl w:val="0"/>
        <w:tabs>
          <w:tab w:val="left" w:pos="1393"/>
        </w:tabs>
        <w:kinsoku/>
        <w:wordWrap/>
        <w:overflowPunct/>
        <w:topLinePunct w:val="0"/>
        <w:autoSpaceDE w:val="0"/>
        <w:autoSpaceDN w:val="0"/>
        <w:bidi w:val="0"/>
        <w:adjustRightInd/>
        <w:snapToGrid/>
        <w:spacing w:before="0" w:line="360" w:lineRule="auto"/>
        <w:ind w:left="0"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27.合同协议书的签署</w:t>
      </w:r>
    </w:p>
    <w:p w14:paraId="4339155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27.1 中标（成交）人在收到通知书后 5 日内，在采购人指定的地点进行合同协议书的签署因中标（成交）人原因给采购人造成损失的，中标（成交）人还应承担赔偿责任；</w:t>
      </w:r>
    </w:p>
    <w:p w14:paraId="06176E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27.2 采购人签发的中标（成交）通知书、竞争性磋商文件、中标（成交）人的响应性文件及其澄清文件等，均为签订合同的依据。</w:t>
      </w:r>
    </w:p>
    <w:p w14:paraId="574B309A">
      <w:pPr>
        <w:spacing w:line="360" w:lineRule="auto"/>
        <w:ind w:firstLine="480" w:firstLineChars="200"/>
        <w:rPr>
          <w:rFonts w:hint="eastAsia" w:ascii="宋体" w:hAnsi="宋体" w:eastAsia="宋体" w:cs="宋体"/>
          <w:color w:val="auto"/>
          <w:sz w:val="24"/>
          <w:szCs w:val="24"/>
          <w:highlight w:val="none"/>
          <w:lang w:val="en-US"/>
        </w:rPr>
      </w:pPr>
    </w:p>
    <w:p w14:paraId="75C525E2">
      <w:pPr>
        <w:spacing w:line="360" w:lineRule="auto"/>
        <w:ind w:firstLine="480" w:firstLineChars="200"/>
        <w:rPr>
          <w:rFonts w:hint="eastAsia" w:ascii="宋体" w:hAnsi="宋体" w:eastAsia="宋体" w:cs="宋体"/>
          <w:color w:val="auto"/>
          <w:sz w:val="24"/>
          <w:szCs w:val="24"/>
          <w:highlight w:val="none"/>
          <w:lang w:val="en-US"/>
        </w:rPr>
      </w:pPr>
    </w:p>
    <w:p w14:paraId="316DEE33">
      <w:pPr>
        <w:spacing w:line="360" w:lineRule="auto"/>
        <w:ind w:firstLine="480" w:firstLineChars="200"/>
        <w:rPr>
          <w:rFonts w:hint="eastAsia" w:ascii="宋体" w:hAnsi="宋体" w:eastAsia="宋体" w:cs="宋体"/>
          <w:color w:val="auto"/>
          <w:sz w:val="24"/>
          <w:szCs w:val="24"/>
          <w:highlight w:val="none"/>
          <w:lang w:val="en-US"/>
        </w:rPr>
      </w:pPr>
    </w:p>
    <w:p w14:paraId="5E7BA425">
      <w:pPr>
        <w:spacing w:line="360" w:lineRule="auto"/>
        <w:ind w:firstLine="480" w:firstLineChars="200"/>
        <w:rPr>
          <w:rFonts w:hint="eastAsia" w:ascii="宋体" w:hAnsi="宋体" w:eastAsia="宋体" w:cs="宋体"/>
          <w:color w:val="auto"/>
          <w:sz w:val="24"/>
          <w:szCs w:val="24"/>
          <w:highlight w:val="none"/>
          <w:lang w:val="en-US"/>
        </w:rPr>
      </w:pPr>
    </w:p>
    <w:p w14:paraId="01F13048">
      <w:pPr>
        <w:spacing w:line="360" w:lineRule="auto"/>
        <w:ind w:firstLine="480" w:firstLineChars="200"/>
        <w:rPr>
          <w:rFonts w:hint="eastAsia" w:ascii="宋体" w:hAnsi="宋体" w:eastAsia="宋体" w:cs="宋体"/>
          <w:color w:val="auto"/>
          <w:sz w:val="24"/>
          <w:szCs w:val="24"/>
          <w:highlight w:val="none"/>
          <w:lang w:val="en-US"/>
        </w:rPr>
      </w:pPr>
    </w:p>
    <w:p w14:paraId="7DB6319D">
      <w:pPr>
        <w:spacing w:line="360" w:lineRule="auto"/>
        <w:ind w:firstLine="480" w:firstLineChars="200"/>
        <w:rPr>
          <w:rFonts w:hint="eastAsia" w:ascii="宋体" w:hAnsi="宋体" w:eastAsia="宋体" w:cs="宋体"/>
          <w:color w:val="auto"/>
          <w:sz w:val="24"/>
          <w:szCs w:val="24"/>
          <w:highlight w:val="none"/>
          <w:lang w:val="en-US"/>
        </w:rPr>
      </w:pPr>
    </w:p>
    <w:p w14:paraId="794825CE">
      <w:pPr>
        <w:spacing w:line="360" w:lineRule="auto"/>
        <w:ind w:firstLine="480" w:firstLineChars="200"/>
        <w:rPr>
          <w:rFonts w:hint="eastAsia" w:ascii="宋体" w:hAnsi="宋体" w:eastAsia="宋体" w:cs="宋体"/>
          <w:color w:val="auto"/>
          <w:sz w:val="24"/>
          <w:szCs w:val="24"/>
          <w:highlight w:val="none"/>
          <w:lang w:val="en-US"/>
        </w:rPr>
      </w:pPr>
    </w:p>
    <w:p w14:paraId="24DAC765">
      <w:pPr>
        <w:spacing w:line="360" w:lineRule="auto"/>
        <w:ind w:firstLine="480" w:firstLineChars="200"/>
        <w:rPr>
          <w:rFonts w:hint="eastAsia" w:ascii="宋体" w:hAnsi="宋体" w:eastAsia="宋体" w:cs="宋体"/>
          <w:color w:val="auto"/>
          <w:sz w:val="24"/>
          <w:szCs w:val="24"/>
          <w:highlight w:val="none"/>
          <w:lang w:val="en-US"/>
        </w:rPr>
      </w:pPr>
    </w:p>
    <w:p w14:paraId="4FE0F753">
      <w:pPr>
        <w:spacing w:line="360" w:lineRule="auto"/>
        <w:ind w:firstLine="440" w:firstLineChars="200"/>
        <w:rPr>
          <w:rFonts w:hint="eastAsia" w:ascii="宋体" w:hAnsi="宋体" w:eastAsia="宋体" w:cs="宋体"/>
          <w:color w:val="auto"/>
          <w:highlight w:val="none"/>
        </w:rPr>
      </w:pPr>
    </w:p>
    <w:p w14:paraId="293F7877">
      <w:pPr>
        <w:spacing w:line="360" w:lineRule="auto"/>
        <w:ind w:firstLine="440" w:firstLineChars="200"/>
        <w:rPr>
          <w:rFonts w:hint="eastAsia" w:ascii="宋体" w:hAnsi="宋体" w:eastAsia="宋体" w:cs="宋体"/>
          <w:color w:val="auto"/>
          <w:highlight w:val="none"/>
        </w:rPr>
      </w:pPr>
    </w:p>
    <w:p w14:paraId="139F72E6">
      <w:pPr>
        <w:spacing w:line="360" w:lineRule="auto"/>
        <w:ind w:firstLine="440" w:firstLineChars="200"/>
        <w:rPr>
          <w:rFonts w:hint="eastAsia" w:ascii="宋体" w:hAnsi="宋体" w:eastAsia="宋体" w:cs="宋体"/>
          <w:color w:val="auto"/>
          <w:highlight w:val="none"/>
        </w:rPr>
      </w:pPr>
    </w:p>
    <w:p w14:paraId="3988AACC">
      <w:pPr>
        <w:spacing w:line="360" w:lineRule="auto"/>
        <w:ind w:firstLine="440" w:firstLineChars="200"/>
        <w:rPr>
          <w:rFonts w:hint="eastAsia" w:ascii="宋体" w:hAnsi="宋体" w:eastAsia="宋体" w:cs="宋体"/>
          <w:color w:val="auto"/>
          <w:highlight w:val="none"/>
        </w:rPr>
      </w:pPr>
    </w:p>
    <w:p w14:paraId="7A923086">
      <w:pPr>
        <w:pStyle w:val="21"/>
        <w:ind w:left="0" w:leftChars="0" w:firstLine="0" w:firstLineChars="0"/>
        <w:rPr>
          <w:rFonts w:hint="eastAsia" w:ascii="宋体" w:hAnsi="宋体" w:eastAsia="宋体" w:cs="宋体"/>
          <w:color w:val="auto"/>
          <w:highlight w:val="none"/>
        </w:rPr>
      </w:pPr>
    </w:p>
    <w:p w14:paraId="28D45E6C">
      <w:pPr>
        <w:keepNext w:val="0"/>
        <w:keepLines w:val="0"/>
        <w:pageBreakBefore/>
        <w:widowControl w:val="0"/>
        <w:tabs>
          <w:tab w:val="left" w:pos="1260"/>
        </w:tabs>
        <w:kinsoku/>
        <w:wordWrap/>
        <w:overflowPunct/>
        <w:topLinePunct w:val="0"/>
        <w:autoSpaceDE w:val="0"/>
        <w:autoSpaceDN w:val="0"/>
        <w:bidi w:val="0"/>
        <w:adjustRightInd w:val="0"/>
        <w:snapToGrid/>
        <w:spacing w:line="360" w:lineRule="auto"/>
        <w:contextualSpacing/>
        <w:jc w:val="center"/>
        <w:textAlignment w:val="auto"/>
        <w:rPr>
          <w:rFonts w:hint="eastAsia" w:ascii="宋体" w:hAnsi="宋体" w:eastAsia="宋体" w:cs="宋体"/>
          <w:b/>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"_bookmark2"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章 评审程序、方法及标准</w:t>
      </w:r>
      <w:r>
        <w:rPr>
          <w:rFonts w:hint="eastAsia" w:ascii="宋体" w:hAnsi="宋体" w:eastAsia="宋体" w:cs="宋体"/>
          <w:b/>
          <w:color w:val="auto"/>
          <w:sz w:val="32"/>
          <w:szCs w:val="32"/>
          <w:highlight w:val="none"/>
        </w:rPr>
        <w:fldChar w:fldCharType="end"/>
      </w:r>
    </w:p>
    <w:p w14:paraId="2354449A">
      <w:pPr>
        <w:tabs>
          <w:tab w:val="left" w:pos="1260"/>
        </w:tabs>
        <w:adjustRightInd w:val="0"/>
        <w:spacing w:line="360" w:lineRule="auto"/>
        <w:contextualSpacing/>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一、资格审查</w:t>
      </w:r>
    </w:p>
    <w:p w14:paraId="468C72BA">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（一）开标结束后，磋商小组依法对投标人资格进行审查。确定符合资格的投标人不少于3家的，将组织评标委员会进行评标。</w:t>
      </w:r>
    </w:p>
    <w:p w14:paraId="6A1F78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（二）资格证明材料（本栏所列内容为本项目的资格审查条件，如有一项不符合要求，则不能进入下一步评审）。</w:t>
      </w:r>
    </w:p>
    <w:p w14:paraId="3B8FFA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（三）资格审查中所涉及到的证书及材料，均须在投标文件中提供原件扫描件（或图片）。</w:t>
      </w:r>
    </w:p>
    <w:tbl>
      <w:tblPr>
        <w:tblStyle w:val="2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087"/>
      </w:tblGrid>
      <w:tr w14:paraId="5BCB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29452B1">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694" w:type="dxa"/>
            <w:tcBorders>
              <w:top w:val="single" w:color="auto" w:sz="4" w:space="0"/>
              <w:left w:val="nil"/>
              <w:bottom w:val="single" w:color="auto" w:sz="4" w:space="0"/>
              <w:right w:val="single" w:color="auto" w:sz="4" w:space="0"/>
            </w:tcBorders>
            <w:vAlign w:val="center"/>
          </w:tcPr>
          <w:p w14:paraId="687316D5">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资格审查因素</w:t>
            </w:r>
          </w:p>
        </w:tc>
        <w:tc>
          <w:tcPr>
            <w:tcW w:w="6087" w:type="dxa"/>
            <w:tcBorders>
              <w:top w:val="single" w:color="auto" w:sz="4" w:space="0"/>
              <w:left w:val="nil"/>
              <w:bottom w:val="single" w:color="auto" w:sz="4" w:space="0"/>
              <w:right w:val="single" w:color="auto" w:sz="4" w:space="0"/>
            </w:tcBorders>
            <w:vAlign w:val="center"/>
          </w:tcPr>
          <w:p w14:paraId="01412217">
            <w:pPr>
              <w:adjustRightInd w:val="0"/>
              <w:snapToGrid w:val="0"/>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说明与要求</w:t>
            </w:r>
          </w:p>
        </w:tc>
      </w:tr>
      <w:tr w14:paraId="1415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5CCAD20">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2694" w:type="dxa"/>
            <w:tcBorders>
              <w:top w:val="single" w:color="auto" w:sz="4" w:space="0"/>
              <w:left w:val="nil"/>
              <w:bottom w:val="single" w:color="auto" w:sz="4" w:space="0"/>
              <w:right w:val="single" w:color="auto" w:sz="4" w:space="0"/>
            </w:tcBorders>
            <w:vAlign w:val="center"/>
          </w:tcPr>
          <w:p w14:paraId="7F9C932F">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投标函</w:t>
            </w:r>
          </w:p>
        </w:tc>
        <w:tc>
          <w:tcPr>
            <w:tcW w:w="6087" w:type="dxa"/>
            <w:tcBorders>
              <w:top w:val="single" w:color="auto" w:sz="4" w:space="0"/>
              <w:left w:val="nil"/>
              <w:bottom w:val="single" w:color="auto" w:sz="4" w:space="0"/>
              <w:right w:val="single" w:color="auto" w:sz="4" w:space="0"/>
            </w:tcBorders>
            <w:vAlign w:val="center"/>
          </w:tcPr>
          <w:p w14:paraId="10B3DD94">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参考招标文件格式填写</w:t>
            </w:r>
          </w:p>
        </w:tc>
      </w:tr>
      <w:tr w14:paraId="14E4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FB93174">
            <w:pPr>
              <w:adjustRightInd w:val="0"/>
              <w:snapToGri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p>
        </w:tc>
        <w:tc>
          <w:tcPr>
            <w:tcW w:w="2694" w:type="dxa"/>
            <w:tcBorders>
              <w:top w:val="single" w:color="auto" w:sz="4" w:space="0"/>
              <w:left w:val="nil"/>
              <w:bottom w:val="single" w:color="auto" w:sz="4" w:space="0"/>
              <w:right w:val="single" w:color="auto" w:sz="4" w:space="0"/>
            </w:tcBorders>
            <w:vAlign w:val="center"/>
          </w:tcPr>
          <w:p w14:paraId="3E7519CF">
            <w:pPr>
              <w:adjustRightInd w:val="0"/>
              <w:snapToGrid w:val="0"/>
              <w:spacing w:line="360" w:lineRule="auto"/>
              <w:ind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中小企业</w:t>
            </w:r>
          </w:p>
        </w:tc>
        <w:tc>
          <w:tcPr>
            <w:tcW w:w="6087" w:type="dxa"/>
            <w:tcBorders>
              <w:top w:val="single" w:color="auto" w:sz="4" w:space="0"/>
              <w:left w:val="nil"/>
              <w:bottom w:val="single" w:color="auto" w:sz="4" w:space="0"/>
              <w:right w:val="single" w:color="auto" w:sz="4" w:space="0"/>
            </w:tcBorders>
            <w:vAlign w:val="center"/>
          </w:tcPr>
          <w:p w14:paraId="2E3BE2C6">
            <w:pPr>
              <w:numPr>
                <w:ilvl w:val="0"/>
                <w:numId w:val="0"/>
              </w:num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 xml:space="preserve">中小企业出具《中小企业声明函》 </w:t>
            </w:r>
          </w:p>
          <w:p w14:paraId="08971444">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（2）残疾人福利性单位出具《残疾人福利企业声明函》</w:t>
            </w:r>
          </w:p>
          <w:p w14:paraId="52104CFE">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监狱企业提供由省级以上监狱管理局、戒毒管理局(含新疆生产建设兵团)出具的属于监狱企业的证明文件</w:t>
            </w:r>
          </w:p>
        </w:tc>
      </w:tr>
      <w:tr w14:paraId="53A7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8A1D163">
            <w:pPr>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2694" w:type="dxa"/>
            <w:tcBorders>
              <w:top w:val="single" w:color="auto" w:sz="4" w:space="0"/>
              <w:left w:val="nil"/>
              <w:bottom w:val="single" w:color="auto" w:sz="4" w:space="0"/>
              <w:right w:val="single" w:color="auto" w:sz="4" w:space="0"/>
            </w:tcBorders>
            <w:vAlign w:val="center"/>
          </w:tcPr>
          <w:p w14:paraId="7A2DFC79">
            <w:pPr>
              <w:pStyle w:val="38"/>
              <w:spacing w:before="129" w:line="360" w:lineRule="auto"/>
              <w:ind w:left="129" w:right="121"/>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鄢陵县政府采购</w:t>
            </w:r>
          </w:p>
          <w:p w14:paraId="6DA21CEF">
            <w:pPr>
              <w:pStyle w:val="38"/>
              <w:spacing w:line="360" w:lineRule="auto"/>
              <w:ind w:left="129" w:leftChars="0" w:right="121" w:right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供应商信用承诺函</w:t>
            </w:r>
          </w:p>
        </w:tc>
        <w:tc>
          <w:tcPr>
            <w:tcW w:w="6087" w:type="dxa"/>
            <w:tcBorders>
              <w:top w:val="single" w:color="auto" w:sz="4" w:space="0"/>
              <w:left w:val="nil"/>
              <w:bottom w:val="single" w:color="auto" w:sz="4" w:space="0"/>
              <w:right w:val="single" w:color="auto" w:sz="4" w:space="0"/>
            </w:tcBorders>
            <w:vAlign w:val="center"/>
          </w:tcPr>
          <w:p w14:paraId="705C14C9">
            <w:pPr>
              <w:adjustRightInd w:val="0"/>
              <w:snapToGrid w:val="0"/>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按照采购文件格式填写</w:t>
            </w:r>
          </w:p>
        </w:tc>
      </w:tr>
      <w:tr w14:paraId="70EF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75FE110">
            <w:pPr>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2694" w:type="dxa"/>
            <w:tcBorders>
              <w:top w:val="single" w:color="auto" w:sz="4" w:space="0"/>
              <w:left w:val="nil"/>
              <w:bottom w:val="single" w:color="auto" w:sz="4" w:space="0"/>
              <w:right w:val="single" w:color="auto" w:sz="4" w:space="0"/>
            </w:tcBorders>
            <w:vAlign w:val="top"/>
          </w:tcPr>
          <w:p w14:paraId="56DD394C">
            <w:pPr>
              <w:pStyle w:val="38"/>
              <w:rPr>
                <w:rFonts w:hint="eastAsia" w:ascii="宋体" w:hAnsi="宋体" w:eastAsia="宋体" w:cs="宋体"/>
                <w:b/>
                <w:color w:val="auto"/>
                <w:kern w:val="2"/>
                <w:sz w:val="24"/>
                <w:szCs w:val="24"/>
                <w:highlight w:val="none"/>
                <w:lang w:val="en-US" w:eastAsia="zh-CN" w:bidi="ar-SA"/>
              </w:rPr>
            </w:pPr>
          </w:p>
          <w:p w14:paraId="2EDE9DDA">
            <w:pPr>
              <w:pStyle w:val="38"/>
              <w:spacing w:before="146"/>
              <w:ind w:left="126" w:leftChars="0" w:right="121" w:right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磋商报价</w:t>
            </w:r>
          </w:p>
        </w:tc>
        <w:tc>
          <w:tcPr>
            <w:tcW w:w="6087" w:type="dxa"/>
            <w:tcBorders>
              <w:top w:val="single" w:color="auto" w:sz="4" w:space="0"/>
              <w:left w:val="nil"/>
              <w:bottom w:val="single" w:color="auto" w:sz="4" w:space="0"/>
              <w:right w:val="single" w:color="auto" w:sz="4" w:space="0"/>
            </w:tcBorders>
            <w:vAlign w:val="top"/>
          </w:tcPr>
          <w:p w14:paraId="1B184796">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响应报价是否超出</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文件中规定的预算金额，超出预算金额的投标无效。如投标人须知前附表规定最高限价，则超出预算金额和最高限价的投标无效。</w:t>
            </w:r>
          </w:p>
        </w:tc>
      </w:tr>
      <w:tr w14:paraId="0D8F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5" w:type="dxa"/>
            <w:tcBorders>
              <w:top w:val="single" w:color="auto" w:sz="4" w:space="0"/>
              <w:left w:val="single" w:color="auto" w:sz="4" w:space="0"/>
              <w:bottom w:val="single" w:color="auto" w:sz="4" w:space="0"/>
              <w:right w:val="single" w:color="auto" w:sz="4" w:space="0"/>
            </w:tcBorders>
            <w:vAlign w:val="center"/>
          </w:tcPr>
          <w:p w14:paraId="1547C7F4">
            <w:pPr>
              <w:adjustRightInd w:val="0"/>
              <w:snapToGri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p>
        </w:tc>
        <w:tc>
          <w:tcPr>
            <w:tcW w:w="2694" w:type="dxa"/>
            <w:tcBorders>
              <w:top w:val="single" w:color="auto" w:sz="4" w:space="0"/>
              <w:left w:val="nil"/>
              <w:bottom w:val="single" w:color="auto" w:sz="4" w:space="0"/>
              <w:right w:val="single" w:color="auto" w:sz="4" w:space="0"/>
            </w:tcBorders>
            <w:vAlign w:val="top"/>
          </w:tcPr>
          <w:p w14:paraId="5A0A4DC6">
            <w:pPr>
              <w:pStyle w:val="38"/>
              <w:spacing w:before="128"/>
              <w:ind w:left="129" w:leftChars="0" w:right="121" w:right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磋商承诺函</w:t>
            </w:r>
          </w:p>
        </w:tc>
        <w:tc>
          <w:tcPr>
            <w:tcW w:w="6087" w:type="dxa"/>
            <w:tcBorders>
              <w:top w:val="single" w:color="auto" w:sz="4" w:space="0"/>
              <w:left w:val="nil"/>
              <w:bottom w:val="single" w:color="auto" w:sz="4" w:space="0"/>
              <w:right w:val="single" w:color="auto" w:sz="4" w:space="0"/>
            </w:tcBorders>
            <w:vAlign w:val="top"/>
          </w:tcPr>
          <w:p w14:paraId="45EA61D4">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供应商以磋商承诺函的形式替代响应保证金。</w:t>
            </w:r>
          </w:p>
        </w:tc>
      </w:tr>
      <w:tr w14:paraId="15E0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8849C46">
            <w:pPr>
              <w:adjustRightInd w:val="0"/>
              <w:snapToGri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2694" w:type="dxa"/>
            <w:tcBorders>
              <w:top w:val="single" w:color="auto" w:sz="4" w:space="0"/>
              <w:left w:val="nil"/>
              <w:bottom w:val="single" w:color="auto" w:sz="4" w:space="0"/>
              <w:right w:val="single" w:color="auto" w:sz="4" w:space="0"/>
            </w:tcBorders>
            <w:vAlign w:val="top"/>
          </w:tcPr>
          <w:p w14:paraId="0CB3633F">
            <w:pPr>
              <w:pStyle w:val="38"/>
              <w:rPr>
                <w:rFonts w:hint="eastAsia" w:ascii="宋体" w:hAnsi="宋体" w:eastAsia="宋体" w:cs="宋体"/>
                <w:color w:val="auto"/>
                <w:sz w:val="24"/>
                <w:szCs w:val="24"/>
                <w:highlight w:val="none"/>
              </w:rPr>
            </w:pPr>
          </w:p>
          <w:p w14:paraId="668DAC2B">
            <w:pPr>
              <w:pStyle w:val="38"/>
              <w:spacing w:before="138"/>
              <w:ind w:left="129" w:leftChars="0" w:right="121" w:rightChars="0"/>
              <w:jc w:val="center"/>
              <w:rPr>
                <w:rFonts w:hint="eastAsia" w:ascii="宋体" w:hAnsi="宋体" w:eastAsia="宋体" w:cs="宋体"/>
                <w:bCs/>
                <w:color w:val="auto"/>
                <w:sz w:val="24"/>
                <w:szCs w:val="24"/>
                <w:highlight w:val="none"/>
              </w:rPr>
            </w:pPr>
            <w:r>
              <w:rPr>
                <w:rFonts w:hint="eastAsia" w:ascii="宋体" w:hAnsi="宋体" w:eastAsia="宋体" w:cs="宋体"/>
                <w:b/>
                <w:color w:val="auto"/>
                <w:kern w:val="2"/>
                <w:sz w:val="24"/>
                <w:szCs w:val="24"/>
                <w:highlight w:val="none"/>
                <w:lang w:val="en-US" w:eastAsia="zh-CN" w:bidi="ar-SA"/>
              </w:rPr>
              <w:t>联合体协议</w:t>
            </w:r>
          </w:p>
        </w:tc>
        <w:tc>
          <w:tcPr>
            <w:tcW w:w="6087" w:type="dxa"/>
            <w:tcBorders>
              <w:top w:val="single" w:color="auto" w:sz="4" w:space="0"/>
              <w:left w:val="nil"/>
              <w:bottom w:val="single" w:color="auto" w:sz="4" w:space="0"/>
              <w:right w:val="single" w:color="auto" w:sz="4" w:space="0"/>
            </w:tcBorders>
            <w:vAlign w:val="top"/>
          </w:tcPr>
          <w:p w14:paraId="5A6D4783">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文件接受联合体投标且</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为联合体的，</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应提供本协议；否则无须提供。</w:t>
            </w:r>
          </w:p>
        </w:tc>
      </w:tr>
      <w:tr w14:paraId="3194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37A9736">
            <w:pPr>
              <w:adjustRightInd w:val="0"/>
              <w:snapToGri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lang w:val="en-US" w:eastAsia="zh-CN"/>
              </w:rPr>
              <w:t>7</w:t>
            </w:r>
          </w:p>
        </w:tc>
        <w:tc>
          <w:tcPr>
            <w:tcW w:w="2694" w:type="dxa"/>
            <w:tcBorders>
              <w:top w:val="single" w:color="auto" w:sz="4" w:space="0"/>
              <w:left w:val="nil"/>
              <w:bottom w:val="single" w:color="auto" w:sz="4" w:space="0"/>
              <w:right w:val="single" w:color="auto" w:sz="4" w:space="0"/>
            </w:tcBorders>
            <w:vAlign w:val="top"/>
          </w:tcPr>
          <w:p w14:paraId="219B019A">
            <w:pPr>
              <w:pStyle w:val="38"/>
              <w:rPr>
                <w:rFonts w:hint="eastAsia" w:ascii="宋体" w:hAnsi="宋体" w:eastAsia="宋体" w:cs="宋体"/>
                <w:color w:val="auto"/>
                <w:sz w:val="24"/>
                <w:szCs w:val="24"/>
                <w:highlight w:val="none"/>
              </w:rPr>
            </w:pPr>
          </w:p>
          <w:p w14:paraId="615D0283">
            <w:pPr>
              <w:pStyle w:val="38"/>
              <w:rPr>
                <w:rFonts w:hint="eastAsia" w:ascii="宋体" w:hAnsi="宋体" w:eastAsia="宋体" w:cs="宋体"/>
                <w:color w:val="auto"/>
                <w:sz w:val="24"/>
                <w:szCs w:val="24"/>
                <w:highlight w:val="none"/>
              </w:rPr>
            </w:pPr>
          </w:p>
          <w:p w14:paraId="355A7D7D">
            <w:pPr>
              <w:pStyle w:val="38"/>
              <w:spacing w:before="128"/>
              <w:ind w:right="121" w:rightChars="0"/>
              <w:jc w:val="both"/>
              <w:rPr>
                <w:rFonts w:hint="eastAsia" w:ascii="宋体" w:hAnsi="宋体" w:eastAsia="宋体" w:cs="宋体"/>
                <w:b/>
                <w:color w:val="auto"/>
                <w:kern w:val="2"/>
                <w:sz w:val="24"/>
                <w:szCs w:val="24"/>
                <w:highlight w:val="none"/>
                <w:lang w:val="en-US" w:eastAsia="zh-CN" w:bidi="ar-SA"/>
              </w:rPr>
            </w:pPr>
          </w:p>
          <w:p w14:paraId="2D8A515D">
            <w:pPr>
              <w:pStyle w:val="38"/>
              <w:spacing w:before="128"/>
              <w:ind w:right="121" w:rightChars="0"/>
              <w:jc w:val="both"/>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供应商身份证明及授权</w:t>
            </w:r>
          </w:p>
        </w:tc>
        <w:tc>
          <w:tcPr>
            <w:tcW w:w="6087" w:type="dxa"/>
            <w:tcBorders>
              <w:top w:val="single" w:color="auto" w:sz="4" w:space="0"/>
              <w:left w:val="nil"/>
              <w:bottom w:val="single" w:color="auto" w:sz="4" w:space="0"/>
              <w:right w:val="single" w:color="auto" w:sz="4" w:space="0"/>
            </w:tcBorders>
            <w:vAlign w:val="top"/>
          </w:tcPr>
          <w:p w14:paraId="7E82D773">
            <w:pPr>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法定代表人身份证明或提供法定代表人授权委托书及被授权人身份证明。（法人投标提供）</w:t>
            </w:r>
          </w:p>
          <w:p w14:paraId="2744AABD">
            <w:pPr>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单位负责人身份证明或提供单位负责人授权委托书及被授权人身份证明。（非法人投标提供）</w:t>
            </w:r>
          </w:p>
          <w:p w14:paraId="3CF9B832">
            <w:pPr>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w:t>
            </w:r>
          </w:p>
          <w:p w14:paraId="5D9E4FD3">
            <w:pPr>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①企业（银行、保险、石油石化、电力、电信等行业除外）、事业单位和社会团体投标人以法人身份参加投标的，法定代表人应与实际提交的“营业执照等证明文件”载明的一致。</w:t>
            </w:r>
          </w:p>
          <w:p w14:paraId="3FAE852F">
            <w:pPr>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62DF72F">
            <w:pPr>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③投标人为自然人的，无需填写法定代表人授权书。</w:t>
            </w:r>
          </w:p>
        </w:tc>
      </w:tr>
    </w:tbl>
    <w:p w14:paraId="1FF11B9C">
      <w:pPr>
        <w:tabs>
          <w:tab w:val="left" w:pos="1260"/>
        </w:tabs>
        <w:adjustRightInd w:val="0"/>
        <w:spacing w:line="360" w:lineRule="auto"/>
        <w:contextualSpacing/>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二、评标</w:t>
      </w:r>
    </w:p>
    <w:p w14:paraId="674767F5">
      <w:pPr>
        <w:pStyle w:val="13"/>
        <w:spacing w:line="360" w:lineRule="auto"/>
        <w:ind w:firstLine="482" w:firstLineChars="200"/>
        <w:contextualSpacing/>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（一）评标方法</w:t>
      </w:r>
    </w:p>
    <w:p w14:paraId="1E4C3106">
      <w:pPr>
        <w:pStyle w:val="13"/>
        <w:spacing w:line="360" w:lineRule="auto"/>
        <w:ind w:firstLine="480" w:firstLineChars="200"/>
        <w:contextualSpacing/>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本项目采用综合评分法。</w:t>
      </w:r>
    </w:p>
    <w:p w14:paraId="7851EE1D">
      <w:pPr>
        <w:pStyle w:val="13"/>
        <w:spacing w:line="360" w:lineRule="auto"/>
        <w:ind w:firstLine="482" w:firstLineChars="200"/>
        <w:contextualSpacing/>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（二）磋商小组负责具体评标事务，并独立履行下列职责</w:t>
      </w:r>
    </w:p>
    <w:p w14:paraId="6DDAB742">
      <w:pPr>
        <w:pStyle w:val="13"/>
        <w:spacing w:line="360" w:lineRule="auto"/>
        <w:ind w:firstLine="482" w:firstLineChars="200"/>
        <w:contextualSpacing/>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1、审查、评价投标文件是否符合磋商文件的商务、技术等实质性要求；</w:t>
      </w:r>
    </w:p>
    <w:p w14:paraId="751086E5">
      <w:pPr>
        <w:pStyle w:val="13"/>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磋商小组对符合资格的投标人的投标文件进行符合性审查，以确定其是否满足磋商文件的商务、技术等实质性要求。</w:t>
      </w:r>
    </w:p>
    <w:p w14:paraId="17F80A19">
      <w:pPr>
        <w:pStyle w:val="13"/>
        <w:spacing w:line="360" w:lineRule="auto"/>
        <w:ind w:firstLine="482" w:firstLineChars="200"/>
        <w:contextualSpacing/>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2、要求投标人对投标文件有关事项作出澄清或者说明；</w:t>
      </w:r>
    </w:p>
    <w:p w14:paraId="40F42AAB">
      <w:pPr>
        <w:pStyle w:val="13"/>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对于投标文件中含义不明确、同类问题表述不一致或者有明显文字和计算错误的内容，磋商小组应当以书面形式要求投标人作出必要的澄清、说明或者补正。</w:t>
      </w:r>
    </w:p>
    <w:p w14:paraId="13281141">
      <w:pPr>
        <w:pStyle w:val="13"/>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161F21B6">
      <w:pPr>
        <w:pStyle w:val="13"/>
        <w:spacing w:line="360" w:lineRule="auto"/>
        <w:ind w:firstLine="465"/>
        <w:contextualSpacing/>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3、对投标文件进行比较和评价；</w:t>
      </w:r>
    </w:p>
    <w:p w14:paraId="301846D2">
      <w:pPr>
        <w:pStyle w:val="13"/>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小组按照磋商文件中规定的评标方法和标准，对符合性审查合格的投标文件进行商务和技术评估，综合比较与评价。评标时，磋商小组各成员应当独立对每个投标人的投标文件进行评价，并汇总每个投标人的得分。评标过程中，不得去掉报价中的最高报价和最低报价。</w:t>
      </w:r>
    </w:p>
    <w:p w14:paraId="65CBC2E3">
      <w:pPr>
        <w:pStyle w:val="13"/>
        <w:spacing w:line="360" w:lineRule="auto"/>
        <w:ind w:firstLine="465"/>
        <w:contextualSpacing/>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（1）价格分计算</w:t>
      </w:r>
    </w:p>
    <w:p w14:paraId="413B006A">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（1）价格分计算</w:t>
      </w:r>
    </w:p>
    <w:p w14:paraId="4EF16E6A">
      <w:pPr>
        <w:pStyle w:val="13"/>
        <w:spacing w:line="36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价格分采用低价优先法计算，即满足磋商文件要求且投标价格最低的投标报价为评标基准价，其价格分为满分。因落实政府采购政策进行价格调整的，以调整后的价格计算评标基准价和投标报价。</w:t>
      </w:r>
    </w:p>
    <w:p w14:paraId="1E76C20F">
      <w:pPr>
        <w:pStyle w:val="13"/>
        <w:spacing w:line="360" w:lineRule="auto"/>
        <w:ind w:firstLine="465"/>
        <w:contextualSpacing/>
        <w:rPr>
          <w:rFonts w:hint="eastAsia" w:ascii="宋体" w:hAnsi="宋体" w:eastAsia="宋体" w:cs="宋体"/>
          <w:color w:val="auto"/>
          <w:szCs w:val="24"/>
          <w:highlight w:val="none"/>
        </w:rPr>
      </w:pPr>
      <w:r>
        <w:rPr>
          <w:rFonts w:hint="eastAsia" w:ascii="宋体" w:hAnsi="宋体" w:eastAsia="宋体" w:cs="宋体"/>
          <w:b w:val="0"/>
          <w:bCs/>
          <w:color w:val="auto"/>
          <w:szCs w:val="24"/>
          <w:highlight w:val="none"/>
        </w:rPr>
        <w:t>本项目专门面向中小企业采购。</w:t>
      </w:r>
    </w:p>
    <w:p w14:paraId="654468E5">
      <w:pPr>
        <w:pStyle w:val="13"/>
        <w:adjustRightInd w:val="0"/>
        <w:snapToGrid w:val="0"/>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（2）强制采购节能产品和优先采购节能产品、优先采购环保产品</w:t>
      </w:r>
    </w:p>
    <w:p w14:paraId="29BBF305">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对《节能产品政府采购品目清单》所列的政府强制采购节能产品，供应商投标文件中应提供具有国家确定的认证机构出具的、处于有效期之内的节能产品或环境标志产品认证证书，否则将承担其投标被视为非实质性响应投标的风险。</w:t>
      </w:r>
    </w:p>
    <w:p w14:paraId="3483FD26">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所投其他产品若属于《节能产品政府采购品目清单》优先采购产品，投标文件中应提供具有国家确定的认证机构出具的、处于有效期之内的节能产品认证证书，评标委员会根据本项目评标标准予以判定并赋分。</w:t>
      </w:r>
    </w:p>
    <w:p w14:paraId="6978094F">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355591FA">
      <w:pPr>
        <w:pStyle w:val="13"/>
        <w:adjustRightInd w:val="0"/>
        <w:snapToGrid w:val="0"/>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（3）信息产品要求</w:t>
      </w:r>
    </w:p>
    <w:p w14:paraId="48277F9D">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1）供应商所投产品如被列入《信息安全产品强制性认证目录》，应提供由中国信息安全认证中心按国家标准认证颁发的有效认证证书。</w:t>
      </w:r>
    </w:p>
    <w:p w14:paraId="2D6A651D">
      <w:pPr>
        <w:pStyle w:val="13"/>
        <w:adjustRightInd w:val="0"/>
        <w:snapToGrid w:val="0"/>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（4）投标无效情形</w:t>
      </w:r>
    </w:p>
    <w:p w14:paraId="5AEF743C">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1）供应商应当遵循公平竞争的原则，不得恶意串通，不得妨碍其他供应商的竞争行为，不得损害采购人或者其他供应商的合法权益。在评标过程中发现供应商有上述情形的，谈判小组应当认定其投标无效。</w:t>
      </w:r>
    </w:p>
    <w:p w14:paraId="48EE5CF8">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2）符合性审查资料未按采购文件要求签署、盖章的；</w:t>
      </w:r>
    </w:p>
    <w:p w14:paraId="0B0CD01A">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3）有下列情形之一的，视为供应商串通投标，其投标无效：</w:t>
      </w:r>
    </w:p>
    <w:p w14:paraId="3CAAE538">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a.不同供应商的投标文件由同一单位或者个人编制；</w:t>
      </w:r>
    </w:p>
    <w:p w14:paraId="3C17A352">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b.不同供应商委托同一单位或者个人办理投标事宜；</w:t>
      </w:r>
    </w:p>
    <w:p w14:paraId="7AFC2B7F">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c.不同供应商的投标文件载明的项目管理成员或者联系人员为同一人；</w:t>
      </w:r>
    </w:p>
    <w:p w14:paraId="00DA4221">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d.不同供应商的投标文件异常一致或者投标报价呈规律性差异；</w:t>
      </w:r>
    </w:p>
    <w:p w14:paraId="5D47CBD9">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e.不同供应商的投标文件相互混装；</w:t>
      </w:r>
    </w:p>
    <w:p w14:paraId="685696BB">
      <w:pPr>
        <w:pStyle w:val="13"/>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4）谈判小组认为供应商的报价明显低于其他通过符合性审查供应商的报价，有可能影响产品质量或者不能诚信履约的，应当要求其在评标现场合理的时间内提供书面说明，必要时提交相关证明材料； 供应商不能证明其报价合理性的，谈判应当将其作为无效投标处理。</w:t>
      </w:r>
    </w:p>
    <w:p w14:paraId="68FD6FBA">
      <w:pPr>
        <w:pStyle w:val="13"/>
        <w:spacing w:line="360" w:lineRule="auto"/>
        <w:ind w:firstLine="465"/>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5）法律、法规和招标文件规定的其他无效情形。</w:t>
      </w:r>
    </w:p>
    <w:p w14:paraId="31C5274B">
      <w:pPr>
        <w:pStyle w:val="13"/>
        <w:spacing w:line="360" w:lineRule="auto"/>
        <w:ind w:firstLine="465"/>
        <w:contextualSpacing/>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（5）评标标准</w:t>
      </w:r>
    </w:p>
    <w:tbl>
      <w:tblPr>
        <w:tblStyle w:val="22"/>
        <w:tblW w:w="9559" w:type="dxa"/>
        <w:jc w:val="center"/>
        <w:tblLayout w:type="fixed"/>
        <w:tblCellMar>
          <w:top w:w="0" w:type="dxa"/>
          <w:left w:w="0" w:type="dxa"/>
          <w:bottom w:w="0" w:type="dxa"/>
          <w:right w:w="0" w:type="dxa"/>
        </w:tblCellMar>
      </w:tblPr>
      <w:tblGrid>
        <w:gridCol w:w="1551"/>
        <w:gridCol w:w="22"/>
        <w:gridCol w:w="22"/>
        <w:gridCol w:w="6614"/>
        <w:gridCol w:w="1350"/>
      </w:tblGrid>
      <w:tr w14:paraId="53E534DE">
        <w:tblPrEx>
          <w:tblCellMar>
            <w:top w:w="0" w:type="dxa"/>
            <w:left w:w="0" w:type="dxa"/>
            <w:bottom w:w="0" w:type="dxa"/>
            <w:right w:w="0" w:type="dxa"/>
          </w:tblCellMar>
        </w:tblPrEx>
        <w:trPr>
          <w:trHeight w:val="1129" w:hRule="atLeast"/>
          <w:jc w:val="center"/>
        </w:trPr>
        <w:tc>
          <w:tcPr>
            <w:tcW w:w="15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C088BEF">
            <w:pPr>
              <w:widowControl/>
              <w:spacing w:line="330" w:lineRule="atLeast"/>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分值构成</w:t>
            </w:r>
          </w:p>
        </w:tc>
        <w:tc>
          <w:tcPr>
            <w:tcW w:w="8008" w:type="dxa"/>
            <w:gridSpan w:val="4"/>
            <w:tcBorders>
              <w:top w:val="single" w:color="auto" w:sz="8" w:space="0"/>
              <w:left w:val="nil"/>
              <w:bottom w:val="single" w:color="auto" w:sz="8" w:space="0"/>
              <w:right w:val="single" w:color="auto" w:sz="8" w:space="0"/>
            </w:tcBorders>
            <w:tcMar>
              <w:left w:w="108" w:type="dxa"/>
              <w:right w:w="108" w:type="dxa"/>
            </w:tcMar>
            <w:vAlign w:val="center"/>
          </w:tcPr>
          <w:p w14:paraId="1515AB62">
            <w:pPr>
              <w:widowControl/>
              <w:spacing w:line="33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价格分值：  30分</w:t>
            </w:r>
          </w:p>
          <w:p w14:paraId="521BF4AC">
            <w:pPr>
              <w:widowControl/>
              <w:spacing w:line="33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 xml:space="preserve">商务部分：  </w:t>
            </w: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rPr>
              <w:t>分</w:t>
            </w:r>
          </w:p>
          <w:p w14:paraId="0C6B8439">
            <w:pPr>
              <w:widowControl/>
              <w:spacing w:line="330" w:lineRule="atLeast"/>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 xml:space="preserve">技术部分：  </w:t>
            </w:r>
            <w:r>
              <w:rPr>
                <w:rFonts w:hint="eastAsia" w:ascii="宋体" w:hAnsi="宋体" w:eastAsia="宋体" w:cs="宋体"/>
                <w:b/>
                <w:color w:val="auto"/>
                <w:sz w:val="24"/>
                <w:szCs w:val="24"/>
                <w:highlight w:val="none"/>
                <w:lang w:val="en-US" w:eastAsia="zh-CN"/>
              </w:rPr>
              <w:t>48</w:t>
            </w:r>
            <w:r>
              <w:rPr>
                <w:rFonts w:hint="eastAsia" w:ascii="宋体" w:hAnsi="宋体" w:eastAsia="宋体" w:cs="宋体"/>
                <w:b/>
                <w:color w:val="auto"/>
                <w:sz w:val="24"/>
                <w:szCs w:val="24"/>
                <w:highlight w:val="none"/>
              </w:rPr>
              <w:t>分</w:t>
            </w:r>
          </w:p>
        </w:tc>
      </w:tr>
      <w:tr w14:paraId="5CDAF4D1">
        <w:tblPrEx>
          <w:tblCellMar>
            <w:top w:w="0" w:type="dxa"/>
            <w:left w:w="0" w:type="dxa"/>
            <w:bottom w:w="0" w:type="dxa"/>
            <w:right w:w="0" w:type="dxa"/>
          </w:tblCellMar>
        </w:tblPrEx>
        <w:trPr>
          <w:trHeight w:val="612" w:hRule="atLeast"/>
          <w:jc w:val="center"/>
        </w:trPr>
        <w:tc>
          <w:tcPr>
            <w:tcW w:w="9559" w:type="dxa"/>
            <w:gridSpan w:val="5"/>
            <w:tcBorders>
              <w:top w:val="nil"/>
              <w:left w:val="single" w:color="auto" w:sz="8" w:space="0"/>
              <w:bottom w:val="single" w:color="auto" w:sz="8" w:space="0"/>
              <w:right w:val="single" w:color="auto" w:sz="8" w:space="0"/>
            </w:tcBorders>
            <w:tcMar>
              <w:left w:w="108" w:type="dxa"/>
              <w:right w:w="108" w:type="dxa"/>
            </w:tcMar>
            <w:vAlign w:val="center"/>
          </w:tcPr>
          <w:p w14:paraId="7FC56DC0">
            <w:pPr>
              <w:widowControl/>
              <w:spacing w:line="330" w:lineRule="atLeas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t>一、价格部分（满分30分）</w:t>
            </w:r>
          </w:p>
        </w:tc>
      </w:tr>
      <w:tr w14:paraId="7F08D13C">
        <w:tblPrEx>
          <w:tblCellMar>
            <w:top w:w="0" w:type="dxa"/>
            <w:left w:w="0" w:type="dxa"/>
            <w:bottom w:w="0" w:type="dxa"/>
            <w:right w:w="0" w:type="dxa"/>
          </w:tblCellMar>
        </w:tblPrEx>
        <w:trPr>
          <w:trHeight w:val="612" w:hRule="atLeast"/>
          <w:jc w:val="center"/>
        </w:trPr>
        <w:tc>
          <w:tcPr>
            <w:tcW w:w="1573" w:type="dxa"/>
            <w:gridSpan w:val="2"/>
            <w:tcBorders>
              <w:top w:val="nil"/>
              <w:left w:val="single" w:color="auto" w:sz="8" w:space="0"/>
              <w:bottom w:val="single" w:color="auto" w:sz="8" w:space="0"/>
              <w:right w:val="single" w:color="auto" w:sz="8" w:space="0"/>
            </w:tcBorders>
            <w:tcMar>
              <w:left w:w="108" w:type="dxa"/>
              <w:right w:w="108" w:type="dxa"/>
            </w:tcMar>
            <w:vAlign w:val="center"/>
          </w:tcPr>
          <w:p w14:paraId="07F14479">
            <w:pPr>
              <w:widowControl/>
              <w:spacing w:line="330" w:lineRule="atLeas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t>评分因素</w:t>
            </w:r>
          </w:p>
        </w:tc>
        <w:tc>
          <w:tcPr>
            <w:tcW w:w="6636" w:type="dxa"/>
            <w:gridSpan w:val="2"/>
            <w:tcBorders>
              <w:top w:val="nil"/>
              <w:left w:val="nil"/>
              <w:bottom w:val="single" w:color="auto" w:sz="8" w:space="0"/>
              <w:right w:val="single" w:color="auto" w:sz="8" w:space="0"/>
            </w:tcBorders>
            <w:tcMar>
              <w:left w:w="108" w:type="dxa"/>
              <w:right w:w="108" w:type="dxa"/>
            </w:tcMar>
            <w:vAlign w:val="center"/>
          </w:tcPr>
          <w:p w14:paraId="3D8D48F3">
            <w:pPr>
              <w:widowControl/>
              <w:spacing w:line="330" w:lineRule="atLeas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t>评分标准</w:t>
            </w:r>
          </w:p>
        </w:tc>
        <w:tc>
          <w:tcPr>
            <w:tcW w:w="1350" w:type="dxa"/>
            <w:tcBorders>
              <w:top w:val="nil"/>
              <w:left w:val="nil"/>
              <w:bottom w:val="single" w:color="auto" w:sz="8" w:space="0"/>
              <w:right w:val="single" w:color="auto" w:sz="8" w:space="0"/>
            </w:tcBorders>
            <w:tcMar>
              <w:left w:w="108" w:type="dxa"/>
              <w:right w:w="108" w:type="dxa"/>
            </w:tcMar>
            <w:vAlign w:val="center"/>
          </w:tcPr>
          <w:p w14:paraId="085B159A">
            <w:pPr>
              <w:widowControl/>
              <w:spacing w:line="330" w:lineRule="atLeas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t>分值</w:t>
            </w:r>
          </w:p>
        </w:tc>
      </w:tr>
      <w:tr w14:paraId="6C6DEBB6">
        <w:tblPrEx>
          <w:tblCellMar>
            <w:top w:w="0" w:type="dxa"/>
            <w:left w:w="0" w:type="dxa"/>
            <w:bottom w:w="0" w:type="dxa"/>
            <w:right w:w="0" w:type="dxa"/>
          </w:tblCellMar>
        </w:tblPrEx>
        <w:trPr>
          <w:trHeight w:val="1408" w:hRule="atLeast"/>
          <w:jc w:val="center"/>
        </w:trPr>
        <w:tc>
          <w:tcPr>
            <w:tcW w:w="1573" w:type="dxa"/>
            <w:gridSpan w:val="2"/>
            <w:tcBorders>
              <w:top w:val="nil"/>
              <w:left w:val="single" w:color="auto" w:sz="8" w:space="0"/>
              <w:bottom w:val="single" w:color="auto" w:sz="8" w:space="0"/>
              <w:right w:val="single" w:color="auto" w:sz="8" w:space="0"/>
            </w:tcBorders>
            <w:tcMar>
              <w:left w:w="108" w:type="dxa"/>
              <w:right w:w="108" w:type="dxa"/>
            </w:tcMar>
            <w:vAlign w:val="center"/>
          </w:tcPr>
          <w:p w14:paraId="1DAED2EB">
            <w:pPr>
              <w:widowControl/>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投标报价</w:t>
            </w:r>
          </w:p>
          <w:p w14:paraId="00D87F53">
            <w:pPr>
              <w:widowControl/>
              <w:spacing w:line="44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评分标准</w:t>
            </w:r>
          </w:p>
        </w:tc>
        <w:tc>
          <w:tcPr>
            <w:tcW w:w="6636" w:type="dxa"/>
            <w:gridSpan w:val="2"/>
            <w:tcBorders>
              <w:top w:val="nil"/>
              <w:left w:val="nil"/>
              <w:bottom w:val="single" w:color="auto" w:sz="8" w:space="0"/>
              <w:right w:val="single" w:color="auto" w:sz="8" w:space="0"/>
            </w:tcBorders>
            <w:tcMar>
              <w:left w:w="108" w:type="dxa"/>
              <w:right w:w="108" w:type="dxa"/>
            </w:tcMar>
            <w:vAlign w:val="center"/>
          </w:tcPr>
          <w:p w14:paraId="5BA2A28A">
            <w:pPr>
              <w:pStyle w:val="13"/>
              <w:spacing w:line="360" w:lineRule="auto"/>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评标基准价：满足招标文件要求的有效投标报价中，最低的投标报价为评标基准价。</w:t>
            </w:r>
          </w:p>
          <w:p w14:paraId="42BEF248">
            <w:pPr>
              <w:pStyle w:val="13"/>
              <w:spacing w:line="360" w:lineRule="auto"/>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投标报价得分=（评标基准价/投标报价）×30</w:t>
            </w:r>
          </w:p>
        </w:tc>
        <w:tc>
          <w:tcPr>
            <w:tcW w:w="1350" w:type="dxa"/>
            <w:tcBorders>
              <w:top w:val="nil"/>
              <w:left w:val="nil"/>
              <w:bottom w:val="single" w:color="auto" w:sz="8" w:space="0"/>
              <w:right w:val="single" w:color="auto" w:sz="8" w:space="0"/>
            </w:tcBorders>
            <w:tcMar>
              <w:left w:w="108" w:type="dxa"/>
              <w:right w:w="108" w:type="dxa"/>
            </w:tcMar>
            <w:vAlign w:val="center"/>
          </w:tcPr>
          <w:p w14:paraId="466C9BF0">
            <w:pPr>
              <w:widowControl/>
              <w:spacing w:line="240" w:lineRule="atLeas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t>30分</w:t>
            </w:r>
          </w:p>
        </w:tc>
      </w:tr>
      <w:tr w14:paraId="17A52CB2">
        <w:tblPrEx>
          <w:tblCellMar>
            <w:top w:w="0" w:type="dxa"/>
            <w:left w:w="0" w:type="dxa"/>
            <w:bottom w:w="0" w:type="dxa"/>
            <w:right w:w="0" w:type="dxa"/>
          </w:tblCellMar>
        </w:tblPrEx>
        <w:trPr>
          <w:trHeight w:val="612" w:hRule="atLeast"/>
          <w:jc w:val="center"/>
        </w:trPr>
        <w:tc>
          <w:tcPr>
            <w:tcW w:w="9559" w:type="dxa"/>
            <w:gridSpan w:val="5"/>
            <w:tcBorders>
              <w:top w:val="nil"/>
              <w:left w:val="single" w:color="auto" w:sz="8" w:space="0"/>
              <w:bottom w:val="single" w:color="auto" w:sz="8" w:space="0"/>
              <w:right w:val="single" w:color="auto" w:sz="8" w:space="0"/>
            </w:tcBorders>
            <w:tcMar>
              <w:left w:w="108" w:type="dxa"/>
              <w:right w:w="108" w:type="dxa"/>
            </w:tcMar>
            <w:vAlign w:val="center"/>
          </w:tcPr>
          <w:p w14:paraId="317D7A12">
            <w:pPr>
              <w:widowControl/>
              <w:spacing w:line="330" w:lineRule="atLeas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t>二、商务部分（满分</w:t>
            </w: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rPr>
              <w:t>分）</w:t>
            </w:r>
          </w:p>
        </w:tc>
      </w:tr>
      <w:tr w14:paraId="71DE5F15">
        <w:tblPrEx>
          <w:tblCellMar>
            <w:top w:w="0" w:type="dxa"/>
            <w:left w:w="0" w:type="dxa"/>
            <w:bottom w:w="0" w:type="dxa"/>
            <w:right w:w="0" w:type="dxa"/>
          </w:tblCellMar>
        </w:tblPrEx>
        <w:trPr>
          <w:trHeight w:val="612" w:hRule="atLeast"/>
          <w:jc w:val="center"/>
        </w:trPr>
        <w:tc>
          <w:tcPr>
            <w:tcW w:w="1573" w:type="dxa"/>
            <w:gridSpan w:val="2"/>
            <w:tcBorders>
              <w:top w:val="nil"/>
              <w:left w:val="single" w:color="auto" w:sz="8" w:space="0"/>
              <w:bottom w:val="single" w:color="auto" w:sz="8" w:space="0"/>
              <w:right w:val="single" w:color="auto" w:sz="8" w:space="0"/>
            </w:tcBorders>
            <w:tcMar>
              <w:left w:w="108" w:type="dxa"/>
              <w:right w:w="108" w:type="dxa"/>
            </w:tcMar>
            <w:vAlign w:val="center"/>
          </w:tcPr>
          <w:p w14:paraId="60BA658F">
            <w:pPr>
              <w:widowControl/>
              <w:spacing w:line="330" w:lineRule="atLeas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t>评分因素</w:t>
            </w:r>
          </w:p>
        </w:tc>
        <w:tc>
          <w:tcPr>
            <w:tcW w:w="6636" w:type="dxa"/>
            <w:gridSpan w:val="2"/>
            <w:tcBorders>
              <w:top w:val="nil"/>
              <w:left w:val="nil"/>
              <w:bottom w:val="single" w:color="auto" w:sz="8" w:space="0"/>
              <w:right w:val="single" w:color="auto" w:sz="8" w:space="0"/>
            </w:tcBorders>
            <w:tcMar>
              <w:left w:w="108" w:type="dxa"/>
              <w:right w:w="108" w:type="dxa"/>
            </w:tcMar>
            <w:vAlign w:val="center"/>
          </w:tcPr>
          <w:p w14:paraId="76A90ACA">
            <w:pPr>
              <w:widowControl/>
              <w:spacing w:line="330" w:lineRule="atLeas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t>评分标准</w:t>
            </w:r>
          </w:p>
        </w:tc>
        <w:tc>
          <w:tcPr>
            <w:tcW w:w="1350" w:type="dxa"/>
            <w:tcBorders>
              <w:top w:val="nil"/>
              <w:left w:val="nil"/>
              <w:bottom w:val="single" w:color="auto" w:sz="8" w:space="0"/>
              <w:right w:val="single" w:color="auto" w:sz="8" w:space="0"/>
            </w:tcBorders>
            <w:tcMar>
              <w:left w:w="108" w:type="dxa"/>
              <w:right w:w="108" w:type="dxa"/>
            </w:tcMar>
            <w:vAlign w:val="center"/>
          </w:tcPr>
          <w:p w14:paraId="6AF0894D">
            <w:pPr>
              <w:widowControl/>
              <w:spacing w:line="330" w:lineRule="atLeas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t>分值</w:t>
            </w:r>
          </w:p>
        </w:tc>
      </w:tr>
      <w:tr w14:paraId="04AC645D">
        <w:tblPrEx>
          <w:tblCellMar>
            <w:top w:w="0" w:type="dxa"/>
            <w:left w:w="0" w:type="dxa"/>
            <w:bottom w:w="0" w:type="dxa"/>
            <w:right w:w="0" w:type="dxa"/>
          </w:tblCellMar>
        </w:tblPrEx>
        <w:trPr>
          <w:trHeight w:val="90" w:hRule="atLeast"/>
          <w:jc w:val="center"/>
        </w:trPr>
        <w:tc>
          <w:tcPr>
            <w:tcW w:w="1573" w:type="dxa"/>
            <w:gridSpan w:val="2"/>
            <w:tcBorders>
              <w:top w:val="nil"/>
              <w:left w:val="single" w:color="auto" w:sz="8" w:space="0"/>
              <w:bottom w:val="single" w:color="auto" w:sz="8" w:space="0"/>
              <w:right w:val="single" w:color="auto" w:sz="8" w:space="0"/>
            </w:tcBorders>
            <w:tcMar>
              <w:left w:w="108" w:type="dxa"/>
              <w:right w:w="108" w:type="dxa"/>
            </w:tcMar>
            <w:vAlign w:val="center"/>
          </w:tcPr>
          <w:p w14:paraId="379C2A04">
            <w:pPr>
              <w:pStyle w:val="13"/>
              <w:spacing w:line="360" w:lineRule="auto"/>
              <w:contextualSpacing/>
              <w:jc w:val="center"/>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企业</w:t>
            </w:r>
            <w:r>
              <w:rPr>
                <w:rFonts w:hint="eastAsia" w:ascii="宋体" w:hAnsi="宋体" w:eastAsia="宋体" w:cs="宋体"/>
                <w:color w:val="auto"/>
                <w:szCs w:val="24"/>
                <w:highlight w:val="none"/>
              </w:rPr>
              <w:t>业绩</w:t>
            </w:r>
          </w:p>
        </w:tc>
        <w:tc>
          <w:tcPr>
            <w:tcW w:w="6636" w:type="dxa"/>
            <w:gridSpan w:val="2"/>
            <w:tcBorders>
              <w:top w:val="nil"/>
              <w:left w:val="nil"/>
              <w:bottom w:val="single" w:color="auto" w:sz="8" w:space="0"/>
              <w:right w:val="single" w:color="auto" w:sz="8" w:space="0"/>
            </w:tcBorders>
            <w:tcMar>
              <w:left w:w="108" w:type="dxa"/>
              <w:right w:w="108" w:type="dxa"/>
            </w:tcMar>
            <w:vAlign w:val="center"/>
          </w:tcPr>
          <w:p w14:paraId="733E6788">
            <w:pPr>
              <w:pStyle w:val="13"/>
              <w:spacing w:line="360" w:lineRule="auto"/>
              <w:contextualSpacing/>
              <w:jc w:val="left"/>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rPr>
              <w:t>自20</w:t>
            </w:r>
            <w:r>
              <w:rPr>
                <w:rFonts w:hint="eastAsia" w:ascii="宋体" w:hAnsi="宋体" w:cs="宋体"/>
                <w:color w:val="auto"/>
                <w:szCs w:val="24"/>
                <w:highlight w:val="none"/>
                <w:lang w:val="en-US" w:eastAsia="zh-CN"/>
              </w:rPr>
              <w:t>21</w:t>
            </w:r>
            <w:r>
              <w:rPr>
                <w:rFonts w:hint="eastAsia" w:ascii="宋体" w:hAnsi="宋体" w:eastAsia="宋体" w:cs="宋体"/>
                <w:color w:val="auto"/>
                <w:szCs w:val="24"/>
                <w:highlight w:val="none"/>
              </w:rPr>
              <w:t>年1月1日以来，投标人承担过类似项目业绩的，每具有一个项目业绩得</w:t>
            </w:r>
            <w:r>
              <w:rPr>
                <w:rFonts w:hint="eastAsia" w:ascii="宋体" w:hAnsi="宋体" w:cs="宋体"/>
                <w:color w:val="auto"/>
                <w:szCs w:val="24"/>
                <w:highlight w:val="none"/>
                <w:lang w:val="en-US" w:eastAsia="zh-CN"/>
              </w:rPr>
              <w:t>7</w:t>
            </w:r>
            <w:r>
              <w:rPr>
                <w:rFonts w:hint="eastAsia" w:ascii="宋体" w:hAnsi="宋体" w:eastAsia="宋体" w:cs="宋体"/>
                <w:color w:val="auto"/>
                <w:szCs w:val="24"/>
                <w:highlight w:val="none"/>
              </w:rPr>
              <w:t>分，最高得</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rPr>
              <w:t>分；（须附中标通知书</w:t>
            </w:r>
            <w:r>
              <w:rPr>
                <w:rFonts w:hint="eastAsia" w:ascii="宋体" w:hAnsi="宋体" w:eastAsia="宋体" w:cs="宋体"/>
                <w:color w:val="auto"/>
                <w:szCs w:val="24"/>
                <w:highlight w:val="none"/>
                <w:lang w:val="en-US" w:eastAsia="zh-CN"/>
              </w:rPr>
              <w:t>和</w:t>
            </w:r>
            <w:r>
              <w:rPr>
                <w:rFonts w:hint="eastAsia" w:ascii="宋体" w:hAnsi="宋体" w:eastAsia="宋体" w:cs="宋体"/>
                <w:color w:val="auto"/>
                <w:szCs w:val="24"/>
                <w:highlight w:val="none"/>
              </w:rPr>
              <w:t>施工合同）。</w:t>
            </w:r>
          </w:p>
        </w:tc>
        <w:tc>
          <w:tcPr>
            <w:tcW w:w="1350" w:type="dxa"/>
            <w:tcBorders>
              <w:top w:val="nil"/>
              <w:left w:val="nil"/>
              <w:bottom w:val="single" w:color="auto" w:sz="8" w:space="0"/>
              <w:right w:val="single" w:color="auto" w:sz="8" w:space="0"/>
            </w:tcBorders>
            <w:tcMar>
              <w:left w:w="108" w:type="dxa"/>
              <w:right w:w="108" w:type="dxa"/>
            </w:tcMar>
            <w:vAlign w:val="center"/>
          </w:tcPr>
          <w:p w14:paraId="7A3CCA17">
            <w:pPr>
              <w:widowControl/>
              <w:spacing w:line="33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lang w:val="en-US" w:eastAsia="zh-CN"/>
              </w:rPr>
              <w:t>14</w:t>
            </w:r>
            <w:r>
              <w:rPr>
                <w:rFonts w:hint="eastAsia" w:ascii="宋体" w:hAnsi="宋体" w:eastAsia="宋体" w:cs="宋体"/>
                <w:b/>
                <w:color w:val="auto"/>
                <w:sz w:val="24"/>
                <w:szCs w:val="24"/>
                <w:highlight w:val="none"/>
              </w:rPr>
              <w:t>分</w:t>
            </w:r>
          </w:p>
        </w:tc>
      </w:tr>
      <w:tr w14:paraId="6447A6E9">
        <w:tblPrEx>
          <w:tblCellMar>
            <w:top w:w="0" w:type="dxa"/>
            <w:left w:w="0" w:type="dxa"/>
            <w:bottom w:w="0" w:type="dxa"/>
            <w:right w:w="0" w:type="dxa"/>
          </w:tblCellMar>
        </w:tblPrEx>
        <w:trPr>
          <w:trHeight w:val="90" w:hRule="atLeast"/>
          <w:jc w:val="center"/>
        </w:trPr>
        <w:tc>
          <w:tcPr>
            <w:tcW w:w="1573" w:type="dxa"/>
            <w:gridSpan w:val="2"/>
            <w:tcBorders>
              <w:top w:val="nil"/>
              <w:left w:val="single" w:color="auto" w:sz="8" w:space="0"/>
              <w:bottom w:val="single" w:color="auto" w:sz="8" w:space="0"/>
              <w:right w:val="single" w:color="auto" w:sz="8" w:space="0"/>
            </w:tcBorders>
            <w:tcMar>
              <w:left w:w="108" w:type="dxa"/>
              <w:right w:w="108" w:type="dxa"/>
            </w:tcMar>
            <w:vAlign w:val="center"/>
          </w:tcPr>
          <w:p w14:paraId="727D508B">
            <w:pPr>
              <w:pStyle w:val="13"/>
              <w:spacing w:line="360" w:lineRule="auto"/>
              <w:contextualSpacing/>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服务承诺</w:t>
            </w:r>
          </w:p>
          <w:p w14:paraId="0A39B377">
            <w:pPr>
              <w:pStyle w:val="13"/>
              <w:spacing w:line="360" w:lineRule="auto"/>
              <w:contextualSpacing/>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（8分）</w:t>
            </w:r>
          </w:p>
        </w:tc>
        <w:tc>
          <w:tcPr>
            <w:tcW w:w="6636" w:type="dxa"/>
            <w:gridSpan w:val="2"/>
            <w:tcBorders>
              <w:top w:val="nil"/>
              <w:left w:val="nil"/>
              <w:bottom w:val="single" w:color="auto" w:sz="8" w:space="0"/>
              <w:right w:val="single" w:color="auto" w:sz="8" w:space="0"/>
            </w:tcBorders>
            <w:tcMar>
              <w:left w:w="108" w:type="dxa"/>
              <w:right w:w="108" w:type="dxa"/>
            </w:tcMar>
            <w:vAlign w:val="center"/>
          </w:tcPr>
          <w:p w14:paraId="35F340E1">
            <w:pPr>
              <w:pStyle w:val="13"/>
              <w:spacing w:line="360" w:lineRule="auto"/>
              <w:contextualSpacing/>
              <w:jc w:val="left"/>
              <w:rPr>
                <w:rFonts w:hint="eastAsia" w:ascii="宋体" w:hAnsi="宋体" w:eastAsia="宋体" w:cs="宋体"/>
                <w:color w:val="auto"/>
                <w:szCs w:val="24"/>
                <w:highlight w:val="none"/>
              </w:rPr>
            </w:pPr>
            <w:r>
              <w:rPr>
                <w:rFonts w:hint="eastAsia" w:ascii="宋体" w:hAnsi="宋体" w:cs="宋体"/>
                <w:color w:val="auto"/>
                <w:sz w:val="24"/>
                <w:szCs w:val="24"/>
                <w:highlight w:val="none"/>
              </w:rPr>
              <w:t>由评委根据投标人服务承诺的服务响应时间、服务场所，综合评审，共分三个档次：优得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分，良得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分，一般得2分，无相关内容不得分。</w:t>
            </w:r>
          </w:p>
        </w:tc>
        <w:tc>
          <w:tcPr>
            <w:tcW w:w="1350" w:type="dxa"/>
            <w:tcBorders>
              <w:top w:val="nil"/>
              <w:left w:val="nil"/>
              <w:bottom w:val="single" w:color="auto" w:sz="8" w:space="0"/>
              <w:right w:val="single" w:color="auto" w:sz="8" w:space="0"/>
            </w:tcBorders>
            <w:tcMar>
              <w:left w:w="108" w:type="dxa"/>
              <w:right w:w="108" w:type="dxa"/>
            </w:tcMar>
            <w:vAlign w:val="center"/>
          </w:tcPr>
          <w:p w14:paraId="2A46C5E1">
            <w:pPr>
              <w:widowControl/>
              <w:spacing w:line="330" w:lineRule="atLeas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分</w:t>
            </w:r>
          </w:p>
        </w:tc>
      </w:tr>
      <w:tr w14:paraId="3E431E50">
        <w:tblPrEx>
          <w:tblCellMar>
            <w:top w:w="0" w:type="dxa"/>
            <w:left w:w="0" w:type="dxa"/>
            <w:bottom w:w="0" w:type="dxa"/>
            <w:right w:w="0" w:type="dxa"/>
          </w:tblCellMar>
        </w:tblPrEx>
        <w:trPr>
          <w:trHeight w:val="644" w:hRule="atLeast"/>
          <w:jc w:val="center"/>
        </w:trPr>
        <w:tc>
          <w:tcPr>
            <w:tcW w:w="9559" w:type="dxa"/>
            <w:gridSpan w:val="5"/>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06DCE6F5">
            <w:pPr>
              <w:widowControl/>
              <w:spacing w:line="330" w:lineRule="atLeas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t>三、技术部分（满分</w:t>
            </w:r>
            <w:r>
              <w:rPr>
                <w:rFonts w:hint="eastAsia" w:ascii="宋体" w:hAnsi="宋体" w:eastAsia="宋体" w:cs="宋体"/>
                <w:b/>
                <w:color w:val="auto"/>
                <w:sz w:val="24"/>
                <w:szCs w:val="24"/>
                <w:highlight w:val="none"/>
                <w:lang w:val="en-US" w:eastAsia="zh-CN"/>
              </w:rPr>
              <w:t>48</w:t>
            </w:r>
            <w:r>
              <w:rPr>
                <w:rFonts w:hint="eastAsia" w:ascii="宋体" w:hAnsi="宋体" w:eastAsia="宋体" w:cs="宋体"/>
                <w:b/>
                <w:color w:val="auto"/>
                <w:sz w:val="24"/>
                <w:szCs w:val="24"/>
                <w:highlight w:val="none"/>
              </w:rPr>
              <w:t>分）</w:t>
            </w:r>
          </w:p>
        </w:tc>
      </w:tr>
      <w:tr w14:paraId="0649436B">
        <w:tblPrEx>
          <w:tblCellMar>
            <w:top w:w="0" w:type="dxa"/>
            <w:left w:w="0" w:type="dxa"/>
            <w:bottom w:w="0" w:type="dxa"/>
            <w:right w:w="0" w:type="dxa"/>
          </w:tblCellMar>
        </w:tblPrEx>
        <w:trPr>
          <w:trHeight w:val="576" w:hRule="atLeast"/>
          <w:jc w:val="center"/>
        </w:trPr>
        <w:tc>
          <w:tcPr>
            <w:tcW w:w="1595"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60E68097">
            <w:pPr>
              <w:widowControl/>
              <w:spacing w:line="330" w:lineRule="atLeas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t>评分因素</w:t>
            </w:r>
          </w:p>
        </w:tc>
        <w:tc>
          <w:tcPr>
            <w:tcW w:w="6614" w:type="dxa"/>
            <w:tcBorders>
              <w:top w:val="nil"/>
              <w:left w:val="nil"/>
              <w:bottom w:val="single" w:color="auto" w:sz="8" w:space="0"/>
              <w:right w:val="single" w:color="auto" w:sz="8" w:space="0"/>
            </w:tcBorders>
            <w:tcMar>
              <w:left w:w="108" w:type="dxa"/>
              <w:right w:w="108" w:type="dxa"/>
            </w:tcMar>
            <w:vAlign w:val="center"/>
          </w:tcPr>
          <w:p w14:paraId="52690E09">
            <w:pPr>
              <w:widowControl/>
              <w:spacing w:line="330" w:lineRule="atLeas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t xml:space="preserve">评分标准 </w:t>
            </w:r>
          </w:p>
        </w:tc>
        <w:tc>
          <w:tcPr>
            <w:tcW w:w="1350" w:type="dxa"/>
            <w:tcBorders>
              <w:top w:val="nil"/>
              <w:left w:val="nil"/>
              <w:bottom w:val="single" w:color="auto" w:sz="8" w:space="0"/>
              <w:right w:val="single" w:color="auto" w:sz="8" w:space="0"/>
            </w:tcBorders>
            <w:tcMar>
              <w:left w:w="108" w:type="dxa"/>
              <w:right w:w="108" w:type="dxa"/>
            </w:tcMar>
            <w:vAlign w:val="center"/>
          </w:tcPr>
          <w:p w14:paraId="0D5DF5B7">
            <w:pPr>
              <w:widowControl/>
              <w:spacing w:line="330" w:lineRule="atLeas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t>分值</w:t>
            </w:r>
          </w:p>
        </w:tc>
      </w:tr>
      <w:tr w14:paraId="0E76088A">
        <w:tblPrEx>
          <w:tblCellMar>
            <w:top w:w="0" w:type="dxa"/>
            <w:left w:w="0" w:type="dxa"/>
            <w:bottom w:w="0" w:type="dxa"/>
            <w:right w:w="0" w:type="dxa"/>
          </w:tblCellMar>
        </w:tblPrEx>
        <w:trPr>
          <w:trHeight w:val="1015" w:hRule="atLeast"/>
          <w:jc w:val="center"/>
        </w:trPr>
        <w:tc>
          <w:tcPr>
            <w:tcW w:w="1595" w:type="dxa"/>
            <w:gridSpan w:val="3"/>
            <w:vMerge w:val="restart"/>
            <w:tcBorders>
              <w:top w:val="nil"/>
              <w:left w:val="single" w:color="auto" w:sz="8" w:space="0"/>
              <w:right w:val="single" w:color="auto" w:sz="8" w:space="0"/>
            </w:tcBorders>
            <w:tcMar>
              <w:left w:w="108" w:type="dxa"/>
              <w:right w:w="108" w:type="dxa"/>
            </w:tcMar>
            <w:vAlign w:val="center"/>
          </w:tcPr>
          <w:p w14:paraId="7B6E6441">
            <w:pPr>
              <w:pStyle w:val="13"/>
              <w:spacing w:line="360" w:lineRule="auto"/>
              <w:contextualSpacing/>
              <w:jc w:val="center"/>
              <w:rPr>
                <w:rFonts w:hint="eastAsia" w:ascii="宋体" w:hAnsi="宋体" w:eastAsia="宋体" w:cs="宋体"/>
                <w:color w:val="auto"/>
                <w:szCs w:val="24"/>
                <w:highlight w:val="none"/>
              </w:rPr>
            </w:pPr>
            <w:r>
              <w:rPr>
                <w:rFonts w:hint="eastAsia" w:ascii="宋体" w:hAnsi="宋体" w:cs="宋体"/>
                <w:color w:val="auto"/>
                <w:sz w:val="24"/>
                <w:szCs w:val="24"/>
                <w:highlight w:val="none"/>
              </w:rPr>
              <w:t>施工组织方案（</w:t>
            </w:r>
            <w:r>
              <w:rPr>
                <w:rFonts w:hint="eastAsia" w:ascii="宋体" w:hAnsi="宋体" w:cs="宋体"/>
                <w:color w:val="auto"/>
                <w:sz w:val="24"/>
                <w:szCs w:val="24"/>
                <w:highlight w:val="none"/>
                <w:lang w:val="en-US" w:eastAsia="zh-CN"/>
              </w:rPr>
              <w:t>48</w:t>
            </w:r>
            <w:r>
              <w:rPr>
                <w:rFonts w:hint="eastAsia" w:ascii="宋体" w:hAnsi="宋体" w:cs="宋体"/>
                <w:color w:val="auto"/>
                <w:sz w:val="24"/>
                <w:szCs w:val="24"/>
                <w:highlight w:val="none"/>
              </w:rPr>
              <w:t>分</w:t>
            </w:r>
          </w:p>
        </w:tc>
        <w:tc>
          <w:tcPr>
            <w:tcW w:w="6614" w:type="dxa"/>
            <w:tcBorders>
              <w:top w:val="nil"/>
              <w:left w:val="nil"/>
              <w:bottom w:val="single" w:color="auto" w:sz="8" w:space="0"/>
              <w:right w:val="single" w:color="auto" w:sz="8" w:space="0"/>
            </w:tcBorders>
            <w:tcMar>
              <w:left w:w="108" w:type="dxa"/>
              <w:right w:w="108" w:type="dxa"/>
            </w:tcMar>
            <w:vAlign w:val="center"/>
          </w:tcPr>
          <w:p w14:paraId="46B7349D">
            <w:pPr>
              <w:pStyle w:val="13"/>
              <w:spacing w:line="360" w:lineRule="auto"/>
              <w:contextualSpacing/>
              <w:jc w:val="left"/>
              <w:rPr>
                <w:rFonts w:hint="eastAsia" w:ascii="宋体" w:hAnsi="宋体" w:eastAsia="宋体" w:cs="宋体"/>
                <w:color w:val="auto"/>
                <w:szCs w:val="24"/>
                <w:highlight w:val="none"/>
              </w:rPr>
            </w:pPr>
            <w:r>
              <w:rPr>
                <w:rFonts w:hint="eastAsia" w:hAnsi="宋体"/>
                <w:color w:val="auto"/>
                <w:highlight w:val="none"/>
              </w:rPr>
              <w:t>确保工期的技术组织措施，切实可行。综合评审，共分三个档次：</w:t>
            </w:r>
            <w:r>
              <w:rPr>
                <w:rFonts w:hint="eastAsia" w:ascii="宋体" w:hAnsi="宋体" w:cs="宋体"/>
                <w:color w:val="auto"/>
                <w:sz w:val="24"/>
                <w:szCs w:val="24"/>
                <w:highlight w:val="none"/>
              </w:rPr>
              <w:t>优得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分，良得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分，一般得2分，无相关内容不得分</w:t>
            </w:r>
            <w:r>
              <w:rPr>
                <w:rFonts w:hint="eastAsia" w:hAnsi="宋体"/>
                <w:color w:val="auto"/>
                <w:highlight w:val="none"/>
              </w:rPr>
              <w:t>。</w:t>
            </w:r>
          </w:p>
        </w:tc>
        <w:tc>
          <w:tcPr>
            <w:tcW w:w="1350" w:type="dxa"/>
            <w:tcBorders>
              <w:top w:val="nil"/>
              <w:left w:val="nil"/>
              <w:bottom w:val="single" w:color="auto" w:sz="8" w:space="0"/>
              <w:right w:val="single" w:color="auto" w:sz="8" w:space="0"/>
            </w:tcBorders>
            <w:tcMar>
              <w:left w:w="108" w:type="dxa"/>
              <w:right w:w="108" w:type="dxa"/>
            </w:tcMar>
            <w:vAlign w:val="center"/>
          </w:tcPr>
          <w:p w14:paraId="06C59DD5">
            <w:pPr>
              <w:widowControl/>
              <w:spacing w:line="33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分</w:t>
            </w:r>
          </w:p>
        </w:tc>
      </w:tr>
      <w:tr w14:paraId="2F15A7BA">
        <w:tblPrEx>
          <w:tblCellMar>
            <w:top w:w="0" w:type="dxa"/>
            <w:left w:w="0" w:type="dxa"/>
            <w:bottom w:w="0" w:type="dxa"/>
            <w:right w:w="0" w:type="dxa"/>
          </w:tblCellMar>
        </w:tblPrEx>
        <w:trPr>
          <w:trHeight w:val="1015" w:hRule="atLeast"/>
          <w:jc w:val="center"/>
        </w:trPr>
        <w:tc>
          <w:tcPr>
            <w:tcW w:w="1595" w:type="dxa"/>
            <w:gridSpan w:val="3"/>
            <w:vMerge w:val="continue"/>
            <w:tcBorders>
              <w:left w:val="single" w:color="auto" w:sz="8" w:space="0"/>
              <w:right w:val="single" w:color="auto" w:sz="8" w:space="0"/>
            </w:tcBorders>
            <w:tcMar>
              <w:left w:w="108" w:type="dxa"/>
              <w:right w:w="108" w:type="dxa"/>
            </w:tcMar>
            <w:vAlign w:val="center"/>
          </w:tcPr>
          <w:p w14:paraId="0ECD0526">
            <w:pPr>
              <w:pStyle w:val="13"/>
              <w:spacing w:line="360" w:lineRule="auto"/>
              <w:contextualSpacing/>
              <w:jc w:val="center"/>
              <w:rPr>
                <w:rFonts w:hint="eastAsia" w:ascii="宋体" w:hAnsi="宋体" w:cs="宋体"/>
                <w:color w:val="auto"/>
                <w:sz w:val="24"/>
                <w:szCs w:val="24"/>
                <w:highlight w:val="none"/>
              </w:rPr>
            </w:pPr>
          </w:p>
        </w:tc>
        <w:tc>
          <w:tcPr>
            <w:tcW w:w="6614" w:type="dxa"/>
            <w:tcBorders>
              <w:top w:val="nil"/>
              <w:left w:val="nil"/>
              <w:bottom w:val="single" w:color="auto" w:sz="8" w:space="0"/>
              <w:right w:val="single" w:color="auto" w:sz="8" w:space="0"/>
            </w:tcBorders>
            <w:tcMar>
              <w:left w:w="108" w:type="dxa"/>
              <w:right w:w="108" w:type="dxa"/>
            </w:tcMar>
            <w:vAlign w:val="center"/>
          </w:tcPr>
          <w:p w14:paraId="06F77DFD">
            <w:pPr>
              <w:pStyle w:val="13"/>
              <w:spacing w:line="360" w:lineRule="auto"/>
              <w:contextualSpacing/>
              <w:jc w:val="left"/>
              <w:rPr>
                <w:rFonts w:hint="eastAsia" w:hAnsi="宋体"/>
                <w:color w:val="auto"/>
                <w:highlight w:val="none"/>
              </w:rPr>
            </w:pPr>
            <w:r>
              <w:rPr>
                <w:rFonts w:hint="eastAsia" w:hAnsi="宋体"/>
                <w:color w:val="auto"/>
                <w:kern w:val="1"/>
                <w:highlight w:val="none"/>
              </w:rPr>
              <w:t>施工安全生产保障体系，安全管理制度。</w:t>
            </w:r>
            <w:r>
              <w:rPr>
                <w:rFonts w:hint="eastAsia" w:hAnsi="宋体"/>
                <w:color w:val="auto"/>
                <w:highlight w:val="none"/>
              </w:rPr>
              <w:t>综合评审，共分三个档次：</w:t>
            </w:r>
            <w:r>
              <w:rPr>
                <w:rFonts w:hint="eastAsia" w:ascii="宋体" w:hAnsi="宋体" w:cs="宋体"/>
                <w:color w:val="auto"/>
                <w:sz w:val="24"/>
                <w:szCs w:val="24"/>
                <w:highlight w:val="none"/>
              </w:rPr>
              <w:t>优得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分，良得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分，一般得2分，无相关内容不得分</w:t>
            </w:r>
            <w:r>
              <w:rPr>
                <w:rFonts w:hint="eastAsia" w:hAnsi="宋体"/>
                <w:color w:val="auto"/>
                <w:highlight w:val="none"/>
              </w:rPr>
              <w:t>。</w:t>
            </w:r>
          </w:p>
        </w:tc>
        <w:tc>
          <w:tcPr>
            <w:tcW w:w="1350" w:type="dxa"/>
            <w:tcBorders>
              <w:top w:val="nil"/>
              <w:left w:val="nil"/>
              <w:bottom w:val="single" w:color="auto" w:sz="8" w:space="0"/>
              <w:right w:val="single" w:color="auto" w:sz="8" w:space="0"/>
            </w:tcBorders>
            <w:tcMar>
              <w:left w:w="108" w:type="dxa"/>
              <w:right w:w="108" w:type="dxa"/>
            </w:tcMar>
            <w:vAlign w:val="center"/>
          </w:tcPr>
          <w:p w14:paraId="1E3411A1">
            <w:pPr>
              <w:widowControl/>
              <w:spacing w:line="33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分</w:t>
            </w:r>
          </w:p>
        </w:tc>
      </w:tr>
      <w:tr w14:paraId="5C7F8177">
        <w:tblPrEx>
          <w:tblCellMar>
            <w:top w:w="0" w:type="dxa"/>
            <w:left w:w="0" w:type="dxa"/>
            <w:bottom w:w="0" w:type="dxa"/>
            <w:right w:w="0" w:type="dxa"/>
          </w:tblCellMar>
        </w:tblPrEx>
        <w:trPr>
          <w:trHeight w:val="1015" w:hRule="atLeast"/>
          <w:jc w:val="center"/>
        </w:trPr>
        <w:tc>
          <w:tcPr>
            <w:tcW w:w="1595" w:type="dxa"/>
            <w:gridSpan w:val="3"/>
            <w:vMerge w:val="continue"/>
            <w:tcBorders>
              <w:left w:val="single" w:color="auto" w:sz="8" w:space="0"/>
              <w:right w:val="single" w:color="auto" w:sz="8" w:space="0"/>
            </w:tcBorders>
            <w:tcMar>
              <w:left w:w="108" w:type="dxa"/>
              <w:right w:w="108" w:type="dxa"/>
            </w:tcMar>
            <w:vAlign w:val="center"/>
          </w:tcPr>
          <w:p w14:paraId="7467909E">
            <w:pPr>
              <w:pStyle w:val="13"/>
              <w:spacing w:line="360" w:lineRule="auto"/>
              <w:contextualSpacing/>
              <w:jc w:val="center"/>
              <w:rPr>
                <w:rFonts w:hint="eastAsia" w:ascii="宋体" w:hAnsi="宋体" w:cs="宋体"/>
                <w:color w:val="auto"/>
                <w:sz w:val="24"/>
                <w:szCs w:val="24"/>
                <w:highlight w:val="none"/>
              </w:rPr>
            </w:pPr>
          </w:p>
        </w:tc>
        <w:tc>
          <w:tcPr>
            <w:tcW w:w="6614" w:type="dxa"/>
            <w:tcBorders>
              <w:top w:val="nil"/>
              <w:left w:val="nil"/>
              <w:bottom w:val="single" w:color="auto" w:sz="8" w:space="0"/>
              <w:right w:val="single" w:color="auto" w:sz="8" w:space="0"/>
            </w:tcBorders>
            <w:tcMar>
              <w:left w:w="108" w:type="dxa"/>
              <w:right w:w="108" w:type="dxa"/>
            </w:tcMar>
            <w:vAlign w:val="center"/>
          </w:tcPr>
          <w:p w14:paraId="323CF877">
            <w:pPr>
              <w:pStyle w:val="13"/>
              <w:spacing w:line="360" w:lineRule="auto"/>
              <w:contextualSpacing/>
              <w:jc w:val="left"/>
              <w:rPr>
                <w:rFonts w:hint="eastAsia" w:hAnsi="宋体"/>
                <w:color w:val="auto"/>
                <w:kern w:val="1"/>
                <w:highlight w:val="none"/>
              </w:rPr>
            </w:pPr>
            <w:r>
              <w:rPr>
                <w:rFonts w:hint="eastAsia" w:hAnsi="宋体"/>
                <w:color w:val="auto"/>
                <w:highlight w:val="none"/>
              </w:rPr>
              <w:t>确保质量措施、质量管控体系等。综合评审，共分三个档次：</w:t>
            </w:r>
            <w:r>
              <w:rPr>
                <w:rFonts w:hint="eastAsia" w:ascii="宋体" w:hAnsi="宋体" w:cs="宋体"/>
                <w:color w:val="auto"/>
                <w:sz w:val="24"/>
                <w:szCs w:val="24"/>
                <w:highlight w:val="none"/>
              </w:rPr>
              <w:t>优得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分，良得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分，一般得2分，无相关内容不得分</w:t>
            </w:r>
            <w:r>
              <w:rPr>
                <w:rFonts w:hint="eastAsia" w:hAnsi="宋体"/>
                <w:color w:val="auto"/>
                <w:highlight w:val="none"/>
              </w:rPr>
              <w:t>。</w:t>
            </w:r>
          </w:p>
        </w:tc>
        <w:tc>
          <w:tcPr>
            <w:tcW w:w="1350" w:type="dxa"/>
            <w:tcBorders>
              <w:top w:val="nil"/>
              <w:left w:val="nil"/>
              <w:bottom w:val="single" w:color="auto" w:sz="8" w:space="0"/>
              <w:right w:val="single" w:color="auto" w:sz="8" w:space="0"/>
            </w:tcBorders>
            <w:tcMar>
              <w:left w:w="108" w:type="dxa"/>
              <w:right w:w="108" w:type="dxa"/>
            </w:tcMar>
            <w:vAlign w:val="center"/>
          </w:tcPr>
          <w:p w14:paraId="1F762A6B">
            <w:pPr>
              <w:widowControl/>
              <w:spacing w:line="33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分</w:t>
            </w:r>
          </w:p>
        </w:tc>
      </w:tr>
      <w:tr w14:paraId="4B947A4C">
        <w:tblPrEx>
          <w:tblCellMar>
            <w:top w:w="0" w:type="dxa"/>
            <w:left w:w="0" w:type="dxa"/>
            <w:bottom w:w="0" w:type="dxa"/>
            <w:right w:w="0" w:type="dxa"/>
          </w:tblCellMar>
        </w:tblPrEx>
        <w:trPr>
          <w:trHeight w:val="1015" w:hRule="atLeast"/>
          <w:jc w:val="center"/>
        </w:trPr>
        <w:tc>
          <w:tcPr>
            <w:tcW w:w="1595" w:type="dxa"/>
            <w:gridSpan w:val="3"/>
            <w:vMerge w:val="continue"/>
            <w:tcBorders>
              <w:left w:val="single" w:color="auto" w:sz="8" w:space="0"/>
              <w:right w:val="single" w:color="auto" w:sz="8" w:space="0"/>
            </w:tcBorders>
            <w:tcMar>
              <w:left w:w="108" w:type="dxa"/>
              <w:right w:w="108" w:type="dxa"/>
            </w:tcMar>
            <w:vAlign w:val="center"/>
          </w:tcPr>
          <w:p w14:paraId="42F0B4A8">
            <w:pPr>
              <w:pStyle w:val="13"/>
              <w:spacing w:line="360" w:lineRule="auto"/>
              <w:contextualSpacing/>
              <w:jc w:val="center"/>
              <w:rPr>
                <w:rFonts w:hint="eastAsia" w:ascii="宋体" w:hAnsi="宋体" w:cs="宋体"/>
                <w:color w:val="auto"/>
                <w:sz w:val="24"/>
                <w:szCs w:val="24"/>
                <w:highlight w:val="none"/>
              </w:rPr>
            </w:pPr>
          </w:p>
        </w:tc>
        <w:tc>
          <w:tcPr>
            <w:tcW w:w="6614" w:type="dxa"/>
            <w:tcBorders>
              <w:top w:val="nil"/>
              <w:left w:val="nil"/>
              <w:bottom w:val="single" w:color="auto" w:sz="8" w:space="0"/>
              <w:right w:val="single" w:color="auto" w:sz="8" w:space="0"/>
            </w:tcBorders>
            <w:tcMar>
              <w:left w:w="108" w:type="dxa"/>
              <w:right w:w="108" w:type="dxa"/>
            </w:tcMar>
            <w:vAlign w:val="center"/>
          </w:tcPr>
          <w:p w14:paraId="1C7ED938">
            <w:pPr>
              <w:pStyle w:val="13"/>
              <w:spacing w:line="360" w:lineRule="auto"/>
              <w:contextualSpacing/>
              <w:jc w:val="left"/>
              <w:rPr>
                <w:rFonts w:hint="eastAsia" w:hAnsi="宋体"/>
                <w:color w:val="auto"/>
                <w:highlight w:val="none"/>
              </w:rPr>
            </w:pPr>
            <w:r>
              <w:rPr>
                <w:rFonts w:hint="eastAsia" w:hAnsi="宋体"/>
                <w:color w:val="auto"/>
                <w:kern w:val="1"/>
                <w:highlight w:val="none"/>
              </w:rPr>
              <w:t>文明施工、环境保护管理体系及施工现场扬尘治理措施。</w:t>
            </w:r>
            <w:r>
              <w:rPr>
                <w:rFonts w:hint="eastAsia" w:hAnsi="宋体"/>
                <w:color w:val="auto"/>
                <w:highlight w:val="none"/>
              </w:rPr>
              <w:t>综合评审，</w:t>
            </w:r>
            <w:r>
              <w:rPr>
                <w:rFonts w:hint="eastAsia" w:ascii="宋体" w:hAnsi="宋体" w:cs="宋体"/>
                <w:color w:val="auto"/>
                <w:sz w:val="24"/>
                <w:szCs w:val="24"/>
                <w:highlight w:val="none"/>
              </w:rPr>
              <w:t>优得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分，良得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分，一般得2分，无相关内容不得分</w:t>
            </w:r>
            <w:r>
              <w:rPr>
                <w:rFonts w:hint="eastAsia" w:hAnsi="宋体"/>
                <w:color w:val="auto"/>
                <w:highlight w:val="none"/>
              </w:rPr>
              <w:t>。</w:t>
            </w:r>
          </w:p>
        </w:tc>
        <w:tc>
          <w:tcPr>
            <w:tcW w:w="1350" w:type="dxa"/>
            <w:tcBorders>
              <w:top w:val="nil"/>
              <w:left w:val="nil"/>
              <w:bottom w:val="single" w:color="auto" w:sz="8" w:space="0"/>
              <w:right w:val="single" w:color="auto" w:sz="8" w:space="0"/>
            </w:tcBorders>
            <w:tcMar>
              <w:left w:w="108" w:type="dxa"/>
              <w:right w:w="108" w:type="dxa"/>
            </w:tcMar>
            <w:vAlign w:val="center"/>
          </w:tcPr>
          <w:p w14:paraId="7FE75C14">
            <w:pPr>
              <w:widowControl/>
              <w:spacing w:line="33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分</w:t>
            </w:r>
          </w:p>
        </w:tc>
      </w:tr>
      <w:tr w14:paraId="4B290FB2">
        <w:tblPrEx>
          <w:tblCellMar>
            <w:top w:w="0" w:type="dxa"/>
            <w:left w:w="0" w:type="dxa"/>
            <w:bottom w:w="0" w:type="dxa"/>
            <w:right w:w="0" w:type="dxa"/>
          </w:tblCellMar>
        </w:tblPrEx>
        <w:trPr>
          <w:trHeight w:val="1015" w:hRule="atLeast"/>
          <w:jc w:val="center"/>
        </w:trPr>
        <w:tc>
          <w:tcPr>
            <w:tcW w:w="1595" w:type="dxa"/>
            <w:gridSpan w:val="3"/>
            <w:vMerge w:val="continue"/>
            <w:tcBorders>
              <w:left w:val="single" w:color="auto" w:sz="8" w:space="0"/>
              <w:right w:val="single" w:color="auto" w:sz="8" w:space="0"/>
            </w:tcBorders>
            <w:tcMar>
              <w:left w:w="108" w:type="dxa"/>
              <w:right w:w="108" w:type="dxa"/>
            </w:tcMar>
            <w:vAlign w:val="center"/>
          </w:tcPr>
          <w:p w14:paraId="32723D3A">
            <w:pPr>
              <w:pStyle w:val="13"/>
              <w:spacing w:line="360" w:lineRule="auto"/>
              <w:contextualSpacing/>
              <w:jc w:val="center"/>
              <w:rPr>
                <w:rFonts w:hint="eastAsia" w:ascii="宋体" w:hAnsi="宋体" w:cs="宋体"/>
                <w:color w:val="auto"/>
                <w:sz w:val="24"/>
                <w:szCs w:val="24"/>
                <w:highlight w:val="none"/>
              </w:rPr>
            </w:pPr>
          </w:p>
        </w:tc>
        <w:tc>
          <w:tcPr>
            <w:tcW w:w="6614" w:type="dxa"/>
            <w:tcBorders>
              <w:top w:val="nil"/>
              <w:left w:val="nil"/>
              <w:bottom w:val="single" w:color="auto" w:sz="8" w:space="0"/>
              <w:right w:val="single" w:color="auto" w:sz="8" w:space="0"/>
            </w:tcBorders>
            <w:tcMar>
              <w:left w:w="108" w:type="dxa"/>
              <w:right w:w="108" w:type="dxa"/>
            </w:tcMar>
            <w:vAlign w:val="center"/>
          </w:tcPr>
          <w:p w14:paraId="40AC43FC">
            <w:pPr>
              <w:pStyle w:val="13"/>
              <w:spacing w:line="360" w:lineRule="auto"/>
              <w:contextualSpacing/>
              <w:jc w:val="left"/>
              <w:rPr>
                <w:rFonts w:hint="eastAsia" w:hAnsi="宋体"/>
                <w:color w:val="auto"/>
                <w:kern w:val="1"/>
                <w:highlight w:val="none"/>
              </w:rPr>
            </w:pPr>
            <w:r>
              <w:rPr>
                <w:rFonts w:hint="eastAsia" w:hAnsi="宋体"/>
                <w:color w:val="auto"/>
                <w:highlight w:val="none"/>
              </w:rPr>
              <w:t>工期保证措施。综合评审，共分三个档次：</w:t>
            </w:r>
            <w:r>
              <w:rPr>
                <w:rFonts w:hint="eastAsia" w:ascii="宋体" w:hAnsi="宋体" w:cs="宋体"/>
                <w:color w:val="auto"/>
                <w:sz w:val="24"/>
                <w:szCs w:val="24"/>
                <w:highlight w:val="none"/>
              </w:rPr>
              <w:t>优得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分，良得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分，一般得2分，无相关内容不得分</w:t>
            </w:r>
            <w:r>
              <w:rPr>
                <w:rFonts w:hint="eastAsia" w:hAnsi="宋体"/>
                <w:color w:val="auto"/>
                <w:highlight w:val="none"/>
              </w:rPr>
              <w:t>。</w:t>
            </w:r>
          </w:p>
        </w:tc>
        <w:tc>
          <w:tcPr>
            <w:tcW w:w="1350" w:type="dxa"/>
            <w:tcBorders>
              <w:top w:val="nil"/>
              <w:left w:val="nil"/>
              <w:bottom w:val="single" w:color="auto" w:sz="8" w:space="0"/>
              <w:right w:val="single" w:color="auto" w:sz="8" w:space="0"/>
            </w:tcBorders>
            <w:tcMar>
              <w:left w:w="108" w:type="dxa"/>
              <w:right w:w="108" w:type="dxa"/>
            </w:tcMar>
            <w:vAlign w:val="center"/>
          </w:tcPr>
          <w:p w14:paraId="597026E8">
            <w:pPr>
              <w:widowControl/>
              <w:spacing w:line="33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分</w:t>
            </w:r>
          </w:p>
        </w:tc>
      </w:tr>
      <w:tr w14:paraId="7CBCA2B9">
        <w:tblPrEx>
          <w:tblCellMar>
            <w:top w:w="0" w:type="dxa"/>
            <w:left w:w="0" w:type="dxa"/>
            <w:bottom w:w="0" w:type="dxa"/>
            <w:right w:w="0" w:type="dxa"/>
          </w:tblCellMar>
        </w:tblPrEx>
        <w:trPr>
          <w:trHeight w:val="90" w:hRule="atLeast"/>
          <w:jc w:val="center"/>
        </w:trPr>
        <w:tc>
          <w:tcPr>
            <w:tcW w:w="1595" w:type="dxa"/>
            <w:gridSpan w:val="3"/>
            <w:vMerge w:val="continue"/>
            <w:tcBorders>
              <w:left w:val="single" w:color="auto" w:sz="8" w:space="0"/>
              <w:bottom w:val="single" w:color="auto" w:sz="4" w:space="0"/>
              <w:right w:val="single" w:color="auto" w:sz="8" w:space="0"/>
            </w:tcBorders>
            <w:tcMar>
              <w:left w:w="108" w:type="dxa"/>
              <w:right w:w="108" w:type="dxa"/>
            </w:tcMar>
            <w:vAlign w:val="center"/>
          </w:tcPr>
          <w:p w14:paraId="77347F6A">
            <w:pPr>
              <w:pStyle w:val="13"/>
              <w:spacing w:line="360" w:lineRule="auto"/>
              <w:contextualSpacing/>
              <w:jc w:val="center"/>
              <w:rPr>
                <w:rFonts w:hint="eastAsia" w:ascii="宋体" w:hAnsi="宋体" w:eastAsia="宋体" w:cs="宋体"/>
                <w:color w:val="auto"/>
                <w:szCs w:val="24"/>
                <w:highlight w:val="none"/>
              </w:rPr>
            </w:pPr>
          </w:p>
        </w:tc>
        <w:tc>
          <w:tcPr>
            <w:tcW w:w="6614"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45A6C9B9">
            <w:pPr>
              <w:pStyle w:val="13"/>
              <w:spacing w:line="360" w:lineRule="auto"/>
              <w:contextualSpacing/>
              <w:jc w:val="left"/>
              <w:rPr>
                <w:rFonts w:hint="eastAsia" w:ascii="宋体" w:hAnsi="宋体" w:eastAsia="宋体" w:cs="宋体"/>
                <w:color w:val="auto"/>
                <w:szCs w:val="24"/>
                <w:highlight w:val="none"/>
              </w:rPr>
            </w:pPr>
            <w:r>
              <w:rPr>
                <w:rFonts w:hint="eastAsia" w:hAnsi="宋体"/>
                <w:color w:val="auto"/>
                <w:kern w:val="1"/>
                <w:highlight w:val="none"/>
              </w:rPr>
              <w:t>风险应急管理措施。</w:t>
            </w:r>
            <w:r>
              <w:rPr>
                <w:rFonts w:hint="eastAsia" w:hAnsi="宋体"/>
                <w:color w:val="auto"/>
                <w:highlight w:val="none"/>
              </w:rPr>
              <w:t>综合评审，共分三个档次</w:t>
            </w:r>
            <w:r>
              <w:rPr>
                <w:rFonts w:hint="eastAsia" w:ascii="宋体" w:hAnsi="宋体" w:cs="宋体"/>
                <w:color w:val="auto"/>
                <w:sz w:val="24"/>
                <w:szCs w:val="24"/>
                <w:highlight w:val="none"/>
              </w:rPr>
              <w:t>优得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分，良得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分，一般得2分，无相关内容不得分</w:t>
            </w:r>
            <w:r>
              <w:rPr>
                <w:rFonts w:hint="eastAsia" w:hAnsi="宋体"/>
                <w:color w:val="auto"/>
                <w:highlight w:val="none"/>
              </w:rPr>
              <w:t>。</w:t>
            </w:r>
          </w:p>
        </w:tc>
        <w:tc>
          <w:tcPr>
            <w:tcW w:w="13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36FBBD06">
            <w:pPr>
              <w:spacing w:line="40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分</w:t>
            </w:r>
          </w:p>
        </w:tc>
      </w:tr>
      <w:tr w14:paraId="1D341924">
        <w:tblPrEx>
          <w:tblCellMar>
            <w:top w:w="0" w:type="dxa"/>
            <w:left w:w="0" w:type="dxa"/>
            <w:bottom w:w="0" w:type="dxa"/>
            <w:right w:w="0" w:type="dxa"/>
          </w:tblCellMar>
        </w:tblPrEx>
        <w:trPr>
          <w:trHeight w:val="267" w:hRule="atLeast"/>
          <w:jc w:val="center"/>
        </w:trPr>
        <w:tc>
          <w:tcPr>
            <w:tcW w:w="9559"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B4B126D">
            <w:pPr>
              <w:pStyle w:val="54"/>
              <w:spacing w:line="360" w:lineRule="auto"/>
              <w:jc w:val="both"/>
              <w:rPr>
                <w:rFonts w:hint="eastAsia" w:ascii="微软雅黑" w:hAnsi="宋体" w:eastAsia="宋体" w:cs="微软雅黑"/>
                <w:color w:val="auto"/>
                <w:kern w:val="1"/>
                <w:sz w:val="24"/>
                <w:szCs w:val="22"/>
                <w:highlight w:val="none"/>
                <w:lang w:val="zh-CN" w:eastAsia="zh-CN" w:bidi="zh-CN"/>
              </w:rPr>
            </w:pPr>
            <w:r>
              <w:rPr>
                <w:rFonts w:hint="eastAsia" w:ascii="微软雅黑" w:hAnsi="宋体" w:eastAsia="宋体" w:cs="微软雅黑"/>
                <w:color w:val="auto"/>
                <w:kern w:val="1"/>
                <w:sz w:val="24"/>
                <w:szCs w:val="22"/>
                <w:highlight w:val="none"/>
                <w:lang w:val="zh-CN" w:eastAsia="zh-CN" w:bidi="zh-CN"/>
              </w:rPr>
              <w:t>各档次的标准设定如下：</w:t>
            </w:r>
          </w:p>
          <w:p w14:paraId="4BD981B0">
            <w:pPr>
              <w:pStyle w:val="54"/>
              <w:spacing w:line="360" w:lineRule="auto"/>
              <w:ind w:firstLine="240" w:firstLineChars="100"/>
              <w:jc w:val="both"/>
              <w:rPr>
                <w:rFonts w:hint="eastAsia" w:ascii="微软雅黑" w:hAnsi="宋体" w:eastAsia="宋体" w:cs="微软雅黑"/>
                <w:color w:val="auto"/>
                <w:kern w:val="1"/>
                <w:sz w:val="24"/>
                <w:szCs w:val="22"/>
                <w:highlight w:val="none"/>
                <w:lang w:val="zh-CN" w:eastAsia="zh-CN" w:bidi="zh-CN"/>
              </w:rPr>
            </w:pPr>
            <w:r>
              <w:rPr>
                <w:rFonts w:hint="eastAsia" w:ascii="微软雅黑" w:hAnsi="宋体" w:eastAsia="宋体" w:cs="微软雅黑"/>
                <w:color w:val="auto"/>
                <w:kern w:val="1"/>
                <w:sz w:val="24"/>
                <w:szCs w:val="22"/>
                <w:highlight w:val="none"/>
                <w:lang w:val="zh-CN" w:eastAsia="zh-CN" w:bidi="zh-CN"/>
              </w:rPr>
              <w:t>优（第一档）：内容详实，科学、合理，考虑周全，措施到位，针对性强，完全能够满足项目的需要。</w:t>
            </w:r>
          </w:p>
          <w:p w14:paraId="4906176D">
            <w:pPr>
              <w:pStyle w:val="54"/>
              <w:spacing w:line="360" w:lineRule="auto"/>
              <w:ind w:firstLine="240" w:firstLineChars="100"/>
              <w:jc w:val="both"/>
              <w:rPr>
                <w:rFonts w:hint="eastAsia" w:ascii="微软雅黑" w:hAnsi="宋体" w:eastAsia="宋体" w:cs="微软雅黑"/>
                <w:color w:val="auto"/>
                <w:kern w:val="1"/>
                <w:sz w:val="24"/>
                <w:szCs w:val="22"/>
                <w:highlight w:val="none"/>
                <w:lang w:val="zh-CN" w:eastAsia="zh-CN" w:bidi="zh-CN"/>
              </w:rPr>
            </w:pPr>
            <w:r>
              <w:rPr>
                <w:rFonts w:hint="eastAsia" w:ascii="微软雅黑" w:hAnsi="宋体" w:eastAsia="宋体" w:cs="微软雅黑"/>
                <w:color w:val="auto"/>
                <w:kern w:val="1"/>
                <w:sz w:val="24"/>
                <w:szCs w:val="22"/>
                <w:highlight w:val="none"/>
                <w:lang w:val="zh-CN" w:eastAsia="zh-CN" w:bidi="zh-CN"/>
              </w:rPr>
              <w:t>良（第二档）：内容完整，基本科学、合理，考虑基本周全，措施基本到位，针对性较强，可以满足项目的需要，但有个别细节需要进一步完善或提高。</w:t>
            </w:r>
          </w:p>
          <w:p w14:paraId="4156D41C">
            <w:pPr>
              <w:spacing w:line="360" w:lineRule="auto"/>
              <w:jc w:val="left"/>
              <w:rPr>
                <w:rFonts w:hint="eastAsia" w:ascii="宋体" w:hAnsi="宋体" w:eastAsia="宋体" w:cs="宋体"/>
                <w:b/>
                <w:color w:val="auto"/>
                <w:sz w:val="24"/>
                <w:szCs w:val="24"/>
                <w:highlight w:val="none"/>
              </w:rPr>
            </w:pPr>
            <w:r>
              <w:rPr>
                <w:rFonts w:hint="eastAsia" w:ascii="微软雅黑" w:hAnsi="宋体" w:eastAsia="宋体" w:cs="微软雅黑"/>
                <w:color w:val="auto"/>
                <w:kern w:val="1"/>
                <w:sz w:val="24"/>
                <w:szCs w:val="22"/>
                <w:highlight w:val="none"/>
                <w:lang w:val="zh-CN" w:eastAsia="zh-CN" w:bidi="zh-CN"/>
              </w:rPr>
              <w:t>一般（第三档）：内容基本完整，科学、合理方面一般，考虑不够周全，措施不够到位，针对性不强，虽然能够基本满足项目的需要，但有很多方面需要进一步完善甚至重新考虑。</w:t>
            </w:r>
          </w:p>
        </w:tc>
      </w:tr>
    </w:tbl>
    <w:p w14:paraId="6A3609EF">
      <w:pPr>
        <w:pStyle w:val="13"/>
        <w:spacing w:line="360" w:lineRule="auto"/>
        <w:ind w:firstLine="482" w:firstLineChars="200"/>
        <w:contextualSpacing/>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（6）评标结果汇总完成后，除下列情形外，任何人不得修改评标结果：</w:t>
      </w:r>
    </w:p>
    <w:p w14:paraId="3598E994">
      <w:pPr>
        <w:tabs>
          <w:tab w:val="left" w:pos="1260"/>
        </w:tabs>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1）分值汇总计算错误的；</w:t>
      </w:r>
    </w:p>
    <w:p w14:paraId="4128B527">
      <w:pPr>
        <w:tabs>
          <w:tab w:val="left" w:pos="1260"/>
        </w:tabs>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2）分项评分超出评分标准范围的；</w:t>
      </w:r>
    </w:p>
    <w:p w14:paraId="7928A225">
      <w:pPr>
        <w:tabs>
          <w:tab w:val="left" w:pos="1260"/>
        </w:tabs>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3）磋商小组成员对客观评审因素评分不一致的；</w:t>
      </w:r>
    </w:p>
    <w:p w14:paraId="79C607AF">
      <w:pPr>
        <w:tabs>
          <w:tab w:val="left" w:pos="1260"/>
        </w:tabs>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4）经磋商小组认定评分畸高、畸低的。</w:t>
      </w:r>
    </w:p>
    <w:p w14:paraId="1278D629">
      <w:pPr>
        <w:tabs>
          <w:tab w:val="left" w:pos="1260"/>
        </w:tabs>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72DDFC91">
      <w:pPr>
        <w:tabs>
          <w:tab w:val="left" w:pos="1260"/>
        </w:tabs>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投标人对本条第一款情形提出质疑的，采购人或者采购代理机构可以组织原磋商小组进行重新评审，重新评审改变评标结果的，应当书面报告本级财政部门。</w:t>
      </w:r>
    </w:p>
    <w:p w14:paraId="07E15849">
      <w:pPr>
        <w:tabs>
          <w:tab w:val="left" w:pos="1260"/>
        </w:tabs>
        <w:spacing w:line="360" w:lineRule="auto"/>
        <w:ind w:firstLine="482" w:firstLineChars="200"/>
        <w:contextualSpacing/>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（7）磋商小组争议处理</w:t>
      </w:r>
    </w:p>
    <w:p w14:paraId="6F061C98">
      <w:pPr>
        <w:tabs>
          <w:tab w:val="left" w:pos="1260"/>
        </w:tabs>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45D9BCF">
      <w:pPr>
        <w:spacing w:line="360" w:lineRule="auto"/>
        <w:ind w:firstLine="482" w:firstLineChars="200"/>
        <w:contextualSpacing/>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4、确定成交候选人名单，以及根据采购人委托直接确定成交人。</w:t>
      </w:r>
    </w:p>
    <w:p w14:paraId="5610EB5D">
      <w:pPr>
        <w:keepNext w:val="0"/>
        <w:keepLines w:val="0"/>
        <w:pageBreakBefore/>
        <w:widowControl w:val="0"/>
        <w:tabs>
          <w:tab w:val="left" w:pos="1260"/>
        </w:tabs>
        <w:kinsoku/>
        <w:wordWrap/>
        <w:overflowPunct/>
        <w:topLinePunct w:val="0"/>
        <w:autoSpaceDE w:val="0"/>
        <w:autoSpaceDN w:val="0"/>
        <w:bidi w:val="0"/>
        <w:adjustRightInd w:val="0"/>
        <w:snapToGrid/>
        <w:spacing w:line="360" w:lineRule="auto"/>
        <w:contextualSpacing/>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章</w:t>
      </w:r>
      <w:r>
        <w:rPr>
          <w:rFonts w:hint="eastAsia" w:ascii="宋体" w:hAnsi="宋体" w:eastAsia="宋体" w:cs="宋体"/>
          <w:b/>
          <w:color w:val="auto"/>
          <w:sz w:val="32"/>
          <w:szCs w:val="32"/>
          <w:highlight w:val="none"/>
        </w:rPr>
        <w:tab/>
      </w:r>
      <w:r>
        <w:rPr>
          <w:rFonts w:hint="eastAsia" w:ascii="宋体" w:hAnsi="宋体" w:eastAsia="宋体" w:cs="宋体"/>
          <w:b/>
          <w:color w:val="auto"/>
          <w:sz w:val="32"/>
          <w:szCs w:val="32"/>
          <w:highlight w:val="none"/>
        </w:rPr>
        <w:t>合同条款及格式</w:t>
      </w:r>
    </w:p>
    <w:p w14:paraId="1AEC6437">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（此合同仅供参考。以最终采购人与中标人签定的合同条款为准进行公示，</w:t>
      </w:r>
    </w:p>
    <w:p w14:paraId="1BE359DC">
      <w:pPr>
        <w:spacing w:line="360" w:lineRule="auto"/>
        <w:jc w:val="center"/>
        <w:rPr>
          <w:rFonts w:hint="eastAsia" w:ascii="宋体" w:hAnsi="宋体" w:eastAsia="宋体" w:cs="宋体"/>
          <w:color w:val="auto"/>
          <w:highlight w:val="none"/>
          <w:u w:val="single"/>
        </w:rPr>
      </w:pPr>
      <w:r>
        <w:rPr>
          <w:rFonts w:hint="eastAsia" w:ascii="宋体" w:hAnsi="宋体" w:eastAsia="宋体" w:cs="宋体"/>
          <w:b/>
          <w:bCs/>
          <w:color w:val="auto"/>
          <w:szCs w:val="21"/>
          <w:highlight w:val="none"/>
        </w:rPr>
        <w:t>最终签定合同的主要条款不能与谈判文件有冲突）</w:t>
      </w:r>
    </w:p>
    <w:p w14:paraId="2FDAA6FB">
      <w:pPr>
        <w:pStyle w:val="19"/>
        <w:spacing w:before="75" w:after="75"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（采购人全称）</w:t>
      </w:r>
    </w:p>
    <w:p w14:paraId="74A94346">
      <w:pPr>
        <w:pStyle w:val="19"/>
        <w:spacing w:before="75" w:after="75"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（中标人全称）</w:t>
      </w:r>
    </w:p>
    <w:p w14:paraId="48A30AF1">
      <w:pPr>
        <w:pStyle w:val="19"/>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53C5AB30">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根据招标编号为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项目（以下简称：“本项目”）的招标结果，乙方为中标人。现经甲乙双方友好协商，就以下事项达成一致并签订本合同：</w:t>
      </w:r>
    </w:p>
    <w:p w14:paraId="4A4FD0E9">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1、下列合同文件是构成本合同不可分割的部分：</w:t>
      </w:r>
    </w:p>
    <w:p w14:paraId="514466D7">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1.1合同条款；</w:t>
      </w:r>
    </w:p>
    <w:p w14:paraId="4F415465">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1.2谈判文件、乙方的投标文件；</w:t>
      </w:r>
    </w:p>
    <w:p w14:paraId="4D0A7162">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1.3其他文件或材料：□无。□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14:paraId="066E152A">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2、合同标的</w:t>
      </w:r>
    </w:p>
    <w:p w14:paraId="41E3A0C9">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14:paraId="7629809A">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3、合同总金额</w:t>
      </w:r>
    </w:p>
    <w:p w14:paraId="625BF200">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3.1合同总金额为人民币大写：</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4640E7DF">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4、合同标的交付时间、地点和条件</w:t>
      </w:r>
    </w:p>
    <w:p w14:paraId="0F2AB16E">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4.1交付时间：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63D43710">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4.2交付地点：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B2B24CD">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4.3交付条件：</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6A9B4B4">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5、合同标的应符合谈判文件、乙方投标文件的规定或约定，具体如下：</w:t>
      </w:r>
    </w:p>
    <w:p w14:paraId="7A18D147">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14:paraId="28DFE8DF">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6、验收</w:t>
      </w:r>
    </w:p>
    <w:p w14:paraId="1F7FC0DE">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6.1验收应按照谈判文件、乙方投标文件的规定或约定进行，具体如下：</w:t>
      </w:r>
    </w:p>
    <w:p w14:paraId="02B1F595">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14:paraId="1D4FC932">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6.2本项目是否邀请其他供应商参与验收：</w:t>
      </w:r>
    </w:p>
    <w:p w14:paraId="3518643D">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□不邀请。□邀请，具体如下：</w:t>
      </w:r>
      <w:r>
        <w:rPr>
          <w:rFonts w:hint="eastAsia" w:ascii="宋体" w:hAnsi="宋体" w:eastAsia="宋体" w:cs="宋体"/>
          <w:color w:val="auto"/>
          <w:sz w:val="21"/>
          <w:szCs w:val="21"/>
          <w:highlight w:val="none"/>
          <w:u w:val="single"/>
        </w:rPr>
        <w:t>（按照谈判文件规定填写）</w:t>
      </w:r>
      <w:r>
        <w:rPr>
          <w:rFonts w:hint="eastAsia" w:ascii="宋体" w:hAnsi="宋体" w:eastAsia="宋体" w:cs="宋体"/>
          <w:color w:val="auto"/>
          <w:sz w:val="21"/>
          <w:szCs w:val="21"/>
          <w:highlight w:val="none"/>
        </w:rPr>
        <w:t>。</w:t>
      </w:r>
    </w:p>
    <w:p w14:paraId="5C9D46A5">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7、合同款项的支付应按照谈判文件的规定进行，具体如下：</w:t>
      </w:r>
    </w:p>
    <w:p w14:paraId="72E12DCC">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（按照实际情况编制填写，可以是表格或文字描述，包括一次性支付或分期支付等）</w:t>
      </w:r>
      <w:r>
        <w:rPr>
          <w:rFonts w:hint="eastAsia" w:ascii="宋体" w:hAnsi="宋体" w:eastAsia="宋体" w:cs="宋体"/>
          <w:color w:val="auto"/>
          <w:sz w:val="21"/>
          <w:szCs w:val="21"/>
          <w:highlight w:val="none"/>
        </w:rPr>
        <w:t>。</w:t>
      </w:r>
    </w:p>
    <w:p w14:paraId="5425FF14">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8、履约保证金</w:t>
      </w:r>
    </w:p>
    <w:p w14:paraId="0017C155">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□无。□有，具体如下：</w:t>
      </w:r>
      <w:r>
        <w:rPr>
          <w:rFonts w:hint="eastAsia" w:ascii="宋体" w:hAnsi="宋体" w:eastAsia="宋体" w:cs="宋体"/>
          <w:color w:val="auto"/>
          <w:sz w:val="21"/>
          <w:szCs w:val="21"/>
          <w:highlight w:val="none"/>
          <w:u w:val="single"/>
        </w:rPr>
        <w:t>（按照谈判文件规定填写）</w:t>
      </w:r>
      <w:r>
        <w:rPr>
          <w:rFonts w:hint="eastAsia" w:ascii="宋体" w:hAnsi="宋体" w:eastAsia="宋体" w:cs="宋体"/>
          <w:color w:val="auto"/>
          <w:sz w:val="21"/>
          <w:szCs w:val="21"/>
          <w:highlight w:val="none"/>
        </w:rPr>
        <w:t>。</w:t>
      </w:r>
    </w:p>
    <w:p w14:paraId="42980531">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9、合同有效期</w:t>
      </w:r>
    </w:p>
    <w:p w14:paraId="08B39BB8">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14:paraId="319CEDFB">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10、违约责任</w:t>
      </w:r>
    </w:p>
    <w:p w14:paraId="69E500D9">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14:paraId="46630793">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11、知识产权</w:t>
      </w:r>
    </w:p>
    <w:p w14:paraId="06E0A964">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C75876D">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14:paraId="04808386">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12、解决争议的方法</w:t>
      </w:r>
    </w:p>
    <w:p w14:paraId="4AEC0F62">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12.1甲、乙双方协商解决。</w:t>
      </w:r>
    </w:p>
    <w:p w14:paraId="250F1D6D">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12.2若协商解决不成，则通过下列途径之一解决：</w:t>
      </w:r>
    </w:p>
    <w:p w14:paraId="43EA553B">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□提交仲裁委员会仲裁，具体如下：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14:paraId="221948B8">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□向人民法院提起诉讼，具体如下：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14:paraId="6AC78444">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13、不可抗力</w:t>
      </w:r>
    </w:p>
    <w:p w14:paraId="2ED54F69">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F09443C">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31A40E0C">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14、合同条款</w:t>
      </w:r>
    </w:p>
    <w:p w14:paraId="34420BC1">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（按照实际情况编制填写。谈判文件第五章已有规定的，双方均不得变更或调整；谈判文件第五章未作规定的，双方可通过友好协商进行约定）</w:t>
      </w:r>
      <w:r>
        <w:rPr>
          <w:rFonts w:hint="eastAsia" w:ascii="宋体" w:hAnsi="宋体" w:eastAsia="宋体" w:cs="宋体"/>
          <w:color w:val="auto"/>
          <w:sz w:val="21"/>
          <w:szCs w:val="21"/>
          <w:highlight w:val="none"/>
        </w:rPr>
        <w:t>。</w:t>
      </w:r>
    </w:p>
    <w:p w14:paraId="42AFD27E">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15、其他约定</w:t>
      </w:r>
    </w:p>
    <w:p w14:paraId="3D34A1C7">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15.1合同文件与本合同具有同等法律效力。</w:t>
      </w:r>
    </w:p>
    <w:p w14:paraId="2EB81D0E">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15.2本合同未尽事宜，双方可另行补充。</w:t>
      </w:r>
    </w:p>
    <w:p w14:paraId="40484C20">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15.3合同生效：自签订之日起生效。</w:t>
      </w:r>
    </w:p>
    <w:p w14:paraId="51A9D70B">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15.4本合同一式</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份，经双方授权代表签字并盖章后生效。甲方、乙方各执</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份，送</w:t>
      </w:r>
      <w:r>
        <w:rPr>
          <w:rFonts w:hint="eastAsia" w:ascii="宋体" w:hAnsi="宋体" w:eastAsia="宋体" w:cs="宋体"/>
          <w:color w:val="auto"/>
          <w:sz w:val="21"/>
          <w:szCs w:val="21"/>
          <w:highlight w:val="none"/>
          <w:u w:val="single"/>
        </w:rPr>
        <w:t>（填写需要备案的监管部门的全称）</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份，具有同等效力。</w:t>
      </w:r>
    </w:p>
    <w:p w14:paraId="24BE70AF">
      <w:pPr>
        <w:pStyle w:val="1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15.5其他：□无。□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14:paraId="7D517025">
      <w:pPr>
        <w:pStyle w:val="19"/>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4FC6E838">
      <w:pPr>
        <w:pStyle w:val="19"/>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2F825A32">
      <w:pPr>
        <w:pStyle w:val="1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乙方：</w:t>
      </w:r>
    </w:p>
    <w:p w14:paraId="2F0087C4">
      <w:pPr>
        <w:pStyle w:val="1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                        住所：</w:t>
      </w:r>
    </w:p>
    <w:p w14:paraId="12F2AB66">
      <w:pPr>
        <w:pStyle w:val="1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              法定代表人（单位负责人）：</w:t>
      </w:r>
    </w:p>
    <w:p w14:paraId="72ABE18C">
      <w:pPr>
        <w:pStyle w:val="1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联系方法：                      联系方法：</w:t>
      </w:r>
    </w:p>
    <w:p w14:paraId="15C72815">
      <w:pPr>
        <w:pStyle w:val="1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14:paraId="211F1B94">
      <w:pPr>
        <w:pStyle w:val="1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                        账号：</w:t>
      </w:r>
    </w:p>
    <w:p w14:paraId="192E17FE">
      <w:pPr>
        <w:pStyle w:val="1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40B62065">
      <w:pPr>
        <w:pStyle w:val="19"/>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00702927">
      <w:pPr>
        <w:pStyle w:val="1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w:t>
      </w:r>
    </w:p>
    <w:p w14:paraId="70424DEC">
      <w:pPr>
        <w:pStyle w:val="1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14:paraId="4B8EF4EF">
      <w:pPr>
        <w:rPr>
          <w:rFonts w:hint="eastAsia" w:ascii="宋体" w:hAnsi="宋体" w:eastAsia="宋体" w:cs="宋体"/>
          <w:b/>
          <w:color w:val="auto"/>
          <w:sz w:val="32"/>
          <w:highlight w:val="none"/>
        </w:rPr>
      </w:pPr>
    </w:p>
    <w:p w14:paraId="00E1179E">
      <w:pPr>
        <w:tabs>
          <w:tab w:val="left" w:pos="1279"/>
        </w:tabs>
        <w:spacing w:line="537" w:lineRule="exact"/>
        <w:ind w:right="67"/>
        <w:jc w:val="center"/>
        <w:rPr>
          <w:rFonts w:hint="eastAsia" w:ascii="宋体" w:hAnsi="宋体" w:eastAsia="宋体" w:cs="宋体"/>
          <w:b/>
          <w:color w:val="auto"/>
          <w:sz w:val="32"/>
          <w:highlight w:val="none"/>
        </w:rPr>
      </w:pPr>
    </w:p>
    <w:p w14:paraId="398AFC44">
      <w:pPr>
        <w:tabs>
          <w:tab w:val="left" w:pos="1279"/>
        </w:tabs>
        <w:spacing w:line="537" w:lineRule="exact"/>
        <w:ind w:right="67"/>
        <w:jc w:val="center"/>
        <w:rPr>
          <w:rFonts w:hint="eastAsia" w:ascii="宋体" w:hAnsi="宋体" w:eastAsia="宋体" w:cs="宋体"/>
          <w:b/>
          <w:color w:val="auto"/>
          <w:sz w:val="32"/>
          <w:highlight w:val="none"/>
        </w:rPr>
      </w:pPr>
    </w:p>
    <w:p w14:paraId="33556080">
      <w:pPr>
        <w:tabs>
          <w:tab w:val="left" w:pos="1279"/>
        </w:tabs>
        <w:spacing w:line="537" w:lineRule="exact"/>
        <w:ind w:right="67"/>
        <w:jc w:val="center"/>
        <w:rPr>
          <w:rFonts w:hint="eastAsia" w:ascii="宋体" w:hAnsi="宋体" w:eastAsia="宋体" w:cs="宋体"/>
          <w:b/>
          <w:color w:val="auto"/>
          <w:sz w:val="32"/>
          <w:highlight w:val="none"/>
        </w:rPr>
      </w:pPr>
    </w:p>
    <w:p w14:paraId="5590064F">
      <w:pPr>
        <w:tabs>
          <w:tab w:val="left" w:pos="1279"/>
        </w:tabs>
        <w:spacing w:line="537" w:lineRule="exact"/>
        <w:ind w:right="67"/>
        <w:jc w:val="center"/>
        <w:rPr>
          <w:rFonts w:hint="eastAsia" w:ascii="宋体" w:hAnsi="宋体" w:eastAsia="宋体" w:cs="宋体"/>
          <w:b/>
          <w:color w:val="auto"/>
          <w:sz w:val="32"/>
          <w:highlight w:val="none"/>
        </w:rPr>
      </w:pPr>
    </w:p>
    <w:p w14:paraId="0556A319">
      <w:pPr>
        <w:tabs>
          <w:tab w:val="left" w:pos="1279"/>
        </w:tabs>
        <w:spacing w:line="537" w:lineRule="exact"/>
        <w:ind w:right="67"/>
        <w:jc w:val="center"/>
        <w:rPr>
          <w:rFonts w:hint="eastAsia" w:ascii="宋体" w:hAnsi="宋体" w:eastAsia="宋体" w:cs="宋体"/>
          <w:b/>
          <w:color w:val="auto"/>
          <w:sz w:val="32"/>
          <w:highlight w:val="none"/>
        </w:rPr>
      </w:pPr>
    </w:p>
    <w:p w14:paraId="1CAABD08">
      <w:pPr>
        <w:tabs>
          <w:tab w:val="left" w:pos="1279"/>
        </w:tabs>
        <w:spacing w:line="537" w:lineRule="exact"/>
        <w:ind w:right="67"/>
        <w:jc w:val="center"/>
        <w:rPr>
          <w:rFonts w:hint="eastAsia" w:ascii="宋体" w:hAnsi="宋体" w:eastAsia="宋体" w:cs="宋体"/>
          <w:b/>
          <w:color w:val="auto"/>
          <w:sz w:val="32"/>
          <w:highlight w:val="none"/>
        </w:rPr>
      </w:pPr>
    </w:p>
    <w:p w14:paraId="78A18879">
      <w:pPr>
        <w:tabs>
          <w:tab w:val="left" w:pos="1279"/>
        </w:tabs>
        <w:spacing w:line="537" w:lineRule="exact"/>
        <w:ind w:right="67"/>
        <w:jc w:val="center"/>
        <w:rPr>
          <w:rFonts w:hint="eastAsia" w:ascii="宋体" w:hAnsi="宋体" w:eastAsia="宋体" w:cs="宋体"/>
          <w:b/>
          <w:color w:val="auto"/>
          <w:sz w:val="32"/>
          <w:highlight w:val="none"/>
        </w:rPr>
      </w:pPr>
    </w:p>
    <w:p w14:paraId="546FF4FA">
      <w:pPr>
        <w:tabs>
          <w:tab w:val="left" w:pos="1279"/>
        </w:tabs>
        <w:spacing w:line="537" w:lineRule="exact"/>
        <w:ind w:right="67"/>
        <w:jc w:val="center"/>
        <w:rPr>
          <w:rFonts w:hint="eastAsia" w:ascii="宋体" w:hAnsi="宋体" w:eastAsia="宋体" w:cs="宋体"/>
          <w:b/>
          <w:color w:val="auto"/>
          <w:sz w:val="32"/>
          <w:highlight w:val="none"/>
        </w:rPr>
      </w:pPr>
    </w:p>
    <w:p w14:paraId="08221CCE">
      <w:pPr>
        <w:tabs>
          <w:tab w:val="left" w:pos="1279"/>
        </w:tabs>
        <w:spacing w:line="537" w:lineRule="exact"/>
        <w:ind w:right="67"/>
        <w:jc w:val="center"/>
        <w:rPr>
          <w:rFonts w:hint="eastAsia" w:ascii="宋体" w:hAnsi="宋体" w:eastAsia="宋体" w:cs="宋体"/>
          <w:b/>
          <w:color w:val="auto"/>
          <w:sz w:val="32"/>
          <w:highlight w:val="none"/>
        </w:rPr>
      </w:pPr>
    </w:p>
    <w:p w14:paraId="630E32C2">
      <w:pPr>
        <w:tabs>
          <w:tab w:val="left" w:pos="1279"/>
        </w:tabs>
        <w:spacing w:line="537" w:lineRule="exact"/>
        <w:ind w:right="67"/>
        <w:jc w:val="center"/>
        <w:rPr>
          <w:rFonts w:hint="eastAsia" w:ascii="宋体" w:hAnsi="宋体" w:eastAsia="宋体" w:cs="宋体"/>
          <w:b/>
          <w:color w:val="auto"/>
          <w:sz w:val="32"/>
          <w:highlight w:val="none"/>
        </w:rPr>
      </w:pPr>
    </w:p>
    <w:p w14:paraId="21C08224">
      <w:pPr>
        <w:pStyle w:val="10"/>
        <w:rPr>
          <w:rFonts w:hint="eastAsia" w:ascii="宋体" w:hAnsi="宋体" w:eastAsia="宋体" w:cs="宋体"/>
          <w:b/>
          <w:color w:val="auto"/>
          <w:sz w:val="32"/>
          <w:highlight w:val="none"/>
        </w:rPr>
      </w:pPr>
    </w:p>
    <w:p w14:paraId="7DD1F30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DF9100A">
      <w:pPr>
        <w:keepNext w:val="0"/>
        <w:keepLines w:val="0"/>
        <w:pageBreakBefore/>
        <w:widowControl w:val="0"/>
        <w:tabs>
          <w:tab w:val="left" w:pos="1260"/>
        </w:tabs>
        <w:kinsoku/>
        <w:wordWrap/>
        <w:overflowPunct/>
        <w:topLinePunct w:val="0"/>
        <w:autoSpaceDE w:val="0"/>
        <w:autoSpaceDN w:val="0"/>
        <w:bidi w:val="0"/>
        <w:adjustRightInd w:val="0"/>
        <w:snapToGrid/>
        <w:spacing w:line="360" w:lineRule="auto"/>
        <w:contextualSpacing/>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章 响应性文件格式</w:t>
      </w:r>
    </w:p>
    <w:p w14:paraId="59E42049">
      <w:pPr>
        <w:pStyle w:val="10"/>
        <w:rPr>
          <w:rFonts w:hint="eastAsia" w:ascii="宋体" w:hAnsi="宋体" w:eastAsia="宋体" w:cs="宋体"/>
          <w:b/>
          <w:color w:val="auto"/>
          <w:sz w:val="20"/>
          <w:highlight w:val="none"/>
        </w:rPr>
      </w:pPr>
    </w:p>
    <w:p w14:paraId="6EDDE7AA">
      <w:pPr>
        <w:pStyle w:val="10"/>
        <w:rPr>
          <w:rFonts w:hint="eastAsia" w:ascii="宋体" w:hAnsi="宋体" w:eastAsia="宋体" w:cs="宋体"/>
          <w:b/>
          <w:color w:val="auto"/>
          <w:sz w:val="20"/>
          <w:highlight w:val="none"/>
        </w:rPr>
      </w:pPr>
    </w:p>
    <w:p w14:paraId="28425164">
      <w:pPr>
        <w:jc w:val="center"/>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正本</w:t>
      </w:r>
      <w:r>
        <w:rPr>
          <w:rFonts w:hint="eastAsia" w:ascii="宋体" w:hAnsi="宋体" w:eastAsia="宋体" w:cs="宋体"/>
          <w:color w:val="auto"/>
          <w:sz w:val="28"/>
          <w:szCs w:val="28"/>
          <w:highlight w:val="none"/>
          <w:lang w:val="en-US"/>
        </w:rPr>
        <w:t>/副本</w:t>
      </w:r>
    </w:p>
    <w:p w14:paraId="2ACD955A">
      <w:pPr>
        <w:pStyle w:val="10"/>
        <w:rPr>
          <w:rFonts w:hint="eastAsia" w:ascii="宋体" w:hAnsi="宋体" w:eastAsia="宋体" w:cs="宋体"/>
          <w:b/>
          <w:color w:val="auto"/>
          <w:sz w:val="20"/>
          <w:highlight w:val="none"/>
        </w:rPr>
      </w:pPr>
    </w:p>
    <w:p w14:paraId="2C0797B5">
      <w:pPr>
        <w:pStyle w:val="10"/>
        <w:spacing w:before="16"/>
        <w:rPr>
          <w:rFonts w:hint="eastAsia" w:ascii="宋体" w:hAnsi="宋体" w:eastAsia="宋体" w:cs="宋体"/>
          <w:b/>
          <w:color w:val="auto"/>
          <w:sz w:val="14"/>
          <w:highlight w:val="none"/>
        </w:rPr>
      </w:pPr>
    </w:p>
    <w:p w14:paraId="69BF1B48">
      <w:pPr>
        <w:tabs>
          <w:tab w:val="left" w:pos="5702"/>
        </w:tabs>
        <w:spacing w:before="57"/>
        <w:ind w:left="503"/>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u w:val="single"/>
        </w:rPr>
        <w:tab/>
      </w:r>
      <w:r>
        <w:rPr>
          <w:rFonts w:hint="eastAsia" w:ascii="宋体" w:hAnsi="宋体" w:eastAsia="宋体" w:cs="宋体"/>
          <w:color w:val="auto"/>
          <w:sz w:val="40"/>
          <w:highlight w:val="none"/>
        </w:rPr>
        <w:t>（</w:t>
      </w:r>
      <w:r>
        <w:rPr>
          <w:rFonts w:hint="eastAsia" w:ascii="宋体" w:hAnsi="宋体" w:eastAsia="宋体" w:cs="宋体"/>
          <w:color w:val="auto"/>
          <w:spacing w:val="-2"/>
          <w:sz w:val="40"/>
          <w:highlight w:val="none"/>
        </w:rPr>
        <w:t>项目名称</w:t>
      </w:r>
      <w:r>
        <w:rPr>
          <w:rFonts w:hint="eastAsia" w:ascii="宋体" w:hAnsi="宋体" w:eastAsia="宋体" w:cs="宋体"/>
          <w:color w:val="auto"/>
          <w:sz w:val="40"/>
          <w:highlight w:val="none"/>
        </w:rPr>
        <w:t>）</w:t>
      </w:r>
    </w:p>
    <w:p w14:paraId="1B411B25">
      <w:pPr>
        <w:pStyle w:val="10"/>
        <w:rPr>
          <w:rFonts w:hint="eastAsia" w:ascii="宋体" w:hAnsi="宋体" w:eastAsia="宋体" w:cs="宋体"/>
          <w:color w:val="auto"/>
          <w:sz w:val="44"/>
          <w:highlight w:val="none"/>
        </w:rPr>
      </w:pPr>
    </w:p>
    <w:p w14:paraId="2959882E">
      <w:pPr>
        <w:pStyle w:val="10"/>
        <w:rPr>
          <w:rFonts w:hint="eastAsia" w:ascii="宋体" w:hAnsi="宋体" w:eastAsia="宋体" w:cs="宋体"/>
          <w:color w:val="auto"/>
          <w:sz w:val="44"/>
          <w:highlight w:val="none"/>
        </w:rPr>
      </w:pPr>
    </w:p>
    <w:p w14:paraId="1DB21341">
      <w:pPr>
        <w:pStyle w:val="10"/>
        <w:spacing w:before="2"/>
        <w:rPr>
          <w:rFonts w:hint="eastAsia" w:ascii="宋体" w:hAnsi="宋体" w:eastAsia="宋体" w:cs="宋体"/>
          <w:color w:val="auto"/>
          <w:sz w:val="63"/>
          <w:highlight w:val="none"/>
        </w:rPr>
      </w:pPr>
    </w:p>
    <w:p w14:paraId="50C00390">
      <w:pPr>
        <w:tabs>
          <w:tab w:val="left" w:pos="1079"/>
          <w:tab w:val="left" w:pos="2159"/>
          <w:tab w:val="left" w:pos="3239"/>
        </w:tabs>
        <w:spacing w:before="1"/>
        <w:ind w:right="711"/>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r>
        <w:rPr>
          <w:rFonts w:hint="eastAsia" w:ascii="宋体" w:hAnsi="宋体" w:eastAsia="宋体" w:cs="宋体"/>
          <w:color w:val="auto"/>
          <w:sz w:val="72"/>
          <w:highlight w:val="none"/>
        </w:rPr>
        <w:tab/>
      </w:r>
      <w:r>
        <w:rPr>
          <w:rFonts w:hint="eastAsia" w:ascii="宋体" w:hAnsi="宋体" w:eastAsia="宋体" w:cs="宋体"/>
          <w:color w:val="auto"/>
          <w:sz w:val="72"/>
          <w:highlight w:val="none"/>
        </w:rPr>
        <w:t>应</w:t>
      </w:r>
      <w:r>
        <w:rPr>
          <w:rFonts w:hint="eastAsia" w:ascii="宋体" w:hAnsi="宋体" w:eastAsia="宋体" w:cs="宋体"/>
          <w:color w:val="auto"/>
          <w:sz w:val="72"/>
          <w:highlight w:val="none"/>
        </w:rPr>
        <w:tab/>
      </w:r>
      <w:r>
        <w:rPr>
          <w:rFonts w:hint="eastAsia" w:ascii="宋体" w:hAnsi="宋体" w:eastAsia="宋体" w:cs="宋体"/>
          <w:color w:val="auto"/>
          <w:sz w:val="72"/>
          <w:highlight w:val="none"/>
        </w:rPr>
        <w:t>文</w:t>
      </w:r>
      <w:r>
        <w:rPr>
          <w:rFonts w:hint="eastAsia" w:ascii="宋体" w:hAnsi="宋体" w:eastAsia="宋体" w:cs="宋体"/>
          <w:color w:val="auto"/>
          <w:sz w:val="72"/>
          <w:highlight w:val="none"/>
        </w:rPr>
        <w:tab/>
      </w:r>
      <w:r>
        <w:rPr>
          <w:rFonts w:hint="eastAsia" w:ascii="宋体" w:hAnsi="宋体" w:eastAsia="宋体" w:cs="宋体"/>
          <w:color w:val="auto"/>
          <w:sz w:val="72"/>
          <w:highlight w:val="none"/>
        </w:rPr>
        <w:t>件</w:t>
      </w:r>
    </w:p>
    <w:p w14:paraId="079DA652">
      <w:pPr>
        <w:spacing w:before="113"/>
        <w:ind w:left="111" w:right="1854"/>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项目编号：</w:t>
      </w:r>
    </w:p>
    <w:p w14:paraId="0BF5AC9A">
      <w:pPr>
        <w:pStyle w:val="10"/>
        <w:rPr>
          <w:rFonts w:hint="eastAsia" w:ascii="宋体" w:hAnsi="宋体" w:eastAsia="宋体" w:cs="宋体"/>
          <w:color w:val="auto"/>
          <w:sz w:val="32"/>
          <w:highlight w:val="none"/>
        </w:rPr>
      </w:pPr>
    </w:p>
    <w:p w14:paraId="2AB177BD">
      <w:pPr>
        <w:pStyle w:val="10"/>
        <w:rPr>
          <w:rFonts w:hint="eastAsia" w:ascii="宋体" w:hAnsi="宋体" w:eastAsia="宋体" w:cs="宋体"/>
          <w:color w:val="auto"/>
          <w:sz w:val="32"/>
          <w:highlight w:val="none"/>
        </w:rPr>
      </w:pPr>
    </w:p>
    <w:p w14:paraId="358F1593">
      <w:pPr>
        <w:pStyle w:val="10"/>
        <w:rPr>
          <w:rFonts w:hint="eastAsia" w:ascii="宋体" w:hAnsi="宋体" w:eastAsia="宋体" w:cs="宋体"/>
          <w:color w:val="auto"/>
          <w:sz w:val="32"/>
          <w:highlight w:val="none"/>
        </w:rPr>
      </w:pPr>
    </w:p>
    <w:p w14:paraId="0EE58201">
      <w:pPr>
        <w:pStyle w:val="10"/>
        <w:rPr>
          <w:rFonts w:hint="eastAsia" w:ascii="宋体" w:hAnsi="宋体" w:eastAsia="宋体" w:cs="宋体"/>
          <w:color w:val="auto"/>
          <w:sz w:val="32"/>
          <w:highlight w:val="none"/>
        </w:rPr>
      </w:pPr>
    </w:p>
    <w:p w14:paraId="397DE94B">
      <w:pPr>
        <w:pStyle w:val="10"/>
        <w:rPr>
          <w:rFonts w:hint="eastAsia" w:ascii="宋体" w:hAnsi="宋体" w:eastAsia="宋体" w:cs="宋体"/>
          <w:color w:val="auto"/>
          <w:sz w:val="32"/>
          <w:highlight w:val="none"/>
        </w:rPr>
      </w:pPr>
    </w:p>
    <w:p w14:paraId="0FCD4696">
      <w:pPr>
        <w:pStyle w:val="10"/>
        <w:spacing w:before="6"/>
        <w:rPr>
          <w:rFonts w:hint="eastAsia" w:ascii="宋体" w:hAnsi="宋体" w:eastAsia="宋体" w:cs="宋体"/>
          <w:color w:val="auto"/>
          <w:sz w:val="27"/>
          <w:highlight w:val="none"/>
        </w:rPr>
      </w:pPr>
    </w:p>
    <w:p w14:paraId="360A37E4">
      <w:pPr>
        <w:tabs>
          <w:tab w:val="left" w:pos="2992"/>
          <w:tab w:val="left" w:pos="3554"/>
          <w:tab w:val="left" w:pos="7334"/>
        </w:tabs>
        <w:ind w:left="2433"/>
        <w:rPr>
          <w:rFonts w:hint="eastAsia" w:ascii="宋体" w:hAnsi="宋体" w:eastAsia="宋体" w:cs="宋体"/>
          <w:color w:val="auto"/>
          <w:sz w:val="28"/>
          <w:highlight w:val="none"/>
        </w:rPr>
      </w:pPr>
    </w:p>
    <w:p w14:paraId="0317DAAF">
      <w:pPr>
        <w:tabs>
          <w:tab w:val="left" w:pos="2992"/>
          <w:tab w:val="left" w:pos="3554"/>
          <w:tab w:val="left" w:pos="7334"/>
        </w:tabs>
        <w:ind w:left="2433"/>
        <w:rPr>
          <w:rFonts w:hint="eastAsia" w:ascii="宋体" w:hAnsi="宋体" w:eastAsia="宋体" w:cs="宋体"/>
          <w:color w:val="auto"/>
          <w:sz w:val="28"/>
          <w:highlight w:val="none"/>
        </w:rPr>
      </w:pPr>
    </w:p>
    <w:p w14:paraId="63FD2089">
      <w:pPr>
        <w:tabs>
          <w:tab w:val="left" w:pos="2992"/>
          <w:tab w:val="left" w:pos="3554"/>
          <w:tab w:val="left" w:pos="7334"/>
        </w:tabs>
        <w:ind w:left="2433"/>
        <w:rPr>
          <w:rFonts w:hint="eastAsia" w:ascii="宋体" w:hAnsi="宋体" w:eastAsia="宋体" w:cs="宋体"/>
          <w:color w:val="auto"/>
          <w:sz w:val="28"/>
          <w:highlight w:val="none"/>
        </w:rPr>
      </w:pPr>
      <w:r>
        <w:rPr>
          <w:rFonts w:hint="eastAsia" w:ascii="宋体" w:hAnsi="宋体" w:eastAsia="宋体" w:cs="宋体"/>
          <w:color w:val="auto"/>
          <w:sz w:val="28"/>
          <w:highlight w:val="none"/>
        </w:rPr>
        <w:t>供</w:t>
      </w:r>
      <w:r>
        <w:rPr>
          <w:rFonts w:hint="eastAsia" w:ascii="宋体" w:hAnsi="宋体" w:eastAsia="宋体" w:cs="宋体"/>
          <w:color w:val="auto"/>
          <w:sz w:val="28"/>
          <w:highlight w:val="none"/>
        </w:rPr>
        <w:tab/>
      </w:r>
      <w:r>
        <w:rPr>
          <w:rFonts w:hint="eastAsia" w:ascii="宋体" w:hAnsi="宋体" w:eastAsia="宋体" w:cs="宋体"/>
          <w:color w:val="auto"/>
          <w:sz w:val="28"/>
          <w:highlight w:val="none"/>
        </w:rPr>
        <w:t>应</w:t>
      </w:r>
      <w:r>
        <w:rPr>
          <w:rFonts w:hint="eastAsia" w:ascii="宋体" w:hAnsi="宋体" w:eastAsia="宋体" w:cs="宋体"/>
          <w:color w:val="auto"/>
          <w:sz w:val="28"/>
          <w:highlight w:val="none"/>
        </w:rPr>
        <w:tab/>
      </w:r>
      <w:r>
        <w:rPr>
          <w:rFonts w:hint="eastAsia" w:ascii="宋体" w:hAnsi="宋体" w:eastAsia="宋体" w:cs="宋体"/>
          <w:color w:val="auto"/>
          <w:sz w:val="28"/>
          <w:highlight w:val="none"/>
        </w:rPr>
        <w:t>商</w:t>
      </w:r>
      <w:r>
        <w:rPr>
          <w:rFonts w:hint="eastAsia" w:ascii="宋体" w:hAnsi="宋体" w:eastAsia="宋体" w:cs="宋体"/>
          <w:color w:val="auto"/>
          <w:spacing w:val="-4"/>
          <w:sz w:val="28"/>
          <w:highlight w:val="none"/>
        </w:rPr>
        <w:t>：</w:t>
      </w:r>
      <w:r>
        <w:rPr>
          <w:rFonts w:hint="eastAsia" w:ascii="宋体" w:hAnsi="宋体" w:eastAsia="宋体" w:cs="宋体"/>
          <w:color w:val="auto"/>
          <w:spacing w:val="-4"/>
          <w:sz w:val="28"/>
          <w:highlight w:val="none"/>
          <w:u w:val="single"/>
        </w:rPr>
        <w:tab/>
      </w:r>
      <w:r>
        <w:rPr>
          <w:rFonts w:hint="eastAsia" w:ascii="宋体" w:hAnsi="宋体" w:eastAsia="宋体" w:cs="宋体"/>
          <w:color w:val="auto"/>
          <w:sz w:val="28"/>
          <w:highlight w:val="none"/>
        </w:rPr>
        <w:t>（</w:t>
      </w:r>
      <w:r>
        <w:rPr>
          <w:rFonts w:hint="eastAsia" w:ascii="宋体" w:hAnsi="宋体" w:eastAsia="宋体" w:cs="宋体"/>
          <w:color w:val="auto"/>
          <w:spacing w:val="-3"/>
          <w:sz w:val="28"/>
          <w:highlight w:val="none"/>
        </w:rPr>
        <w:t>盖</w:t>
      </w:r>
      <w:r>
        <w:rPr>
          <w:rFonts w:hint="eastAsia" w:ascii="宋体" w:hAnsi="宋体" w:eastAsia="宋体" w:cs="宋体"/>
          <w:color w:val="auto"/>
          <w:sz w:val="28"/>
          <w:highlight w:val="none"/>
        </w:rPr>
        <w:t>章）</w:t>
      </w:r>
    </w:p>
    <w:p w14:paraId="2392A4B0">
      <w:pPr>
        <w:tabs>
          <w:tab w:val="left" w:pos="7334"/>
        </w:tabs>
        <w:spacing w:before="265"/>
        <w:ind w:left="2433"/>
        <w:rPr>
          <w:rFonts w:hint="eastAsia" w:ascii="宋体" w:hAnsi="宋体" w:eastAsia="宋体" w:cs="宋体"/>
          <w:color w:val="auto"/>
          <w:sz w:val="28"/>
          <w:highlight w:val="none"/>
        </w:rPr>
      </w:pPr>
      <w:r>
        <w:rPr>
          <w:rFonts w:hint="eastAsia" w:ascii="宋体" w:hAnsi="宋体" w:eastAsia="宋体" w:cs="宋体"/>
          <w:color w:val="auto"/>
          <w:sz w:val="28"/>
          <w:highlight w:val="none"/>
        </w:rPr>
        <w:t>法</w:t>
      </w:r>
      <w:r>
        <w:rPr>
          <w:rFonts w:hint="eastAsia" w:ascii="宋体" w:hAnsi="宋体" w:eastAsia="宋体" w:cs="宋体"/>
          <w:color w:val="auto"/>
          <w:spacing w:val="-3"/>
          <w:sz w:val="28"/>
          <w:highlight w:val="none"/>
        </w:rPr>
        <w:t>定</w:t>
      </w:r>
      <w:r>
        <w:rPr>
          <w:rFonts w:hint="eastAsia" w:ascii="宋体" w:hAnsi="宋体" w:eastAsia="宋体" w:cs="宋体"/>
          <w:color w:val="auto"/>
          <w:sz w:val="28"/>
          <w:highlight w:val="none"/>
        </w:rPr>
        <w:t>代表</w:t>
      </w:r>
      <w:r>
        <w:rPr>
          <w:rFonts w:hint="eastAsia" w:ascii="宋体" w:hAnsi="宋体" w:eastAsia="宋体" w:cs="宋体"/>
          <w:color w:val="auto"/>
          <w:spacing w:val="-3"/>
          <w:sz w:val="28"/>
          <w:highlight w:val="none"/>
        </w:rPr>
        <w:t>人</w:t>
      </w:r>
      <w:r>
        <w:rPr>
          <w:rFonts w:hint="eastAsia" w:ascii="宋体" w:hAnsi="宋体" w:eastAsia="宋体" w:cs="宋体"/>
          <w:color w:val="auto"/>
          <w:sz w:val="28"/>
          <w:highlight w:val="none"/>
        </w:rPr>
        <w:t>：</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w:t>
      </w:r>
      <w:r>
        <w:rPr>
          <w:rFonts w:hint="eastAsia" w:ascii="宋体" w:hAnsi="宋体" w:eastAsia="宋体" w:cs="宋体"/>
          <w:color w:val="auto"/>
          <w:spacing w:val="-3"/>
          <w:sz w:val="28"/>
          <w:highlight w:val="none"/>
        </w:rPr>
        <w:t>签</w:t>
      </w:r>
      <w:r>
        <w:rPr>
          <w:rFonts w:hint="eastAsia" w:ascii="宋体" w:hAnsi="宋体" w:eastAsia="宋体" w:cs="宋体"/>
          <w:color w:val="auto"/>
          <w:sz w:val="28"/>
          <w:highlight w:val="none"/>
        </w:rPr>
        <w:t>字或</w:t>
      </w:r>
      <w:r>
        <w:rPr>
          <w:rFonts w:hint="eastAsia" w:ascii="宋体" w:hAnsi="宋体" w:eastAsia="宋体" w:cs="宋体"/>
          <w:color w:val="auto"/>
          <w:spacing w:val="-3"/>
          <w:sz w:val="28"/>
          <w:highlight w:val="none"/>
        </w:rPr>
        <w:t>盖</w:t>
      </w:r>
      <w:r>
        <w:rPr>
          <w:rFonts w:hint="eastAsia" w:ascii="宋体" w:hAnsi="宋体" w:eastAsia="宋体" w:cs="宋体"/>
          <w:color w:val="auto"/>
          <w:sz w:val="28"/>
          <w:highlight w:val="none"/>
        </w:rPr>
        <w:t>章）</w:t>
      </w:r>
    </w:p>
    <w:p w14:paraId="067CE2D2">
      <w:pPr>
        <w:pStyle w:val="10"/>
        <w:spacing w:before="11"/>
        <w:rPr>
          <w:rFonts w:hint="eastAsia" w:ascii="宋体" w:hAnsi="宋体" w:eastAsia="宋体" w:cs="宋体"/>
          <w:color w:val="auto"/>
          <w:sz w:val="15"/>
          <w:highlight w:val="none"/>
        </w:rPr>
      </w:pPr>
    </w:p>
    <w:p w14:paraId="06ACE73E">
      <w:pPr>
        <w:tabs>
          <w:tab w:val="left" w:pos="4655"/>
          <w:tab w:val="left" w:pos="5495"/>
          <w:tab w:val="left" w:pos="6335"/>
        </w:tabs>
        <w:spacing w:before="62"/>
        <w:ind w:left="3396"/>
        <w:rPr>
          <w:rFonts w:hint="eastAsia" w:ascii="宋体" w:hAnsi="宋体" w:eastAsia="宋体" w:cs="宋体"/>
          <w:color w:val="auto"/>
          <w:sz w:val="28"/>
          <w:highlight w:val="none"/>
        </w:rPr>
      </w:pP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年</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月</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日</w:t>
      </w:r>
    </w:p>
    <w:p w14:paraId="62833FD1">
      <w:pPr>
        <w:rPr>
          <w:rFonts w:hint="eastAsia" w:ascii="宋体" w:hAnsi="宋体" w:eastAsia="宋体" w:cs="宋体"/>
          <w:color w:val="auto"/>
          <w:sz w:val="28"/>
          <w:highlight w:val="none"/>
        </w:rPr>
        <w:sectPr>
          <w:pgSz w:w="11910" w:h="16840"/>
          <w:pgMar w:top="1260" w:right="460" w:bottom="1180" w:left="720" w:header="0" w:footer="913" w:gutter="0"/>
          <w:pgBorders>
            <w:top w:val="none" w:sz="0" w:space="0"/>
            <w:left w:val="none" w:sz="0" w:space="0"/>
            <w:bottom w:val="none" w:sz="0" w:space="0"/>
            <w:right w:val="none" w:sz="0" w:space="0"/>
          </w:pgBorders>
          <w:pgNumType w:fmt="decimal"/>
          <w:cols w:space="720" w:num="1"/>
        </w:sectPr>
      </w:pPr>
    </w:p>
    <w:p w14:paraId="2C5E4AC5">
      <w:pPr>
        <w:pStyle w:val="13"/>
        <w:spacing w:line="360" w:lineRule="auto"/>
        <w:jc w:val="center"/>
        <w:rPr>
          <w:rFonts w:hint="eastAsia" w:ascii="宋体" w:hAnsi="宋体" w:eastAsia="宋体" w:cs="宋体"/>
          <w:b/>
          <w:snapToGrid w:val="0"/>
          <w:color w:val="auto"/>
          <w:sz w:val="32"/>
          <w:szCs w:val="32"/>
          <w:highlight w:val="none"/>
        </w:rPr>
      </w:pPr>
      <w:r>
        <w:rPr>
          <w:rFonts w:hint="eastAsia" w:ascii="宋体" w:hAnsi="宋体" w:eastAsia="宋体" w:cs="宋体"/>
          <w:b/>
          <w:color w:val="auto"/>
          <w:sz w:val="32"/>
          <w:szCs w:val="32"/>
          <w:highlight w:val="none"/>
          <w:lang w:val="en-US"/>
        </w:rPr>
        <w:t>一、</w:t>
      </w:r>
      <w:r>
        <w:rPr>
          <w:rFonts w:hint="eastAsia" w:ascii="宋体" w:hAnsi="宋体" w:eastAsia="宋体" w:cs="宋体"/>
          <w:b/>
          <w:snapToGrid w:val="0"/>
          <w:color w:val="auto"/>
          <w:sz w:val="32"/>
          <w:szCs w:val="32"/>
          <w:highlight w:val="none"/>
        </w:rPr>
        <w:t>开标一览表</w:t>
      </w:r>
    </w:p>
    <w:p w14:paraId="0F0C7031">
      <w:pPr>
        <w:spacing w:before="50" w:afterLines="50"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27BA0C57">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5857DC39">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1D071BE">
            <w:pPr>
              <w:adjustRightInd w:val="0"/>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3809D33">
            <w:pPr>
              <w:adjustRightInd w:val="0"/>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548730">
            <w:pPr>
              <w:adjustRightInd w:val="0"/>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CC19AF">
            <w:pPr>
              <w:adjustRightInd w:val="0"/>
              <w:spacing w:line="48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交付时间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3236B38">
            <w:pPr>
              <w:adjustRightInd w:val="0"/>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65E3AFF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5B4BADF">
            <w:pPr>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6D3E0040">
            <w:pPr>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6BA4200F">
            <w:pPr>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2553DC7E">
            <w:pPr>
              <w:adjustRightInd w:val="0"/>
              <w:spacing w:line="480" w:lineRule="exact"/>
              <w:ind w:firstLine="240"/>
              <w:rPr>
                <w:rFonts w:hint="eastAsia" w:ascii="宋体" w:hAnsi="宋体" w:eastAsia="宋体" w:cs="宋体"/>
                <w:color w:val="auto"/>
                <w:sz w:val="24"/>
                <w:szCs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8369F29">
            <w:pPr>
              <w:adjustRightInd w:val="0"/>
              <w:spacing w:line="480" w:lineRule="exact"/>
              <w:ind w:firstLine="240"/>
              <w:rPr>
                <w:rFonts w:hint="eastAsia" w:ascii="宋体" w:hAnsi="宋体" w:eastAsia="宋体" w:cs="宋体"/>
                <w:color w:val="auto"/>
                <w:sz w:val="24"/>
                <w:szCs w:val="24"/>
                <w:highlight w:val="none"/>
              </w:rPr>
            </w:pPr>
          </w:p>
        </w:tc>
      </w:tr>
      <w:tr w14:paraId="5010658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D6013EF">
            <w:pPr>
              <w:adjustRightInd w:val="0"/>
              <w:spacing w:line="48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14:paraId="1FD64744">
            <w:pPr>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65103183">
            <w:pPr>
              <w:adjustRightInd w:val="0"/>
              <w:spacing w:line="480" w:lineRule="exact"/>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55ED0925">
            <w:pPr>
              <w:adjustRightInd w:val="0"/>
              <w:spacing w:line="480" w:lineRule="exact"/>
              <w:ind w:firstLine="240"/>
              <w:rPr>
                <w:rFonts w:hint="eastAsia" w:ascii="宋体" w:hAnsi="宋体" w:eastAsia="宋体" w:cs="宋体"/>
                <w:color w:val="auto"/>
                <w:sz w:val="24"/>
                <w:szCs w:val="24"/>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C9932D1">
            <w:pPr>
              <w:adjustRightInd w:val="0"/>
              <w:spacing w:line="480" w:lineRule="exact"/>
              <w:ind w:firstLine="240"/>
              <w:rPr>
                <w:rFonts w:hint="eastAsia" w:ascii="宋体" w:hAnsi="宋体" w:eastAsia="宋体" w:cs="宋体"/>
                <w:color w:val="auto"/>
                <w:sz w:val="24"/>
                <w:szCs w:val="24"/>
                <w:highlight w:val="none"/>
              </w:rPr>
            </w:pPr>
          </w:p>
        </w:tc>
      </w:tr>
    </w:tbl>
    <w:p w14:paraId="379BF1B9">
      <w:pPr>
        <w:adjustRightIn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（全称）   </w:t>
      </w:r>
      <w:r>
        <w:rPr>
          <w:rFonts w:hint="eastAsia" w:ascii="宋体" w:hAnsi="宋体" w:eastAsia="宋体" w:cs="宋体"/>
          <w:color w:val="auto"/>
          <w:sz w:val="24"/>
          <w:szCs w:val="24"/>
          <w:highlight w:val="none"/>
        </w:rPr>
        <w:t>（公章）</w:t>
      </w:r>
    </w:p>
    <w:p w14:paraId="2CCA5600">
      <w:pPr>
        <w:adjustRightIn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投标人法定代表人（或法定代表人授权代表）签字：</w:t>
      </w:r>
    </w:p>
    <w:p w14:paraId="5FA75E72">
      <w:pPr>
        <w:adjustRightIn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8143DC6">
      <w:pPr>
        <w:pStyle w:val="3"/>
        <w:ind w:left="477"/>
        <w:rPr>
          <w:rFonts w:hint="eastAsia" w:ascii="宋体" w:hAnsi="宋体" w:eastAsia="宋体" w:cs="宋体"/>
          <w:color w:val="auto"/>
          <w:highlight w:val="none"/>
        </w:rPr>
      </w:pPr>
    </w:p>
    <w:p w14:paraId="7FC7D1E8">
      <w:pPr>
        <w:pStyle w:val="8"/>
        <w:rPr>
          <w:rFonts w:hint="eastAsia" w:ascii="宋体" w:hAnsi="宋体" w:eastAsia="宋体" w:cs="宋体"/>
          <w:color w:val="auto"/>
          <w:highlight w:val="none"/>
        </w:rPr>
      </w:pPr>
    </w:p>
    <w:p w14:paraId="460C15A3">
      <w:pPr>
        <w:pStyle w:val="8"/>
        <w:rPr>
          <w:rFonts w:hint="eastAsia" w:ascii="宋体" w:hAnsi="宋体" w:eastAsia="宋体" w:cs="宋体"/>
          <w:color w:val="auto"/>
          <w:highlight w:val="none"/>
        </w:rPr>
      </w:pPr>
    </w:p>
    <w:p w14:paraId="3951802C">
      <w:pPr>
        <w:pStyle w:val="8"/>
        <w:rPr>
          <w:rFonts w:hint="eastAsia" w:ascii="宋体" w:hAnsi="宋体" w:eastAsia="宋体" w:cs="宋体"/>
          <w:color w:val="auto"/>
          <w:highlight w:val="none"/>
        </w:rPr>
      </w:pPr>
    </w:p>
    <w:p w14:paraId="09BB4B1F">
      <w:pPr>
        <w:pStyle w:val="8"/>
        <w:rPr>
          <w:rFonts w:hint="eastAsia" w:ascii="宋体" w:hAnsi="宋体" w:eastAsia="宋体" w:cs="宋体"/>
          <w:color w:val="auto"/>
          <w:highlight w:val="none"/>
        </w:rPr>
      </w:pPr>
    </w:p>
    <w:p w14:paraId="4FA6CBAF">
      <w:pPr>
        <w:pStyle w:val="8"/>
        <w:rPr>
          <w:rFonts w:hint="eastAsia" w:ascii="宋体" w:hAnsi="宋体" w:eastAsia="宋体" w:cs="宋体"/>
          <w:color w:val="auto"/>
          <w:highlight w:val="none"/>
        </w:rPr>
      </w:pPr>
    </w:p>
    <w:p w14:paraId="2908AE52">
      <w:pPr>
        <w:pStyle w:val="8"/>
        <w:rPr>
          <w:rFonts w:hint="eastAsia" w:ascii="宋体" w:hAnsi="宋体" w:eastAsia="宋体" w:cs="宋体"/>
          <w:color w:val="auto"/>
          <w:highlight w:val="none"/>
        </w:rPr>
      </w:pPr>
    </w:p>
    <w:p w14:paraId="487C6412">
      <w:pPr>
        <w:pStyle w:val="8"/>
        <w:rPr>
          <w:rFonts w:hint="eastAsia" w:ascii="宋体" w:hAnsi="宋体" w:eastAsia="宋体" w:cs="宋体"/>
          <w:color w:val="auto"/>
          <w:highlight w:val="none"/>
        </w:rPr>
      </w:pPr>
    </w:p>
    <w:p w14:paraId="1A705B23">
      <w:pPr>
        <w:pStyle w:val="8"/>
        <w:rPr>
          <w:rFonts w:hint="eastAsia" w:ascii="宋体" w:hAnsi="宋体" w:eastAsia="宋体" w:cs="宋体"/>
          <w:color w:val="auto"/>
          <w:highlight w:val="none"/>
        </w:rPr>
      </w:pPr>
    </w:p>
    <w:p w14:paraId="32F95BF5">
      <w:pPr>
        <w:pStyle w:val="8"/>
        <w:rPr>
          <w:rFonts w:hint="eastAsia" w:ascii="宋体" w:hAnsi="宋体" w:eastAsia="宋体" w:cs="宋体"/>
          <w:color w:val="auto"/>
          <w:highlight w:val="none"/>
        </w:rPr>
      </w:pPr>
    </w:p>
    <w:p w14:paraId="78551D44">
      <w:pPr>
        <w:pStyle w:val="8"/>
        <w:rPr>
          <w:rFonts w:hint="eastAsia" w:ascii="宋体" w:hAnsi="宋体" w:eastAsia="宋体" w:cs="宋体"/>
          <w:color w:val="auto"/>
          <w:highlight w:val="none"/>
        </w:rPr>
      </w:pPr>
    </w:p>
    <w:p w14:paraId="00A5F3EB">
      <w:pPr>
        <w:pStyle w:val="8"/>
        <w:rPr>
          <w:rFonts w:hint="eastAsia" w:ascii="宋体" w:hAnsi="宋体" w:eastAsia="宋体" w:cs="宋体"/>
          <w:color w:val="auto"/>
          <w:highlight w:val="none"/>
        </w:rPr>
      </w:pPr>
    </w:p>
    <w:p w14:paraId="65B9CB75">
      <w:pPr>
        <w:pStyle w:val="3"/>
        <w:ind w:left="477"/>
        <w:rPr>
          <w:rFonts w:hint="eastAsia" w:ascii="宋体" w:hAnsi="宋体" w:eastAsia="宋体" w:cs="宋体"/>
          <w:color w:val="auto"/>
          <w:highlight w:val="none"/>
        </w:rPr>
      </w:pPr>
    </w:p>
    <w:p w14:paraId="4F1D40FD">
      <w:pPr>
        <w:pStyle w:val="37"/>
        <w:tabs>
          <w:tab w:val="left" w:pos="1566"/>
        </w:tabs>
        <w:spacing w:before="1" w:line="338" w:lineRule="auto"/>
        <w:ind w:left="908" w:right="495" w:firstLine="0"/>
        <w:jc w:val="both"/>
        <w:rPr>
          <w:rFonts w:hint="eastAsia" w:ascii="宋体" w:hAnsi="宋体" w:eastAsia="宋体" w:cs="宋体"/>
          <w:color w:val="auto"/>
          <w:sz w:val="24"/>
          <w:highlight w:val="none"/>
        </w:rPr>
      </w:pPr>
      <w:bookmarkStart w:id="13" w:name="注：资格审查等证件开标时不需提供原件备查，投标文件中必须附加盖公章的复印件，否则"/>
      <w:bookmarkEnd w:id="13"/>
    </w:p>
    <w:p w14:paraId="72847741">
      <w:pPr>
        <w:pStyle w:val="37"/>
        <w:tabs>
          <w:tab w:val="left" w:pos="1566"/>
        </w:tabs>
        <w:spacing w:before="1" w:line="338" w:lineRule="auto"/>
        <w:ind w:left="908" w:right="495" w:firstLine="0"/>
        <w:jc w:val="both"/>
        <w:rPr>
          <w:rFonts w:hint="eastAsia" w:ascii="宋体" w:hAnsi="宋体" w:eastAsia="宋体" w:cs="宋体"/>
          <w:color w:val="auto"/>
          <w:sz w:val="24"/>
          <w:highlight w:val="none"/>
        </w:rPr>
      </w:pPr>
    </w:p>
    <w:p w14:paraId="27C0DC26">
      <w:pPr>
        <w:pStyle w:val="37"/>
        <w:tabs>
          <w:tab w:val="left" w:pos="1566"/>
        </w:tabs>
        <w:spacing w:before="1" w:line="338" w:lineRule="auto"/>
        <w:ind w:left="0" w:right="495" w:firstLine="0"/>
        <w:jc w:val="both"/>
        <w:rPr>
          <w:rFonts w:hint="eastAsia" w:ascii="宋体" w:hAnsi="宋体" w:eastAsia="宋体" w:cs="宋体"/>
          <w:color w:val="auto"/>
          <w:sz w:val="24"/>
          <w:highlight w:val="none"/>
        </w:rPr>
      </w:pPr>
    </w:p>
    <w:p w14:paraId="292E1A41">
      <w:pPr>
        <w:pStyle w:val="37"/>
        <w:tabs>
          <w:tab w:val="left" w:pos="1566"/>
        </w:tabs>
        <w:spacing w:before="1" w:line="338" w:lineRule="auto"/>
        <w:ind w:left="0" w:right="495" w:firstLine="0"/>
        <w:jc w:val="both"/>
        <w:rPr>
          <w:rFonts w:hint="eastAsia" w:ascii="宋体" w:hAnsi="宋体" w:eastAsia="宋体" w:cs="宋体"/>
          <w:color w:val="auto"/>
          <w:sz w:val="24"/>
          <w:highlight w:val="none"/>
        </w:rPr>
      </w:pPr>
    </w:p>
    <w:p w14:paraId="17E27CF5">
      <w:pPr>
        <w:rPr>
          <w:rFonts w:hint="eastAsia" w:ascii="宋体" w:hAnsi="宋体" w:eastAsia="宋体" w:cs="宋体"/>
          <w:b/>
          <w:snapToGrid w:val="0"/>
          <w:color w:val="auto"/>
          <w:sz w:val="32"/>
          <w:szCs w:val="32"/>
          <w:highlight w:val="none"/>
          <w:lang w:val="en-US" w:eastAsia="zh-CN"/>
        </w:rPr>
      </w:pPr>
      <w:r>
        <w:rPr>
          <w:rFonts w:hint="eastAsia" w:ascii="宋体" w:hAnsi="宋体" w:eastAsia="宋体" w:cs="宋体"/>
          <w:b/>
          <w:snapToGrid w:val="0"/>
          <w:color w:val="auto"/>
          <w:sz w:val="32"/>
          <w:szCs w:val="32"/>
          <w:highlight w:val="none"/>
          <w:lang w:val="en-US" w:eastAsia="zh-CN"/>
        </w:rPr>
        <w:br w:type="page"/>
      </w:r>
    </w:p>
    <w:p w14:paraId="3BD737BE">
      <w:pPr>
        <w:pStyle w:val="13"/>
        <w:numPr>
          <w:ilvl w:val="0"/>
          <w:numId w:val="0"/>
        </w:numPr>
        <w:spacing w:line="360" w:lineRule="auto"/>
        <w:jc w:val="center"/>
        <w:rPr>
          <w:rFonts w:hint="eastAsia" w:ascii="宋体" w:hAnsi="宋体" w:eastAsia="宋体" w:cs="宋体"/>
          <w:b/>
          <w:snapToGrid w:val="0"/>
          <w:color w:val="auto"/>
          <w:sz w:val="32"/>
          <w:szCs w:val="32"/>
          <w:highlight w:val="none"/>
        </w:rPr>
      </w:pPr>
      <w:r>
        <w:rPr>
          <w:rFonts w:hint="eastAsia" w:ascii="宋体" w:hAnsi="宋体" w:eastAsia="宋体" w:cs="宋体"/>
          <w:b/>
          <w:snapToGrid w:val="0"/>
          <w:color w:val="auto"/>
          <w:sz w:val="32"/>
          <w:szCs w:val="32"/>
          <w:highlight w:val="none"/>
          <w:lang w:val="en-US" w:eastAsia="zh-CN"/>
        </w:rPr>
        <w:t>二、</w:t>
      </w:r>
      <w:r>
        <w:rPr>
          <w:rFonts w:hint="eastAsia" w:ascii="宋体" w:hAnsi="宋体" w:eastAsia="宋体" w:cs="宋体"/>
          <w:b/>
          <w:snapToGrid w:val="0"/>
          <w:color w:val="auto"/>
          <w:sz w:val="32"/>
          <w:szCs w:val="32"/>
          <w:highlight w:val="none"/>
        </w:rPr>
        <w:t>资格审查证明材料</w:t>
      </w:r>
    </w:p>
    <w:p w14:paraId="747DDCDA">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.1 投 标 函</w:t>
      </w:r>
    </w:p>
    <w:p w14:paraId="7B2B71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w:t>
      </w:r>
    </w:p>
    <w:p w14:paraId="3C7EF3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采购的招标公告及投标邀请，</w:t>
      </w:r>
      <w:r>
        <w:rPr>
          <w:rFonts w:hint="eastAsia" w:ascii="宋体" w:hAnsi="宋体" w:eastAsia="宋体" w:cs="宋体"/>
          <w:color w:val="auto"/>
          <w:sz w:val="24"/>
          <w:szCs w:val="24"/>
          <w:highlight w:val="none"/>
          <w:u w:val="single"/>
        </w:rPr>
        <w:t>（姓名和职务）</w:t>
      </w:r>
      <w:r>
        <w:rPr>
          <w:rFonts w:hint="eastAsia" w:ascii="宋体" w:hAnsi="宋体" w:eastAsia="宋体" w:cs="宋体"/>
          <w:color w:val="auto"/>
          <w:sz w:val="24"/>
          <w:szCs w:val="24"/>
          <w:highlight w:val="none"/>
        </w:rPr>
        <w:t>被正式授权并代表投标人</w:t>
      </w:r>
      <w:r>
        <w:rPr>
          <w:rFonts w:hint="eastAsia" w:ascii="宋体" w:hAnsi="宋体" w:eastAsia="宋体" w:cs="宋体"/>
          <w:color w:val="auto"/>
          <w:sz w:val="24"/>
          <w:szCs w:val="24"/>
          <w:highlight w:val="none"/>
          <w:u w:val="single"/>
        </w:rPr>
        <w:t>（投标人名称、地址）</w:t>
      </w:r>
      <w:r>
        <w:rPr>
          <w:rFonts w:hint="eastAsia" w:ascii="宋体" w:hAnsi="宋体" w:eastAsia="宋体" w:cs="宋体"/>
          <w:color w:val="auto"/>
          <w:sz w:val="24"/>
          <w:szCs w:val="24"/>
          <w:highlight w:val="none"/>
        </w:rPr>
        <w:t>提交。</w:t>
      </w:r>
    </w:p>
    <w:p w14:paraId="6BAC55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我方确认收到贵方提供的</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磋商文件的全部内容。</w:t>
      </w:r>
    </w:p>
    <w:p w14:paraId="247844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w:t>
      </w:r>
    </w:p>
    <w:p w14:paraId="219029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作为投标人正式授权</w:t>
      </w:r>
      <w:r>
        <w:rPr>
          <w:rFonts w:hint="eastAsia" w:ascii="宋体" w:hAnsi="宋体" w:eastAsia="宋体" w:cs="宋体"/>
          <w:color w:val="auto"/>
          <w:sz w:val="24"/>
          <w:szCs w:val="24"/>
          <w:highlight w:val="none"/>
          <w:u w:val="single"/>
        </w:rPr>
        <w:t>(授权代表全名,职务)</w:t>
      </w:r>
      <w:r>
        <w:rPr>
          <w:rFonts w:hint="eastAsia" w:ascii="宋体" w:hAnsi="宋体" w:eastAsia="宋体" w:cs="宋体"/>
          <w:color w:val="auto"/>
          <w:sz w:val="24"/>
          <w:szCs w:val="24"/>
          <w:highlight w:val="none"/>
        </w:rPr>
        <w:t>代表我方全权处理有关本投标的一切事宜。</w:t>
      </w:r>
    </w:p>
    <w:p w14:paraId="19D170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我方已完全明白磋商文件的所有条款要求，并申明如下：</w:t>
      </w:r>
    </w:p>
    <w:p w14:paraId="0F2149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一、按磋商文件提供的全部货物与相关服务的投标总价详见《开标一览表》。</w:t>
      </w:r>
    </w:p>
    <w:p w14:paraId="380774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二、本投标文件的有效期为投标截止时间起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14:paraId="2C8C04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三、我方明白并同意，在规定的开标日之后，投标有效期之内撤销投标的，则贵方将不予退还磋商保证金。</w:t>
      </w:r>
    </w:p>
    <w:p w14:paraId="04A6F0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四、我方同意按照贵方可能提出的要求而提供与投标有关的任何其它数据、信息或资料。</w:t>
      </w:r>
    </w:p>
    <w:p w14:paraId="209501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五、我方理解贵方不一定接受最低投标价或任何贵方可能收到的投标。</w:t>
      </w:r>
    </w:p>
    <w:p w14:paraId="5AE2A8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六、我方如果成交，将保证履行磋商文件及其澄清、修改文件（如果有）中的全部责任和义务，按质、按量、按期完成《项目需求》及《合同书》中的全部任务。</w:t>
      </w:r>
    </w:p>
    <w:p w14:paraId="0ECC4D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七、我方在此保证所提交的所有文件和全部说明是真实的和正确的,未提供虚假的资格证书及业绩证明材料谋取成交，若存在虚假证书或者业绩证明材料的违规违法行为，承担法律责任，接受财政部门的处罚。</w:t>
      </w:r>
    </w:p>
    <w:p w14:paraId="7A42B3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八、我方投标报价已包含应向知识产权所有权人支付的所有相关税费，并保证采购人在中国使用我方提供的货物时，如有第三方提出侵犯其知识产权主张的，责任由我方承担。 </w:t>
      </w:r>
    </w:p>
    <w:p w14:paraId="0DA7BC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九、我方具备《政府采购法》第二十二条规定的条件；承诺如下：</w:t>
      </w:r>
    </w:p>
    <w:p w14:paraId="325358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（1）具有独立承担民事责任能力的在中华人民共和国境内注册的法人或其他组织或自然人，有效的营业执照（或事业法人登记证或身份证等相关证明）。</w:t>
      </w:r>
    </w:p>
    <w:p w14:paraId="29DE6E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（2）我方已依法缴纳了各项税费及社会保险费用，如有需要，可随时向采购人提供近三个月内的相关缴费证明，以便核查。</w:t>
      </w:r>
    </w:p>
    <w:p w14:paraId="18AC4C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（3）我方已依法建立健全的财务会计制度，如有需要，可随时向采购人提供相关证明材料，以便核查。</w:t>
      </w:r>
    </w:p>
    <w:p w14:paraId="249FF1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（4）参加政府采购活动前三年内，在经营活动中没有重大违法记录。</w:t>
      </w:r>
    </w:p>
    <w:p w14:paraId="6D1F6B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（5）符合法律、行政法规规定的其他条件。</w:t>
      </w:r>
    </w:p>
    <w:p w14:paraId="1B672B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以上内容如有虚假或与事实不符的，评审委员会可将我方做无效投标处理，我方愿意承担相应的法律责任。</w:t>
      </w:r>
    </w:p>
    <w:p w14:paraId="5CECA5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十、我方具备履行合同所必需的设备和专业技术能力。</w:t>
      </w:r>
    </w:p>
    <w:p w14:paraId="028959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十一、我方对在本函及投标文件中所作的所有承诺承担法律责任。</w:t>
      </w:r>
    </w:p>
    <w:p w14:paraId="0BA4F546">
      <w:pPr>
        <w:pStyle w:val="13"/>
        <w:adjustRightInd w:val="0"/>
        <w:snapToGrid w:val="0"/>
        <w:spacing w:line="360" w:lineRule="auto"/>
        <w:rPr>
          <w:rFonts w:hint="eastAsia" w:ascii="宋体" w:hAnsi="宋体" w:eastAsia="宋体" w:cs="宋体"/>
          <w:color w:val="auto"/>
          <w:szCs w:val="24"/>
          <w:highlight w:val="none"/>
        </w:rPr>
      </w:pPr>
    </w:p>
    <w:p w14:paraId="0D16C3A2">
      <w:pPr>
        <w:pStyle w:val="13"/>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所有与本招标有关的一切正式往来请寄：</w:t>
      </w:r>
    </w:p>
    <w:p w14:paraId="10120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邮政编码：.</w:t>
      </w:r>
    </w:p>
    <w:p w14:paraId="2340C5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传    真：.</w:t>
      </w:r>
    </w:p>
    <w:p w14:paraId="78FC3E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投标人代表姓名：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职    务：.</w:t>
      </w:r>
    </w:p>
    <w:p w14:paraId="514D55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投标人法定代表人（或法定代表人授权代表）签字或盖章：</w:t>
      </w:r>
    </w:p>
    <w:p w14:paraId="032245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14:paraId="134BB7F7">
      <w:pPr>
        <w:pStyle w:val="13"/>
        <w:adjustRightInd w:val="0"/>
        <w:snapToGrid w:val="0"/>
        <w:spacing w:line="360" w:lineRule="auto"/>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   年   月   日</w:t>
      </w:r>
    </w:p>
    <w:p w14:paraId="4D7E745A">
      <w:pPr>
        <w:spacing w:line="480" w:lineRule="exact"/>
        <w:jc w:val="center"/>
        <w:rPr>
          <w:rFonts w:hint="eastAsia" w:ascii="宋体" w:hAnsi="宋体" w:eastAsia="宋体" w:cs="宋体"/>
          <w:b/>
          <w:bCs/>
          <w:color w:val="auto"/>
          <w:sz w:val="36"/>
          <w:szCs w:val="36"/>
          <w:highlight w:val="none"/>
        </w:rPr>
      </w:pPr>
    </w:p>
    <w:p w14:paraId="1ED8700F">
      <w:pPr>
        <w:pStyle w:val="10"/>
        <w:rPr>
          <w:rFonts w:hint="eastAsia" w:ascii="宋体" w:hAnsi="宋体" w:eastAsia="宋体" w:cs="宋体"/>
          <w:color w:val="auto"/>
          <w:highlight w:val="none"/>
        </w:rPr>
      </w:pPr>
    </w:p>
    <w:p w14:paraId="1FF8F0CD">
      <w:pPr>
        <w:spacing w:line="480" w:lineRule="exact"/>
        <w:jc w:val="center"/>
        <w:rPr>
          <w:rFonts w:hint="eastAsia" w:ascii="宋体" w:hAnsi="宋体" w:eastAsia="宋体" w:cs="宋体"/>
          <w:b/>
          <w:bCs/>
          <w:color w:val="auto"/>
          <w:sz w:val="36"/>
          <w:szCs w:val="36"/>
          <w:highlight w:val="none"/>
          <w:lang w:val="en-US"/>
        </w:rPr>
      </w:pPr>
    </w:p>
    <w:p w14:paraId="6E3D8826">
      <w:pPr>
        <w:spacing w:line="480" w:lineRule="exact"/>
        <w:jc w:val="center"/>
        <w:rPr>
          <w:rFonts w:hint="eastAsia" w:ascii="宋体" w:hAnsi="宋体" w:eastAsia="宋体" w:cs="宋体"/>
          <w:b/>
          <w:bCs/>
          <w:color w:val="auto"/>
          <w:sz w:val="36"/>
          <w:szCs w:val="36"/>
          <w:highlight w:val="none"/>
          <w:lang w:val="en-US"/>
        </w:rPr>
      </w:pPr>
    </w:p>
    <w:p w14:paraId="46EFBAF6">
      <w:pPr>
        <w:spacing w:line="480" w:lineRule="exact"/>
        <w:jc w:val="center"/>
        <w:rPr>
          <w:rFonts w:hint="eastAsia" w:ascii="宋体" w:hAnsi="宋体" w:eastAsia="宋体" w:cs="宋体"/>
          <w:b/>
          <w:bCs/>
          <w:color w:val="auto"/>
          <w:sz w:val="36"/>
          <w:szCs w:val="36"/>
          <w:highlight w:val="none"/>
          <w:lang w:val="en-US"/>
        </w:rPr>
      </w:pPr>
    </w:p>
    <w:p w14:paraId="7FAC2CAF">
      <w:pPr>
        <w:spacing w:line="480" w:lineRule="exact"/>
        <w:jc w:val="center"/>
        <w:rPr>
          <w:rFonts w:hint="eastAsia" w:ascii="宋体" w:hAnsi="宋体" w:eastAsia="宋体" w:cs="宋体"/>
          <w:b/>
          <w:bCs/>
          <w:color w:val="auto"/>
          <w:sz w:val="36"/>
          <w:szCs w:val="36"/>
          <w:highlight w:val="none"/>
          <w:lang w:val="en-US"/>
        </w:rPr>
      </w:pPr>
    </w:p>
    <w:p w14:paraId="2B7E4F48">
      <w:pPr>
        <w:jc w:val="center"/>
        <w:rPr>
          <w:rFonts w:hint="eastAsia" w:ascii="宋体" w:hAnsi="宋体" w:eastAsia="宋体" w:cs="宋体"/>
          <w:b/>
          <w:bCs/>
          <w:color w:val="auto"/>
          <w:sz w:val="28"/>
          <w:szCs w:val="28"/>
          <w:highlight w:val="none"/>
          <w:lang w:val="en-US"/>
        </w:rPr>
      </w:pPr>
    </w:p>
    <w:p w14:paraId="7010B486">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.2 法定代表人资格证明书</w:t>
      </w:r>
    </w:p>
    <w:p w14:paraId="7C6206D2">
      <w:pPr>
        <w:adjustRightInd w:val="0"/>
        <w:spacing w:line="480" w:lineRule="auto"/>
        <w:ind w:firstLine="616" w:firstLineChars="257"/>
        <w:rPr>
          <w:rFonts w:hint="eastAsia" w:ascii="宋体" w:hAnsi="宋体" w:eastAsia="宋体" w:cs="宋体"/>
          <w:color w:val="auto"/>
          <w:sz w:val="24"/>
          <w:highlight w:val="none"/>
        </w:rPr>
      </w:pPr>
    </w:p>
    <w:p w14:paraId="49308B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14:paraId="01C953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B67F48B">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 xml:space="preserve">姓名：       性别：     年龄：     职务：    </w:t>
      </w:r>
    </w:p>
    <w:p w14:paraId="715C0D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的法定代表人。就参加贵方项目编号为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项目名称）</w:t>
      </w:r>
      <w:r>
        <w:rPr>
          <w:rFonts w:hint="eastAsia" w:ascii="宋体" w:hAnsi="宋体" w:eastAsia="宋体" w:cs="宋体"/>
          <w:color w:val="auto"/>
          <w:sz w:val="24"/>
          <w:szCs w:val="24"/>
          <w:highlight w:val="none"/>
        </w:rPr>
        <w:t>的投标报价，签署上述项目的投标文件及合同的执行、完成、服务和保修，签署合同和处理与之有关的一切事务。</w:t>
      </w:r>
    </w:p>
    <w:p w14:paraId="144D36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3A5E4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法定代表人（单位负责人）联系电话（手机）：</w:t>
      </w:r>
    </w:p>
    <w:p w14:paraId="06620CB2">
      <w:pPr>
        <w:spacing w:line="360" w:lineRule="auto"/>
        <w:ind w:firstLine="480" w:firstLineChars="200"/>
        <w:rPr>
          <w:rFonts w:hint="eastAsia" w:ascii="宋体" w:hAnsi="宋体" w:eastAsia="宋体" w:cs="宋体"/>
          <w:color w:val="auto"/>
          <w:sz w:val="24"/>
          <w:szCs w:val="24"/>
          <w:highlight w:val="none"/>
        </w:rPr>
      </w:pPr>
    </w:p>
    <w:p w14:paraId="418DE4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【此处请粘贴法定代表人身份证明原件扫描件，需清晰反映身份证有效期限】</w:t>
      </w:r>
    </w:p>
    <w:p w14:paraId="0F7573EC">
      <w:pPr>
        <w:spacing w:line="360" w:lineRule="auto"/>
        <w:ind w:firstLine="480" w:firstLineChars="200"/>
        <w:rPr>
          <w:rFonts w:hint="eastAsia" w:ascii="宋体" w:hAnsi="宋体" w:eastAsia="宋体" w:cs="宋体"/>
          <w:color w:val="auto"/>
          <w:sz w:val="24"/>
          <w:szCs w:val="24"/>
          <w:highlight w:val="none"/>
        </w:rPr>
      </w:pPr>
    </w:p>
    <w:p w14:paraId="051736D3">
      <w:pPr>
        <w:spacing w:line="360" w:lineRule="auto"/>
        <w:ind w:firstLine="480" w:firstLineChars="200"/>
        <w:rPr>
          <w:rFonts w:hint="eastAsia" w:ascii="宋体" w:hAnsi="宋体" w:eastAsia="宋体" w:cs="宋体"/>
          <w:color w:val="auto"/>
          <w:sz w:val="24"/>
          <w:szCs w:val="24"/>
          <w:highlight w:val="none"/>
        </w:rPr>
      </w:pPr>
    </w:p>
    <w:p w14:paraId="6A2F9FB1">
      <w:pPr>
        <w:spacing w:line="360" w:lineRule="auto"/>
        <w:ind w:firstLine="480" w:firstLineChars="200"/>
        <w:rPr>
          <w:rFonts w:hint="eastAsia" w:ascii="宋体" w:hAnsi="宋体" w:eastAsia="宋体" w:cs="宋体"/>
          <w:color w:val="auto"/>
          <w:sz w:val="24"/>
          <w:szCs w:val="24"/>
          <w:highlight w:val="none"/>
        </w:rPr>
      </w:pPr>
    </w:p>
    <w:p w14:paraId="15BDDB73">
      <w:pPr>
        <w:spacing w:line="360" w:lineRule="auto"/>
        <w:ind w:firstLine="480" w:firstLineChars="200"/>
        <w:rPr>
          <w:rFonts w:hint="eastAsia" w:ascii="宋体" w:hAnsi="宋体" w:eastAsia="宋体" w:cs="宋体"/>
          <w:color w:val="auto"/>
          <w:sz w:val="24"/>
          <w:szCs w:val="24"/>
          <w:highlight w:val="none"/>
        </w:rPr>
      </w:pPr>
    </w:p>
    <w:p w14:paraId="2220C4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投标人名称（并加盖公章）：</w:t>
      </w:r>
    </w:p>
    <w:p w14:paraId="355CD1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14:paraId="5F861C9C">
      <w:pPr>
        <w:pStyle w:val="52"/>
        <w:spacing w:line="480" w:lineRule="auto"/>
        <w:rPr>
          <w:rFonts w:hint="eastAsia" w:ascii="宋体" w:hAnsi="宋体" w:eastAsia="宋体" w:cs="宋体"/>
          <w:color w:val="auto"/>
          <w:szCs w:val="24"/>
          <w:highlight w:val="none"/>
        </w:rPr>
      </w:pPr>
    </w:p>
    <w:p w14:paraId="5CDFF0B1">
      <w:pPr>
        <w:rPr>
          <w:rFonts w:hint="eastAsia" w:ascii="宋体" w:hAnsi="宋体" w:eastAsia="宋体" w:cs="宋体"/>
          <w:color w:val="auto"/>
          <w:highlight w:val="none"/>
        </w:rPr>
      </w:pPr>
    </w:p>
    <w:p w14:paraId="154520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说明：法定代表人参加本招标项目投标的，仅须出具此证明书。</w:t>
      </w:r>
    </w:p>
    <w:p w14:paraId="1FC9262C">
      <w:pPr>
        <w:spacing w:line="480" w:lineRule="exact"/>
        <w:jc w:val="center"/>
        <w:rPr>
          <w:rFonts w:hint="eastAsia" w:ascii="宋体" w:hAnsi="宋体" w:eastAsia="宋体" w:cs="宋体"/>
          <w:b/>
          <w:bCs/>
          <w:color w:val="auto"/>
          <w:sz w:val="36"/>
          <w:szCs w:val="36"/>
          <w:highlight w:val="none"/>
        </w:rPr>
      </w:pPr>
    </w:p>
    <w:p w14:paraId="623B2B93">
      <w:pPr>
        <w:jc w:val="center"/>
        <w:rPr>
          <w:rFonts w:hint="eastAsia" w:ascii="宋体" w:hAnsi="宋体" w:eastAsia="宋体" w:cs="宋体"/>
          <w:b/>
          <w:bCs/>
          <w:color w:val="auto"/>
          <w:sz w:val="28"/>
          <w:szCs w:val="28"/>
          <w:highlight w:val="none"/>
          <w:lang w:val="en-US"/>
        </w:rPr>
      </w:pPr>
    </w:p>
    <w:p w14:paraId="55EC4F9A">
      <w:pPr>
        <w:jc w:val="center"/>
        <w:rPr>
          <w:rFonts w:hint="eastAsia" w:ascii="宋体" w:hAnsi="宋体" w:eastAsia="宋体" w:cs="宋体"/>
          <w:b/>
          <w:bCs/>
          <w:color w:val="auto"/>
          <w:sz w:val="28"/>
          <w:szCs w:val="28"/>
          <w:highlight w:val="none"/>
          <w:lang w:val="en-US"/>
        </w:rPr>
      </w:pPr>
    </w:p>
    <w:p w14:paraId="367BCBBA">
      <w:pPr>
        <w:jc w:val="center"/>
        <w:rPr>
          <w:rFonts w:hint="eastAsia" w:ascii="宋体" w:hAnsi="宋体" w:eastAsia="宋体" w:cs="宋体"/>
          <w:b/>
          <w:bCs/>
          <w:color w:val="auto"/>
          <w:sz w:val="28"/>
          <w:szCs w:val="28"/>
          <w:highlight w:val="none"/>
          <w:lang w:val="en-US"/>
        </w:rPr>
      </w:pPr>
    </w:p>
    <w:p w14:paraId="70857165">
      <w:pPr>
        <w:jc w:val="center"/>
        <w:rPr>
          <w:rFonts w:hint="eastAsia" w:ascii="宋体" w:hAnsi="宋体" w:eastAsia="宋体" w:cs="宋体"/>
          <w:b/>
          <w:bCs/>
          <w:color w:val="auto"/>
          <w:sz w:val="28"/>
          <w:szCs w:val="28"/>
          <w:highlight w:val="none"/>
          <w:lang w:val="en-US"/>
        </w:rPr>
      </w:pPr>
    </w:p>
    <w:p w14:paraId="30F2DE4E">
      <w:pPr>
        <w:jc w:val="center"/>
        <w:rPr>
          <w:rFonts w:hint="eastAsia" w:ascii="宋体" w:hAnsi="宋体" w:eastAsia="宋体" w:cs="宋体"/>
          <w:b/>
          <w:bCs/>
          <w:color w:val="auto"/>
          <w:sz w:val="28"/>
          <w:szCs w:val="28"/>
          <w:highlight w:val="none"/>
          <w:lang w:val="en-US"/>
        </w:rPr>
      </w:pPr>
    </w:p>
    <w:p w14:paraId="58CFDCCC">
      <w:pPr>
        <w:jc w:val="center"/>
        <w:rPr>
          <w:rFonts w:hint="eastAsia" w:ascii="宋体" w:hAnsi="宋体" w:eastAsia="宋体" w:cs="宋体"/>
          <w:b/>
          <w:bCs/>
          <w:color w:val="auto"/>
          <w:sz w:val="28"/>
          <w:szCs w:val="28"/>
          <w:highlight w:val="none"/>
          <w:lang w:val="en-US"/>
        </w:rPr>
      </w:pPr>
    </w:p>
    <w:p w14:paraId="2395183F">
      <w:pPr>
        <w:jc w:val="center"/>
        <w:rPr>
          <w:rFonts w:hint="eastAsia" w:ascii="宋体" w:hAnsi="宋体" w:eastAsia="宋体" w:cs="宋体"/>
          <w:b/>
          <w:bCs/>
          <w:color w:val="auto"/>
          <w:sz w:val="28"/>
          <w:szCs w:val="28"/>
          <w:highlight w:val="none"/>
          <w:lang w:val="en-US"/>
        </w:rPr>
      </w:pPr>
    </w:p>
    <w:p w14:paraId="51DF6C71">
      <w:pPr>
        <w:jc w:val="center"/>
        <w:rPr>
          <w:rFonts w:hint="eastAsia" w:ascii="宋体" w:hAnsi="宋体" w:eastAsia="宋体" w:cs="宋体"/>
          <w:b/>
          <w:bCs/>
          <w:color w:val="auto"/>
          <w:sz w:val="28"/>
          <w:szCs w:val="28"/>
          <w:highlight w:val="none"/>
          <w:lang w:val="en-US"/>
        </w:rPr>
      </w:pPr>
    </w:p>
    <w:p w14:paraId="5107EDAF">
      <w:pPr>
        <w:jc w:val="center"/>
        <w:rPr>
          <w:rFonts w:hint="eastAsia" w:ascii="宋体" w:hAnsi="宋体" w:eastAsia="宋体" w:cs="宋体"/>
          <w:b/>
          <w:bCs/>
          <w:color w:val="auto"/>
          <w:sz w:val="28"/>
          <w:szCs w:val="28"/>
          <w:highlight w:val="none"/>
          <w:lang w:val="en-US"/>
        </w:rPr>
      </w:pPr>
    </w:p>
    <w:p w14:paraId="1E2A0B3E">
      <w:pPr>
        <w:jc w:val="center"/>
        <w:rPr>
          <w:rFonts w:hint="eastAsia" w:ascii="宋体" w:hAnsi="宋体" w:eastAsia="宋体" w:cs="宋体"/>
          <w:b/>
          <w:bCs/>
          <w:color w:val="auto"/>
          <w:sz w:val="28"/>
          <w:szCs w:val="28"/>
          <w:highlight w:val="none"/>
          <w:lang w:val="en-US"/>
        </w:rPr>
      </w:pPr>
    </w:p>
    <w:p w14:paraId="6BAD4518">
      <w:pPr>
        <w:jc w:val="center"/>
        <w:rPr>
          <w:rFonts w:hint="eastAsia" w:ascii="宋体" w:hAnsi="宋体" w:eastAsia="宋体" w:cs="宋体"/>
          <w:b/>
          <w:bCs/>
          <w:color w:val="auto"/>
          <w:sz w:val="28"/>
          <w:szCs w:val="28"/>
          <w:highlight w:val="none"/>
          <w:lang w:val="en-US"/>
        </w:rPr>
      </w:pPr>
    </w:p>
    <w:p w14:paraId="4C746205">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.3 法定代表人授权书</w:t>
      </w:r>
    </w:p>
    <w:p w14:paraId="43473847">
      <w:pPr>
        <w:adjustRightInd w:val="0"/>
        <w:spacing w:line="360" w:lineRule="auto"/>
        <w:ind w:firstLine="504" w:firstLineChars="210"/>
        <w:contextualSpacing/>
        <w:rPr>
          <w:rFonts w:hint="eastAsia" w:ascii="宋体" w:hAnsi="宋体" w:eastAsia="宋体" w:cs="宋体"/>
          <w:color w:val="auto"/>
          <w:sz w:val="24"/>
          <w:szCs w:val="24"/>
          <w:highlight w:val="none"/>
        </w:rPr>
      </w:pPr>
    </w:p>
    <w:p w14:paraId="505A1DC4">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val="0"/>
          <w:color w:val="auto"/>
          <w:sz w:val="24"/>
          <w:szCs w:val="24"/>
          <w:highlight w:val="none"/>
          <w:u w:val="single"/>
        </w:rPr>
        <w:t>法人姓名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w:t>
      </w:r>
      <w:r>
        <w:rPr>
          <w:rFonts w:hint="eastAsia" w:ascii="宋体" w:hAnsi="宋体" w:eastAsia="宋体" w:cs="宋体"/>
          <w:snapToGrid w:val="0"/>
          <w:color w:val="auto"/>
          <w:sz w:val="24"/>
          <w:szCs w:val="24"/>
          <w:highlight w:val="none"/>
          <w:u w:val="single"/>
        </w:rPr>
        <w:t xml:space="preserve">投标人名称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val="0"/>
          <w:color w:val="auto"/>
          <w:sz w:val="24"/>
          <w:szCs w:val="24"/>
          <w:highlight w:val="none"/>
          <w:u w:val="single"/>
        </w:rPr>
        <w:t>姓名，职务</w:t>
      </w:r>
      <w:r>
        <w:rPr>
          <w:rFonts w:hint="eastAsia" w:ascii="宋体" w:hAnsi="宋体" w:eastAsia="宋体" w:cs="宋体"/>
          <w:color w:val="auto"/>
          <w:sz w:val="24"/>
          <w:szCs w:val="24"/>
          <w:highlight w:val="none"/>
        </w:rPr>
        <w:t>以我方的名义参加贵方______________________项目的投标活动，并代表我方全权办理针对上述项目的投标、开标、投标文件澄清、签约等一切具体事务和签署相关文件。</w:t>
      </w:r>
    </w:p>
    <w:p w14:paraId="0DD3DF26">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14:paraId="741B6F7B">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7383926C">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4219FCE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 </w:t>
      </w:r>
      <w:r>
        <w:rPr>
          <w:rFonts w:hint="eastAsia" w:ascii="宋体" w:hAnsi="宋体" w:eastAsia="宋体" w:cs="宋体"/>
          <w:color w:val="auto"/>
          <w:sz w:val="24"/>
          <w:szCs w:val="24"/>
          <w:highlight w:val="none"/>
          <w:u w:val="single"/>
        </w:rPr>
        <w:t xml:space="preserve">       （全称）       </w:t>
      </w:r>
      <w:r>
        <w:rPr>
          <w:rFonts w:hint="eastAsia" w:ascii="宋体" w:hAnsi="宋体" w:eastAsia="宋体" w:cs="宋体"/>
          <w:color w:val="auto"/>
          <w:sz w:val="24"/>
          <w:szCs w:val="24"/>
          <w:highlight w:val="none"/>
        </w:rPr>
        <w:t xml:space="preserve"> （盖单位公章）</w:t>
      </w:r>
    </w:p>
    <w:p w14:paraId="17A02E85">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（签字或加盖名章）</w:t>
      </w:r>
    </w:p>
    <w:p w14:paraId="323804E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  （签字或加盖名章）</w:t>
      </w:r>
    </w:p>
    <w:p w14:paraId="38A1012C">
      <w:pPr>
        <w:pStyle w:val="1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法定代表人授权代表联系电话：</w:t>
      </w:r>
    </w:p>
    <w:tbl>
      <w:tblPr>
        <w:tblStyle w:val="22"/>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0A26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091F1E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法定代表人身份证（正面）</w:t>
            </w:r>
          </w:p>
        </w:tc>
        <w:tc>
          <w:tcPr>
            <w:tcW w:w="4485" w:type="dxa"/>
            <w:gridSpan w:val="2"/>
            <w:vAlign w:val="center"/>
          </w:tcPr>
          <w:p w14:paraId="4C2B78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法定代表人身份证（反面）</w:t>
            </w:r>
          </w:p>
        </w:tc>
      </w:tr>
      <w:tr w14:paraId="32A2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22899E4A">
            <w:pPr>
              <w:jc w:val="center"/>
              <w:rPr>
                <w:rFonts w:hint="eastAsia" w:ascii="宋体" w:hAnsi="宋体" w:eastAsia="宋体" w:cs="宋体"/>
                <w:color w:val="auto"/>
                <w:sz w:val="24"/>
                <w:szCs w:val="24"/>
                <w:highlight w:val="none"/>
              </w:rPr>
            </w:pPr>
            <w:bookmarkStart w:id="14" w:name="_资格证明文件"/>
            <w:bookmarkEnd w:id="14"/>
            <w:bookmarkStart w:id="15" w:name="_Toc364329026"/>
            <w:r>
              <w:rPr>
                <w:rFonts w:hint="eastAsia" w:ascii="宋体" w:hAnsi="宋体" w:eastAsia="宋体" w:cs="宋体"/>
                <w:color w:val="auto"/>
                <w:sz w:val="24"/>
                <w:szCs w:val="24"/>
                <w:highlight w:val="none"/>
              </w:rPr>
              <w:t>法定代表人授权代表身份证（正面）</w:t>
            </w:r>
            <w:bookmarkEnd w:id="15"/>
          </w:p>
        </w:tc>
        <w:tc>
          <w:tcPr>
            <w:tcW w:w="4492" w:type="dxa"/>
            <w:gridSpan w:val="2"/>
            <w:vAlign w:val="center"/>
          </w:tcPr>
          <w:p w14:paraId="1BB03DB1">
            <w:pPr>
              <w:jc w:val="center"/>
              <w:rPr>
                <w:rFonts w:hint="eastAsia" w:ascii="宋体" w:hAnsi="宋体" w:eastAsia="宋体" w:cs="宋体"/>
                <w:color w:val="auto"/>
                <w:sz w:val="24"/>
                <w:szCs w:val="24"/>
                <w:highlight w:val="none"/>
              </w:rPr>
            </w:pPr>
            <w:bookmarkStart w:id="16" w:name="_Toc364329027"/>
            <w:r>
              <w:rPr>
                <w:rFonts w:hint="eastAsia" w:ascii="宋体" w:hAnsi="宋体" w:eastAsia="宋体" w:cs="宋体"/>
                <w:color w:val="auto"/>
                <w:sz w:val="24"/>
                <w:szCs w:val="24"/>
                <w:highlight w:val="none"/>
              </w:rPr>
              <w:t>法定代表人授权代表身份证（反面）</w:t>
            </w:r>
            <w:bookmarkEnd w:id="16"/>
          </w:p>
        </w:tc>
      </w:tr>
    </w:tbl>
    <w:p w14:paraId="6256B13C">
      <w:pPr>
        <w:spacing w:line="320" w:lineRule="exact"/>
        <w:ind w:left="2" w:firstLine="357" w:firstLineChars="149"/>
        <w:rPr>
          <w:rFonts w:hint="eastAsia" w:ascii="宋体" w:hAnsi="宋体" w:eastAsia="宋体" w:cs="宋体"/>
          <w:color w:val="auto"/>
          <w:sz w:val="24"/>
          <w:highlight w:val="none"/>
        </w:rPr>
      </w:pPr>
    </w:p>
    <w:p w14:paraId="71D55780">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16E7A25C">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.4 没有重大违法记录的声明</w:t>
      </w:r>
    </w:p>
    <w:p w14:paraId="49895146">
      <w:pPr>
        <w:adjustRightInd w:val="0"/>
        <w:spacing w:line="360" w:lineRule="auto"/>
        <w:ind w:firstLine="506" w:firstLineChars="210"/>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声　   明</w:t>
      </w:r>
    </w:p>
    <w:p w14:paraId="1C7A1104">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本公司参加本次政府采购活动前三年内，在经营活动中没有重大违法记录。（重大违法记录，是指因违法经营受到刑事处罚或者责令停产停业、吊销许可证或者执照、较大数额罚款等行政处罚。）</w:t>
      </w:r>
    </w:p>
    <w:p w14:paraId="6E7D2C56">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E356DA7">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2740A6FB">
      <w:pPr>
        <w:spacing w:beforeLines="50" w:afterLines="50" w:line="360" w:lineRule="auto"/>
        <w:ind w:firstLine="566" w:firstLineChars="236"/>
        <w:rPr>
          <w:rFonts w:hint="eastAsia" w:ascii="宋体" w:hAnsi="宋体" w:eastAsia="宋体" w:cs="宋体"/>
          <w:color w:val="auto"/>
          <w:sz w:val="24"/>
          <w:highlight w:val="none"/>
        </w:rPr>
      </w:pPr>
    </w:p>
    <w:p w14:paraId="6D63A655">
      <w:pPr>
        <w:adjustRightInd w:val="0"/>
        <w:spacing w:line="360" w:lineRule="auto"/>
        <w:ind w:firstLine="504" w:firstLineChars="21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55044377">
      <w:pPr>
        <w:adjustRightInd w:val="0"/>
        <w:spacing w:line="360" w:lineRule="auto"/>
        <w:ind w:firstLine="504" w:firstLineChars="21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6BF6834D">
      <w:pPr>
        <w:spacing w:beforeLines="50" w:afterLines="50" w:line="360" w:lineRule="auto"/>
        <w:ind w:right="420" w:firstLine="5486" w:firstLineChars="2286"/>
        <w:rPr>
          <w:rFonts w:hint="eastAsia" w:ascii="宋体" w:hAnsi="宋体" w:eastAsia="宋体" w:cs="宋体"/>
          <w:color w:val="auto"/>
          <w:sz w:val="24"/>
          <w:highlight w:val="none"/>
        </w:rPr>
      </w:pPr>
    </w:p>
    <w:p w14:paraId="2656911C">
      <w:pPr>
        <w:spacing w:beforeLines="50" w:afterLines="50" w:line="360" w:lineRule="auto"/>
        <w:ind w:right="420" w:firstLine="5486" w:firstLineChars="2286"/>
        <w:rPr>
          <w:rFonts w:hint="eastAsia" w:ascii="宋体" w:hAnsi="宋体" w:eastAsia="宋体" w:cs="宋体"/>
          <w:color w:val="auto"/>
          <w:sz w:val="24"/>
          <w:highlight w:val="none"/>
        </w:rPr>
      </w:pPr>
    </w:p>
    <w:p w14:paraId="075B42C2">
      <w:pPr>
        <w:spacing w:beforeLines="50" w:afterLines="50" w:line="360" w:lineRule="auto"/>
        <w:ind w:right="420" w:firstLine="5486" w:firstLineChars="2286"/>
        <w:rPr>
          <w:rFonts w:hint="eastAsia" w:ascii="宋体" w:hAnsi="宋体" w:eastAsia="宋体" w:cs="宋体"/>
          <w:color w:val="auto"/>
          <w:sz w:val="24"/>
          <w:highlight w:val="none"/>
        </w:rPr>
      </w:pPr>
    </w:p>
    <w:p w14:paraId="3A7E1DAF">
      <w:pPr>
        <w:adjustRightInd w:val="0"/>
        <w:spacing w:line="360" w:lineRule="auto"/>
        <w:jc w:val="center"/>
        <w:outlineLvl w:val="0"/>
        <w:rPr>
          <w:rFonts w:hint="eastAsia" w:ascii="宋体" w:hAnsi="宋体" w:eastAsia="宋体" w:cs="宋体"/>
          <w:b/>
          <w:bCs/>
          <w:color w:val="auto"/>
          <w:sz w:val="36"/>
          <w:szCs w:val="36"/>
          <w:highlight w:val="none"/>
        </w:rPr>
      </w:pPr>
    </w:p>
    <w:p w14:paraId="10A31ED3">
      <w:pPr>
        <w:adjustRightInd w:val="0"/>
        <w:spacing w:line="360" w:lineRule="auto"/>
        <w:jc w:val="center"/>
        <w:outlineLvl w:val="0"/>
        <w:rPr>
          <w:rFonts w:hint="eastAsia" w:ascii="宋体" w:hAnsi="宋体" w:eastAsia="宋体" w:cs="宋体"/>
          <w:b/>
          <w:bCs/>
          <w:color w:val="auto"/>
          <w:sz w:val="36"/>
          <w:szCs w:val="36"/>
          <w:highlight w:val="none"/>
        </w:rPr>
      </w:pPr>
    </w:p>
    <w:p w14:paraId="73461072">
      <w:pPr>
        <w:adjustRightInd w:val="0"/>
        <w:spacing w:line="360" w:lineRule="auto"/>
        <w:jc w:val="center"/>
        <w:outlineLvl w:val="0"/>
        <w:rPr>
          <w:rFonts w:hint="eastAsia" w:ascii="宋体" w:hAnsi="宋体" w:eastAsia="宋体" w:cs="宋体"/>
          <w:b/>
          <w:bCs/>
          <w:color w:val="auto"/>
          <w:sz w:val="36"/>
          <w:szCs w:val="36"/>
          <w:highlight w:val="none"/>
        </w:rPr>
      </w:pPr>
    </w:p>
    <w:p w14:paraId="5E5212E7">
      <w:pPr>
        <w:adjustRightInd w:val="0"/>
        <w:spacing w:line="360" w:lineRule="auto"/>
        <w:jc w:val="center"/>
        <w:outlineLvl w:val="0"/>
        <w:rPr>
          <w:rFonts w:hint="eastAsia" w:ascii="宋体" w:hAnsi="宋体" w:eastAsia="宋体" w:cs="宋体"/>
          <w:b/>
          <w:bCs/>
          <w:color w:val="auto"/>
          <w:sz w:val="36"/>
          <w:szCs w:val="36"/>
          <w:highlight w:val="none"/>
        </w:rPr>
      </w:pPr>
    </w:p>
    <w:p w14:paraId="3ED790CE">
      <w:pPr>
        <w:adjustRightInd w:val="0"/>
        <w:spacing w:line="360" w:lineRule="auto"/>
        <w:jc w:val="center"/>
        <w:outlineLvl w:val="0"/>
        <w:rPr>
          <w:rFonts w:hint="eastAsia" w:ascii="宋体" w:hAnsi="宋体" w:eastAsia="宋体" w:cs="宋体"/>
          <w:b/>
          <w:bCs/>
          <w:color w:val="auto"/>
          <w:sz w:val="36"/>
          <w:szCs w:val="36"/>
          <w:highlight w:val="none"/>
        </w:rPr>
      </w:pPr>
    </w:p>
    <w:p w14:paraId="17A3740D">
      <w:pPr>
        <w:adjustRightInd w:val="0"/>
        <w:spacing w:line="360" w:lineRule="auto"/>
        <w:jc w:val="center"/>
        <w:outlineLvl w:val="0"/>
        <w:rPr>
          <w:rFonts w:hint="eastAsia" w:ascii="宋体" w:hAnsi="宋体" w:eastAsia="宋体" w:cs="宋体"/>
          <w:b/>
          <w:bCs/>
          <w:color w:val="auto"/>
          <w:sz w:val="36"/>
          <w:szCs w:val="36"/>
          <w:highlight w:val="none"/>
        </w:rPr>
      </w:pPr>
    </w:p>
    <w:p w14:paraId="7ECF6228">
      <w:pPr>
        <w:pStyle w:val="10"/>
        <w:rPr>
          <w:rFonts w:hint="eastAsia" w:ascii="宋体" w:hAnsi="宋体" w:eastAsia="宋体" w:cs="宋体"/>
          <w:b/>
          <w:bCs/>
          <w:color w:val="auto"/>
          <w:sz w:val="36"/>
          <w:szCs w:val="36"/>
          <w:highlight w:val="none"/>
        </w:rPr>
      </w:pPr>
    </w:p>
    <w:p w14:paraId="12C65AA7">
      <w:pPr>
        <w:pStyle w:val="20"/>
        <w:ind w:firstLine="360"/>
        <w:rPr>
          <w:rFonts w:hint="eastAsia" w:ascii="宋体" w:hAnsi="宋体" w:eastAsia="宋体" w:cs="宋体"/>
          <w:b/>
          <w:bCs/>
          <w:color w:val="auto"/>
          <w:sz w:val="36"/>
          <w:szCs w:val="36"/>
          <w:highlight w:val="none"/>
        </w:rPr>
      </w:pPr>
    </w:p>
    <w:p w14:paraId="7B1C75B5">
      <w:pPr>
        <w:pStyle w:val="21"/>
        <w:ind w:left="440" w:firstLine="720"/>
        <w:rPr>
          <w:rFonts w:hint="eastAsia" w:ascii="宋体" w:hAnsi="宋体" w:eastAsia="宋体" w:cs="宋体"/>
          <w:b/>
          <w:bCs/>
          <w:color w:val="auto"/>
          <w:sz w:val="36"/>
          <w:szCs w:val="36"/>
          <w:highlight w:val="none"/>
        </w:rPr>
      </w:pPr>
    </w:p>
    <w:p w14:paraId="09421B9E">
      <w:pPr>
        <w:pStyle w:val="31"/>
        <w:ind w:firstLine="440"/>
        <w:rPr>
          <w:rFonts w:hint="eastAsia" w:ascii="宋体" w:hAnsi="宋体" w:eastAsia="宋体" w:cs="宋体"/>
          <w:color w:val="auto"/>
          <w:highlight w:val="none"/>
        </w:rPr>
      </w:pPr>
    </w:p>
    <w:p w14:paraId="114D0C93">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0CDFE89E">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.5 投标承诺函</w:t>
      </w:r>
    </w:p>
    <w:p w14:paraId="46E8B631">
      <w:pPr>
        <w:snapToGrid w:val="0"/>
        <w:spacing w:line="360" w:lineRule="auto"/>
        <w:jc w:val="center"/>
        <w:rPr>
          <w:rFonts w:hint="eastAsia" w:ascii="宋体" w:hAnsi="宋体" w:eastAsia="宋体" w:cs="宋体"/>
          <w:b/>
          <w:bCs/>
          <w:color w:val="auto"/>
          <w:sz w:val="24"/>
          <w:szCs w:val="24"/>
          <w:highlight w:val="none"/>
        </w:rPr>
      </w:pPr>
    </w:p>
    <w:p w14:paraId="5EF630A9">
      <w:pPr>
        <w:spacing w:beforeLines="50" w:afterLines="50" w:line="360" w:lineRule="auto"/>
        <w:ind w:firstLine="220" w:firstLineChars="1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w:t>
      </w:r>
    </w:p>
    <w:p w14:paraId="0435FEA1">
      <w:pPr>
        <w:spacing w:beforeLines="50" w:afterLines="50"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经研究，我方自愿参与贵方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4BC892A9">
      <w:pPr>
        <w:spacing w:beforeLines="50" w:afterLines="50"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一、在投标有效期内撤销投标文件；</w:t>
      </w:r>
    </w:p>
    <w:p w14:paraId="47111B77">
      <w:pPr>
        <w:spacing w:beforeLines="50" w:afterLines="50"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二、在投标文件中提供虚假材料；</w:t>
      </w:r>
    </w:p>
    <w:p w14:paraId="3DDD11D8">
      <w:pPr>
        <w:spacing w:beforeLines="50" w:afterLines="50"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三、除因不可抗力或招标文件认可的情形以外，中标后不与采购人签订合同；</w:t>
      </w:r>
    </w:p>
    <w:p w14:paraId="702AEEA4">
      <w:pPr>
        <w:spacing w:beforeLines="50" w:afterLines="50"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四、与采购人、其他投标人或者采购代理机构恶意串通；</w:t>
      </w:r>
    </w:p>
    <w:p w14:paraId="0F44972B">
      <w:pPr>
        <w:spacing w:beforeLines="50" w:afterLines="50"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五、法律法规及本招标文件规定的其他严重违法行为。</w:t>
      </w:r>
    </w:p>
    <w:p w14:paraId="252D9477">
      <w:pPr>
        <w:rPr>
          <w:rFonts w:hint="eastAsia" w:ascii="宋体" w:hAnsi="宋体" w:eastAsia="宋体" w:cs="宋体"/>
          <w:color w:val="auto"/>
          <w:sz w:val="28"/>
          <w:szCs w:val="28"/>
          <w:highlight w:val="none"/>
          <w:u w:val="single"/>
        </w:rPr>
      </w:pPr>
    </w:p>
    <w:p w14:paraId="1E4B082B">
      <w:pPr>
        <w:rPr>
          <w:rFonts w:hint="eastAsia" w:ascii="宋体" w:hAnsi="宋体" w:eastAsia="宋体" w:cs="宋体"/>
          <w:color w:val="auto"/>
          <w:sz w:val="28"/>
          <w:szCs w:val="28"/>
          <w:highlight w:val="none"/>
          <w:u w:val="single"/>
        </w:rPr>
      </w:pPr>
    </w:p>
    <w:p w14:paraId="471695BE">
      <w:pPr>
        <w:adjustRightInd w:val="0"/>
        <w:snapToGrid w:val="0"/>
        <w:spacing w:line="360" w:lineRule="auto"/>
        <w:ind w:firstLine="3300" w:firstLineChars="1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投标人名称（并加盖公章）：</w:t>
      </w:r>
    </w:p>
    <w:p w14:paraId="7FBD2B23">
      <w:pPr>
        <w:adjustRightInd w:val="0"/>
        <w:snapToGrid w:val="0"/>
        <w:spacing w:line="360" w:lineRule="auto"/>
        <w:ind w:firstLine="4510" w:firstLineChars="2050"/>
        <w:rPr>
          <w:rFonts w:hint="eastAsia" w:ascii="宋体" w:hAnsi="宋体" w:eastAsia="宋体" w:cs="宋体"/>
          <w:color w:val="auto"/>
          <w:szCs w:val="21"/>
          <w:highlight w:val="none"/>
        </w:rPr>
      </w:pPr>
    </w:p>
    <w:p w14:paraId="1F2E7BFA">
      <w:pPr>
        <w:adjustRightInd w:val="0"/>
        <w:snapToGrid w:val="0"/>
        <w:spacing w:line="360" w:lineRule="auto"/>
        <w:ind w:firstLine="4070"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日期：年月 日</w:t>
      </w:r>
    </w:p>
    <w:p w14:paraId="45AD974C">
      <w:pPr>
        <w:adjustRightInd w:val="0"/>
        <w:spacing w:line="360" w:lineRule="auto"/>
        <w:jc w:val="center"/>
        <w:outlineLvl w:val="0"/>
        <w:rPr>
          <w:rFonts w:hint="eastAsia" w:ascii="宋体" w:hAnsi="宋体" w:eastAsia="宋体" w:cs="宋体"/>
          <w:color w:val="auto"/>
          <w:sz w:val="24"/>
          <w:highlight w:val="none"/>
        </w:rPr>
      </w:pPr>
    </w:p>
    <w:p w14:paraId="4711A461">
      <w:pPr>
        <w:adjustRightInd w:val="0"/>
        <w:spacing w:line="360" w:lineRule="auto"/>
        <w:jc w:val="center"/>
        <w:rPr>
          <w:rFonts w:hint="eastAsia" w:ascii="宋体" w:hAnsi="宋体" w:eastAsia="宋体" w:cs="宋体"/>
          <w:color w:val="auto"/>
          <w:sz w:val="24"/>
          <w:highlight w:val="none"/>
        </w:rPr>
      </w:pPr>
    </w:p>
    <w:p w14:paraId="01B55BFE">
      <w:pPr>
        <w:adjustRightInd w:val="0"/>
        <w:spacing w:line="360" w:lineRule="auto"/>
        <w:outlineLvl w:val="0"/>
        <w:rPr>
          <w:rFonts w:hint="eastAsia" w:ascii="宋体" w:hAnsi="宋体" w:eastAsia="宋体" w:cs="宋体"/>
          <w:color w:val="auto"/>
          <w:sz w:val="24"/>
          <w:highlight w:val="none"/>
        </w:rPr>
      </w:pPr>
    </w:p>
    <w:p w14:paraId="67FEFDA2">
      <w:pPr>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rPr>
        <w:br w:type="page"/>
      </w:r>
    </w:p>
    <w:p w14:paraId="4CF6821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2.6鄢陵县</w:t>
      </w:r>
      <w:r>
        <w:rPr>
          <w:rFonts w:hint="eastAsia" w:ascii="宋体" w:hAnsi="宋体" w:eastAsia="宋体" w:cs="宋体"/>
          <w:b/>
          <w:bCs/>
          <w:color w:val="auto"/>
          <w:sz w:val="24"/>
          <w:szCs w:val="24"/>
          <w:highlight w:val="none"/>
        </w:rPr>
        <w:t>政府采购供应商信用承诺函</w:t>
      </w:r>
    </w:p>
    <w:p w14:paraId="5460C146">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致采购人：</w:t>
      </w:r>
    </w:p>
    <w:p w14:paraId="3EE530EB">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单位名称（自然人姓名）:                             </w:t>
      </w:r>
    </w:p>
    <w:p w14:paraId="30D45538">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统一社会信用代码（身份证号码）:                     </w:t>
      </w:r>
    </w:p>
    <w:p w14:paraId="2D120E17">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                               </w:t>
      </w:r>
    </w:p>
    <w:p w14:paraId="17580D2A">
      <w:pPr>
        <w:spacing w:before="156" w:beforeLines="50" w:after="156" w:afterLines="50" w:line="360" w:lineRule="auto"/>
        <w:ind w:firstLine="44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zh-CN"/>
        </w:rPr>
        <w:t xml:space="preserve">联系地址和电话：             </w:t>
      </w:r>
      <w:r>
        <w:rPr>
          <w:rFonts w:hint="eastAsia" w:ascii="宋体" w:hAnsi="宋体" w:eastAsia="宋体" w:cs="宋体"/>
          <w:color w:val="auto"/>
          <w:sz w:val="21"/>
          <w:szCs w:val="21"/>
          <w:highlight w:val="none"/>
          <w:lang w:val="zh-CN"/>
        </w:rPr>
        <w:t xml:space="preserve">                       </w:t>
      </w:r>
    </w:p>
    <w:p w14:paraId="15C24E23">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为维护公平、公正、公开的政府采购市场秩序，树立诚实守信的政府采购供应商形象，我单位（本人）自愿作出以下承诺：</w:t>
      </w:r>
    </w:p>
    <w:p w14:paraId="676A0163">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E128122">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（一）具有独立承担民事责任的能力；</w:t>
      </w:r>
    </w:p>
    <w:p w14:paraId="7EDA47EA">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（二）具有良好的商业信誉和健全的财务会计制度；</w:t>
      </w:r>
    </w:p>
    <w:p w14:paraId="15E16865">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（三）具有履行合同所必需的设备和专业技术能力；</w:t>
      </w:r>
    </w:p>
    <w:p w14:paraId="0BE5C934">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（四）有依法缴纳税收和社会保障资金的良好记录；</w:t>
      </w:r>
    </w:p>
    <w:p w14:paraId="5679B206">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（五）参加政府采购活动前三年内，在经营活动中没有重大违法记录；</w:t>
      </w:r>
    </w:p>
    <w:p w14:paraId="2D7F867A">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（六）未被列入经营异常名录或者严重违法失信名单、失信被执行人，重大税收违法案件当事人名单、政府采购严重违法失信行为记录名单；</w:t>
      </w:r>
    </w:p>
    <w:p w14:paraId="6148C748">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（七）与参加本项目投标的其他供应商之间，单位负责人不为同一人并且不存在直接控股、管理关系；</w:t>
      </w:r>
    </w:p>
    <w:p w14:paraId="05FFF594">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（八）未为本项目提供整体设计、规范编制或者项目管理、监理、检测等服务；</w:t>
      </w:r>
    </w:p>
    <w:p w14:paraId="6CDE7CE1">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（九）符合法律、行政法规规定的其他条件。</w:t>
      </w:r>
    </w:p>
    <w:p w14:paraId="33AFFCF4">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7C33BE4D">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p>
    <w:p w14:paraId="62A1944B">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bookmarkStart w:id="19" w:name="_GoBack"/>
      <w:bookmarkEnd w:id="19"/>
      <w:r>
        <w:rPr>
          <w:rFonts w:hint="eastAsia" w:ascii="宋体" w:hAnsi="宋体" w:eastAsia="宋体" w:cs="宋体"/>
          <w:color w:val="auto"/>
          <w:szCs w:val="21"/>
          <w:highlight w:val="none"/>
          <w:lang w:val="zh-CN"/>
        </w:rPr>
        <w:t>:</w:t>
      </w:r>
    </w:p>
    <w:p w14:paraId="3C4286F1">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p>
    <w:p w14:paraId="289DEA8B">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法定代表人、负责人、本人、或授权代表（签字或电子印章）:</w:t>
      </w:r>
    </w:p>
    <w:p w14:paraId="27E8671A">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p>
    <w:p w14:paraId="2200E3E0">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p>
    <w:p w14:paraId="4B7E4227">
      <w:pPr>
        <w:spacing w:before="156" w:beforeLines="50" w:after="156" w:afterLines="50" w:line="360" w:lineRule="auto"/>
        <w:ind w:firstLine="44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日期：    年  月  日</w:t>
      </w:r>
    </w:p>
    <w:p w14:paraId="1C6F456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zh-CN"/>
        </w:rPr>
      </w:pPr>
    </w:p>
    <w:p w14:paraId="7DA52107">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注：1.投标人须在投标文件中按此模板提供承诺函，未提供视为未实质性响应招标文件要求，按无效投标处理。</w:t>
      </w:r>
    </w:p>
    <w:p w14:paraId="47ACACA4">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b/>
          <w:bCs/>
          <w:color w:val="auto"/>
          <w:sz w:val="24"/>
          <w:highlight w:val="none"/>
          <w:lang w:val="zh-CN"/>
        </w:rPr>
      </w:pPr>
      <w:r>
        <w:rPr>
          <w:rFonts w:hint="eastAsia" w:ascii="宋体" w:hAnsi="宋体" w:eastAsia="宋体" w:cs="宋体"/>
          <w:b/>
          <w:bCs/>
          <w:color w:val="auto"/>
          <w:sz w:val="21"/>
          <w:szCs w:val="21"/>
          <w:highlight w:val="none"/>
          <w:lang w:val="zh-CN"/>
        </w:rPr>
        <w:t>2.投标人的法定代表人或者授权代表的签字</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val="zh-CN"/>
        </w:rPr>
        <w:t>盖章应真实、有效，如由授权代表签字</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val="zh-CN"/>
        </w:rPr>
        <w:t>盖章的，应提供“法定代表人授权书”。</w:t>
      </w:r>
    </w:p>
    <w:p w14:paraId="5BF6DE4E">
      <w:pPr>
        <w:spacing w:line="360" w:lineRule="auto"/>
        <w:jc w:val="center"/>
        <w:rPr>
          <w:rFonts w:hint="eastAsia" w:ascii="宋体" w:hAnsi="宋体" w:eastAsia="宋体" w:cs="宋体"/>
          <w:b/>
          <w:bCs/>
          <w:color w:val="auto"/>
          <w:sz w:val="24"/>
          <w:szCs w:val="24"/>
          <w:highlight w:val="none"/>
        </w:rPr>
      </w:pPr>
    </w:p>
    <w:p w14:paraId="1C17AAE2">
      <w:pPr>
        <w:widowControl/>
        <w:jc w:val="left"/>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br w:type="page"/>
      </w:r>
    </w:p>
    <w:p w14:paraId="2F2BCD38">
      <w:pPr>
        <w:pStyle w:val="20"/>
        <w:rPr>
          <w:rFonts w:hint="eastAsia" w:ascii="宋体" w:hAnsi="宋体" w:eastAsia="宋体" w:cs="宋体"/>
          <w:color w:val="auto"/>
          <w:highlight w:val="none"/>
          <w:lang w:val="zh-CN"/>
        </w:rPr>
      </w:pPr>
    </w:p>
    <w:p w14:paraId="2C2EEE9B">
      <w:pPr>
        <w:keepNext w:val="0"/>
        <w:keepLines w:val="0"/>
        <w:pageBreakBefore w:val="0"/>
        <w:kinsoku/>
        <w:wordWrap/>
        <w:overflowPunct/>
        <w:topLinePunct w:val="0"/>
        <w:autoSpaceDE w:val="0"/>
        <w:autoSpaceDN w:val="0"/>
        <w:bidi w:val="0"/>
        <w:adjustRightInd w:val="0"/>
        <w:snapToGrid/>
        <w:spacing w:line="360" w:lineRule="auto"/>
        <w:jc w:val="center"/>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2.7投标企业事前信用承诺书</w:t>
      </w:r>
    </w:p>
    <w:p w14:paraId="29AC0BA1">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经研究，我方自愿参与贵方</w:t>
      </w:r>
      <w:r>
        <w:rPr>
          <w:rFonts w:hint="eastAsia" w:ascii="宋体" w:hAnsi="宋体" w:eastAsia="宋体" w:cs="宋体"/>
          <w:bCs/>
          <w:color w:val="auto"/>
          <w:sz w:val="24"/>
          <w:szCs w:val="24"/>
          <w:highlight w:val="none"/>
          <w:u w:val="single" w:color="auto"/>
        </w:rPr>
        <w:t xml:space="preserve">                     </w:t>
      </w:r>
      <w:r>
        <w:rPr>
          <w:rFonts w:hint="eastAsia" w:ascii="宋体" w:hAnsi="宋体" w:eastAsia="宋体" w:cs="宋体"/>
          <w:bCs/>
          <w:color w:val="auto"/>
          <w:sz w:val="24"/>
          <w:szCs w:val="24"/>
          <w:highlight w:val="none"/>
          <w:lang w:val="en-US" w:eastAsia="zh-CN"/>
        </w:rPr>
        <w:t xml:space="preserve">  （项目名称）的投标，将严格遵守</w:t>
      </w:r>
      <w:r>
        <w:rPr>
          <w:rFonts w:hint="eastAsia" w:ascii="宋体" w:hAnsi="宋体" w:eastAsia="宋体" w:cs="宋体"/>
          <w:bCs/>
          <w:color w:val="auto"/>
          <w:sz w:val="24"/>
          <w:szCs w:val="24"/>
          <w:highlight w:val="none"/>
        </w:rPr>
        <w:t>《招标投标法》《政府采购法》等法律法规规定</w:t>
      </w:r>
      <w:r>
        <w:rPr>
          <w:rFonts w:hint="eastAsia" w:ascii="宋体" w:hAnsi="宋体" w:eastAsia="宋体" w:cs="宋体"/>
          <w:bCs/>
          <w:color w:val="auto"/>
          <w:sz w:val="24"/>
          <w:szCs w:val="24"/>
          <w:highlight w:val="none"/>
          <w:lang w:val="en-US" w:eastAsia="zh-CN"/>
        </w:rPr>
        <w:t>，并无条件地遵守本次采购活动各项规定。</w:t>
      </w:r>
    </w:p>
    <w:p w14:paraId="3B3141F8">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我们郑重承诺:我方如果在本次投标活动中有下列情形之一的，愿接受行政监督管理部门给予相关处罚并自愿承应责任。</w:t>
      </w:r>
    </w:p>
    <w:p w14:paraId="0B6B0CCB">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一、严格执行招标投标法、政府采购法等各项法律、法规及制度，主动接受相关部门和社会的监督。 </w:t>
      </w:r>
    </w:p>
    <w:p w14:paraId="4E1E4AC2">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二、不与招标人、代理机构串通投标；不与其他投标人相互串通投标，不排挤其他投标人的公平竞争。 </w:t>
      </w:r>
    </w:p>
    <w:p w14:paraId="58DE6231">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三、不向招标代理机构、评委和招标单位人员进行任何形式的商业贿赂以谋取中标机会。 </w:t>
      </w:r>
    </w:p>
    <w:p w14:paraId="704D34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四、不提供虚假材料、业绩，或出让(受让)、租借、涂改、盗用、伪造资质证书或年检记录、图章、签名，不使用虚假身份证件以及其他弄虚作假的方式参与投标;</w:t>
      </w:r>
    </w:p>
    <w:p w14:paraId="42F626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五、不以低于成本的报价竞标，不以他人名义投标，不以任何方式转包和违法分包。不以投诉为名排挤竞争对手，不进行虚假、恶意投诉，阻碍招标投标活动的正常进行。</w:t>
      </w:r>
    </w:p>
    <w:p w14:paraId="5075D29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六、不无正当理由放弃中标(成交)资格，或收到中标通知书后，无正当理由未在规定期限内与招标人签订合同;</w:t>
      </w:r>
    </w:p>
    <w:p w14:paraId="4E98323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七、不同投标人的投标文件由同一单位或个人编制;</w:t>
      </w:r>
    </w:p>
    <w:p w14:paraId="5272034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八、不同投标人委托同一单位或个人办理投标事宜，或投标委托人同时在2个及以上投标企业中签订有多个劳务合同;</w:t>
      </w:r>
    </w:p>
    <w:p w14:paraId="6C0743D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九、不同投标人的投标文件载明的项目管理成员或联系人员为同一人，或拟派注册建造师同时在2个及以上企业受聘、执业。或担任2个及以上建设工程施工项目负责人;</w:t>
      </w:r>
    </w:p>
    <w:p w14:paraId="652953E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十、以挂靠、被挂靠或其他方式允许他人以企业员工名义参与投标和质疑(异议)、投诉(举报);</w:t>
      </w:r>
    </w:p>
    <w:p w14:paraId="18BD732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十一、不同投标人投标保证金从同一单位或个人账户转出:</w:t>
      </w:r>
    </w:p>
    <w:p w14:paraId="7B80C7A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十二、服从现场工作人员管理，不扰乱开评标秩序，不采用不正当手段干扰交易活动正常进行。</w:t>
      </w:r>
    </w:p>
    <w:p w14:paraId="42869EC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三、中标后未按交易文件主要内容签订合同;未按合同约定或未经招标人同意向他人转让中标项目或者违法分包;未按承诺配备项目管理班子、或拟派管理机构人员与实际现场管理机构人员不相符，或擅自变更、提供虚假证明更换项目管理人员;</w:t>
      </w:r>
    </w:p>
    <w:p w14:paraId="39C7E0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十四、经数据分析，所提交资料出现异常不能做出合理说明的;</w:t>
      </w:r>
    </w:p>
    <w:p w14:paraId="611D82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十五、在确定中标人之前就投标价格、投标方案等实质性内容与招标人进行合同谈判。</w:t>
      </w:r>
    </w:p>
    <w:p w14:paraId="6CE8EF9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十六、违背诚信原则，提供虚假信用状况或隐瞒不良行为记录;</w:t>
      </w:r>
    </w:p>
    <w:p w14:paraId="1D75AF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十七、不捏造、歪曲事实或提供虚假不实的证据恶意投诉，影响交易活动正常进行，列入不良当事人;</w:t>
      </w:r>
    </w:p>
    <w:p w14:paraId="3DA10B5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十八、拒绝接受或者阻挠鄢陵县公管办和相关行政监督部门依法进行监督检查;</w:t>
      </w:r>
    </w:p>
    <w:p w14:paraId="0FAA790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十九、不非法取得证据证明进行质疑(异议)、投诉;</w:t>
      </w:r>
    </w:p>
    <w:p w14:paraId="6F1D59E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二十、质疑(异议)投诉(举报)当事人无正当理由拒不配合调查处理或不参加质证;</w:t>
      </w:r>
    </w:p>
    <w:p w14:paraId="3D5F98C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二十一、未提供有效证明材料支持其主张，缠诉或多方投诉。</w:t>
      </w:r>
    </w:p>
    <w:p w14:paraId="4220EDE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二十二、拒绝中标人要求、不欺骗或要挟招标项目管理人员变更图纸、预算等，申请追加项目投资;</w:t>
      </w:r>
    </w:p>
    <w:p w14:paraId="4C7F9C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二十三、违反上述承诺或有其他违法违规行为，按照国家法律、法规和相应规章制度规定接受处罚，愿意承担一切法律责任。</w:t>
      </w:r>
    </w:p>
    <w:p w14:paraId="4B769114">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bCs/>
          <w:color w:val="auto"/>
          <w:sz w:val="24"/>
          <w:szCs w:val="24"/>
          <w:highlight w:val="none"/>
          <w:lang w:val="en-US" w:eastAsia="zh-CN"/>
        </w:rPr>
      </w:pPr>
    </w:p>
    <w:p w14:paraId="7A30F01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投标单位（盖章）：              </w:t>
      </w:r>
    </w:p>
    <w:p w14:paraId="232D047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法定代表人或委托人（签字）：                     </w:t>
      </w:r>
    </w:p>
    <w:p w14:paraId="2CB5542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4"/>
          <w:szCs w:val="24"/>
          <w:highlight w:val="none"/>
          <w:lang w:val="en-US" w:eastAsia="zh-CN"/>
        </w:rPr>
        <w:t xml:space="preserve">   年    月    日</w:t>
      </w:r>
    </w:p>
    <w:p w14:paraId="14745B03">
      <w:pPr>
        <w:jc w:val="right"/>
        <w:rPr>
          <w:rFonts w:hint="eastAsia" w:ascii="宋体" w:hAnsi="宋体" w:eastAsia="宋体" w:cs="宋体"/>
          <w:color w:val="auto"/>
          <w:sz w:val="21"/>
          <w:szCs w:val="21"/>
          <w:highlight w:val="none"/>
        </w:rPr>
        <w:sectPr>
          <w:footerReference r:id="rId10" w:type="default"/>
          <w:pgSz w:w="11906" w:h="16839"/>
          <w:pgMar w:top="1157" w:right="1473" w:bottom="1378" w:left="1588" w:header="882" w:footer="1215" w:gutter="0"/>
          <w:pgNumType w:fmt="decimal"/>
          <w:cols w:space="720" w:num="1"/>
        </w:sectPr>
      </w:pPr>
    </w:p>
    <w:p w14:paraId="01E47817">
      <w:pPr>
        <w:rPr>
          <w:rFonts w:hint="eastAsia" w:ascii="宋体" w:hAnsi="宋体" w:eastAsia="宋体" w:cs="宋体"/>
          <w:b/>
          <w:bCs/>
          <w:color w:val="auto"/>
          <w:sz w:val="28"/>
          <w:szCs w:val="28"/>
          <w:highlight w:val="none"/>
          <w:lang w:val="en-US"/>
        </w:rPr>
      </w:pPr>
    </w:p>
    <w:p w14:paraId="72F48EC5">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 xml:space="preserve">其他资格证书或材料 </w:t>
      </w:r>
    </w:p>
    <w:p w14:paraId="4F7CA045">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C8135C5">
      <w:pPr>
        <w:spacing w:before="21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2.</w:t>
      </w:r>
      <w:bookmarkStart w:id="17" w:name="OLE_LINK14"/>
      <w:bookmarkStart w:id="18" w:name="OLE_LINK13"/>
      <w:r>
        <w:rPr>
          <w:rFonts w:hint="eastAsia" w:ascii="宋体" w:hAnsi="宋体" w:eastAsia="宋体" w:cs="宋体"/>
          <w:b/>
          <w:bCs/>
          <w:color w:val="auto"/>
          <w:sz w:val="28"/>
          <w:szCs w:val="28"/>
          <w:highlight w:val="none"/>
          <w:lang w:val="en-US" w:eastAsia="zh-CN"/>
        </w:rPr>
        <w:t xml:space="preserve">9 </w:t>
      </w:r>
      <w:r>
        <w:rPr>
          <w:rFonts w:hint="eastAsia" w:ascii="宋体" w:hAnsi="宋体" w:eastAsia="宋体" w:cs="宋体"/>
          <w:b/>
          <w:bCs/>
          <w:color w:val="auto"/>
          <w:spacing w:val="-3"/>
          <w:sz w:val="28"/>
          <w:szCs w:val="28"/>
          <w:highlight w:val="none"/>
          <w:lang w:val="en-US" w:eastAsia="zh-CN"/>
        </w:rPr>
        <w:t>适用</w:t>
      </w:r>
      <w:r>
        <w:rPr>
          <w:rFonts w:hint="eastAsia" w:ascii="宋体" w:hAnsi="宋体" w:eastAsia="宋体" w:cs="宋体"/>
          <w:b/>
          <w:bCs/>
          <w:color w:val="auto"/>
          <w:spacing w:val="-3"/>
          <w:sz w:val="28"/>
          <w:szCs w:val="28"/>
          <w:highlight w:val="none"/>
        </w:rPr>
        <w:t>中小企业声明函（工程、服务）</w:t>
      </w:r>
    </w:p>
    <w:p w14:paraId="2BF0ECA8">
      <w:pPr>
        <w:widowControl/>
        <w:spacing w:before="100" w:beforeAutospacing="1" w:after="100" w:afterAutospacing="1" w:line="360" w:lineRule="auto"/>
        <w:ind w:firstLine="42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 w:val="24"/>
          <w:szCs w:val="24"/>
          <w:highlight w:val="none"/>
          <w:u w:val="single"/>
        </w:rPr>
        <w:t xml:space="preserve"> （单位名称） </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 xml:space="preserve"> （项目名称） </w:t>
      </w:r>
      <w:r>
        <w:rPr>
          <w:rFonts w:hint="eastAsia" w:ascii="宋体" w:hAnsi="宋体" w:eastAsia="宋体" w:cs="宋体"/>
          <w:color w:val="auto"/>
          <w:kern w:val="0"/>
          <w:sz w:val="24"/>
          <w:szCs w:val="24"/>
          <w:highlight w:val="none"/>
        </w:rPr>
        <w:t>采购活动，工程的施工单位全部为符合政策要求的中小企业（或者：服务全部由符合政策要求的中小企业承建）。相关企业（含联合体中的中小企业、签订分包意向协议的中小企业）的具体情况如下：</w:t>
      </w:r>
    </w:p>
    <w:p w14:paraId="435DDDBD">
      <w:pPr>
        <w:widowControl/>
        <w:spacing w:before="100" w:beforeAutospacing="1" w:after="100" w:afterAutospacing="1" w:line="360" w:lineRule="auto"/>
        <w:ind w:firstLine="42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（采购文件中明确的所属行业） </w:t>
      </w:r>
      <w:r>
        <w:rPr>
          <w:rFonts w:hint="eastAsia" w:ascii="宋体" w:hAnsi="宋体" w:eastAsia="宋体" w:cs="宋体"/>
          <w:color w:val="auto"/>
          <w:kern w:val="0"/>
          <w:sz w:val="24"/>
          <w:szCs w:val="24"/>
          <w:highlight w:val="none"/>
        </w:rPr>
        <w:t>行业；承建（承接）企业为</w:t>
      </w:r>
      <w:r>
        <w:rPr>
          <w:rFonts w:hint="eastAsia" w:ascii="宋体" w:hAnsi="宋体" w:eastAsia="宋体" w:cs="宋体"/>
          <w:color w:val="auto"/>
          <w:kern w:val="0"/>
          <w:sz w:val="24"/>
          <w:szCs w:val="24"/>
          <w:highlight w:val="none"/>
          <w:u w:val="single"/>
        </w:rPr>
        <w:t xml:space="preserve"> （企业名称） </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 xml:space="preserve"> （中型企业、小型企业、微型企业） </w:t>
      </w:r>
      <w:r>
        <w:rPr>
          <w:rFonts w:hint="eastAsia" w:ascii="宋体" w:hAnsi="宋体" w:eastAsia="宋体" w:cs="宋体"/>
          <w:color w:val="auto"/>
          <w:kern w:val="0"/>
          <w:sz w:val="24"/>
          <w:szCs w:val="24"/>
          <w:highlight w:val="none"/>
        </w:rPr>
        <w:t>；</w:t>
      </w:r>
    </w:p>
    <w:p w14:paraId="0E75A72B">
      <w:pPr>
        <w:widowControl/>
        <w:spacing w:before="100" w:beforeAutospacing="1" w:after="100" w:afterAutospacing="1" w:line="360" w:lineRule="auto"/>
        <w:ind w:firstLine="42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（采购文件中明确的所属行业） </w:t>
      </w:r>
      <w:r>
        <w:rPr>
          <w:rFonts w:hint="eastAsia" w:ascii="宋体" w:hAnsi="宋体" w:eastAsia="宋体" w:cs="宋体"/>
          <w:color w:val="auto"/>
          <w:kern w:val="0"/>
          <w:sz w:val="24"/>
          <w:szCs w:val="24"/>
          <w:highlight w:val="none"/>
        </w:rPr>
        <w:t>行业；承建（承接）企业为</w:t>
      </w:r>
      <w:r>
        <w:rPr>
          <w:rFonts w:hint="eastAsia" w:ascii="宋体" w:hAnsi="宋体" w:eastAsia="宋体" w:cs="宋体"/>
          <w:color w:val="auto"/>
          <w:kern w:val="0"/>
          <w:sz w:val="24"/>
          <w:szCs w:val="24"/>
          <w:highlight w:val="none"/>
          <w:u w:val="single"/>
        </w:rPr>
        <w:t xml:space="preserve"> （企业名称） </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 xml:space="preserve"> （中型企业、小型企业、微型企业） </w:t>
      </w:r>
      <w:r>
        <w:rPr>
          <w:rFonts w:hint="eastAsia" w:ascii="宋体" w:hAnsi="宋体" w:eastAsia="宋体" w:cs="宋体"/>
          <w:color w:val="auto"/>
          <w:kern w:val="0"/>
          <w:sz w:val="24"/>
          <w:szCs w:val="24"/>
          <w:highlight w:val="none"/>
        </w:rPr>
        <w:t>；</w:t>
      </w:r>
    </w:p>
    <w:p w14:paraId="1EDBB7EB">
      <w:pPr>
        <w:widowControl/>
        <w:spacing w:before="100" w:beforeAutospacing="1" w:after="100" w:afterAutospacing="1" w:line="360" w:lineRule="auto"/>
        <w:ind w:firstLine="42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0713B16">
      <w:pPr>
        <w:widowControl/>
        <w:spacing w:before="100" w:beforeAutospacing="1" w:after="100" w:afterAutospacing="1" w:line="360" w:lineRule="auto"/>
        <w:ind w:firstLine="42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1525652A">
      <w:pPr>
        <w:widowControl/>
        <w:spacing w:before="100" w:beforeAutospacing="1" w:after="100" w:afterAutospacing="1" w:line="360" w:lineRule="auto"/>
        <w:ind w:firstLine="42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499D4ACF">
      <w:pPr>
        <w:widowControl/>
        <w:spacing w:before="100" w:beforeAutospacing="1" w:after="100" w:afterAutospacing="1" w:line="360" w:lineRule="auto"/>
        <w:ind w:left="4070" w:leftChars="1850"/>
        <w:jc w:val="left"/>
        <w:rPr>
          <w:rFonts w:hint="eastAsia" w:ascii="宋体" w:hAnsi="宋体" w:eastAsia="宋体" w:cs="宋体"/>
          <w:color w:val="auto"/>
          <w:kern w:val="0"/>
          <w:sz w:val="24"/>
          <w:szCs w:val="24"/>
          <w:highlight w:val="none"/>
        </w:rPr>
      </w:pPr>
    </w:p>
    <w:p w14:paraId="065DD8B7">
      <w:pPr>
        <w:widowControl/>
        <w:spacing w:before="100" w:beforeAutospacing="1" w:after="100" w:afterAutospacing="1" w:line="360" w:lineRule="auto"/>
        <w:ind w:left="4070" w:leftChars="18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企业名称（盖章）：　　　　　　　　　</w:t>
      </w:r>
    </w:p>
    <w:p w14:paraId="7DE39CE9">
      <w:pPr>
        <w:widowControl/>
        <w:spacing w:before="100" w:beforeAutospacing="1" w:after="100" w:afterAutospacing="1" w:line="360" w:lineRule="auto"/>
        <w:ind w:left="4070" w:leftChars="18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w:t>
      </w:r>
      <w:r>
        <w:rPr>
          <w:rFonts w:hint="eastAsia" w:ascii="宋体" w:hAnsi="宋体" w:eastAsia="宋体" w:cs="宋体"/>
          <w:color w:val="auto"/>
          <w:sz w:val="24"/>
          <w:szCs w:val="24"/>
          <w:highlight w:val="none"/>
        </w:rPr>
        <w:t>年    月    日</w:t>
      </w:r>
    </w:p>
    <w:p w14:paraId="4644F0B7">
      <w:pPr>
        <w:widowControl/>
        <w:spacing w:before="100" w:beforeAutospacing="1" w:after="100" w:afterAutospacing="1"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482A1A7B">
      <w:pPr>
        <w:numPr>
          <w:ilvl w:val="0"/>
          <w:numId w:val="0"/>
        </w:numPr>
        <w:autoSpaceDE w:val="0"/>
        <w:autoSpaceDN w:val="0"/>
        <w:adjustRightInd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1、从业人员、营业收入、资产总额填报上一年度数据，无上一年度数据的新成立企业可不填报。</w:t>
      </w:r>
    </w:p>
    <w:p w14:paraId="7A69AB1D">
      <w:pPr>
        <w:widowControl w:val="0"/>
        <w:spacing w:before="100" w:after="10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kern w:val="0"/>
          <w:sz w:val="24"/>
          <w:szCs w:val="24"/>
          <w:highlight w:val="none"/>
        </w:rPr>
        <w:t>2、中小企业参加政府采购活动，应当出具《中小企业声明函》，否则不得享受相关中小企业扶持政策。</w:t>
      </w:r>
    </w:p>
    <w:p w14:paraId="045144AC">
      <w:pPr>
        <w:rPr>
          <w:rFonts w:hint="eastAsia" w:ascii="宋体" w:hAnsi="宋体" w:eastAsia="宋体" w:cs="宋体"/>
          <w:b/>
          <w:color w:val="auto"/>
          <w:spacing w:val="0"/>
          <w:position w:val="0"/>
          <w:sz w:val="28"/>
          <w:highlight w:val="none"/>
          <w:shd w:val="clear" w:fill="auto"/>
        </w:rPr>
      </w:pPr>
      <w:r>
        <w:rPr>
          <w:rFonts w:hint="eastAsia" w:ascii="宋体" w:hAnsi="宋体" w:eastAsia="宋体" w:cs="宋体"/>
          <w:b/>
          <w:color w:val="auto"/>
          <w:spacing w:val="0"/>
          <w:position w:val="0"/>
          <w:sz w:val="28"/>
          <w:highlight w:val="none"/>
          <w:shd w:val="clear" w:fill="auto"/>
        </w:rPr>
        <w:br w:type="page"/>
      </w:r>
    </w:p>
    <w:p w14:paraId="64CDC3F8">
      <w:pPr>
        <w:spacing w:line="360" w:lineRule="auto"/>
        <w:jc w:val="center"/>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eastAsia="zh-CN"/>
        </w:rPr>
        <w:t xml:space="preserve">2.10 </w:t>
      </w:r>
      <w:r>
        <w:rPr>
          <w:rFonts w:hint="eastAsia" w:ascii="宋体" w:hAnsi="宋体" w:eastAsia="宋体" w:cs="宋体"/>
          <w:b/>
          <w:bCs/>
          <w:color w:val="auto"/>
          <w:sz w:val="28"/>
          <w:szCs w:val="28"/>
          <w:highlight w:val="none"/>
          <w:lang w:val="en-US"/>
        </w:rPr>
        <w:t>残疾人福利性单位声明函</w:t>
      </w:r>
    </w:p>
    <w:bookmarkEnd w:id="17"/>
    <w:bookmarkEnd w:id="18"/>
    <w:p w14:paraId="712A6402">
      <w:pPr>
        <w:spacing w:line="360" w:lineRule="auto"/>
        <w:rPr>
          <w:rFonts w:hint="eastAsia" w:ascii="宋体" w:hAnsi="宋体" w:eastAsia="宋体" w:cs="宋体"/>
          <w:color w:val="auto"/>
          <w:szCs w:val="21"/>
          <w:highlight w:val="none"/>
        </w:rPr>
      </w:pPr>
    </w:p>
    <w:p w14:paraId="2412B0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2FDF8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60CD990">
      <w:pPr>
        <w:spacing w:line="360" w:lineRule="auto"/>
        <w:rPr>
          <w:rFonts w:hint="eastAsia" w:ascii="宋体" w:hAnsi="宋体" w:eastAsia="宋体" w:cs="宋体"/>
          <w:color w:val="auto"/>
          <w:sz w:val="24"/>
          <w:highlight w:val="none"/>
        </w:rPr>
      </w:pPr>
    </w:p>
    <w:p w14:paraId="58044781">
      <w:pPr>
        <w:spacing w:line="360" w:lineRule="auto"/>
        <w:rPr>
          <w:rFonts w:hint="eastAsia" w:ascii="宋体" w:hAnsi="宋体" w:eastAsia="宋体" w:cs="宋体"/>
          <w:color w:val="auto"/>
          <w:sz w:val="24"/>
          <w:highlight w:val="none"/>
        </w:rPr>
      </w:pPr>
    </w:p>
    <w:p w14:paraId="5CABD6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单位名称（盖章）：</w:t>
      </w:r>
    </w:p>
    <w:p w14:paraId="537AEF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F5EE228">
      <w:pPr>
        <w:pStyle w:val="3"/>
        <w:rPr>
          <w:rFonts w:hint="eastAsia" w:ascii="宋体" w:hAnsi="宋体" w:eastAsia="宋体" w:cs="宋体"/>
          <w:highlight w:val="none"/>
        </w:rPr>
      </w:pPr>
    </w:p>
    <w:p w14:paraId="00F0FAFC">
      <w:pPr>
        <w:adjustRightInd w:val="0"/>
        <w:spacing w:line="360" w:lineRule="auto"/>
        <w:jc w:val="center"/>
        <w:outlineLvl w:val="0"/>
        <w:rPr>
          <w:rFonts w:hint="eastAsia" w:ascii="宋体" w:hAnsi="宋体" w:eastAsia="宋体" w:cs="宋体"/>
          <w:b/>
          <w:snapToGrid w:val="0"/>
          <w:color w:val="auto"/>
          <w:sz w:val="36"/>
          <w:szCs w:val="36"/>
          <w:highlight w:val="none"/>
        </w:rPr>
      </w:pPr>
    </w:p>
    <w:p w14:paraId="4BBD7ACB">
      <w:pPr>
        <w:adjustRightInd w:val="0"/>
        <w:spacing w:line="360" w:lineRule="auto"/>
        <w:jc w:val="center"/>
        <w:outlineLvl w:val="0"/>
        <w:rPr>
          <w:rFonts w:hint="eastAsia" w:ascii="宋体" w:hAnsi="宋体" w:eastAsia="宋体" w:cs="宋体"/>
          <w:b/>
          <w:snapToGrid w:val="0"/>
          <w:color w:val="auto"/>
          <w:sz w:val="36"/>
          <w:szCs w:val="36"/>
          <w:highlight w:val="none"/>
        </w:rPr>
      </w:pPr>
    </w:p>
    <w:p w14:paraId="071696D7">
      <w:pPr>
        <w:adjustRightInd w:val="0"/>
        <w:spacing w:line="360" w:lineRule="auto"/>
        <w:jc w:val="center"/>
        <w:outlineLvl w:val="0"/>
        <w:rPr>
          <w:rFonts w:hint="eastAsia" w:ascii="宋体" w:hAnsi="宋体" w:eastAsia="宋体" w:cs="宋体"/>
          <w:b/>
          <w:snapToGrid w:val="0"/>
          <w:color w:val="auto"/>
          <w:sz w:val="36"/>
          <w:szCs w:val="36"/>
          <w:highlight w:val="none"/>
        </w:rPr>
      </w:pPr>
    </w:p>
    <w:p w14:paraId="30723F43">
      <w:pPr>
        <w:adjustRightInd w:val="0"/>
        <w:spacing w:line="360" w:lineRule="auto"/>
        <w:jc w:val="center"/>
        <w:outlineLvl w:val="0"/>
        <w:rPr>
          <w:rFonts w:hint="eastAsia" w:ascii="宋体" w:hAnsi="宋体" w:eastAsia="宋体" w:cs="宋体"/>
          <w:b/>
          <w:snapToGrid w:val="0"/>
          <w:color w:val="auto"/>
          <w:sz w:val="36"/>
          <w:szCs w:val="36"/>
          <w:highlight w:val="none"/>
        </w:rPr>
      </w:pPr>
    </w:p>
    <w:p w14:paraId="43E29FD8">
      <w:pPr>
        <w:adjustRightInd w:val="0"/>
        <w:spacing w:line="360" w:lineRule="auto"/>
        <w:jc w:val="center"/>
        <w:rPr>
          <w:rFonts w:hint="eastAsia" w:ascii="宋体" w:hAnsi="宋体" w:eastAsia="宋体" w:cs="宋体"/>
          <w:b/>
          <w:bCs/>
          <w:color w:val="auto"/>
          <w:sz w:val="44"/>
          <w:szCs w:val="44"/>
          <w:highlight w:val="none"/>
        </w:rPr>
      </w:pPr>
    </w:p>
    <w:p w14:paraId="1B1E774C">
      <w:pPr>
        <w:rPr>
          <w:rFonts w:hint="eastAsia" w:ascii="宋体" w:hAnsi="宋体" w:eastAsia="宋体" w:cs="宋体"/>
          <w:b/>
          <w:snapToGrid w:val="0"/>
          <w:color w:val="auto"/>
          <w:sz w:val="32"/>
          <w:szCs w:val="32"/>
          <w:highlight w:val="none"/>
          <w:lang w:val="en-US" w:eastAsia="zh-CN"/>
        </w:rPr>
      </w:pPr>
      <w:r>
        <w:rPr>
          <w:rFonts w:hint="eastAsia" w:ascii="宋体" w:hAnsi="宋体" w:eastAsia="宋体" w:cs="宋体"/>
          <w:b/>
          <w:snapToGrid w:val="0"/>
          <w:color w:val="auto"/>
          <w:sz w:val="32"/>
          <w:szCs w:val="32"/>
          <w:highlight w:val="none"/>
          <w:lang w:val="en-US" w:eastAsia="zh-CN"/>
        </w:rPr>
        <w:br w:type="page"/>
      </w:r>
    </w:p>
    <w:p w14:paraId="170B8CF0">
      <w:pPr>
        <w:pStyle w:val="13"/>
        <w:numPr>
          <w:ilvl w:val="0"/>
          <w:numId w:val="0"/>
        </w:numPr>
        <w:spacing w:line="360" w:lineRule="auto"/>
        <w:jc w:val="center"/>
        <w:rPr>
          <w:rFonts w:hint="eastAsia" w:ascii="宋体" w:hAnsi="宋体" w:eastAsia="宋体" w:cs="宋体"/>
          <w:b/>
          <w:snapToGrid w:val="0"/>
          <w:color w:val="auto"/>
          <w:sz w:val="32"/>
          <w:szCs w:val="32"/>
          <w:highlight w:val="none"/>
        </w:rPr>
      </w:pPr>
      <w:r>
        <w:rPr>
          <w:rFonts w:hint="eastAsia" w:ascii="宋体" w:hAnsi="宋体" w:eastAsia="宋体" w:cs="宋体"/>
          <w:b/>
          <w:snapToGrid w:val="0"/>
          <w:color w:val="auto"/>
          <w:sz w:val="32"/>
          <w:szCs w:val="32"/>
          <w:highlight w:val="none"/>
          <w:lang w:val="en-US" w:eastAsia="zh-CN"/>
        </w:rPr>
        <w:t>三、</w:t>
      </w:r>
      <w:r>
        <w:rPr>
          <w:rFonts w:hint="eastAsia" w:ascii="宋体" w:hAnsi="宋体" w:eastAsia="宋体" w:cs="宋体"/>
          <w:b/>
          <w:snapToGrid w:val="0"/>
          <w:color w:val="auto"/>
          <w:sz w:val="32"/>
          <w:szCs w:val="32"/>
          <w:highlight w:val="none"/>
        </w:rPr>
        <w:t>符合性审查证明材料</w:t>
      </w:r>
    </w:p>
    <w:p w14:paraId="3B4F2129">
      <w:pPr>
        <w:pStyle w:val="10"/>
        <w:rPr>
          <w:rFonts w:hint="eastAsia" w:ascii="宋体" w:hAnsi="宋体" w:eastAsia="宋体" w:cs="宋体"/>
          <w:color w:val="auto"/>
          <w:highlight w:val="none"/>
        </w:rPr>
      </w:pPr>
    </w:p>
    <w:p w14:paraId="53B38862">
      <w:pPr>
        <w:spacing w:line="360" w:lineRule="auto"/>
        <w:jc w:val="center"/>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rPr>
        <w:t>3.1 分项报价表</w:t>
      </w:r>
    </w:p>
    <w:p w14:paraId="5279C00C">
      <w:pPr>
        <w:adjustRightInd w:val="0"/>
        <w:spacing w:line="360" w:lineRule="auto"/>
        <w:ind w:firstLine="504" w:firstLineChars="21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（按附件招标</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清单填报）</w:t>
      </w:r>
    </w:p>
    <w:p w14:paraId="5EFBBBED">
      <w:pPr>
        <w:adjustRightInd w:val="0"/>
        <w:spacing w:line="360" w:lineRule="auto"/>
        <w:jc w:val="center"/>
        <w:rPr>
          <w:rFonts w:hint="eastAsia" w:ascii="宋体" w:hAnsi="宋体" w:eastAsia="宋体" w:cs="宋体"/>
          <w:b/>
          <w:bCs/>
          <w:color w:val="auto"/>
          <w:sz w:val="36"/>
          <w:szCs w:val="36"/>
          <w:highlight w:val="none"/>
        </w:rPr>
      </w:pPr>
    </w:p>
    <w:p w14:paraId="0B3B5206">
      <w:pPr>
        <w:adjustRightInd w:val="0"/>
        <w:spacing w:line="360" w:lineRule="auto"/>
        <w:jc w:val="center"/>
        <w:rPr>
          <w:rFonts w:hint="eastAsia" w:ascii="宋体" w:hAnsi="宋体" w:eastAsia="宋体" w:cs="宋体"/>
          <w:b/>
          <w:bCs/>
          <w:color w:val="auto"/>
          <w:sz w:val="36"/>
          <w:szCs w:val="36"/>
          <w:highlight w:val="none"/>
        </w:rPr>
      </w:pPr>
    </w:p>
    <w:p w14:paraId="2CA20858">
      <w:pPr>
        <w:pStyle w:val="10"/>
        <w:rPr>
          <w:rFonts w:hint="eastAsia" w:ascii="宋体" w:hAnsi="宋体" w:eastAsia="宋体" w:cs="宋体"/>
          <w:color w:val="auto"/>
          <w:highlight w:val="none"/>
        </w:rPr>
      </w:pPr>
    </w:p>
    <w:p w14:paraId="0857EEC2">
      <w:pPr>
        <w:pStyle w:val="10"/>
        <w:rPr>
          <w:rFonts w:hint="eastAsia" w:ascii="宋体" w:hAnsi="宋体" w:eastAsia="宋体" w:cs="宋体"/>
          <w:color w:val="auto"/>
          <w:highlight w:val="none"/>
        </w:rPr>
      </w:pPr>
    </w:p>
    <w:p w14:paraId="7FB151C7">
      <w:pPr>
        <w:pStyle w:val="10"/>
        <w:rPr>
          <w:rFonts w:hint="eastAsia" w:ascii="宋体" w:hAnsi="宋体" w:eastAsia="宋体" w:cs="宋体"/>
          <w:color w:val="auto"/>
          <w:highlight w:val="none"/>
        </w:rPr>
      </w:pPr>
    </w:p>
    <w:p w14:paraId="68BEDCBC">
      <w:pPr>
        <w:pStyle w:val="10"/>
        <w:rPr>
          <w:rFonts w:hint="eastAsia" w:ascii="宋体" w:hAnsi="宋体" w:eastAsia="宋体" w:cs="宋体"/>
          <w:color w:val="auto"/>
          <w:highlight w:val="none"/>
        </w:rPr>
      </w:pPr>
    </w:p>
    <w:p w14:paraId="7E18C94E">
      <w:pPr>
        <w:pStyle w:val="10"/>
        <w:rPr>
          <w:rFonts w:hint="eastAsia" w:ascii="宋体" w:hAnsi="宋体" w:eastAsia="宋体" w:cs="宋体"/>
          <w:color w:val="auto"/>
          <w:highlight w:val="none"/>
        </w:rPr>
      </w:pPr>
    </w:p>
    <w:p w14:paraId="6A79BB3C">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rPr>
        <w:t>3.2  技术方案（实施方案）</w:t>
      </w:r>
    </w:p>
    <w:p w14:paraId="2A7F77ED">
      <w:pPr>
        <w:adjustRightInd w:val="0"/>
        <w:spacing w:line="360" w:lineRule="auto"/>
        <w:jc w:val="center"/>
        <w:rPr>
          <w:rFonts w:hint="eastAsia" w:ascii="宋体" w:hAnsi="宋体" w:eastAsia="宋体" w:cs="宋体"/>
          <w:color w:val="auto"/>
          <w:sz w:val="24"/>
          <w:highlight w:val="none"/>
        </w:rPr>
      </w:pPr>
    </w:p>
    <w:p w14:paraId="15159CB2">
      <w:pPr>
        <w:adjustRightInd w:val="0"/>
        <w:spacing w:line="360" w:lineRule="auto"/>
        <w:ind w:firstLine="504" w:firstLineChars="21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（投标人根据磋商文件要求自行编制）</w:t>
      </w:r>
    </w:p>
    <w:p w14:paraId="52E1A0DF">
      <w:pPr>
        <w:pStyle w:val="10"/>
        <w:ind w:firstLine="460" w:firstLineChars="200"/>
        <w:rPr>
          <w:rFonts w:hint="eastAsia" w:ascii="宋体" w:hAnsi="宋体" w:eastAsia="宋体" w:cs="宋体"/>
          <w:color w:val="auto"/>
          <w:sz w:val="23"/>
          <w:szCs w:val="23"/>
          <w:highlight w:val="none"/>
        </w:rPr>
      </w:pPr>
    </w:p>
    <w:p w14:paraId="56C7D397">
      <w:pPr>
        <w:snapToGrid w:val="0"/>
        <w:spacing w:line="360" w:lineRule="auto"/>
        <w:rPr>
          <w:rFonts w:hint="eastAsia" w:ascii="宋体" w:hAnsi="宋体" w:eastAsia="宋体" w:cs="宋体"/>
          <w:b/>
          <w:snapToGrid w:val="0"/>
          <w:color w:val="auto"/>
          <w:sz w:val="36"/>
          <w:szCs w:val="36"/>
          <w:highlight w:val="none"/>
        </w:rPr>
      </w:pPr>
    </w:p>
    <w:p w14:paraId="1F0A0189">
      <w:pPr>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rPr>
        <w:br w:type="page"/>
      </w:r>
    </w:p>
    <w:p w14:paraId="7E9A92C6">
      <w:pPr>
        <w:spacing w:line="360" w:lineRule="auto"/>
        <w:jc w:val="center"/>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rPr>
        <w:t>3.3  业绩情况表</w:t>
      </w:r>
    </w:p>
    <w:p w14:paraId="30B076C5">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5B88FC31">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tbl>
      <w:tblPr>
        <w:tblStyle w:val="22"/>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59"/>
        <w:gridCol w:w="3879"/>
        <w:gridCol w:w="1560"/>
        <w:gridCol w:w="1849"/>
      </w:tblGrid>
      <w:tr w14:paraId="7A97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71" w:type="dxa"/>
            <w:shd w:val="clear" w:color="auto" w:fill="F3F3F3"/>
            <w:vAlign w:val="center"/>
          </w:tcPr>
          <w:p w14:paraId="46242B2C">
            <w:pPr>
              <w:pStyle w:val="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59" w:type="dxa"/>
            <w:shd w:val="clear" w:color="auto" w:fill="F3F3F3"/>
            <w:vAlign w:val="center"/>
          </w:tcPr>
          <w:p w14:paraId="1D948B4D">
            <w:pPr>
              <w:pStyle w:val="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879" w:type="dxa"/>
            <w:shd w:val="clear" w:color="auto" w:fill="F3F3F3"/>
            <w:vAlign w:val="center"/>
          </w:tcPr>
          <w:p w14:paraId="39D3B2B7">
            <w:pPr>
              <w:pStyle w:val="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560" w:type="dxa"/>
            <w:shd w:val="clear" w:color="auto" w:fill="F3F3F3"/>
            <w:vAlign w:val="center"/>
          </w:tcPr>
          <w:p w14:paraId="256FB09B">
            <w:pPr>
              <w:pStyle w:val="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合同金额（万元）</w:t>
            </w:r>
          </w:p>
        </w:tc>
        <w:tc>
          <w:tcPr>
            <w:tcW w:w="1849" w:type="dxa"/>
            <w:shd w:val="clear" w:color="auto" w:fill="F3F3F3"/>
            <w:vAlign w:val="center"/>
          </w:tcPr>
          <w:p w14:paraId="63D2B1C3">
            <w:pPr>
              <w:pStyle w:val="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联系人及电话</w:t>
            </w:r>
          </w:p>
        </w:tc>
      </w:tr>
      <w:tr w14:paraId="416A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71" w:type="dxa"/>
            <w:vAlign w:val="center"/>
          </w:tcPr>
          <w:p w14:paraId="0470237B">
            <w:pPr>
              <w:pStyle w:val="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59" w:type="dxa"/>
            <w:vAlign w:val="center"/>
          </w:tcPr>
          <w:p w14:paraId="7DD84893">
            <w:pPr>
              <w:pStyle w:val="9"/>
              <w:spacing w:line="360" w:lineRule="auto"/>
              <w:rPr>
                <w:rFonts w:hint="eastAsia" w:ascii="宋体" w:hAnsi="宋体" w:eastAsia="宋体" w:cs="宋体"/>
                <w:color w:val="auto"/>
                <w:sz w:val="24"/>
                <w:szCs w:val="24"/>
                <w:highlight w:val="none"/>
              </w:rPr>
            </w:pPr>
          </w:p>
        </w:tc>
        <w:tc>
          <w:tcPr>
            <w:tcW w:w="3879" w:type="dxa"/>
            <w:vAlign w:val="center"/>
          </w:tcPr>
          <w:p w14:paraId="12B600BE">
            <w:pPr>
              <w:pStyle w:val="9"/>
              <w:spacing w:line="360" w:lineRule="auto"/>
              <w:rPr>
                <w:rFonts w:hint="eastAsia" w:ascii="宋体" w:hAnsi="宋体" w:eastAsia="宋体" w:cs="宋体"/>
                <w:color w:val="auto"/>
                <w:sz w:val="24"/>
                <w:szCs w:val="24"/>
                <w:highlight w:val="none"/>
              </w:rPr>
            </w:pPr>
          </w:p>
        </w:tc>
        <w:tc>
          <w:tcPr>
            <w:tcW w:w="1560" w:type="dxa"/>
            <w:vAlign w:val="center"/>
          </w:tcPr>
          <w:p w14:paraId="3568342B">
            <w:pPr>
              <w:pStyle w:val="9"/>
              <w:spacing w:line="360" w:lineRule="auto"/>
              <w:rPr>
                <w:rFonts w:hint="eastAsia" w:ascii="宋体" w:hAnsi="宋体" w:eastAsia="宋体" w:cs="宋体"/>
                <w:color w:val="auto"/>
                <w:sz w:val="24"/>
                <w:szCs w:val="24"/>
                <w:highlight w:val="none"/>
              </w:rPr>
            </w:pPr>
          </w:p>
        </w:tc>
        <w:tc>
          <w:tcPr>
            <w:tcW w:w="1849" w:type="dxa"/>
            <w:vAlign w:val="center"/>
          </w:tcPr>
          <w:p w14:paraId="250EB8FE">
            <w:pPr>
              <w:pStyle w:val="9"/>
              <w:spacing w:line="360" w:lineRule="auto"/>
              <w:rPr>
                <w:rFonts w:hint="eastAsia" w:ascii="宋体" w:hAnsi="宋体" w:eastAsia="宋体" w:cs="宋体"/>
                <w:color w:val="auto"/>
                <w:sz w:val="24"/>
                <w:szCs w:val="24"/>
                <w:highlight w:val="none"/>
              </w:rPr>
            </w:pPr>
          </w:p>
        </w:tc>
      </w:tr>
      <w:tr w14:paraId="31E0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71" w:type="dxa"/>
            <w:vAlign w:val="center"/>
          </w:tcPr>
          <w:p w14:paraId="01005CEF">
            <w:pPr>
              <w:pStyle w:val="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59" w:type="dxa"/>
            <w:vAlign w:val="center"/>
          </w:tcPr>
          <w:p w14:paraId="546141FF">
            <w:pPr>
              <w:pStyle w:val="9"/>
              <w:spacing w:line="360" w:lineRule="auto"/>
              <w:rPr>
                <w:rFonts w:hint="eastAsia" w:ascii="宋体" w:hAnsi="宋体" w:eastAsia="宋体" w:cs="宋体"/>
                <w:color w:val="auto"/>
                <w:sz w:val="24"/>
                <w:szCs w:val="24"/>
                <w:highlight w:val="none"/>
              </w:rPr>
            </w:pPr>
          </w:p>
        </w:tc>
        <w:tc>
          <w:tcPr>
            <w:tcW w:w="3879" w:type="dxa"/>
            <w:vAlign w:val="center"/>
          </w:tcPr>
          <w:p w14:paraId="3ADA84D1">
            <w:pPr>
              <w:pStyle w:val="9"/>
              <w:spacing w:line="360" w:lineRule="auto"/>
              <w:rPr>
                <w:rFonts w:hint="eastAsia" w:ascii="宋体" w:hAnsi="宋体" w:eastAsia="宋体" w:cs="宋体"/>
                <w:color w:val="auto"/>
                <w:sz w:val="24"/>
                <w:szCs w:val="24"/>
                <w:highlight w:val="none"/>
              </w:rPr>
            </w:pPr>
          </w:p>
        </w:tc>
        <w:tc>
          <w:tcPr>
            <w:tcW w:w="1560" w:type="dxa"/>
            <w:vAlign w:val="center"/>
          </w:tcPr>
          <w:p w14:paraId="4C3381B9">
            <w:pPr>
              <w:pStyle w:val="9"/>
              <w:spacing w:line="360" w:lineRule="auto"/>
              <w:rPr>
                <w:rFonts w:hint="eastAsia" w:ascii="宋体" w:hAnsi="宋体" w:eastAsia="宋体" w:cs="宋体"/>
                <w:color w:val="auto"/>
                <w:sz w:val="24"/>
                <w:szCs w:val="24"/>
                <w:highlight w:val="none"/>
              </w:rPr>
            </w:pPr>
          </w:p>
        </w:tc>
        <w:tc>
          <w:tcPr>
            <w:tcW w:w="1849" w:type="dxa"/>
            <w:vAlign w:val="center"/>
          </w:tcPr>
          <w:p w14:paraId="32DA0DE1">
            <w:pPr>
              <w:pStyle w:val="9"/>
              <w:spacing w:line="360" w:lineRule="auto"/>
              <w:rPr>
                <w:rFonts w:hint="eastAsia" w:ascii="宋体" w:hAnsi="宋体" w:eastAsia="宋体" w:cs="宋体"/>
                <w:color w:val="auto"/>
                <w:sz w:val="24"/>
                <w:szCs w:val="24"/>
                <w:highlight w:val="none"/>
              </w:rPr>
            </w:pPr>
          </w:p>
        </w:tc>
      </w:tr>
      <w:tr w14:paraId="46F3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71" w:type="dxa"/>
            <w:vAlign w:val="center"/>
          </w:tcPr>
          <w:p w14:paraId="6C90945C">
            <w:pPr>
              <w:pStyle w:val="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59" w:type="dxa"/>
            <w:vAlign w:val="center"/>
          </w:tcPr>
          <w:p w14:paraId="7AA54015">
            <w:pPr>
              <w:pStyle w:val="9"/>
              <w:spacing w:line="360" w:lineRule="auto"/>
              <w:rPr>
                <w:rFonts w:hint="eastAsia" w:ascii="宋体" w:hAnsi="宋体" w:eastAsia="宋体" w:cs="宋体"/>
                <w:color w:val="auto"/>
                <w:sz w:val="24"/>
                <w:szCs w:val="24"/>
                <w:highlight w:val="none"/>
              </w:rPr>
            </w:pPr>
          </w:p>
        </w:tc>
        <w:tc>
          <w:tcPr>
            <w:tcW w:w="3879" w:type="dxa"/>
            <w:vAlign w:val="center"/>
          </w:tcPr>
          <w:p w14:paraId="1E5502B5">
            <w:pPr>
              <w:pStyle w:val="9"/>
              <w:spacing w:line="360" w:lineRule="auto"/>
              <w:rPr>
                <w:rFonts w:hint="eastAsia" w:ascii="宋体" w:hAnsi="宋体" w:eastAsia="宋体" w:cs="宋体"/>
                <w:color w:val="auto"/>
                <w:sz w:val="24"/>
                <w:szCs w:val="24"/>
                <w:highlight w:val="none"/>
              </w:rPr>
            </w:pPr>
          </w:p>
        </w:tc>
        <w:tc>
          <w:tcPr>
            <w:tcW w:w="1560" w:type="dxa"/>
            <w:vAlign w:val="center"/>
          </w:tcPr>
          <w:p w14:paraId="1BAE7284">
            <w:pPr>
              <w:pStyle w:val="9"/>
              <w:spacing w:line="360" w:lineRule="auto"/>
              <w:rPr>
                <w:rFonts w:hint="eastAsia" w:ascii="宋体" w:hAnsi="宋体" w:eastAsia="宋体" w:cs="宋体"/>
                <w:color w:val="auto"/>
                <w:sz w:val="24"/>
                <w:szCs w:val="24"/>
                <w:highlight w:val="none"/>
              </w:rPr>
            </w:pPr>
          </w:p>
        </w:tc>
        <w:tc>
          <w:tcPr>
            <w:tcW w:w="1849" w:type="dxa"/>
            <w:vAlign w:val="center"/>
          </w:tcPr>
          <w:p w14:paraId="595816B5">
            <w:pPr>
              <w:pStyle w:val="9"/>
              <w:spacing w:line="360" w:lineRule="auto"/>
              <w:rPr>
                <w:rFonts w:hint="eastAsia" w:ascii="宋体" w:hAnsi="宋体" w:eastAsia="宋体" w:cs="宋体"/>
                <w:color w:val="auto"/>
                <w:sz w:val="24"/>
                <w:szCs w:val="24"/>
                <w:highlight w:val="none"/>
              </w:rPr>
            </w:pPr>
          </w:p>
        </w:tc>
      </w:tr>
      <w:tr w14:paraId="384F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71" w:type="dxa"/>
            <w:vAlign w:val="center"/>
          </w:tcPr>
          <w:p w14:paraId="65C39271">
            <w:pPr>
              <w:pStyle w:val="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59" w:type="dxa"/>
            <w:vAlign w:val="center"/>
          </w:tcPr>
          <w:p w14:paraId="539FF989">
            <w:pPr>
              <w:rPr>
                <w:rFonts w:hint="eastAsia" w:ascii="宋体" w:hAnsi="宋体" w:eastAsia="宋体" w:cs="宋体"/>
                <w:color w:val="auto"/>
                <w:highlight w:val="none"/>
              </w:rPr>
            </w:pPr>
          </w:p>
        </w:tc>
        <w:tc>
          <w:tcPr>
            <w:tcW w:w="3879" w:type="dxa"/>
            <w:vAlign w:val="center"/>
          </w:tcPr>
          <w:p w14:paraId="76D5357B">
            <w:pPr>
              <w:rPr>
                <w:rFonts w:hint="eastAsia" w:ascii="宋体" w:hAnsi="宋体" w:eastAsia="宋体" w:cs="宋体"/>
                <w:color w:val="auto"/>
                <w:highlight w:val="none"/>
              </w:rPr>
            </w:pPr>
          </w:p>
        </w:tc>
        <w:tc>
          <w:tcPr>
            <w:tcW w:w="1560" w:type="dxa"/>
            <w:vAlign w:val="center"/>
          </w:tcPr>
          <w:p w14:paraId="3A116258">
            <w:pPr>
              <w:rPr>
                <w:rFonts w:hint="eastAsia" w:ascii="宋体" w:hAnsi="宋体" w:eastAsia="宋体" w:cs="宋体"/>
                <w:color w:val="auto"/>
                <w:highlight w:val="none"/>
              </w:rPr>
            </w:pPr>
          </w:p>
        </w:tc>
        <w:tc>
          <w:tcPr>
            <w:tcW w:w="1849" w:type="dxa"/>
            <w:vAlign w:val="center"/>
          </w:tcPr>
          <w:p w14:paraId="28B1DC87">
            <w:pPr>
              <w:rPr>
                <w:rFonts w:hint="eastAsia" w:ascii="宋体" w:hAnsi="宋体" w:eastAsia="宋体" w:cs="宋体"/>
                <w:color w:val="auto"/>
                <w:highlight w:val="none"/>
              </w:rPr>
            </w:pPr>
          </w:p>
        </w:tc>
      </w:tr>
      <w:tr w14:paraId="464B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71" w:type="dxa"/>
            <w:vAlign w:val="center"/>
          </w:tcPr>
          <w:p w14:paraId="136C584D">
            <w:pPr>
              <w:pStyle w:val="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59" w:type="dxa"/>
            <w:vAlign w:val="center"/>
          </w:tcPr>
          <w:p w14:paraId="37243191">
            <w:pPr>
              <w:rPr>
                <w:rFonts w:hint="eastAsia" w:ascii="宋体" w:hAnsi="宋体" w:eastAsia="宋体" w:cs="宋体"/>
                <w:color w:val="auto"/>
                <w:highlight w:val="none"/>
              </w:rPr>
            </w:pPr>
          </w:p>
        </w:tc>
        <w:tc>
          <w:tcPr>
            <w:tcW w:w="3879" w:type="dxa"/>
            <w:vAlign w:val="center"/>
          </w:tcPr>
          <w:p w14:paraId="787BCE29">
            <w:pPr>
              <w:rPr>
                <w:rFonts w:hint="eastAsia" w:ascii="宋体" w:hAnsi="宋体" w:eastAsia="宋体" w:cs="宋体"/>
                <w:color w:val="auto"/>
                <w:highlight w:val="none"/>
              </w:rPr>
            </w:pPr>
          </w:p>
        </w:tc>
        <w:tc>
          <w:tcPr>
            <w:tcW w:w="1560" w:type="dxa"/>
            <w:vAlign w:val="center"/>
          </w:tcPr>
          <w:p w14:paraId="2F7C97DF">
            <w:pPr>
              <w:rPr>
                <w:rFonts w:hint="eastAsia" w:ascii="宋体" w:hAnsi="宋体" w:eastAsia="宋体" w:cs="宋体"/>
                <w:color w:val="auto"/>
                <w:highlight w:val="none"/>
              </w:rPr>
            </w:pPr>
          </w:p>
        </w:tc>
        <w:tc>
          <w:tcPr>
            <w:tcW w:w="1849" w:type="dxa"/>
            <w:vAlign w:val="center"/>
          </w:tcPr>
          <w:p w14:paraId="18F71330">
            <w:pPr>
              <w:rPr>
                <w:rFonts w:hint="eastAsia" w:ascii="宋体" w:hAnsi="宋体" w:eastAsia="宋体" w:cs="宋体"/>
                <w:color w:val="auto"/>
                <w:highlight w:val="none"/>
              </w:rPr>
            </w:pPr>
          </w:p>
        </w:tc>
      </w:tr>
    </w:tbl>
    <w:p w14:paraId="304AE3E9">
      <w:pPr>
        <w:adjustRightIn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p>
    <w:p w14:paraId="44374359">
      <w:pPr>
        <w:adjustRightIn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w:t>
      </w:r>
      <w:r>
        <w:rPr>
          <w:rFonts w:hint="eastAsia" w:ascii="宋体" w:hAnsi="宋体" w:eastAsia="宋体" w:cs="宋体"/>
          <w:color w:val="auto"/>
          <w:sz w:val="24"/>
          <w:highlight w:val="none"/>
        </w:rPr>
        <w:t>（或法定代表人授权代表）</w:t>
      </w:r>
      <w:r>
        <w:rPr>
          <w:rFonts w:hint="eastAsia" w:ascii="宋体" w:hAnsi="宋体" w:eastAsia="宋体" w:cs="宋体"/>
          <w:color w:val="auto"/>
          <w:sz w:val="24"/>
          <w:szCs w:val="24"/>
          <w:highlight w:val="none"/>
        </w:rPr>
        <w:t>签字：</w:t>
      </w:r>
    </w:p>
    <w:p w14:paraId="45C0524F">
      <w:pPr>
        <w:adjustRightInd w:val="0"/>
        <w:spacing w:line="360" w:lineRule="auto"/>
        <w:jc w:val="center"/>
        <w:outlineLvl w:val="0"/>
        <w:rPr>
          <w:rFonts w:hint="eastAsia" w:ascii="宋体" w:hAnsi="宋体" w:eastAsia="宋体" w:cs="宋体"/>
          <w:b/>
          <w:bCs/>
          <w:color w:val="auto"/>
          <w:sz w:val="36"/>
          <w:szCs w:val="36"/>
          <w:highlight w:val="none"/>
        </w:rPr>
      </w:pPr>
    </w:p>
    <w:p w14:paraId="19E8EC6F">
      <w:pPr>
        <w:pStyle w:val="10"/>
        <w:rPr>
          <w:rFonts w:hint="eastAsia" w:ascii="宋体" w:hAnsi="宋体" w:eastAsia="宋体" w:cs="宋体"/>
          <w:color w:val="auto"/>
          <w:highlight w:val="none"/>
        </w:rPr>
      </w:pPr>
    </w:p>
    <w:p w14:paraId="2C713826">
      <w:pPr>
        <w:pStyle w:val="10"/>
        <w:rPr>
          <w:rFonts w:hint="eastAsia" w:ascii="宋体" w:hAnsi="宋体" w:eastAsia="宋体" w:cs="宋体"/>
          <w:color w:val="auto"/>
          <w:highlight w:val="none"/>
        </w:rPr>
      </w:pPr>
    </w:p>
    <w:p w14:paraId="16D7B189">
      <w:pPr>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rPr>
        <w:br w:type="page"/>
      </w:r>
    </w:p>
    <w:p w14:paraId="6DB428E3">
      <w:pPr>
        <w:spacing w:line="360" w:lineRule="auto"/>
        <w:jc w:val="center"/>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rPr>
        <w:t>3.4 售后服务方案</w:t>
      </w:r>
    </w:p>
    <w:p w14:paraId="7A152099">
      <w:pPr>
        <w:adjustRightInd w:val="0"/>
        <w:spacing w:line="360" w:lineRule="auto"/>
        <w:jc w:val="center"/>
        <w:outlineLvl w:val="0"/>
        <w:rPr>
          <w:rFonts w:hint="eastAsia" w:ascii="宋体" w:hAnsi="宋体" w:eastAsia="宋体" w:cs="宋体"/>
          <w:b/>
          <w:bCs/>
          <w:color w:val="auto"/>
          <w:sz w:val="36"/>
          <w:szCs w:val="36"/>
          <w:highlight w:val="none"/>
        </w:rPr>
      </w:pPr>
    </w:p>
    <w:p w14:paraId="33A29240">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（投标人根据磋商文件要求自行编制）</w:t>
      </w:r>
    </w:p>
    <w:p w14:paraId="3907AC42">
      <w:pPr>
        <w:pStyle w:val="13"/>
        <w:spacing w:line="360" w:lineRule="auto"/>
        <w:jc w:val="center"/>
        <w:rPr>
          <w:rFonts w:hint="eastAsia" w:ascii="宋体" w:hAnsi="宋体" w:eastAsia="宋体" w:cs="宋体"/>
          <w:b/>
          <w:snapToGrid w:val="0"/>
          <w:color w:val="auto"/>
          <w:sz w:val="32"/>
          <w:szCs w:val="32"/>
          <w:highlight w:val="none"/>
        </w:rPr>
      </w:pPr>
    </w:p>
    <w:p w14:paraId="29FD8DC4">
      <w:pPr>
        <w:pStyle w:val="13"/>
        <w:spacing w:line="360" w:lineRule="auto"/>
        <w:jc w:val="center"/>
        <w:rPr>
          <w:rFonts w:hint="eastAsia" w:ascii="宋体" w:hAnsi="宋体" w:eastAsia="宋体" w:cs="宋体"/>
          <w:b/>
          <w:snapToGrid w:val="0"/>
          <w:color w:val="auto"/>
          <w:sz w:val="32"/>
          <w:szCs w:val="32"/>
          <w:highlight w:val="none"/>
        </w:rPr>
      </w:pPr>
    </w:p>
    <w:p w14:paraId="1C4872C2">
      <w:pPr>
        <w:pStyle w:val="13"/>
        <w:spacing w:line="360" w:lineRule="auto"/>
        <w:jc w:val="center"/>
        <w:rPr>
          <w:rFonts w:hint="eastAsia" w:ascii="宋体" w:hAnsi="宋体" w:eastAsia="宋体" w:cs="宋体"/>
          <w:b/>
          <w:snapToGrid w:val="0"/>
          <w:color w:val="auto"/>
          <w:sz w:val="32"/>
          <w:szCs w:val="32"/>
          <w:highlight w:val="none"/>
        </w:rPr>
      </w:pPr>
    </w:p>
    <w:p w14:paraId="38A987CA">
      <w:pPr>
        <w:pStyle w:val="13"/>
        <w:spacing w:line="360" w:lineRule="auto"/>
        <w:jc w:val="center"/>
        <w:rPr>
          <w:rFonts w:hint="eastAsia" w:ascii="宋体" w:hAnsi="宋体" w:eastAsia="宋体" w:cs="宋体"/>
          <w:b/>
          <w:snapToGrid w:val="0"/>
          <w:color w:val="auto"/>
          <w:sz w:val="32"/>
          <w:szCs w:val="32"/>
          <w:highlight w:val="none"/>
        </w:rPr>
      </w:pPr>
    </w:p>
    <w:p w14:paraId="0F492A41">
      <w:pPr>
        <w:pStyle w:val="13"/>
        <w:spacing w:line="360" w:lineRule="auto"/>
        <w:jc w:val="center"/>
        <w:rPr>
          <w:rFonts w:hint="eastAsia" w:ascii="宋体" w:hAnsi="宋体" w:eastAsia="宋体" w:cs="宋体"/>
          <w:b/>
          <w:snapToGrid w:val="0"/>
          <w:color w:val="auto"/>
          <w:sz w:val="32"/>
          <w:szCs w:val="32"/>
          <w:highlight w:val="none"/>
        </w:rPr>
      </w:pPr>
    </w:p>
    <w:p w14:paraId="3E30E317">
      <w:pPr>
        <w:pStyle w:val="13"/>
        <w:spacing w:line="360" w:lineRule="auto"/>
        <w:jc w:val="center"/>
        <w:rPr>
          <w:rFonts w:hint="eastAsia" w:ascii="宋体" w:hAnsi="宋体" w:eastAsia="宋体" w:cs="宋体"/>
          <w:b/>
          <w:snapToGrid w:val="0"/>
          <w:color w:val="auto"/>
          <w:sz w:val="32"/>
          <w:szCs w:val="32"/>
          <w:highlight w:val="none"/>
        </w:rPr>
      </w:pPr>
    </w:p>
    <w:p w14:paraId="1186FB9F">
      <w:pPr>
        <w:rPr>
          <w:rFonts w:hint="eastAsia" w:ascii="宋体" w:hAnsi="宋体" w:eastAsia="宋体" w:cs="宋体"/>
          <w:color w:val="auto"/>
          <w:highlight w:val="none"/>
        </w:rPr>
      </w:pPr>
    </w:p>
    <w:p w14:paraId="45E3D35E">
      <w:pPr>
        <w:rPr>
          <w:rFonts w:hint="eastAsia" w:ascii="宋体" w:hAnsi="宋体" w:eastAsia="宋体" w:cs="宋体"/>
          <w:color w:val="auto"/>
          <w:highlight w:val="none"/>
        </w:rPr>
      </w:pPr>
    </w:p>
    <w:p w14:paraId="00F0B282">
      <w:pPr>
        <w:rPr>
          <w:rFonts w:hint="eastAsia" w:ascii="宋体" w:hAnsi="宋体" w:eastAsia="宋体" w:cs="宋体"/>
          <w:color w:val="auto"/>
          <w:highlight w:val="none"/>
        </w:rPr>
      </w:pPr>
    </w:p>
    <w:p w14:paraId="38D7CB88">
      <w:pPr>
        <w:rPr>
          <w:rFonts w:hint="eastAsia" w:ascii="宋体" w:hAnsi="宋体" w:eastAsia="宋体" w:cs="宋体"/>
          <w:color w:val="auto"/>
          <w:highlight w:val="none"/>
        </w:rPr>
      </w:pPr>
    </w:p>
    <w:p w14:paraId="73D34E4F">
      <w:pPr>
        <w:rPr>
          <w:rFonts w:hint="eastAsia" w:ascii="宋体" w:hAnsi="宋体" w:eastAsia="宋体" w:cs="宋体"/>
          <w:color w:val="auto"/>
          <w:highlight w:val="none"/>
        </w:rPr>
      </w:pPr>
    </w:p>
    <w:p w14:paraId="4DAAEFE5">
      <w:pPr>
        <w:rPr>
          <w:rFonts w:hint="eastAsia" w:ascii="宋体" w:hAnsi="宋体" w:eastAsia="宋体" w:cs="宋体"/>
          <w:color w:val="auto"/>
          <w:highlight w:val="none"/>
        </w:rPr>
      </w:pPr>
    </w:p>
    <w:p w14:paraId="5D83B357">
      <w:pPr>
        <w:adjustRightInd w:val="0"/>
        <w:spacing w:line="360" w:lineRule="auto"/>
        <w:jc w:val="center"/>
        <w:rPr>
          <w:rFonts w:hint="eastAsia" w:ascii="宋体" w:hAnsi="宋体" w:eastAsia="宋体" w:cs="宋体"/>
          <w:b/>
          <w:bCs/>
          <w:color w:val="auto"/>
          <w:sz w:val="44"/>
          <w:szCs w:val="44"/>
          <w:highlight w:val="none"/>
        </w:rPr>
      </w:pPr>
    </w:p>
    <w:p w14:paraId="7936B951">
      <w:pPr>
        <w:adjustRightInd w:val="0"/>
        <w:spacing w:line="360" w:lineRule="auto"/>
        <w:jc w:val="center"/>
        <w:rPr>
          <w:rFonts w:hint="eastAsia" w:ascii="宋体" w:hAnsi="宋体" w:eastAsia="宋体" w:cs="宋体"/>
          <w:b/>
          <w:bCs/>
          <w:color w:val="auto"/>
          <w:sz w:val="44"/>
          <w:szCs w:val="44"/>
          <w:highlight w:val="none"/>
        </w:rPr>
      </w:pPr>
    </w:p>
    <w:p w14:paraId="6D8B77BD">
      <w:pPr>
        <w:pStyle w:val="10"/>
        <w:rPr>
          <w:rFonts w:hint="eastAsia" w:ascii="宋体" w:hAnsi="宋体" w:eastAsia="宋体" w:cs="宋体"/>
          <w:b/>
          <w:bCs/>
          <w:color w:val="auto"/>
          <w:sz w:val="44"/>
          <w:szCs w:val="44"/>
          <w:highlight w:val="none"/>
        </w:rPr>
      </w:pPr>
    </w:p>
    <w:p w14:paraId="5371AA15">
      <w:pPr>
        <w:pStyle w:val="20"/>
        <w:ind w:firstLine="240"/>
        <w:rPr>
          <w:rFonts w:hint="eastAsia" w:ascii="宋体" w:hAnsi="宋体" w:eastAsia="宋体" w:cs="宋体"/>
          <w:color w:val="auto"/>
          <w:highlight w:val="none"/>
        </w:rPr>
      </w:pPr>
    </w:p>
    <w:p w14:paraId="52BF731C">
      <w:pPr>
        <w:pStyle w:val="10"/>
        <w:rPr>
          <w:rFonts w:hint="eastAsia" w:ascii="宋体" w:hAnsi="宋体" w:eastAsia="宋体" w:cs="宋体"/>
          <w:color w:val="auto"/>
          <w:highlight w:val="none"/>
        </w:rPr>
      </w:pPr>
    </w:p>
    <w:p w14:paraId="1BF024F3">
      <w:pPr>
        <w:pStyle w:val="10"/>
        <w:rPr>
          <w:rFonts w:hint="eastAsia" w:ascii="宋体" w:hAnsi="宋体" w:eastAsia="宋体" w:cs="宋体"/>
          <w:color w:val="auto"/>
          <w:highlight w:val="none"/>
        </w:rPr>
      </w:pPr>
    </w:p>
    <w:p w14:paraId="0874999E">
      <w:pPr>
        <w:rPr>
          <w:rFonts w:hint="eastAsia" w:ascii="宋体" w:hAnsi="宋体" w:eastAsia="宋体" w:cs="宋体"/>
          <w:b/>
          <w:snapToGrid w:val="0"/>
          <w:color w:val="auto"/>
          <w:sz w:val="32"/>
          <w:szCs w:val="32"/>
          <w:highlight w:val="none"/>
          <w:lang w:val="en-US" w:eastAsia="zh-CN"/>
        </w:rPr>
      </w:pPr>
      <w:r>
        <w:rPr>
          <w:rFonts w:hint="eastAsia" w:ascii="宋体" w:hAnsi="宋体" w:eastAsia="宋体" w:cs="宋体"/>
          <w:b/>
          <w:snapToGrid w:val="0"/>
          <w:color w:val="auto"/>
          <w:sz w:val="32"/>
          <w:szCs w:val="32"/>
          <w:highlight w:val="none"/>
          <w:lang w:val="en-US" w:eastAsia="zh-CN"/>
        </w:rPr>
        <w:br w:type="page"/>
      </w:r>
    </w:p>
    <w:p w14:paraId="4C51E7EB">
      <w:pPr>
        <w:pStyle w:val="13"/>
        <w:numPr>
          <w:ilvl w:val="0"/>
          <w:numId w:val="0"/>
        </w:numPr>
        <w:spacing w:line="360" w:lineRule="auto"/>
        <w:jc w:val="center"/>
        <w:rPr>
          <w:rFonts w:hint="eastAsia" w:ascii="宋体" w:hAnsi="宋体" w:eastAsia="宋体" w:cs="宋体"/>
          <w:b/>
          <w:snapToGrid w:val="0"/>
          <w:color w:val="auto"/>
          <w:sz w:val="32"/>
          <w:szCs w:val="32"/>
          <w:highlight w:val="none"/>
        </w:rPr>
      </w:pPr>
      <w:r>
        <w:rPr>
          <w:rFonts w:hint="eastAsia" w:ascii="宋体" w:hAnsi="宋体" w:eastAsia="宋体" w:cs="宋体"/>
          <w:b/>
          <w:snapToGrid w:val="0"/>
          <w:color w:val="auto"/>
          <w:sz w:val="32"/>
          <w:szCs w:val="32"/>
          <w:highlight w:val="none"/>
          <w:lang w:val="en-US" w:eastAsia="zh-CN"/>
        </w:rPr>
        <w:t>五、</w:t>
      </w:r>
      <w:r>
        <w:rPr>
          <w:rFonts w:hint="eastAsia" w:ascii="宋体" w:hAnsi="宋体" w:eastAsia="宋体" w:cs="宋体"/>
          <w:b/>
          <w:snapToGrid w:val="0"/>
          <w:color w:val="auto"/>
          <w:sz w:val="32"/>
          <w:szCs w:val="32"/>
          <w:highlight w:val="none"/>
        </w:rPr>
        <w:t>其他资料（若有）</w:t>
      </w:r>
    </w:p>
    <w:p w14:paraId="73466280">
      <w:pPr>
        <w:rPr>
          <w:rFonts w:hint="eastAsia" w:ascii="宋体" w:hAnsi="宋体" w:eastAsia="宋体" w:cs="宋体"/>
          <w:color w:val="auto"/>
          <w:highlight w:val="none"/>
        </w:rPr>
      </w:pPr>
    </w:p>
    <w:p w14:paraId="62B520A7">
      <w:pPr>
        <w:rPr>
          <w:rFonts w:hint="eastAsia" w:ascii="宋体" w:hAnsi="宋体" w:eastAsia="宋体" w:cs="宋体"/>
          <w:color w:val="auto"/>
          <w:highlight w:val="none"/>
        </w:rPr>
      </w:pPr>
    </w:p>
    <w:p w14:paraId="1D41283A">
      <w:pPr>
        <w:rPr>
          <w:rFonts w:hint="eastAsia" w:ascii="宋体" w:hAnsi="宋体" w:eastAsia="宋体" w:cs="宋体"/>
          <w:color w:val="auto"/>
          <w:highlight w:val="none"/>
        </w:rPr>
      </w:pPr>
    </w:p>
    <w:p w14:paraId="639C41C7">
      <w:pPr>
        <w:spacing w:line="360" w:lineRule="auto"/>
        <w:jc w:val="center"/>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rPr>
        <w:t>除磋商文件另有规定外，投标人认为需要提交的其他证明材料或资料加盖投标人的单位公章后应在此项下提交。</w:t>
      </w:r>
    </w:p>
    <w:p w14:paraId="7780C6F3">
      <w:pPr>
        <w:pStyle w:val="13"/>
        <w:spacing w:line="360" w:lineRule="auto"/>
        <w:jc w:val="center"/>
        <w:rPr>
          <w:rFonts w:hint="eastAsia" w:ascii="宋体" w:hAnsi="宋体" w:eastAsia="宋体" w:cs="宋体"/>
          <w:b/>
          <w:snapToGrid w:val="0"/>
          <w:color w:val="auto"/>
          <w:sz w:val="32"/>
          <w:szCs w:val="32"/>
          <w:highlight w:val="none"/>
        </w:rPr>
      </w:pPr>
    </w:p>
    <w:sectPr>
      <w:footerReference r:id="rId11" w:type="default"/>
      <w:pgSz w:w="11910" w:h="16840"/>
      <w:pgMar w:top="1600" w:right="760" w:bottom="1180" w:left="760" w:header="1374" w:footer="993"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44255">
    <w:pPr>
      <w:pStyle w:val="16"/>
      <w:widowControl w:val="0"/>
      <w:pBdr>
        <w:top w:val="none" w:color="auto" w:sz="0" w:space="1"/>
        <w:left w:val="none" w:color="auto" w:sz="0" w:space="4"/>
        <w:bottom w:val="none" w:color="auto" w:sz="0" w:space="1"/>
        <w:right w:val="none" w:color="auto" w:sz="0" w:space="4"/>
        <w:between w:val="none" w:color="auto" w:sz="0" w:space="0"/>
      </w:pBdr>
      <w:autoSpaceDE w:val="0"/>
      <w:autoSpaceDN w:val="0"/>
      <w:snapToGrid w:val="0"/>
      <w:ind w:right="360" w:rightChars="0"/>
      <w:rPr>
        <w:rStyle w:val="26"/>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22B6E">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2ADA">
    <w:pPr>
      <w:pStyle w:val="10"/>
      <w:spacing w:line="14" w:lineRule="auto"/>
      <w:rPr>
        <w:sz w:val="17"/>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9921240</wp:posOffset>
              </wp:positionV>
              <wp:extent cx="214630" cy="1524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214630" cy="152400"/>
                      </a:xfrm>
                      <a:prstGeom prst="rect">
                        <a:avLst/>
                      </a:prstGeom>
                      <a:noFill/>
                      <a:ln>
                        <a:noFill/>
                      </a:ln>
                      <a:effectLst/>
                    </wps:spPr>
                    <wps:txbx>
                      <w:txbxContent>
                        <w:p w14:paraId="4BA55F59">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24</w:t>
                          </w:r>
                          <w:r>
                            <w:fldChar w:fldCharType="end"/>
                          </w:r>
                          <w:r>
                            <w:rPr>
                              <w:rFonts w:ascii="Times New Roman"/>
                              <w:sz w:val="18"/>
                            </w:rPr>
                            <w:t xml:space="preserve"> -</w:t>
                          </w:r>
                        </w:p>
                      </w:txbxContent>
                    </wps:txbx>
                    <wps:bodyPr lIns="0" tIns="0" rIns="0" bIns="0" upright="1"/>
                  </wps:wsp>
                </a:graphicData>
              </a:graphic>
            </wp:anchor>
          </w:drawing>
        </mc:Choice>
        <mc:Fallback>
          <w:pict>
            <v:shape id="文本框 2" o:spid="_x0000_s1026" o:spt="202" type="#_x0000_t202" style="position:absolute;left:0pt;margin-top:781.2pt;height:12pt;width:16.9pt;mso-position-horizontal:center;mso-position-horizontal-relative:margin;mso-position-vertical-relative:page;z-index:251660288;mso-width-relative:page;mso-height-relative:page;" filled="f" stroked="f" coordsize="21600,21600" o:gfxdata="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M+99DXAAAACQEAAA8AAAAAAAAAAQAgAAAAIgAAAGRycy9kb3ducmV2LnhtbFBL&#10;AQIUABQAAAAIAIdO4kDns00WvgEAAIADAAAOAAAAAAAAAAEAIAAAACYBAABkcnMvZTJvRG9jLnht&#10;bFBLBQYAAAAABgAGAFkBAABWBQAAAAA=&#10;">
              <v:fill on="f" focussize="0,0"/>
              <v:stroke on="f"/>
              <v:imagedata o:title=""/>
              <o:lock v:ext="edit" aspectratio="f"/>
              <v:textbox inset="0mm,0mm,0mm,0mm">
                <w:txbxContent>
                  <w:p w14:paraId="4BA55F59">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24</w:t>
                    </w:r>
                    <w:r>
                      <w:fldChar w:fldCharType="end"/>
                    </w:r>
                    <w:r>
                      <w:rPr>
                        <w:rFonts w:ascii="Times New Roman"/>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93056">
    <w:pPr>
      <w:spacing w:line="188" w:lineRule="auto"/>
      <w:jc w:val="right"/>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D4718">
                          <w:pPr>
                            <w:pStyle w:val="1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8D4718">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5BD90">
    <w:pPr>
      <w:pStyle w:val="10"/>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9921240</wp:posOffset>
              </wp:positionV>
              <wp:extent cx="272415" cy="152400"/>
              <wp:effectExtent l="0" t="0" r="0" b="0"/>
              <wp:wrapNone/>
              <wp:docPr id="14" name="文本框 5"/>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a:effectLst/>
                    </wps:spPr>
                    <wps:txbx>
                      <w:txbxContent>
                        <w:p w14:paraId="0813F3C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46</w:t>
                          </w:r>
                          <w:r>
                            <w:fldChar w:fldCharType="end"/>
                          </w:r>
                          <w:r>
                            <w:rPr>
                              <w:rFonts w:ascii="Times New Roman"/>
                              <w:sz w:val="18"/>
                            </w:rPr>
                            <w:t xml:space="preserve"> -</w:t>
                          </w:r>
                        </w:p>
                      </w:txbxContent>
                    </wps:txbx>
                    <wps:bodyPr lIns="0" tIns="0" rIns="0" bIns="0" upright="1"/>
                  </wps:wsp>
                </a:graphicData>
              </a:graphic>
            </wp:anchor>
          </w:drawing>
        </mc:Choice>
        <mc:Fallback>
          <w:pict>
            <v:shape id="文本框 5" o:spid="_x0000_s1026" o:spt="202" type="#_x0000_t202" style="position:absolute;left:0pt;margin-top:781.2pt;height:12pt;width:21.45pt;mso-position-horizontal:center;mso-position-horizontal-relative:margin;mso-position-vertical-relative:page;z-index:251661312;mso-width-relative:page;mso-height-relative:page;" filled="f" stroked="f" coordsize="21600,21600" o:gfxdata="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nien1wAAAAkBAAAPAAAAAAAAAAEAIAAAACIAAABkcnMvZG93bnJldi54bWxQ&#10;SwECFAAUAAAACACHTuJAJJ3pX78BAACAAwAADgAAAAAAAAABACAAAAAmAQAAZHJzL2Uyb0RvYy54&#10;bWxQSwUGAAAAAAYABgBZAQAAVwUAAAAA&#10;">
              <v:fill on="f" focussize="0,0"/>
              <v:stroke on="f"/>
              <v:imagedata o:title=""/>
              <o:lock v:ext="edit" aspectratio="f"/>
              <v:textbox inset="0mm,0mm,0mm,0mm">
                <w:txbxContent>
                  <w:p w14:paraId="0813F3C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46</w:t>
                    </w:r>
                    <w:r>
                      <w:fldChar w:fldCharType="end"/>
                    </w:r>
                    <w:r>
                      <w:rPr>
                        <w:rFonts w:ascii="Times New Roman"/>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2CD5">
    <w:pPr>
      <w:spacing w:line="360" w:lineRule="auto"/>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56B7">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D433">
    <w:pPr>
      <w:pStyle w:val="17"/>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10705">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3135630</wp:posOffset>
              </wp:positionH>
              <wp:positionV relativeFrom="page">
                <wp:posOffset>859155</wp:posOffset>
              </wp:positionV>
              <wp:extent cx="1244600" cy="177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244600" cy="177800"/>
                      </a:xfrm>
                      <a:prstGeom prst="rect">
                        <a:avLst/>
                      </a:prstGeom>
                      <a:noFill/>
                      <a:ln>
                        <a:noFill/>
                      </a:ln>
                      <a:effectLst/>
                    </wps:spPr>
                    <wps:txbx>
                      <w:txbxContent>
                        <w:p w14:paraId="0EEC6282">
                          <w:pPr>
                            <w:pStyle w:val="10"/>
                            <w:tabs>
                              <w:tab w:val="left" w:pos="739"/>
                              <w:tab w:val="left" w:pos="1459"/>
                            </w:tabs>
                            <w:spacing w:line="280" w:lineRule="exact"/>
                            <w:rPr>
                              <w:rFonts w:ascii="宋体" w:eastAsia="宋体"/>
                            </w:rPr>
                          </w:pPr>
                        </w:p>
                      </w:txbxContent>
                    </wps:txbx>
                    <wps:bodyPr lIns="0" tIns="0" rIns="0" bIns="0" upright="1"/>
                  </wps:wsp>
                </a:graphicData>
              </a:graphic>
            </wp:anchor>
          </w:drawing>
        </mc:Choice>
        <mc:Fallback>
          <w:pict>
            <v:shape id="文本框 1" o:spid="_x0000_s1026" o:spt="202" type="#_x0000_t202" style="position:absolute;left:0pt;margin-left:246.9pt;margin-top:67.65pt;height:14pt;width:98pt;mso-position-horizontal-relative:page;mso-position-vertical-relative:page;z-index:-251657216;mso-width-relative:page;mso-height-relative:page;" filled="f" stroked="f" coordsize="21600,21600" o:gfxdata="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R5F+2QAAAAsBAAAPAAAAAAAAAAEAIAAAACIAAABkcnMvZG93bnJldi54bWxQ&#10;SwECFAAUAAAACACHTuJAP+ZCmr0BAACBAwAADgAAAAAAAAABACAAAAAoAQAAZHJzL2Uyb0RvYy54&#10;bWxQSwUGAAAAAAYABgBZAQAAVwUAAAAA&#10;">
              <v:fill on="f" focussize="0,0"/>
              <v:stroke on="f"/>
              <v:imagedata o:title=""/>
              <o:lock v:ext="edit" aspectratio="f"/>
              <v:textbox inset="0mm,0mm,0mm,0mm">
                <w:txbxContent>
                  <w:p w14:paraId="0EEC6282">
                    <w:pPr>
                      <w:pStyle w:val="10"/>
                      <w:tabs>
                        <w:tab w:val="left" w:pos="739"/>
                        <w:tab w:val="left" w:pos="1459"/>
                      </w:tabs>
                      <w:spacing w:line="280" w:lineRule="exact"/>
                      <w:rPr>
                        <w:rFonts w:ascii="宋体" w:eastAsia="宋体"/>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E9D9B"/>
    <w:multiLevelType w:val="singleLevel"/>
    <w:tmpl w:val="D72E9D9B"/>
    <w:lvl w:ilvl="0" w:tentative="0">
      <w:start w:val="24"/>
      <w:numFmt w:val="decimal"/>
      <w:suff w:val="nothing"/>
      <w:lvlText w:val="%1、"/>
      <w:lvlJc w:val="left"/>
    </w:lvl>
  </w:abstractNum>
  <w:abstractNum w:abstractNumId="1">
    <w:nsid w:val="71ED386F"/>
    <w:multiLevelType w:val="singleLevel"/>
    <w:tmpl w:val="71ED386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NWQ3NjMwMjg1OTdlZTg4ODU5OTM5NTJmMmM2ZWYifQ=="/>
  </w:docVars>
  <w:rsids>
    <w:rsidRoot w:val="00172A27"/>
    <w:rsid w:val="0004507C"/>
    <w:rsid w:val="00092F76"/>
    <w:rsid w:val="000D1564"/>
    <w:rsid w:val="000E0F0A"/>
    <w:rsid w:val="000E6738"/>
    <w:rsid w:val="0013673F"/>
    <w:rsid w:val="00172A27"/>
    <w:rsid w:val="001A2595"/>
    <w:rsid w:val="001C6203"/>
    <w:rsid w:val="001D228D"/>
    <w:rsid w:val="001D494F"/>
    <w:rsid w:val="00264260"/>
    <w:rsid w:val="00283D89"/>
    <w:rsid w:val="002B005C"/>
    <w:rsid w:val="002C17BC"/>
    <w:rsid w:val="002C75FD"/>
    <w:rsid w:val="002E00E1"/>
    <w:rsid w:val="002F265B"/>
    <w:rsid w:val="00352282"/>
    <w:rsid w:val="00380467"/>
    <w:rsid w:val="003E31A7"/>
    <w:rsid w:val="00402425"/>
    <w:rsid w:val="00440A5F"/>
    <w:rsid w:val="004526AD"/>
    <w:rsid w:val="004C5B68"/>
    <w:rsid w:val="004E1FE5"/>
    <w:rsid w:val="00533C9A"/>
    <w:rsid w:val="005869D0"/>
    <w:rsid w:val="00592B8E"/>
    <w:rsid w:val="005A5A0F"/>
    <w:rsid w:val="005B7995"/>
    <w:rsid w:val="005C597F"/>
    <w:rsid w:val="005E6D95"/>
    <w:rsid w:val="005F13D4"/>
    <w:rsid w:val="0061585B"/>
    <w:rsid w:val="006239E3"/>
    <w:rsid w:val="00626C54"/>
    <w:rsid w:val="00630F15"/>
    <w:rsid w:val="006869CC"/>
    <w:rsid w:val="006A3EF9"/>
    <w:rsid w:val="006A4D36"/>
    <w:rsid w:val="006B294F"/>
    <w:rsid w:val="00743FEA"/>
    <w:rsid w:val="00752A05"/>
    <w:rsid w:val="007A2BEB"/>
    <w:rsid w:val="00847BD4"/>
    <w:rsid w:val="00887054"/>
    <w:rsid w:val="008A0203"/>
    <w:rsid w:val="00971055"/>
    <w:rsid w:val="00976BEC"/>
    <w:rsid w:val="009C6859"/>
    <w:rsid w:val="00A127A1"/>
    <w:rsid w:val="00A178C3"/>
    <w:rsid w:val="00A57BFD"/>
    <w:rsid w:val="00A70D32"/>
    <w:rsid w:val="00A95553"/>
    <w:rsid w:val="00AA6B37"/>
    <w:rsid w:val="00BA73AD"/>
    <w:rsid w:val="00BE0008"/>
    <w:rsid w:val="00C06639"/>
    <w:rsid w:val="00C4737E"/>
    <w:rsid w:val="00C778DD"/>
    <w:rsid w:val="00CC15A4"/>
    <w:rsid w:val="00D33D43"/>
    <w:rsid w:val="00E227FB"/>
    <w:rsid w:val="00E35D23"/>
    <w:rsid w:val="00E46555"/>
    <w:rsid w:val="00E80370"/>
    <w:rsid w:val="00E94E57"/>
    <w:rsid w:val="00F15BFB"/>
    <w:rsid w:val="00F44C27"/>
    <w:rsid w:val="00F44E10"/>
    <w:rsid w:val="00F71914"/>
    <w:rsid w:val="00F80B1C"/>
    <w:rsid w:val="01A41948"/>
    <w:rsid w:val="01D650A4"/>
    <w:rsid w:val="022B3775"/>
    <w:rsid w:val="02447174"/>
    <w:rsid w:val="02553880"/>
    <w:rsid w:val="02860580"/>
    <w:rsid w:val="02C55257"/>
    <w:rsid w:val="02D03B85"/>
    <w:rsid w:val="03231B33"/>
    <w:rsid w:val="03353615"/>
    <w:rsid w:val="036755CD"/>
    <w:rsid w:val="03BD58AF"/>
    <w:rsid w:val="03C21DFE"/>
    <w:rsid w:val="04F04544"/>
    <w:rsid w:val="053A13B6"/>
    <w:rsid w:val="05852ACF"/>
    <w:rsid w:val="059E41B9"/>
    <w:rsid w:val="05A36C4F"/>
    <w:rsid w:val="05AF591B"/>
    <w:rsid w:val="06510766"/>
    <w:rsid w:val="0656541B"/>
    <w:rsid w:val="06FA456F"/>
    <w:rsid w:val="072F0102"/>
    <w:rsid w:val="07703B81"/>
    <w:rsid w:val="0775743D"/>
    <w:rsid w:val="077C69D9"/>
    <w:rsid w:val="07F669D2"/>
    <w:rsid w:val="088D09B7"/>
    <w:rsid w:val="089F5BBE"/>
    <w:rsid w:val="08B13D0F"/>
    <w:rsid w:val="090C78EC"/>
    <w:rsid w:val="0942549F"/>
    <w:rsid w:val="095B22DE"/>
    <w:rsid w:val="099C2B1E"/>
    <w:rsid w:val="09EF6C13"/>
    <w:rsid w:val="0A2914DB"/>
    <w:rsid w:val="0AB17A25"/>
    <w:rsid w:val="0AFF7760"/>
    <w:rsid w:val="0B4D491F"/>
    <w:rsid w:val="0B4E7969"/>
    <w:rsid w:val="0C811890"/>
    <w:rsid w:val="0C827290"/>
    <w:rsid w:val="0C92502B"/>
    <w:rsid w:val="0D2C2847"/>
    <w:rsid w:val="0DE772CD"/>
    <w:rsid w:val="0DFB3F57"/>
    <w:rsid w:val="0E1476B3"/>
    <w:rsid w:val="0ED829AB"/>
    <w:rsid w:val="0EFD4CE6"/>
    <w:rsid w:val="0F5B0636"/>
    <w:rsid w:val="104A09F1"/>
    <w:rsid w:val="10D6181D"/>
    <w:rsid w:val="115B2DE0"/>
    <w:rsid w:val="11C21523"/>
    <w:rsid w:val="11EF2AC8"/>
    <w:rsid w:val="12335992"/>
    <w:rsid w:val="1238739B"/>
    <w:rsid w:val="128A5913"/>
    <w:rsid w:val="12BC2940"/>
    <w:rsid w:val="12C00C0B"/>
    <w:rsid w:val="12F64468"/>
    <w:rsid w:val="1333393D"/>
    <w:rsid w:val="13436A8B"/>
    <w:rsid w:val="136B6FEA"/>
    <w:rsid w:val="13767B80"/>
    <w:rsid w:val="14F97CDA"/>
    <w:rsid w:val="16414DD5"/>
    <w:rsid w:val="166A59B6"/>
    <w:rsid w:val="168C7CF0"/>
    <w:rsid w:val="169400CC"/>
    <w:rsid w:val="16BE63A2"/>
    <w:rsid w:val="17002880"/>
    <w:rsid w:val="170463B0"/>
    <w:rsid w:val="174F631F"/>
    <w:rsid w:val="17710C68"/>
    <w:rsid w:val="177E5132"/>
    <w:rsid w:val="17836BED"/>
    <w:rsid w:val="181C30F5"/>
    <w:rsid w:val="1851700A"/>
    <w:rsid w:val="187C3F54"/>
    <w:rsid w:val="18C44892"/>
    <w:rsid w:val="192C10E1"/>
    <w:rsid w:val="196A1933"/>
    <w:rsid w:val="19723A29"/>
    <w:rsid w:val="19836A95"/>
    <w:rsid w:val="198F1879"/>
    <w:rsid w:val="19C3433B"/>
    <w:rsid w:val="1A0D0F84"/>
    <w:rsid w:val="1A23410F"/>
    <w:rsid w:val="1AEF44AC"/>
    <w:rsid w:val="1B2321D1"/>
    <w:rsid w:val="1C333EE5"/>
    <w:rsid w:val="1CCC6940"/>
    <w:rsid w:val="1CE0767E"/>
    <w:rsid w:val="1CF11BCE"/>
    <w:rsid w:val="1CFF6FC4"/>
    <w:rsid w:val="1D1475A2"/>
    <w:rsid w:val="1D711CFC"/>
    <w:rsid w:val="1DE45B51"/>
    <w:rsid w:val="1E4861D9"/>
    <w:rsid w:val="1E51509D"/>
    <w:rsid w:val="1E562965"/>
    <w:rsid w:val="1EE74C3C"/>
    <w:rsid w:val="1F346382"/>
    <w:rsid w:val="1F760AFB"/>
    <w:rsid w:val="1FAE2454"/>
    <w:rsid w:val="2000225A"/>
    <w:rsid w:val="213B2D65"/>
    <w:rsid w:val="218163D2"/>
    <w:rsid w:val="2187746B"/>
    <w:rsid w:val="21DF4722"/>
    <w:rsid w:val="22441482"/>
    <w:rsid w:val="224B398F"/>
    <w:rsid w:val="22845EEF"/>
    <w:rsid w:val="22C95D39"/>
    <w:rsid w:val="237916E1"/>
    <w:rsid w:val="23C929BE"/>
    <w:rsid w:val="23F540C8"/>
    <w:rsid w:val="240307D7"/>
    <w:rsid w:val="24BD28C9"/>
    <w:rsid w:val="24DC5F48"/>
    <w:rsid w:val="25C12F0C"/>
    <w:rsid w:val="26454026"/>
    <w:rsid w:val="26CD532A"/>
    <w:rsid w:val="273B094A"/>
    <w:rsid w:val="274B0A37"/>
    <w:rsid w:val="27DB1EE5"/>
    <w:rsid w:val="280B7F83"/>
    <w:rsid w:val="28516620"/>
    <w:rsid w:val="286C485E"/>
    <w:rsid w:val="28E17AE1"/>
    <w:rsid w:val="29001C83"/>
    <w:rsid w:val="29051C01"/>
    <w:rsid w:val="294F0070"/>
    <w:rsid w:val="295A7643"/>
    <w:rsid w:val="29F94728"/>
    <w:rsid w:val="2A170DF1"/>
    <w:rsid w:val="2A884345"/>
    <w:rsid w:val="2A8B320E"/>
    <w:rsid w:val="2A9209BE"/>
    <w:rsid w:val="2B390A1B"/>
    <w:rsid w:val="2B920D55"/>
    <w:rsid w:val="2B9B4450"/>
    <w:rsid w:val="2BC65A83"/>
    <w:rsid w:val="2BDD3873"/>
    <w:rsid w:val="2C072C15"/>
    <w:rsid w:val="2C812012"/>
    <w:rsid w:val="2C846AB1"/>
    <w:rsid w:val="2D3D12EC"/>
    <w:rsid w:val="2D605160"/>
    <w:rsid w:val="2DB31B82"/>
    <w:rsid w:val="2DC1494F"/>
    <w:rsid w:val="2DCC0D91"/>
    <w:rsid w:val="2E3D39C4"/>
    <w:rsid w:val="2ECF1F82"/>
    <w:rsid w:val="2EE422FA"/>
    <w:rsid w:val="2F0834F6"/>
    <w:rsid w:val="2FB24AE6"/>
    <w:rsid w:val="2FB71394"/>
    <w:rsid w:val="300D1475"/>
    <w:rsid w:val="302809C9"/>
    <w:rsid w:val="30347922"/>
    <w:rsid w:val="30503F28"/>
    <w:rsid w:val="30D3000B"/>
    <w:rsid w:val="30F61D87"/>
    <w:rsid w:val="31155262"/>
    <w:rsid w:val="3179094B"/>
    <w:rsid w:val="31A17F44"/>
    <w:rsid w:val="322C5A5F"/>
    <w:rsid w:val="323B48C5"/>
    <w:rsid w:val="323D1A1A"/>
    <w:rsid w:val="324F174E"/>
    <w:rsid w:val="32535641"/>
    <w:rsid w:val="32764234"/>
    <w:rsid w:val="32B12AA7"/>
    <w:rsid w:val="32BC75BF"/>
    <w:rsid w:val="32C91B00"/>
    <w:rsid w:val="32F458A7"/>
    <w:rsid w:val="33073B68"/>
    <w:rsid w:val="33D61975"/>
    <w:rsid w:val="340A266A"/>
    <w:rsid w:val="34362B7A"/>
    <w:rsid w:val="34580F38"/>
    <w:rsid w:val="34585F22"/>
    <w:rsid w:val="349D4154"/>
    <w:rsid w:val="34C55794"/>
    <w:rsid w:val="35417CF3"/>
    <w:rsid w:val="35DE13F5"/>
    <w:rsid w:val="364A0AEA"/>
    <w:rsid w:val="36C40880"/>
    <w:rsid w:val="36CE7087"/>
    <w:rsid w:val="36DE202A"/>
    <w:rsid w:val="36ED0FE8"/>
    <w:rsid w:val="377B0B00"/>
    <w:rsid w:val="37907952"/>
    <w:rsid w:val="37E56235"/>
    <w:rsid w:val="38996594"/>
    <w:rsid w:val="38AC2164"/>
    <w:rsid w:val="38D757AA"/>
    <w:rsid w:val="397E28B0"/>
    <w:rsid w:val="3A045E8F"/>
    <w:rsid w:val="3A5D3036"/>
    <w:rsid w:val="3A5F0676"/>
    <w:rsid w:val="3A742F22"/>
    <w:rsid w:val="3ABA51BE"/>
    <w:rsid w:val="3AD570D4"/>
    <w:rsid w:val="3B2E441E"/>
    <w:rsid w:val="3B8406BA"/>
    <w:rsid w:val="3BB62E0D"/>
    <w:rsid w:val="3BC30899"/>
    <w:rsid w:val="3C246F67"/>
    <w:rsid w:val="3C3A3A0C"/>
    <w:rsid w:val="3C3F0A85"/>
    <w:rsid w:val="3C5D7384"/>
    <w:rsid w:val="3CAE1E5D"/>
    <w:rsid w:val="3CB7031D"/>
    <w:rsid w:val="3CD94A35"/>
    <w:rsid w:val="3D242BC3"/>
    <w:rsid w:val="3DA90AAA"/>
    <w:rsid w:val="3E0155A7"/>
    <w:rsid w:val="3E210BD6"/>
    <w:rsid w:val="3E645EEC"/>
    <w:rsid w:val="3EA3354D"/>
    <w:rsid w:val="3F5D5E49"/>
    <w:rsid w:val="3FCA54BF"/>
    <w:rsid w:val="3FF97B56"/>
    <w:rsid w:val="401515CD"/>
    <w:rsid w:val="40345505"/>
    <w:rsid w:val="407367A9"/>
    <w:rsid w:val="410A1C14"/>
    <w:rsid w:val="410F7087"/>
    <w:rsid w:val="41325AE6"/>
    <w:rsid w:val="41396B5F"/>
    <w:rsid w:val="414E3665"/>
    <w:rsid w:val="415E144E"/>
    <w:rsid w:val="41BE6808"/>
    <w:rsid w:val="41E41EB2"/>
    <w:rsid w:val="4231059E"/>
    <w:rsid w:val="42973208"/>
    <w:rsid w:val="42A72EE0"/>
    <w:rsid w:val="42D0605E"/>
    <w:rsid w:val="430C77DD"/>
    <w:rsid w:val="434221FB"/>
    <w:rsid w:val="434D3A87"/>
    <w:rsid w:val="439C57E6"/>
    <w:rsid w:val="43B57480"/>
    <w:rsid w:val="44542820"/>
    <w:rsid w:val="44E35950"/>
    <w:rsid w:val="458E7240"/>
    <w:rsid w:val="459D2A21"/>
    <w:rsid w:val="46610E69"/>
    <w:rsid w:val="46B51450"/>
    <w:rsid w:val="479E65D7"/>
    <w:rsid w:val="47C702AC"/>
    <w:rsid w:val="47DB6246"/>
    <w:rsid w:val="485744E0"/>
    <w:rsid w:val="48E5275C"/>
    <w:rsid w:val="49734E2A"/>
    <w:rsid w:val="49C24FF0"/>
    <w:rsid w:val="4A434804"/>
    <w:rsid w:val="4A48017E"/>
    <w:rsid w:val="4A5A305D"/>
    <w:rsid w:val="4A704AD1"/>
    <w:rsid w:val="4ABB39CC"/>
    <w:rsid w:val="4AD41253"/>
    <w:rsid w:val="4AD7485A"/>
    <w:rsid w:val="4B616FAC"/>
    <w:rsid w:val="4C00629C"/>
    <w:rsid w:val="4C3E2513"/>
    <w:rsid w:val="4C815CB4"/>
    <w:rsid w:val="4CDF172A"/>
    <w:rsid w:val="4D0D337A"/>
    <w:rsid w:val="4D2F582F"/>
    <w:rsid w:val="4DCC1F5F"/>
    <w:rsid w:val="4DDF6FBC"/>
    <w:rsid w:val="4E034BF1"/>
    <w:rsid w:val="4E1315E1"/>
    <w:rsid w:val="4E175D95"/>
    <w:rsid w:val="4EA82C28"/>
    <w:rsid w:val="4EB07DE8"/>
    <w:rsid w:val="4ED52FC3"/>
    <w:rsid w:val="4F0D4C68"/>
    <w:rsid w:val="4F425BC5"/>
    <w:rsid w:val="4FB91048"/>
    <w:rsid w:val="4FBC25A5"/>
    <w:rsid w:val="512F4CE6"/>
    <w:rsid w:val="51405D3F"/>
    <w:rsid w:val="514D18D4"/>
    <w:rsid w:val="51622DF4"/>
    <w:rsid w:val="521A722A"/>
    <w:rsid w:val="521D5A2C"/>
    <w:rsid w:val="5293607C"/>
    <w:rsid w:val="53460331"/>
    <w:rsid w:val="5389004A"/>
    <w:rsid w:val="54260F93"/>
    <w:rsid w:val="54503A00"/>
    <w:rsid w:val="54596730"/>
    <w:rsid w:val="5515098F"/>
    <w:rsid w:val="55707B7B"/>
    <w:rsid w:val="55C11EEC"/>
    <w:rsid w:val="55C7712C"/>
    <w:rsid w:val="565D66C9"/>
    <w:rsid w:val="56987000"/>
    <w:rsid w:val="56A03D2D"/>
    <w:rsid w:val="56A95F4C"/>
    <w:rsid w:val="56AD2D63"/>
    <w:rsid w:val="56C1016A"/>
    <w:rsid w:val="56E463FC"/>
    <w:rsid w:val="575C52E3"/>
    <w:rsid w:val="57F347A6"/>
    <w:rsid w:val="5829466B"/>
    <w:rsid w:val="586B607F"/>
    <w:rsid w:val="58F22B43"/>
    <w:rsid w:val="591C68A9"/>
    <w:rsid w:val="597F7BCF"/>
    <w:rsid w:val="5A442B1D"/>
    <w:rsid w:val="5B1C2265"/>
    <w:rsid w:val="5B534558"/>
    <w:rsid w:val="5B591D3C"/>
    <w:rsid w:val="5B771B1B"/>
    <w:rsid w:val="5B80150C"/>
    <w:rsid w:val="5BEB748A"/>
    <w:rsid w:val="5C3340C4"/>
    <w:rsid w:val="5C720D24"/>
    <w:rsid w:val="5C7563F8"/>
    <w:rsid w:val="5D647EF4"/>
    <w:rsid w:val="5D6F2B20"/>
    <w:rsid w:val="5D783376"/>
    <w:rsid w:val="5DC46830"/>
    <w:rsid w:val="5DDA1288"/>
    <w:rsid w:val="5E231B5D"/>
    <w:rsid w:val="5E4C45CE"/>
    <w:rsid w:val="5E5341E5"/>
    <w:rsid w:val="5EAF16CE"/>
    <w:rsid w:val="5EF57697"/>
    <w:rsid w:val="5F3C2AC7"/>
    <w:rsid w:val="5F87193E"/>
    <w:rsid w:val="5FE7139D"/>
    <w:rsid w:val="60593063"/>
    <w:rsid w:val="608337E2"/>
    <w:rsid w:val="60A07F33"/>
    <w:rsid w:val="60D65197"/>
    <w:rsid w:val="60DB34D6"/>
    <w:rsid w:val="610C1FE5"/>
    <w:rsid w:val="611D7185"/>
    <w:rsid w:val="612805F3"/>
    <w:rsid w:val="612B1454"/>
    <w:rsid w:val="614A3EE8"/>
    <w:rsid w:val="61D11B17"/>
    <w:rsid w:val="621E0008"/>
    <w:rsid w:val="627A1CCB"/>
    <w:rsid w:val="62E9274A"/>
    <w:rsid w:val="635B5E44"/>
    <w:rsid w:val="63AD5F50"/>
    <w:rsid w:val="63D86D64"/>
    <w:rsid w:val="63E64326"/>
    <w:rsid w:val="64361EE4"/>
    <w:rsid w:val="64D534FD"/>
    <w:rsid w:val="65A6262A"/>
    <w:rsid w:val="66084E99"/>
    <w:rsid w:val="66156689"/>
    <w:rsid w:val="66E32BEC"/>
    <w:rsid w:val="67066094"/>
    <w:rsid w:val="674B68E6"/>
    <w:rsid w:val="67AB537B"/>
    <w:rsid w:val="68327695"/>
    <w:rsid w:val="6860013C"/>
    <w:rsid w:val="68A57E71"/>
    <w:rsid w:val="68BD3254"/>
    <w:rsid w:val="68DE26D2"/>
    <w:rsid w:val="69694C1F"/>
    <w:rsid w:val="69BB5904"/>
    <w:rsid w:val="69E44896"/>
    <w:rsid w:val="6A353E2E"/>
    <w:rsid w:val="6AA36784"/>
    <w:rsid w:val="6ACD6195"/>
    <w:rsid w:val="6AE82744"/>
    <w:rsid w:val="6B652962"/>
    <w:rsid w:val="6BBE6DFF"/>
    <w:rsid w:val="6C8E352B"/>
    <w:rsid w:val="6CAF01E2"/>
    <w:rsid w:val="6CDB0FDE"/>
    <w:rsid w:val="6CE7684D"/>
    <w:rsid w:val="6D0F1B70"/>
    <w:rsid w:val="6D453E26"/>
    <w:rsid w:val="6D485073"/>
    <w:rsid w:val="6D5A101B"/>
    <w:rsid w:val="6D8C38B2"/>
    <w:rsid w:val="6DB427D1"/>
    <w:rsid w:val="6DC86755"/>
    <w:rsid w:val="6EB55E9D"/>
    <w:rsid w:val="6EDB2C83"/>
    <w:rsid w:val="6EE1347E"/>
    <w:rsid w:val="6EE6509B"/>
    <w:rsid w:val="6F6454C9"/>
    <w:rsid w:val="6F8A1A3C"/>
    <w:rsid w:val="6F9566CA"/>
    <w:rsid w:val="700F4F4E"/>
    <w:rsid w:val="702E2B60"/>
    <w:rsid w:val="70330D97"/>
    <w:rsid w:val="70395A3E"/>
    <w:rsid w:val="70D80201"/>
    <w:rsid w:val="70F65525"/>
    <w:rsid w:val="711A1077"/>
    <w:rsid w:val="719D7CB3"/>
    <w:rsid w:val="71DA2E10"/>
    <w:rsid w:val="71E80C9B"/>
    <w:rsid w:val="72030DFD"/>
    <w:rsid w:val="72EA3F1E"/>
    <w:rsid w:val="74CA734F"/>
    <w:rsid w:val="74F07BE0"/>
    <w:rsid w:val="75392853"/>
    <w:rsid w:val="753A35BC"/>
    <w:rsid w:val="75683ED1"/>
    <w:rsid w:val="75796B9C"/>
    <w:rsid w:val="76067942"/>
    <w:rsid w:val="76445BA1"/>
    <w:rsid w:val="76890319"/>
    <w:rsid w:val="76A9501E"/>
    <w:rsid w:val="76E2215D"/>
    <w:rsid w:val="777E1618"/>
    <w:rsid w:val="77933692"/>
    <w:rsid w:val="77ED700C"/>
    <w:rsid w:val="786B72CF"/>
    <w:rsid w:val="7894046F"/>
    <w:rsid w:val="78E67853"/>
    <w:rsid w:val="79552201"/>
    <w:rsid w:val="79993FC5"/>
    <w:rsid w:val="7AD56EBB"/>
    <w:rsid w:val="7BCE0F02"/>
    <w:rsid w:val="7C2517B5"/>
    <w:rsid w:val="7C5307D2"/>
    <w:rsid w:val="7C750B9F"/>
    <w:rsid w:val="7CED6D4B"/>
    <w:rsid w:val="7D6B336B"/>
    <w:rsid w:val="7DD67A8A"/>
    <w:rsid w:val="7E057468"/>
    <w:rsid w:val="7E370F41"/>
    <w:rsid w:val="7E4530F4"/>
    <w:rsid w:val="7E8A6DEF"/>
    <w:rsid w:val="7F0E38C7"/>
    <w:rsid w:val="7F6320F4"/>
    <w:rsid w:val="7F692F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67" w:right="67"/>
      <w:jc w:val="center"/>
      <w:outlineLvl w:val="0"/>
    </w:pPr>
    <w:rPr>
      <w:b/>
      <w:bCs/>
      <w:sz w:val="52"/>
      <w:szCs w:val="52"/>
    </w:rPr>
  </w:style>
  <w:style w:type="paragraph" w:styleId="3">
    <w:name w:val="heading 2"/>
    <w:basedOn w:val="1"/>
    <w:next w:val="1"/>
    <w:qFormat/>
    <w:uiPriority w:val="1"/>
    <w:pPr>
      <w:spacing w:line="585" w:lineRule="exact"/>
      <w:ind w:right="67"/>
      <w:jc w:val="center"/>
      <w:outlineLvl w:val="1"/>
    </w:pPr>
    <w:rPr>
      <w:b/>
      <w:bCs/>
      <w:sz w:val="32"/>
      <w:szCs w:val="32"/>
    </w:rPr>
  </w:style>
  <w:style w:type="paragraph" w:styleId="4">
    <w:name w:val="heading 3"/>
    <w:basedOn w:val="1"/>
    <w:next w:val="1"/>
    <w:qFormat/>
    <w:uiPriority w:val="1"/>
    <w:pPr>
      <w:ind w:left="530"/>
      <w:jc w:val="center"/>
      <w:outlineLvl w:val="2"/>
    </w:pPr>
    <w:rPr>
      <w:b/>
      <w:bCs/>
      <w:sz w:val="30"/>
      <w:szCs w:val="30"/>
    </w:rPr>
  </w:style>
  <w:style w:type="paragraph" w:styleId="5">
    <w:name w:val="heading 4"/>
    <w:basedOn w:val="1"/>
    <w:next w:val="1"/>
    <w:autoRedefine/>
    <w:qFormat/>
    <w:uiPriority w:val="1"/>
    <w:pPr>
      <w:ind w:left="908"/>
      <w:outlineLvl w:val="3"/>
    </w:pPr>
    <w:rPr>
      <w:b/>
      <w:bCs/>
      <w:sz w:val="24"/>
      <w:szCs w:val="24"/>
    </w:rPr>
  </w:style>
  <w:style w:type="paragraph" w:styleId="6">
    <w:name w:val="heading 5"/>
    <w:basedOn w:val="1"/>
    <w:next w:val="1"/>
    <w:autoRedefine/>
    <w:qFormat/>
    <w:uiPriority w:val="1"/>
    <w:pPr>
      <w:ind w:left="623"/>
      <w:outlineLvl w:val="4"/>
    </w:pPr>
    <w:rPr>
      <w:rFonts w:ascii="宋体" w:hAnsi="宋体" w:eastAsia="宋体" w:cs="宋体"/>
      <w:i/>
      <w:u w:val="single" w:color="000000"/>
    </w:rPr>
  </w:style>
  <w:style w:type="paragraph" w:styleId="7">
    <w:name w:val="heading 6"/>
    <w:basedOn w:val="1"/>
    <w:next w:val="1"/>
    <w:autoRedefine/>
    <w:qFormat/>
    <w:uiPriority w:val="1"/>
    <w:pPr>
      <w:ind w:left="1044" w:hanging="420"/>
      <w:outlineLvl w:val="6"/>
    </w:pPr>
    <w:rPr>
      <w:rFonts w:ascii="宋体" w:hAnsi="宋体" w:eastAsia="宋体" w:cs="宋体"/>
      <w:b/>
      <w:bCs/>
      <w:sz w:val="21"/>
      <w:szCs w:val="21"/>
      <w:lang w:val="zh-CN" w:eastAsia="zh-CN" w:bidi="zh-CN"/>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Body Text"/>
    <w:basedOn w:val="1"/>
    <w:autoRedefine/>
    <w:qFormat/>
    <w:uiPriority w:val="1"/>
    <w:rPr>
      <w:sz w:val="24"/>
      <w:szCs w:val="24"/>
    </w:rPr>
  </w:style>
  <w:style w:type="paragraph" w:styleId="11">
    <w:name w:val="Body Text Indent"/>
    <w:basedOn w:val="1"/>
    <w:autoRedefine/>
    <w:qFormat/>
    <w:uiPriority w:val="0"/>
    <w:pPr>
      <w:spacing w:after="120"/>
      <w:ind w:left="420" w:leftChars="200"/>
    </w:pPr>
    <w:rPr>
      <w:rFonts w:ascii="Calibri" w:hAnsi="Calibri" w:cs="Times New Roman"/>
      <w:szCs w:val="24"/>
    </w:rPr>
  </w:style>
  <w:style w:type="paragraph" w:styleId="12">
    <w:name w:val="Block Text"/>
    <w:basedOn w:val="1"/>
    <w:autoRedefine/>
    <w:unhideWhenUsed/>
    <w:qFormat/>
    <w:uiPriority w:val="99"/>
    <w:pPr>
      <w:spacing w:after="120"/>
      <w:ind w:left="1440" w:leftChars="700" w:right="1440" w:rightChars="700"/>
    </w:pPr>
  </w:style>
  <w:style w:type="paragraph" w:styleId="13">
    <w:name w:val="Plain Text"/>
    <w:basedOn w:val="1"/>
    <w:autoRedefine/>
    <w:qFormat/>
    <w:uiPriority w:val="0"/>
    <w:rPr>
      <w:rFonts w:eastAsia="宋体"/>
      <w:sz w:val="24"/>
    </w:rPr>
  </w:style>
  <w:style w:type="paragraph" w:styleId="14">
    <w:name w:val="Date"/>
    <w:basedOn w:val="1"/>
    <w:next w:val="1"/>
    <w:autoRedefine/>
    <w:qFormat/>
    <w:uiPriority w:val="0"/>
    <w:pPr>
      <w:ind w:left="100" w:leftChars="2500"/>
    </w:pPr>
    <w:rPr>
      <w:rFonts w:ascii="Calibri" w:hAnsi="Calibri" w:cs="Times New Roman"/>
      <w:szCs w:val="24"/>
    </w:rPr>
  </w:style>
  <w:style w:type="paragraph" w:styleId="15">
    <w:name w:val="Balloon Text"/>
    <w:basedOn w:val="1"/>
    <w:link w:val="43"/>
    <w:autoRedefine/>
    <w:qFormat/>
    <w:uiPriority w:val="0"/>
    <w:rPr>
      <w:sz w:val="18"/>
      <w:szCs w:val="18"/>
    </w:rPr>
  </w:style>
  <w:style w:type="paragraph" w:styleId="16">
    <w:name w:val="footer"/>
    <w:basedOn w:val="1"/>
    <w:link w:val="45"/>
    <w:autoRedefine/>
    <w:qFormat/>
    <w:uiPriority w:val="0"/>
    <w:pPr>
      <w:tabs>
        <w:tab w:val="center" w:pos="4153"/>
        <w:tab w:val="right" w:pos="8306"/>
      </w:tabs>
      <w:snapToGrid w:val="0"/>
    </w:pPr>
    <w:rPr>
      <w:sz w:val="18"/>
      <w:szCs w:val="18"/>
    </w:rPr>
  </w:style>
  <w:style w:type="paragraph" w:styleId="17">
    <w:name w:val="header"/>
    <w:basedOn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9">
    <w:name w:val="Normal (Web)"/>
    <w:basedOn w:val="1"/>
    <w:autoRedefine/>
    <w:qFormat/>
    <w:uiPriority w:val="0"/>
    <w:rPr>
      <w:rFonts w:cs="Times New Roman"/>
      <w:sz w:val="24"/>
      <w:lang w:val="en-US" w:bidi="ar-SA"/>
    </w:rPr>
  </w:style>
  <w:style w:type="paragraph" w:styleId="20">
    <w:name w:val="Body Text First Indent"/>
    <w:basedOn w:val="10"/>
    <w:next w:val="21"/>
    <w:autoRedefine/>
    <w:qFormat/>
    <w:uiPriority w:val="0"/>
    <w:pPr>
      <w:ind w:firstLine="420" w:firstLineChars="100"/>
    </w:pPr>
  </w:style>
  <w:style w:type="paragraph" w:styleId="21">
    <w:name w:val="Body Text First Indent 2"/>
    <w:basedOn w:val="11"/>
    <w:next w:val="1"/>
    <w:autoRedefine/>
    <w:qFormat/>
    <w:uiPriority w:val="0"/>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FollowedHyperlink"/>
    <w:basedOn w:val="24"/>
    <w:autoRedefine/>
    <w:qFormat/>
    <w:uiPriority w:val="0"/>
    <w:rPr>
      <w:color w:val="444444"/>
      <w:sz w:val="21"/>
      <w:szCs w:val="21"/>
      <w:u w:val="none"/>
    </w:rPr>
  </w:style>
  <w:style w:type="character" w:styleId="28">
    <w:name w:val="Hyperlink"/>
    <w:basedOn w:val="24"/>
    <w:autoRedefine/>
    <w:unhideWhenUsed/>
    <w:qFormat/>
    <w:uiPriority w:val="99"/>
    <w:rPr>
      <w:color w:val="444444"/>
      <w:sz w:val="21"/>
      <w:szCs w:val="21"/>
      <w:u w:val="none"/>
    </w:rPr>
  </w:style>
  <w:style w:type="paragraph" w:customStyle="1" w:styleId="29">
    <w:name w:val="style4"/>
    <w:basedOn w:val="1"/>
    <w:next w:val="30"/>
    <w:autoRedefine/>
    <w:qFormat/>
    <w:uiPriority w:val="0"/>
    <w:pPr>
      <w:widowControl/>
      <w:spacing w:before="280" w:after="280"/>
    </w:pPr>
    <w:rPr>
      <w:sz w:val="18"/>
    </w:rPr>
  </w:style>
  <w:style w:type="paragraph" w:customStyle="1" w:styleId="3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rPr>
  </w:style>
  <w:style w:type="paragraph" w:styleId="32">
    <w:name w:val="No Spacing"/>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3">
    <w:name w:val="Body Text First Indent1"/>
    <w:basedOn w:val="10"/>
    <w:autoRedefine/>
    <w:qFormat/>
    <w:uiPriority w:val="0"/>
    <w:pPr>
      <w:ind w:firstLine="420" w:firstLineChars="100"/>
    </w:pPr>
  </w:style>
  <w:style w:type="paragraph" w:customStyle="1" w:styleId="34">
    <w:name w:val="列出段落1"/>
    <w:basedOn w:val="1"/>
    <w:autoRedefine/>
    <w:qFormat/>
    <w:uiPriority w:val="99"/>
    <w:pPr>
      <w:ind w:firstLine="420" w:firstLineChars="200"/>
    </w:pPr>
  </w:style>
  <w:style w:type="paragraph" w:customStyle="1" w:styleId="35">
    <w:name w:val="无间隔1"/>
    <w:basedOn w:val="1"/>
    <w:autoRedefine/>
    <w:qFormat/>
    <w:uiPriority w:val="0"/>
    <w:pPr>
      <w:spacing w:line="400" w:lineRule="exact"/>
    </w:pPr>
    <w:rPr>
      <w:sz w:val="24"/>
    </w:rPr>
  </w:style>
  <w:style w:type="table" w:customStyle="1" w:styleId="36">
    <w:name w:val="Table Normal"/>
    <w:autoRedefine/>
    <w:semiHidden/>
    <w:unhideWhenUsed/>
    <w:qFormat/>
    <w:uiPriority w:val="2"/>
    <w:tblPr>
      <w:tblCellMar>
        <w:top w:w="0" w:type="dxa"/>
        <w:left w:w="0" w:type="dxa"/>
        <w:bottom w:w="0" w:type="dxa"/>
        <w:right w:w="0" w:type="dxa"/>
      </w:tblCellMar>
    </w:tblPr>
  </w:style>
  <w:style w:type="paragraph" w:styleId="37">
    <w:name w:val="List Paragraph"/>
    <w:basedOn w:val="1"/>
    <w:autoRedefine/>
    <w:qFormat/>
    <w:uiPriority w:val="1"/>
    <w:pPr>
      <w:spacing w:before="57"/>
      <w:ind w:left="428" w:firstLine="480"/>
    </w:pPr>
  </w:style>
  <w:style w:type="paragraph" w:customStyle="1" w:styleId="38">
    <w:name w:val="Table Paragraph"/>
    <w:basedOn w:val="1"/>
    <w:autoRedefine/>
    <w:qFormat/>
    <w:uiPriority w:val="1"/>
  </w:style>
  <w:style w:type="paragraph" w:customStyle="1" w:styleId="3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pa-2"/>
    <w:basedOn w:val="1"/>
    <w:autoRedefine/>
    <w:qFormat/>
    <w:uiPriority w:val="0"/>
    <w:pPr>
      <w:widowControl/>
      <w:spacing w:line="280" w:lineRule="atLeast"/>
      <w:ind w:firstLine="480"/>
    </w:pPr>
    <w:rPr>
      <w:rFonts w:ascii="宋体" w:hAnsi="宋体" w:cs="宋体"/>
      <w:sz w:val="24"/>
      <w:szCs w:val="20"/>
    </w:rPr>
  </w:style>
  <w:style w:type="paragraph" w:customStyle="1" w:styleId="41">
    <w:name w:val="pa-3"/>
    <w:basedOn w:val="1"/>
    <w:autoRedefine/>
    <w:qFormat/>
    <w:uiPriority w:val="0"/>
    <w:pPr>
      <w:widowControl/>
      <w:spacing w:line="280" w:lineRule="atLeast"/>
      <w:ind w:firstLine="600"/>
    </w:pPr>
    <w:rPr>
      <w:rFonts w:ascii="宋体" w:hAnsi="宋体" w:cs="宋体"/>
      <w:sz w:val="24"/>
      <w:szCs w:val="20"/>
    </w:rPr>
  </w:style>
  <w:style w:type="paragraph" w:customStyle="1" w:styleId="42">
    <w:name w:val="样式1"/>
    <w:basedOn w:val="19"/>
    <w:autoRedefine/>
    <w:qFormat/>
    <w:uiPriority w:val="0"/>
    <w:rPr>
      <w:rFonts w:eastAsia="宋体"/>
    </w:rPr>
  </w:style>
  <w:style w:type="character" w:customStyle="1" w:styleId="43">
    <w:name w:val="批注框文本 Char"/>
    <w:basedOn w:val="24"/>
    <w:link w:val="15"/>
    <w:autoRedefine/>
    <w:qFormat/>
    <w:uiPriority w:val="0"/>
    <w:rPr>
      <w:rFonts w:ascii="微软雅黑" w:hAnsi="微软雅黑" w:eastAsia="微软雅黑" w:cs="微软雅黑"/>
      <w:sz w:val="18"/>
      <w:szCs w:val="18"/>
      <w:lang w:val="zh-CN" w:bidi="zh-CN"/>
    </w:rPr>
  </w:style>
  <w:style w:type="character" w:customStyle="1" w:styleId="44">
    <w:name w:val="页眉 Char"/>
    <w:basedOn w:val="24"/>
    <w:link w:val="17"/>
    <w:autoRedefine/>
    <w:qFormat/>
    <w:uiPriority w:val="0"/>
    <w:rPr>
      <w:rFonts w:ascii="微软雅黑" w:hAnsi="微软雅黑" w:eastAsia="微软雅黑" w:cs="微软雅黑"/>
      <w:sz w:val="18"/>
      <w:szCs w:val="18"/>
      <w:lang w:val="zh-CN" w:bidi="zh-CN"/>
    </w:rPr>
  </w:style>
  <w:style w:type="character" w:customStyle="1" w:styleId="45">
    <w:name w:val="页脚 Char"/>
    <w:basedOn w:val="24"/>
    <w:link w:val="16"/>
    <w:autoRedefine/>
    <w:qFormat/>
    <w:uiPriority w:val="0"/>
    <w:rPr>
      <w:rFonts w:ascii="微软雅黑" w:hAnsi="微软雅黑" w:eastAsia="微软雅黑" w:cs="微软雅黑"/>
      <w:sz w:val="18"/>
      <w:szCs w:val="18"/>
      <w:lang w:val="zh-CN" w:bidi="zh-CN"/>
    </w:rPr>
  </w:style>
  <w:style w:type="paragraph" w:customStyle="1" w:styleId="46">
    <w:name w:val="列表段落1"/>
    <w:basedOn w:val="1"/>
    <w:autoRedefine/>
    <w:qFormat/>
    <w:uiPriority w:val="0"/>
    <w:pPr>
      <w:ind w:firstLine="420" w:firstLineChars="200"/>
    </w:pPr>
    <w:rPr>
      <w:rFonts w:ascii="Calibri" w:hAnsi="Calibri"/>
      <w:szCs w:val="20"/>
    </w:rPr>
  </w:style>
  <w:style w:type="character" w:customStyle="1" w:styleId="47">
    <w:name w:val="hover17"/>
    <w:basedOn w:val="24"/>
    <w:autoRedefine/>
    <w:qFormat/>
    <w:uiPriority w:val="0"/>
  </w:style>
  <w:style w:type="character" w:customStyle="1" w:styleId="48">
    <w:name w:val="hover16"/>
    <w:basedOn w:val="24"/>
    <w:autoRedefine/>
    <w:qFormat/>
    <w:uiPriority w:val="0"/>
  </w:style>
  <w:style w:type="character" w:customStyle="1" w:styleId="49">
    <w:name w:val="hover15"/>
    <w:basedOn w:val="24"/>
    <w:autoRedefine/>
    <w:qFormat/>
    <w:uiPriority w:val="0"/>
  </w:style>
  <w:style w:type="paragraph" w:customStyle="1" w:styleId="50">
    <w:name w:val="正文文本缩进1"/>
    <w:basedOn w:val="1"/>
    <w:autoRedefine/>
    <w:qFormat/>
    <w:uiPriority w:val="0"/>
    <w:pPr>
      <w:spacing w:line="360" w:lineRule="auto"/>
      <w:ind w:firstLine="480" w:firstLineChars="200"/>
    </w:pPr>
    <w:rPr>
      <w:rFonts w:ascii="宋体"/>
      <w:sz w:val="24"/>
    </w:rPr>
  </w:style>
  <w:style w:type="paragraph" w:customStyle="1" w:styleId="51">
    <w:name w:val="正文缩进1"/>
    <w:basedOn w:val="1"/>
    <w:autoRedefine/>
    <w:qFormat/>
    <w:uiPriority w:val="0"/>
    <w:pPr>
      <w:adjustRightInd w:val="0"/>
      <w:spacing w:line="360" w:lineRule="atLeast"/>
      <w:ind w:firstLine="420" w:firstLineChars="200"/>
      <w:textAlignment w:val="baseline"/>
    </w:pPr>
    <w:rPr>
      <w:rFonts w:ascii="Times New Roman" w:hAnsi="Times New Roman" w:eastAsia="宋体" w:cs="Times New Roman"/>
      <w:sz w:val="24"/>
      <w:szCs w:val="20"/>
    </w:rPr>
  </w:style>
  <w:style w:type="paragraph" w:customStyle="1" w:styleId="52">
    <w:name w:val="日期1"/>
    <w:basedOn w:val="1"/>
    <w:next w:val="1"/>
    <w:autoRedefine/>
    <w:qFormat/>
    <w:uiPriority w:val="0"/>
    <w:rPr>
      <w:sz w:val="24"/>
    </w:rPr>
  </w:style>
  <w:style w:type="paragraph" w:customStyle="1" w:styleId="53">
    <w:name w:val="列出段落2"/>
    <w:basedOn w:val="1"/>
    <w:autoRedefine/>
    <w:semiHidden/>
    <w:qFormat/>
    <w:uiPriority w:val="0"/>
    <w:pPr>
      <w:ind w:firstLine="420" w:firstLineChars="200"/>
    </w:pPr>
    <w:rPr>
      <w:rFonts w:ascii="Calibri" w:hAnsi="Calibri" w:eastAsia="宋体" w:cs="Times New Roman"/>
      <w:szCs w:val="21"/>
    </w:rPr>
  </w:style>
  <w:style w:type="paragraph" w:customStyle="1" w:styleId="54">
    <w:name w:val="p16"/>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55">
    <w:name w:val="Other|1"/>
    <w:basedOn w:val="1"/>
    <w:qFormat/>
    <w:uiPriority w:val="0"/>
    <w:pPr>
      <w:spacing w:line="451" w:lineRule="auto"/>
      <w:ind w:firstLine="400"/>
    </w:pPr>
    <w:rPr>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258</Words>
  <Characters>267</Characters>
  <Lines>169</Lines>
  <Paragraphs>47</Paragraphs>
  <TotalTime>13</TotalTime>
  <ScaleCrop>false</ScaleCrop>
  <LinksUpToDate>false</LinksUpToDate>
  <CharactersWithSpaces>282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2020-03-30T06:44:00Z</dcterms:created>
  <dc:creator> 空心</dc:creator>
  <cp:lastModifiedBy>河南林昱工程管理有限公司:刘振强</cp:lastModifiedBy>
  <cp:lastPrinted>2021-04-07T08:06:00Z</cp:lastPrinted>
  <dcterms:modified xsi:type="dcterms:W3CDTF">2025-06-15T08:22:29Z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WPS 文字</vt:lpwstr>
  </property>
  <property fmtid="{D5CDD505-2E9C-101B-9397-08002B2CF9AE}" pid="4" name="LastSaved">
    <vt:filetime>2020-03-30T00:00:00Z</vt:filetime>
  </property>
  <property fmtid="{D5CDD505-2E9C-101B-9397-08002B2CF9AE}" pid="5" name="KSOProductBuildVer">
    <vt:lpwstr>2052-12.1.0.21541</vt:lpwstr>
  </property>
  <property fmtid="{D5CDD505-2E9C-101B-9397-08002B2CF9AE}" pid="6" name="ICV">
    <vt:lpwstr>17EC644FC4B14E8DB1B8CB5D8FC94801_13</vt:lpwstr>
  </property>
  <property fmtid="{D5CDD505-2E9C-101B-9397-08002B2CF9AE}" pid="7" name="KSOTemplateDocerSaveRecord">
    <vt:lpwstr>eyJoZGlkIjoiZjE4NWQ3NjMwMjg1OTdlZTg4ODU5OTM5NTJmMmM2ZWYiLCJ1c2VySWQiOiI4MTA0NTY1MDEifQ==</vt:lpwstr>
  </property>
</Properties>
</file>